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FD0D7" w14:textId="77777777" w:rsidR="00410235" w:rsidRPr="006C09FD" w:rsidRDefault="00410235" w:rsidP="003513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LIGJ</w:t>
      </w:r>
    </w:p>
    <w:p w14:paraId="660FD0D9" w14:textId="0AEB7012" w:rsidR="00410235" w:rsidRPr="006C09FD" w:rsidRDefault="00410235" w:rsidP="003513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 xml:space="preserve">Nr. </w:t>
      </w:r>
      <w:r w:rsidR="00824BEB" w:rsidRPr="006C09FD">
        <w:rPr>
          <w:rFonts w:ascii="Garamond" w:hAnsi="Garamond"/>
          <w:b/>
          <w:sz w:val="24"/>
          <w:szCs w:val="24"/>
        </w:rPr>
        <w:t>82</w:t>
      </w:r>
      <w:r w:rsidRPr="006C09FD">
        <w:rPr>
          <w:rFonts w:ascii="Garamond" w:hAnsi="Garamond"/>
          <w:b/>
          <w:sz w:val="24"/>
          <w:szCs w:val="24"/>
        </w:rPr>
        <w:t>/20</w:t>
      </w:r>
      <w:r w:rsidR="00501477" w:rsidRPr="006C09FD">
        <w:rPr>
          <w:rFonts w:ascii="Garamond" w:hAnsi="Garamond"/>
          <w:b/>
          <w:sz w:val="24"/>
          <w:szCs w:val="24"/>
        </w:rPr>
        <w:t>20</w:t>
      </w:r>
    </w:p>
    <w:p w14:paraId="660FD0DA" w14:textId="77777777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0FD0DB" w14:textId="7AB1CF9D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PËR RATIFIKIMIN E NDRYSHIMIT TË PROTOKOLLIT II TË M</w:t>
      </w:r>
      <w:r w:rsidR="005B4EA8" w:rsidRPr="006C09FD">
        <w:rPr>
          <w:rFonts w:ascii="Garamond" w:hAnsi="Garamond"/>
          <w:b/>
          <w:sz w:val="24"/>
          <w:szCs w:val="24"/>
        </w:rPr>
        <w:t>ARRËVESHJES SË TREGTISË SË LIRË</w:t>
      </w:r>
      <w:r w:rsidRPr="006C09FD">
        <w:rPr>
          <w:rFonts w:ascii="Garamond" w:hAnsi="Garamond"/>
          <w:b/>
          <w:sz w:val="24"/>
          <w:szCs w:val="24"/>
        </w:rPr>
        <w:t xml:space="preserve"> NDËRMJET REPUBLIKËS SË SHQIPËRISË DHE REPUBLIKËS SË TURQISË, TË RATIFIKUAR ME LIGJIN NR.</w:t>
      </w:r>
      <w:r w:rsidR="006C09FD" w:rsidRPr="006C09FD">
        <w:rPr>
          <w:rFonts w:ascii="Garamond" w:hAnsi="Garamond"/>
          <w:b/>
          <w:sz w:val="24"/>
          <w:szCs w:val="24"/>
        </w:rPr>
        <w:t xml:space="preserve"> </w:t>
      </w:r>
      <w:r w:rsidRPr="006C09FD">
        <w:rPr>
          <w:rFonts w:ascii="Garamond" w:hAnsi="Garamond"/>
          <w:b/>
          <w:sz w:val="24"/>
          <w:szCs w:val="24"/>
        </w:rPr>
        <w:t xml:space="preserve">9733, DATË 14.5.2007, NË LIDHJE ME PËRKUFIZIMIN E KONCEPTIT </w:t>
      </w:r>
      <w:r w:rsidR="00077009">
        <w:rPr>
          <w:rFonts w:ascii="Garamond" w:hAnsi="Garamond"/>
          <w:b/>
          <w:sz w:val="24"/>
          <w:szCs w:val="24"/>
        </w:rPr>
        <w:t>“</w:t>
      </w:r>
      <w:r w:rsidRPr="006C09FD">
        <w:rPr>
          <w:rFonts w:ascii="Garamond" w:hAnsi="Garamond"/>
          <w:b/>
          <w:sz w:val="24"/>
          <w:szCs w:val="24"/>
        </w:rPr>
        <w:t>PRODUKTE ORIGJINUESE</w:t>
      </w:r>
      <w:r w:rsidR="00077009">
        <w:rPr>
          <w:rFonts w:ascii="Garamond" w:hAnsi="Garamond"/>
          <w:b/>
          <w:sz w:val="24"/>
          <w:szCs w:val="24"/>
        </w:rPr>
        <w:t>”</w:t>
      </w:r>
      <w:r w:rsidRPr="006C09FD">
        <w:rPr>
          <w:rFonts w:ascii="Garamond" w:hAnsi="Garamond"/>
          <w:b/>
          <w:sz w:val="24"/>
          <w:szCs w:val="24"/>
        </w:rPr>
        <w:t xml:space="preserve"> DHE </w:t>
      </w:r>
      <w:r w:rsidR="00077009">
        <w:rPr>
          <w:rFonts w:ascii="Garamond" w:hAnsi="Garamond"/>
          <w:b/>
          <w:sz w:val="24"/>
          <w:szCs w:val="24"/>
        </w:rPr>
        <w:t>“</w:t>
      </w:r>
      <w:r w:rsidRPr="006C09FD">
        <w:rPr>
          <w:rFonts w:ascii="Garamond" w:hAnsi="Garamond"/>
          <w:b/>
          <w:sz w:val="24"/>
          <w:szCs w:val="24"/>
        </w:rPr>
        <w:t>METODA E BASHKËPUNIMIT ADMINISTRATIV</w:t>
      </w:r>
      <w:r w:rsidR="00077009">
        <w:rPr>
          <w:rFonts w:ascii="Garamond" w:hAnsi="Garamond"/>
          <w:b/>
          <w:sz w:val="24"/>
          <w:szCs w:val="24"/>
        </w:rPr>
        <w:t>”</w:t>
      </w:r>
    </w:p>
    <w:p w14:paraId="660FD0DC" w14:textId="77777777" w:rsidR="00AA7599" w:rsidRPr="006C09FD" w:rsidRDefault="00AA7599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D0DD" w14:textId="77777777" w:rsidR="00AA7599" w:rsidRPr="006C09FD" w:rsidRDefault="00AA7599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Në mbështetje të neneve 78, 83, pika 1, dhe 121, pika 1, të Kushtetutës, me propozimin e Këshillit të Ministrave, </w:t>
      </w:r>
    </w:p>
    <w:p w14:paraId="660FD0DE" w14:textId="77777777" w:rsidR="00AA7599" w:rsidRPr="006C09FD" w:rsidRDefault="00AA7599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 </w:t>
      </w:r>
    </w:p>
    <w:p w14:paraId="660FD0DF" w14:textId="7BAD0FB6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KUVENDI</w:t>
      </w:r>
    </w:p>
    <w:p w14:paraId="660FD0E1" w14:textId="77777777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I REPUBLIKËS SË SHQIPËRISË</w:t>
      </w:r>
    </w:p>
    <w:p w14:paraId="660FD0E2" w14:textId="77777777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0FD0E3" w14:textId="3B9CD6DB" w:rsidR="00AA7599" w:rsidRPr="006C09FD" w:rsidRDefault="003513B0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VENDOS</w:t>
      </w:r>
      <w:r w:rsidR="00AA7599" w:rsidRPr="006C09FD">
        <w:rPr>
          <w:rFonts w:ascii="Garamond" w:hAnsi="Garamond"/>
          <w:sz w:val="24"/>
          <w:szCs w:val="24"/>
        </w:rPr>
        <w:t>I:</w:t>
      </w:r>
    </w:p>
    <w:p w14:paraId="660FD0E4" w14:textId="77777777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0FD0E5" w14:textId="77777777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1</w:t>
      </w:r>
    </w:p>
    <w:p w14:paraId="660FD0E6" w14:textId="77777777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0FD0E7" w14:textId="7CD2C787" w:rsidR="00AA7599" w:rsidRPr="006C09FD" w:rsidRDefault="00293CAF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Ratifikohet ndryshimi</w:t>
      </w:r>
      <w:r w:rsidR="00AA7599" w:rsidRPr="006C09FD">
        <w:rPr>
          <w:rFonts w:ascii="Garamond" w:hAnsi="Garamond"/>
          <w:sz w:val="24"/>
          <w:szCs w:val="24"/>
        </w:rPr>
        <w:t xml:space="preserve"> </w:t>
      </w:r>
      <w:r w:rsidRPr="006C09FD">
        <w:rPr>
          <w:rFonts w:ascii="Garamond" w:hAnsi="Garamond"/>
          <w:sz w:val="24"/>
          <w:szCs w:val="24"/>
        </w:rPr>
        <w:t>i</w:t>
      </w:r>
      <w:r w:rsidR="005D5F35" w:rsidRPr="006C09FD">
        <w:rPr>
          <w:rFonts w:ascii="Garamond" w:hAnsi="Garamond"/>
          <w:sz w:val="24"/>
          <w:szCs w:val="24"/>
        </w:rPr>
        <w:t xml:space="preserve"> Protokollit II të Marrëveshjes së Tregtisë së L</w:t>
      </w:r>
      <w:r w:rsidR="008D1EB0" w:rsidRPr="006C09FD">
        <w:rPr>
          <w:rFonts w:ascii="Garamond" w:hAnsi="Garamond"/>
          <w:sz w:val="24"/>
          <w:szCs w:val="24"/>
        </w:rPr>
        <w:t>irë</w:t>
      </w:r>
      <w:r w:rsidR="00AA7599" w:rsidRPr="006C09FD">
        <w:rPr>
          <w:rFonts w:ascii="Garamond" w:hAnsi="Garamond"/>
          <w:sz w:val="24"/>
          <w:szCs w:val="24"/>
        </w:rPr>
        <w:t xml:space="preserve"> ndërmjet Republikës së Shqipërisë dhe Republikës së Turqisë, të ratifikuar me ligjin nr.</w:t>
      </w:r>
      <w:r w:rsidR="006C09FD">
        <w:rPr>
          <w:rFonts w:ascii="Garamond" w:hAnsi="Garamond"/>
          <w:sz w:val="24"/>
          <w:szCs w:val="24"/>
        </w:rPr>
        <w:t xml:space="preserve"> </w:t>
      </w:r>
      <w:r w:rsidR="00AA7599" w:rsidRPr="006C09FD">
        <w:rPr>
          <w:rFonts w:ascii="Garamond" w:hAnsi="Garamond"/>
          <w:sz w:val="24"/>
          <w:szCs w:val="24"/>
        </w:rPr>
        <w:t>9733, datë 14.5.2007, në lidhje me përkufizimin e konce</w:t>
      </w:r>
      <w:r w:rsidR="00834A74" w:rsidRPr="006C09FD">
        <w:rPr>
          <w:rFonts w:ascii="Garamond" w:hAnsi="Garamond"/>
          <w:sz w:val="24"/>
          <w:szCs w:val="24"/>
        </w:rPr>
        <w:t xml:space="preserve">ptit </w:t>
      </w:r>
      <w:r w:rsidR="00077009">
        <w:rPr>
          <w:rFonts w:ascii="Garamond" w:hAnsi="Garamond"/>
          <w:sz w:val="24"/>
          <w:szCs w:val="24"/>
        </w:rPr>
        <w:t>“</w:t>
      </w:r>
      <w:r w:rsidR="00834A74" w:rsidRPr="006C09FD">
        <w:rPr>
          <w:rFonts w:ascii="Garamond" w:hAnsi="Garamond"/>
          <w:sz w:val="24"/>
          <w:szCs w:val="24"/>
        </w:rPr>
        <w:t>produkte origjinuese</w:t>
      </w:r>
      <w:r w:rsidR="00077009">
        <w:rPr>
          <w:rFonts w:ascii="Garamond" w:hAnsi="Garamond"/>
          <w:sz w:val="24"/>
          <w:szCs w:val="24"/>
        </w:rPr>
        <w:t>”</w:t>
      </w:r>
      <w:r w:rsidR="00834A74" w:rsidRPr="006C09FD">
        <w:rPr>
          <w:rFonts w:ascii="Garamond" w:hAnsi="Garamond"/>
          <w:sz w:val="24"/>
          <w:szCs w:val="24"/>
        </w:rPr>
        <w:t xml:space="preserve"> dhe </w:t>
      </w:r>
      <w:r w:rsidR="00077009">
        <w:rPr>
          <w:rFonts w:ascii="Garamond" w:hAnsi="Garamond"/>
          <w:sz w:val="24"/>
          <w:szCs w:val="24"/>
        </w:rPr>
        <w:t>“</w:t>
      </w:r>
      <w:r w:rsidR="00AA7599" w:rsidRPr="006C09FD">
        <w:rPr>
          <w:rFonts w:ascii="Garamond" w:hAnsi="Garamond"/>
          <w:sz w:val="24"/>
          <w:szCs w:val="24"/>
        </w:rPr>
        <w:t>metoda e bashkëpunimit administrativ</w:t>
      </w:r>
      <w:r w:rsidR="00077009">
        <w:rPr>
          <w:rFonts w:ascii="Garamond" w:hAnsi="Garamond"/>
          <w:sz w:val="24"/>
          <w:szCs w:val="24"/>
        </w:rPr>
        <w:t>”</w:t>
      </w:r>
      <w:r w:rsidR="00AA7599" w:rsidRPr="006C09FD">
        <w:rPr>
          <w:rFonts w:ascii="Garamond" w:hAnsi="Garamond"/>
          <w:sz w:val="24"/>
          <w:szCs w:val="24"/>
        </w:rPr>
        <w:t xml:space="preserve">, sipas tekstit që i bashkëlidhet këtij ligji. </w:t>
      </w:r>
    </w:p>
    <w:p w14:paraId="660FD0E8" w14:textId="77777777" w:rsidR="00AA7599" w:rsidRPr="006C09FD" w:rsidRDefault="00AA7599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D0E9" w14:textId="77777777" w:rsidR="00AA7599" w:rsidRPr="006C09FD" w:rsidRDefault="00AA7599" w:rsidP="003513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2</w:t>
      </w:r>
    </w:p>
    <w:p w14:paraId="660FD0EA" w14:textId="77777777" w:rsidR="00AA7599" w:rsidRPr="006C09FD" w:rsidRDefault="00AA7599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D0EB" w14:textId="77777777" w:rsidR="00AA7599" w:rsidRPr="006C09FD" w:rsidRDefault="00AA7599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Ky ligj hyn </w:t>
      </w:r>
      <w:r w:rsidR="00681B34" w:rsidRPr="006C09FD">
        <w:rPr>
          <w:rFonts w:ascii="Garamond" w:hAnsi="Garamond"/>
          <w:sz w:val="24"/>
          <w:szCs w:val="24"/>
        </w:rPr>
        <w:t xml:space="preserve">në fuqi 15 ditë pas botimit në Fletoren </w:t>
      </w:r>
      <w:r w:rsidR="00834A74" w:rsidRPr="006C09FD">
        <w:rPr>
          <w:rFonts w:ascii="Garamond" w:hAnsi="Garamond"/>
          <w:sz w:val="24"/>
          <w:szCs w:val="24"/>
        </w:rPr>
        <w:t>Z</w:t>
      </w:r>
      <w:r w:rsidR="00681B34" w:rsidRPr="006C09FD">
        <w:rPr>
          <w:rFonts w:ascii="Garamond" w:hAnsi="Garamond"/>
          <w:sz w:val="24"/>
          <w:szCs w:val="24"/>
        </w:rPr>
        <w:t>yrtare</w:t>
      </w:r>
      <w:r w:rsidRPr="006C09FD">
        <w:rPr>
          <w:rFonts w:ascii="Garamond" w:hAnsi="Garamond"/>
          <w:sz w:val="24"/>
          <w:szCs w:val="24"/>
        </w:rPr>
        <w:t>.</w:t>
      </w:r>
    </w:p>
    <w:p w14:paraId="2D0F6C3B" w14:textId="77777777" w:rsidR="003513B0" w:rsidRPr="006C09FD" w:rsidRDefault="003513B0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D0F2" w14:textId="77777777" w:rsidR="00CB513B" w:rsidRPr="006C09FD" w:rsidRDefault="00CB513B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FD0F3" w14:textId="16E0BF92" w:rsidR="00CB513B" w:rsidRPr="006C09FD" w:rsidRDefault="00CB513B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Miratuar në datën </w:t>
      </w:r>
      <w:r w:rsidR="00501477" w:rsidRPr="006C09FD">
        <w:rPr>
          <w:rFonts w:ascii="Garamond" w:hAnsi="Garamond"/>
          <w:sz w:val="24"/>
          <w:szCs w:val="24"/>
        </w:rPr>
        <w:t>2</w:t>
      </w:r>
      <w:r w:rsidR="00B83C5E" w:rsidRPr="006C09FD">
        <w:rPr>
          <w:rFonts w:ascii="Garamond" w:hAnsi="Garamond"/>
          <w:sz w:val="24"/>
          <w:szCs w:val="24"/>
        </w:rPr>
        <w:t>.</w:t>
      </w:r>
      <w:r w:rsidR="00501477" w:rsidRPr="006C09FD">
        <w:rPr>
          <w:rFonts w:ascii="Garamond" w:hAnsi="Garamond"/>
          <w:sz w:val="24"/>
          <w:szCs w:val="24"/>
        </w:rPr>
        <w:t>7</w:t>
      </w:r>
      <w:r w:rsidR="00B83C5E" w:rsidRPr="006C09FD">
        <w:rPr>
          <w:rFonts w:ascii="Garamond" w:hAnsi="Garamond"/>
          <w:sz w:val="24"/>
          <w:szCs w:val="24"/>
        </w:rPr>
        <w:t>.</w:t>
      </w:r>
      <w:r w:rsidRPr="006C09FD">
        <w:rPr>
          <w:rFonts w:ascii="Garamond" w:hAnsi="Garamond"/>
          <w:sz w:val="24"/>
          <w:szCs w:val="24"/>
        </w:rPr>
        <w:t>20</w:t>
      </w:r>
      <w:r w:rsidR="00501477" w:rsidRPr="006C09FD">
        <w:rPr>
          <w:rFonts w:ascii="Garamond" w:hAnsi="Garamond"/>
          <w:sz w:val="24"/>
          <w:szCs w:val="24"/>
        </w:rPr>
        <w:t>20</w:t>
      </w:r>
      <w:r w:rsidR="006C09FD">
        <w:rPr>
          <w:rFonts w:ascii="Garamond" w:hAnsi="Garamond"/>
          <w:sz w:val="24"/>
          <w:szCs w:val="24"/>
        </w:rPr>
        <w:t>.</w:t>
      </w:r>
    </w:p>
    <w:p w14:paraId="4A6B9FC5" w14:textId="496E4C65" w:rsidR="00F644A7" w:rsidRDefault="00F644A7" w:rsidP="00F644A7">
      <w:pPr>
        <w:spacing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Shpallur me dekretin nr. 11538, </w:t>
      </w:r>
      <w:bookmarkStart w:id="0" w:name="_GoBack"/>
      <w:bookmarkEnd w:id="0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datë 9.7.2020 të Presidentit të Republikës së Shqipërisë, Ilir Meta.</w:t>
      </w:r>
    </w:p>
    <w:p w14:paraId="660FD0F4" w14:textId="77777777" w:rsidR="001634E7" w:rsidRPr="006C09FD" w:rsidRDefault="001634E7" w:rsidP="003513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C7E6A5" w14:textId="5FECE0BC" w:rsidR="00100574" w:rsidRDefault="006C09FD" w:rsidP="00FD3C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VENDIM NR. 1/2019 I KOMITETIT TË PËRBASHKËT</w:t>
      </w:r>
    </w:p>
    <w:p w14:paraId="31670816" w14:textId="77777777" w:rsidR="00782918" w:rsidRPr="006C09FD" w:rsidRDefault="00782918" w:rsidP="00FD3C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5E84AC4" w14:textId="7E8DB581" w:rsidR="00100574" w:rsidRPr="00F942BD" w:rsidRDefault="00F942BD" w:rsidP="00FD3C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42BD">
        <w:rPr>
          <w:rFonts w:ascii="Garamond" w:hAnsi="Garamond"/>
          <w:b/>
          <w:sz w:val="24"/>
          <w:szCs w:val="24"/>
        </w:rPr>
        <w:t>të themeluar nga Marrëveshja e Tregtisë së Lirë ndërmjet Republikës së Shqipërisë dhe Republikës së Turqisë</w:t>
      </w:r>
      <w:r>
        <w:rPr>
          <w:rFonts w:ascii="Garamond" w:hAnsi="Garamond"/>
          <w:b/>
          <w:sz w:val="24"/>
          <w:szCs w:val="24"/>
        </w:rPr>
        <w:t>,</w:t>
      </w:r>
    </w:p>
    <w:p w14:paraId="4B8920BC" w14:textId="5D79671A" w:rsidR="00100574" w:rsidRPr="00F942BD" w:rsidRDefault="00F942BD" w:rsidP="00FD3C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42BD">
        <w:rPr>
          <w:rFonts w:ascii="Garamond" w:hAnsi="Garamond"/>
          <w:b/>
          <w:sz w:val="24"/>
          <w:szCs w:val="24"/>
        </w:rPr>
        <w:t>që zëvendëson Protokollin II të Marrëveshjes së Tregtisë së Lirë ndërmjet Republikës së Shqipërisë dhe Republikës së Turqisë, në lidhje me përcaktimin e konceptit të “produkteve origjinuese” dhe metodave të bashkëpunimit administrativ</w:t>
      </w:r>
    </w:p>
    <w:p w14:paraId="0631B7E4" w14:textId="77777777" w:rsidR="00FD3C3C" w:rsidRPr="006C09FD" w:rsidRDefault="00FD3C3C" w:rsidP="00FD3C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B9BCD6" w14:textId="1BF12B63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42BD">
        <w:rPr>
          <w:rFonts w:ascii="Garamond" w:hAnsi="Garamond"/>
          <w:i/>
          <w:sz w:val="24"/>
          <w:szCs w:val="24"/>
        </w:rPr>
        <w:t>Duke pasur parasysh</w:t>
      </w:r>
      <w:r w:rsidRPr="006C09FD">
        <w:rPr>
          <w:rFonts w:ascii="Garamond" w:hAnsi="Garamond"/>
          <w:sz w:val="24"/>
          <w:szCs w:val="24"/>
        </w:rPr>
        <w:t xml:space="preserve"> Marrëveshjen e Tregtisë së Lirë ndërmjet Republikës së Turqisë dhe Republikës së Shqipëri</w:t>
      </w:r>
      <w:r w:rsidR="00F942BD">
        <w:rPr>
          <w:rFonts w:ascii="Garamond" w:hAnsi="Garamond"/>
          <w:sz w:val="24"/>
          <w:szCs w:val="24"/>
        </w:rPr>
        <w:t xml:space="preserve"> </w:t>
      </w:r>
      <w:r w:rsidRPr="006C09FD">
        <w:rPr>
          <w:rFonts w:ascii="Garamond" w:hAnsi="Garamond"/>
          <w:sz w:val="24"/>
          <w:szCs w:val="24"/>
        </w:rPr>
        <w:t xml:space="preserve">së (në vijim e referuar si </w:t>
      </w:r>
      <w:r w:rsidR="00077009">
        <w:rPr>
          <w:rFonts w:ascii="Garamond" w:hAnsi="Garamond"/>
          <w:sz w:val="24"/>
          <w:szCs w:val="24"/>
        </w:rPr>
        <w:t>“</w:t>
      </w:r>
      <w:r w:rsidRPr="006C09FD">
        <w:rPr>
          <w:rFonts w:ascii="Garamond" w:hAnsi="Garamond"/>
          <w:sz w:val="24"/>
          <w:szCs w:val="24"/>
        </w:rPr>
        <w:t>kjo Marrëveshje</w:t>
      </w:r>
      <w:r w:rsidR="00077009">
        <w:rPr>
          <w:rFonts w:ascii="Garamond" w:hAnsi="Garamond"/>
          <w:sz w:val="24"/>
          <w:szCs w:val="24"/>
        </w:rPr>
        <w:t>”</w:t>
      </w:r>
      <w:r w:rsidRPr="006C09FD">
        <w:rPr>
          <w:rFonts w:ascii="Garamond" w:hAnsi="Garamond"/>
          <w:sz w:val="24"/>
          <w:szCs w:val="24"/>
        </w:rPr>
        <w:t xml:space="preserve">) të nënshkruar në Tiranë më 22 dhjetor 2006, në veçanti </w:t>
      </w:r>
      <w:r w:rsidR="006C09FD" w:rsidRPr="006C09FD">
        <w:rPr>
          <w:rFonts w:ascii="Garamond" w:hAnsi="Garamond"/>
          <w:sz w:val="24"/>
          <w:szCs w:val="24"/>
        </w:rPr>
        <w:t xml:space="preserve">nenin </w:t>
      </w:r>
      <w:r w:rsidRPr="006C09FD">
        <w:rPr>
          <w:rFonts w:ascii="Garamond" w:hAnsi="Garamond"/>
          <w:sz w:val="24"/>
          <w:szCs w:val="24"/>
        </w:rPr>
        <w:t>22</w:t>
      </w:r>
      <w:r w:rsidR="006C09FD">
        <w:rPr>
          <w:rFonts w:ascii="Garamond" w:hAnsi="Garamond"/>
          <w:sz w:val="24"/>
          <w:szCs w:val="24"/>
        </w:rPr>
        <w:t>;</w:t>
      </w:r>
      <w:r w:rsidRPr="006C09FD">
        <w:rPr>
          <w:rFonts w:ascii="Garamond" w:hAnsi="Garamond"/>
          <w:sz w:val="24"/>
          <w:szCs w:val="24"/>
        </w:rPr>
        <w:t xml:space="preserve"> </w:t>
      </w:r>
    </w:p>
    <w:p w14:paraId="7E8E5733" w14:textId="186BCC43" w:rsidR="00100574" w:rsidRPr="006C09FD" w:rsidRDefault="006C09FD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i/>
          <w:sz w:val="24"/>
          <w:szCs w:val="24"/>
        </w:rPr>
        <w:t xml:space="preserve">në </w:t>
      </w:r>
      <w:r w:rsidR="00100574" w:rsidRPr="006C09FD">
        <w:rPr>
          <w:rFonts w:ascii="Garamond" w:hAnsi="Garamond"/>
          <w:i/>
          <w:sz w:val="24"/>
          <w:szCs w:val="24"/>
        </w:rPr>
        <w:t>pajtim me</w:t>
      </w:r>
      <w:r w:rsidR="00100574" w:rsidRPr="006C09FD">
        <w:rPr>
          <w:rFonts w:ascii="Garamond" w:hAnsi="Garamond"/>
          <w:sz w:val="24"/>
          <w:szCs w:val="24"/>
        </w:rPr>
        <w:t xml:space="preserve"> </w:t>
      </w:r>
      <w:r w:rsidRPr="006C09FD">
        <w:rPr>
          <w:rFonts w:ascii="Garamond" w:hAnsi="Garamond"/>
          <w:sz w:val="24"/>
          <w:szCs w:val="24"/>
        </w:rPr>
        <w:t xml:space="preserve">nenin </w:t>
      </w:r>
      <w:r w:rsidR="00100574" w:rsidRPr="006C09FD">
        <w:rPr>
          <w:rFonts w:ascii="Garamond" w:hAnsi="Garamond"/>
          <w:sz w:val="24"/>
          <w:szCs w:val="24"/>
        </w:rPr>
        <w:t>28 të kësaj Marrëveshjeje që autorizon Komitetin e Përbashkët për marrjen e vendimeve</w:t>
      </w:r>
      <w:r w:rsidR="005E0FEB">
        <w:rPr>
          <w:rFonts w:ascii="Garamond" w:hAnsi="Garamond"/>
          <w:sz w:val="24"/>
          <w:szCs w:val="24"/>
        </w:rPr>
        <w:t>;</w:t>
      </w:r>
      <w:r w:rsidR="00100574" w:rsidRPr="006C09FD">
        <w:rPr>
          <w:rFonts w:ascii="Garamond" w:hAnsi="Garamond"/>
          <w:sz w:val="24"/>
          <w:szCs w:val="24"/>
        </w:rPr>
        <w:t xml:space="preserve"> </w:t>
      </w:r>
    </w:p>
    <w:p w14:paraId="35B42A3A" w14:textId="343FE830" w:rsidR="00100574" w:rsidRPr="006C09FD" w:rsidRDefault="006C09FD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i/>
          <w:sz w:val="24"/>
          <w:szCs w:val="24"/>
        </w:rPr>
        <w:t xml:space="preserve">duke </w:t>
      </w:r>
      <w:r w:rsidR="00100574" w:rsidRPr="006C09FD">
        <w:rPr>
          <w:rFonts w:ascii="Garamond" w:hAnsi="Garamond"/>
          <w:i/>
          <w:sz w:val="24"/>
          <w:szCs w:val="24"/>
        </w:rPr>
        <w:t>marrë parasysh</w:t>
      </w:r>
      <w:r w:rsidR="00100574" w:rsidRPr="006C09FD">
        <w:rPr>
          <w:rFonts w:ascii="Garamond" w:hAnsi="Garamond"/>
          <w:sz w:val="24"/>
          <w:szCs w:val="24"/>
        </w:rPr>
        <w:t xml:space="preserve"> </w:t>
      </w:r>
      <w:r w:rsidRPr="006C09FD">
        <w:rPr>
          <w:rFonts w:ascii="Garamond" w:hAnsi="Garamond"/>
          <w:sz w:val="24"/>
          <w:szCs w:val="24"/>
        </w:rPr>
        <w:t xml:space="preserve">nenin </w:t>
      </w:r>
      <w:r w:rsidR="00100574" w:rsidRPr="006C09FD">
        <w:rPr>
          <w:rFonts w:ascii="Garamond" w:hAnsi="Garamond"/>
          <w:sz w:val="24"/>
          <w:szCs w:val="24"/>
        </w:rPr>
        <w:t xml:space="preserve">34 të Marrëveshjes në lidhje me </w:t>
      </w:r>
      <w:r w:rsidRPr="006C09FD">
        <w:rPr>
          <w:rFonts w:ascii="Garamond" w:hAnsi="Garamond"/>
          <w:sz w:val="24"/>
          <w:szCs w:val="24"/>
        </w:rPr>
        <w:t>ndryshimet</w:t>
      </w:r>
      <w:r>
        <w:rPr>
          <w:rFonts w:ascii="Garamond" w:hAnsi="Garamond"/>
          <w:sz w:val="24"/>
          <w:szCs w:val="24"/>
        </w:rPr>
        <w:t>;</w:t>
      </w:r>
      <w:r w:rsidRPr="006C09FD">
        <w:rPr>
          <w:rFonts w:ascii="Garamond" w:hAnsi="Garamond"/>
          <w:sz w:val="24"/>
          <w:szCs w:val="24"/>
        </w:rPr>
        <w:t xml:space="preserve"> </w:t>
      </w:r>
    </w:p>
    <w:p w14:paraId="5BC4BFB8" w14:textId="0735D55E" w:rsidR="00100574" w:rsidRPr="006C09FD" w:rsidRDefault="006C09FD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i/>
          <w:sz w:val="24"/>
          <w:szCs w:val="24"/>
        </w:rPr>
        <w:t xml:space="preserve">në </w:t>
      </w:r>
      <w:r w:rsidR="00192D55" w:rsidRPr="006C09FD">
        <w:rPr>
          <w:rFonts w:ascii="Garamond" w:hAnsi="Garamond"/>
          <w:i/>
          <w:sz w:val="24"/>
          <w:szCs w:val="24"/>
        </w:rPr>
        <w:t>pajtim me</w:t>
      </w:r>
      <w:r w:rsidR="00192D55" w:rsidRPr="006C09FD">
        <w:rPr>
          <w:rFonts w:ascii="Garamond" w:hAnsi="Garamond"/>
          <w:sz w:val="24"/>
          <w:szCs w:val="24"/>
        </w:rPr>
        <w:t xml:space="preserve"> </w:t>
      </w:r>
      <w:r w:rsidRPr="006C09FD">
        <w:rPr>
          <w:rFonts w:ascii="Garamond" w:hAnsi="Garamond"/>
          <w:sz w:val="24"/>
          <w:szCs w:val="24"/>
        </w:rPr>
        <w:t xml:space="preserve">nenin </w:t>
      </w:r>
      <w:r w:rsidR="00192D55" w:rsidRPr="006C09FD">
        <w:rPr>
          <w:rFonts w:ascii="Garamond" w:hAnsi="Garamond"/>
          <w:sz w:val="24"/>
          <w:szCs w:val="24"/>
        </w:rPr>
        <w:t xml:space="preserve">35 të </w:t>
      </w:r>
      <w:r w:rsidR="00100574" w:rsidRPr="006C09FD">
        <w:rPr>
          <w:rFonts w:ascii="Garamond" w:hAnsi="Garamond"/>
          <w:sz w:val="24"/>
          <w:szCs w:val="24"/>
        </w:rPr>
        <w:t>kësaj Marrëveshjeje që autorizon Komitetin e Përbashkët për të bërë ndryshime në këtë Marrëveshje</w:t>
      </w:r>
      <w:r>
        <w:rPr>
          <w:rFonts w:ascii="Garamond" w:hAnsi="Garamond"/>
          <w:sz w:val="24"/>
          <w:szCs w:val="24"/>
        </w:rPr>
        <w:t>;</w:t>
      </w:r>
    </w:p>
    <w:p w14:paraId="25FBEF14" w14:textId="50C4363A" w:rsidR="00100574" w:rsidRPr="006C09FD" w:rsidRDefault="006C09FD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i/>
          <w:sz w:val="24"/>
          <w:szCs w:val="24"/>
        </w:rPr>
        <w:lastRenderedPageBreak/>
        <w:t xml:space="preserve">duke </w:t>
      </w:r>
      <w:r w:rsidR="00100574" w:rsidRPr="006C09FD">
        <w:rPr>
          <w:rFonts w:ascii="Garamond" w:hAnsi="Garamond"/>
          <w:i/>
          <w:sz w:val="24"/>
          <w:szCs w:val="24"/>
        </w:rPr>
        <w:t>pasur parasysh</w:t>
      </w:r>
      <w:r w:rsidR="00100574" w:rsidRPr="006C09FD">
        <w:rPr>
          <w:rFonts w:ascii="Garamond" w:hAnsi="Garamond"/>
          <w:sz w:val="24"/>
          <w:szCs w:val="24"/>
        </w:rPr>
        <w:t xml:space="preserve"> Protokollin II të kësaj Marrëveshjeje</w:t>
      </w:r>
      <w:r>
        <w:rPr>
          <w:rFonts w:ascii="Garamond" w:hAnsi="Garamond"/>
          <w:sz w:val="24"/>
          <w:szCs w:val="24"/>
        </w:rPr>
        <w:t>,</w:t>
      </w:r>
      <w:r w:rsidR="00100574" w:rsidRPr="006C09FD">
        <w:rPr>
          <w:rFonts w:ascii="Garamond" w:hAnsi="Garamond"/>
          <w:sz w:val="24"/>
          <w:szCs w:val="24"/>
        </w:rPr>
        <w:t xml:space="preserve"> në lidhje me përkufizimin e konceptit të </w:t>
      </w:r>
      <w:r w:rsidR="00077009">
        <w:rPr>
          <w:rFonts w:ascii="Garamond" w:hAnsi="Garamond"/>
          <w:sz w:val="24"/>
          <w:szCs w:val="24"/>
        </w:rPr>
        <w:t>“</w:t>
      </w:r>
      <w:r w:rsidR="00100574" w:rsidRPr="006C09FD">
        <w:rPr>
          <w:rFonts w:ascii="Garamond" w:hAnsi="Garamond"/>
          <w:sz w:val="24"/>
          <w:szCs w:val="24"/>
        </w:rPr>
        <w:t>produkteve origjinuese</w:t>
      </w:r>
      <w:r w:rsidR="00077009">
        <w:rPr>
          <w:rFonts w:ascii="Garamond" w:hAnsi="Garamond"/>
          <w:sz w:val="24"/>
          <w:szCs w:val="24"/>
        </w:rPr>
        <w:t>”</w:t>
      </w:r>
      <w:r w:rsidR="00100574" w:rsidRPr="006C09FD">
        <w:rPr>
          <w:rFonts w:ascii="Garamond" w:hAnsi="Garamond"/>
          <w:sz w:val="24"/>
          <w:szCs w:val="24"/>
        </w:rPr>
        <w:t xml:space="preserve"> dhe metodave të bashkëpunimit administrativ (në vijim i referuar si </w:t>
      </w:r>
      <w:r w:rsidR="00077009">
        <w:rPr>
          <w:rFonts w:ascii="Garamond" w:hAnsi="Garamond"/>
          <w:sz w:val="24"/>
          <w:szCs w:val="24"/>
        </w:rPr>
        <w:t>“</w:t>
      </w:r>
      <w:r w:rsidR="00100574" w:rsidRPr="006C09FD">
        <w:rPr>
          <w:rFonts w:ascii="Garamond" w:hAnsi="Garamond"/>
          <w:sz w:val="24"/>
          <w:szCs w:val="24"/>
        </w:rPr>
        <w:t>Protokollli II</w:t>
      </w:r>
      <w:r w:rsidR="00077009">
        <w:rPr>
          <w:rFonts w:ascii="Garamond" w:hAnsi="Garamond"/>
          <w:sz w:val="24"/>
          <w:szCs w:val="24"/>
        </w:rPr>
        <w:t>”</w:t>
      </w:r>
      <w:r w:rsidR="00100574" w:rsidRPr="006C09FD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>;</w:t>
      </w:r>
      <w:r w:rsidR="00100574" w:rsidRPr="006C09FD">
        <w:rPr>
          <w:rFonts w:ascii="Garamond" w:hAnsi="Garamond"/>
          <w:sz w:val="24"/>
          <w:szCs w:val="24"/>
        </w:rPr>
        <w:t xml:space="preserve"> </w:t>
      </w:r>
    </w:p>
    <w:p w14:paraId="4D0FA80F" w14:textId="19E183A2" w:rsidR="00100574" w:rsidRPr="006C09FD" w:rsidRDefault="006C09FD" w:rsidP="0010057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C09FD">
        <w:rPr>
          <w:rFonts w:ascii="Garamond" w:hAnsi="Garamond"/>
          <w:i/>
          <w:sz w:val="24"/>
          <w:szCs w:val="24"/>
        </w:rPr>
        <w:t xml:space="preserve">duke </w:t>
      </w:r>
      <w:r w:rsidR="00100574" w:rsidRPr="006C09FD">
        <w:rPr>
          <w:rFonts w:ascii="Garamond" w:hAnsi="Garamond"/>
          <w:i/>
          <w:sz w:val="24"/>
          <w:szCs w:val="24"/>
        </w:rPr>
        <w:t xml:space="preserve">pasur parasysh </w:t>
      </w:r>
      <w:r>
        <w:rPr>
          <w:rFonts w:ascii="Garamond" w:hAnsi="Garamond"/>
          <w:sz w:val="24"/>
          <w:szCs w:val="24"/>
        </w:rPr>
        <w:t>se:</w:t>
      </w:r>
    </w:p>
    <w:p w14:paraId="660FD0F5" w14:textId="60C4A13D" w:rsidR="000E7403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1</w:t>
      </w:r>
      <w:r w:rsidR="006C09FD">
        <w:rPr>
          <w:rFonts w:ascii="Garamond" w:hAnsi="Garamond"/>
          <w:sz w:val="24"/>
          <w:szCs w:val="24"/>
        </w:rPr>
        <w:t>.</w:t>
      </w:r>
      <w:r w:rsidRPr="006C09FD">
        <w:rPr>
          <w:rFonts w:ascii="Garamond" w:hAnsi="Garamond"/>
          <w:sz w:val="24"/>
          <w:szCs w:val="24"/>
        </w:rPr>
        <w:t xml:space="preserve"> Neni 22 i kësaj Marrëveshjeje i referohet Protokollit II, i cili zëvendësohet me </w:t>
      </w:r>
      <w:r w:rsidR="006C09FD" w:rsidRPr="006C09FD">
        <w:rPr>
          <w:rFonts w:ascii="Garamond" w:hAnsi="Garamond"/>
          <w:sz w:val="24"/>
          <w:szCs w:val="24"/>
        </w:rPr>
        <w:t>vendimin nr</w:t>
      </w:r>
      <w:r w:rsidRPr="006C09FD">
        <w:rPr>
          <w:rFonts w:ascii="Garamond" w:hAnsi="Garamond"/>
          <w:sz w:val="24"/>
          <w:szCs w:val="24"/>
        </w:rPr>
        <w:t>. 1</w:t>
      </w:r>
      <w:r w:rsidR="006C09FD" w:rsidRPr="006C09FD">
        <w:rPr>
          <w:rFonts w:ascii="Garamond" w:hAnsi="Garamond"/>
          <w:sz w:val="24"/>
          <w:szCs w:val="24"/>
        </w:rPr>
        <w:t>/</w:t>
      </w:r>
      <w:r w:rsidRPr="006C09FD">
        <w:rPr>
          <w:rFonts w:ascii="Garamond" w:hAnsi="Garamond"/>
          <w:sz w:val="24"/>
          <w:szCs w:val="24"/>
        </w:rPr>
        <w:t>2009 të Komitetit të Përbashkët të datës 30 korrik 2009</w:t>
      </w:r>
      <w:r w:rsidR="00957937" w:rsidRPr="006C09FD">
        <w:rPr>
          <w:rStyle w:val="FootnoteReference"/>
          <w:rFonts w:ascii="Garamond" w:hAnsi="Garamond"/>
          <w:sz w:val="24"/>
          <w:szCs w:val="24"/>
        </w:rPr>
        <w:footnoteReference w:id="2"/>
      </w:r>
      <w:r w:rsidRPr="006C09FD">
        <w:rPr>
          <w:rFonts w:ascii="Garamond" w:hAnsi="Garamond"/>
          <w:sz w:val="24"/>
          <w:szCs w:val="24"/>
        </w:rPr>
        <w:t xml:space="preserve">, përcakton përkufizimin e konceptit të </w:t>
      </w:r>
      <w:r w:rsidR="00077009">
        <w:rPr>
          <w:rFonts w:ascii="Garamond" w:hAnsi="Garamond"/>
          <w:sz w:val="24"/>
          <w:szCs w:val="24"/>
        </w:rPr>
        <w:t>“</w:t>
      </w:r>
      <w:r w:rsidRPr="006C09FD">
        <w:rPr>
          <w:rFonts w:ascii="Garamond" w:hAnsi="Garamond"/>
          <w:sz w:val="24"/>
          <w:szCs w:val="24"/>
        </w:rPr>
        <w:t>produkteve origjinuese</w:t>
      </w:r>
      <w:r w:rsidR="00077009">
        <w:rPr>
          <w:rFonts w:ascii="Garamond" w:hAnsi="Garamond"/>
          <w:sz w:val="24"/>
          <w:szCs w:val="24"/>
        </w:rPr>
        <w:t>”</w:t>
      </w:r>
      <w:r w:rsidRPr="006C09FD">
        <w:rPr>
          <w:rFonts w:ascii="Garamond" w:hAnsi="Garamond"/>
          <w:sz w:val="24"/>
          <w:szCs w:val="24"/>
        </w:rPr>
        <w:t xml:space="preserve"> dhe metodave të bashkëpunimit administrativ dhe parashikon kumulimin e origjinës ndërmjet Republikës së Shqipërisë, Republikës së Turqisë, BE-së dhe çdo vendi ose territori që merr pjesë në </w:t>
      </w:r>
      <w:r w:rsidR="006C09FD" w:rsidRPr="006C09FD">
        <w:rPr>
          <w:rFonts w:ascii="Garamond" w:hAnsi="Garamond"/>
          <w:sz w:val="24"/>
          <w:szCs w:val="24"/>
        </w:rPr>
        <w:t xml:space="preserve">Procesin </w:t>
      </w:r>
      <w:r w:rsidRPr="006C09FD">
        <w:rPr>
          <w:rFonts w:ascii="Garamond" w:hAnsi="Garamond"/>
          <w:sz w:val="24"/>
          <w:szCs w:val="24"/>
        </w:rPr>
        <w:t>e Stabilizim</w:t>
      </w:r>
      <w:r w:rsidR="006C09FD">
        <w:rPr>
          <w:rFonts w:ascii="Garamond" w:hAnsi="Garamond"/>
          <w:sz w:val="24"/>
          <w:szCs w:val="24"/>
        </w:rPr>
        <w:t>-</w:t>
      </w:r>
      <w:r w:rsidRPr="006C09FD">
        <w:rPr>
          <w:rFonts w:ascii="Garamond" w:hAnsi="Garamond"/>
          <w:sz w:val="24"/>
          <w:szCs w:val="24"/>
        </w:rPr>
        <w:t>Asociimit të Bashkimit Evropian</w:t>
      </w:r>
      <w:r w:rsidR="00957937" w:rsidRPr="006C09FD">
        <w:rPr>
          <w:rStyle w:val="FootnoteReference"/>
          <w:rFonts w:ascii="Garamond" w:hAnsi="Garamond"/>
          <w:sz w:val="24"/>
          <w:szCs w:val="24"/>
        </w:rPr>
        <w:footnoteReference w:id="3"/>
      </w:r>
      <w:r w:rsidRPr="006C09FD">
        <w:rPr>
          <w:rFonts w:ascii="Garamond" w:hAnsi="Garamond"/>
          <w:sz w:val="24"/>
          <w:szCs w:val="24"/>
        </w:rPr>
        <w:t>.</w:t>
      </w:r>
    </w:p>
    <w:p w14:paraId="4C785155" w14:textId="4CB88F1C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2</w:t>
      </w:r>
      <w:r w:rsidR="006C09FD">
        <w:rPr>
          <w:rFonts w:ascii="Garamond" w:hAnsi="Garamond"/>
          <w:sz w:val="24"/>
          <w:szCs w:val="24"/>
        </w:rPr>
        <w:t>.</w:t>
      </w:r>
      <w:r w:rsidRPr="006C09FD">
        <w:rPr>
          <w:rFonts w:ascii="Garamond" w:hAnsi="Garamond"/>
          <w:sz w:val="24"/>
          <w:szCs w:val="24"/>
        </w:rPr>
        <w:t xml:space="preserve"> Konventa Rajonale për rregullat preferenciale </w:t>
      </w:r>
      <w:r w:rsidR="00F942BD" w:rsidRPr="00F942BD">
        <w:rPr>
          <w:rFonts w:ascii="Garamond" w:hAnsi="Garamond"/>
          <w:sz w:val="24"/>
          <w:szCs w:val="24"/>
        </w:rPr>
        <w:t>mbar</w:t>
      </w:r>
      <w:r w:rsidR="006C09FD" w:rsidRPr="00F942BD">
        <w:rPr>
          <w:rFonts w:ascii="Garamond" w:hAnsi="Garamond"/>
          <w:sz w:val="24"/>
          <w:szCs w:val="24"/>
        </w:rPr>
        <w:t>e</w:t>
      </w:r>
      <w:r w:rsidRPr="00F942BD">
        <w:rPr>
          <w:rFonts w:ascii="Garamond" w:hAnsi="Garamond"/>
          <w:sz w:val="24"/>
          <w:szCs w:val="24"/>
        </w:rPr>
        <w:t>uro</w:t>
      </w:r>
      <w:r w:rsidR="006C09FD" w:rsidRPr="00F942BD">
        <w:rPr>
          <w:rFonts w:ascii="Garamond" w:hAnsi="Garamond"/>
          <w:sz w:val="24"/>
          <w:szCs w:val="24"/>
        </w:rPr>
        <w:t>m</w:t>
      </w:r>
      <w:r w:rsidRPr="00F942BD">
        <w:rPr>
          <w:rFonts w:ascii="Garamond" w:hAnsi="Garamond"/>
          <w:sz w:val="24"/>
          <w:szCs w:val="24"/>
        </w:rPr>
        <w:t>esdhetare</w:t>
      </w:r>
      <w:r w:rsidRPr="006C09FD">
        <w:rPr>
          <w:rFonts w:ascii="Garamond" w:hAnsi="Garamond"/>
          <w:sz w:val="24"/>
          <w:szCs w:val="24"/>
        </w:rPr>
        <w:t xml:space="preserve"> </w:t>
      </w:r>
      <w:r w:rsidR="00957937" w:rsidRPr="006C09FD">
        <w:rPr>
          <w:rFonts w:ascii="Garamond" w:hAnsi="Garamond"/>
          <w:sz w:val="24"/>
          <w:szCs w:val="24"/>
        </w:rPr>
        <w:t>të origjinës</w:t>
      </w:r>
      <w:r w:rsidR="00957937" w:rsidRPr="006C09FD">
        <w:rPr>
          <w:rStyle w:val="FootnoteReference"/>
          <w:rFonts w:ascii="Garamond" w:hAnsi="Garamond"/>
          <w:sz w:val="24"/>
          <w:szCs w:val="24"/>
        </w:rPr>
        <w:footnoteReference w:id="4"/>
      </w:r>
      <w:r w:rsidRPr="006C09FD">
        <w:rPr>
          <w:rFonts w:ascii="Garamond" w:hAnsi="Garamond"/>
          <w:sz w:val="24"/>
          <w:szCs w:val="24"/>
        </w:rPr>
        <w:t xml:space="preserve"> (në vijim e referuar si </w:t>
      </w:r>
      <w:r w:rsidR="00077009">
        <w:rPr>
          <w:rFonts w:ascii="Garamond" w:hAnsi="Garamond"/>
          <w:sz w:val="24"/>
          <w:szCs w:val="24"/>
        </w:rPr>
        <w:t>“</w:t>
      </w:r>
      <w:r w:rsidRPr="006C09FD">
        <w:rPr>
          <w:rFonts w:ascii="Garamond" w:hAnsi="Garamond"/>
          <w:sz w:val="24"/>
          <w:szCs w:val="24"/>
        </w:rPr>
        <w:t>Konventa</w:t>
      </w:r>
      <w:r w:rsidR="00077009">
        <w:rPr>
          <w:rFonts w:ascii="Garamond" w:hAnsi="Garamond"/>
          <w:sz w:val="24"/>
          <w:szCs w:val="24"/>
        </w:rPr>
        <w:t>”</w:t>
      </w:r>
      <w:r w:rsidRPr="006C09FD">
        <w:rPr>
          <w:rFonts w:ascii="Garamond" w:hAnsi="Garamond"/>
          <w:sz w:val="24"/>
          <w:szCs w:val="24"/>
        </w:rPr>
        <w:t>) përcakton dispozitat për origjinën e mallrave të tregtuara</w:t>
      </w:r>
      <w:r w:rsidR="006C09FD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sipas </w:t>
      </w:r>
      <w:r w:rsidR="006C09FD" w:rsidRPr="006C09FD">
        <w:rPr>
          <w:rFonts w:ascii="Garamond" w:hAnsi="Garamond"/>
          <w:sz w:val="24"/>
          <w:szCs w:val="24"/>
        </w:rPr>
        <w:t xml:space="preserve">marrëveshjeve </w:t>
      </w:r>
      <w:r w:rsidRPr="006C09FD">
        <w:rPr>
          <w:rFonts w:ascii="Garamond" w:hAnsi="Garamond"/>
          <w:sz w:val="24"/>
          <w:szCs w:val="24"/>
        </w:rPr>
        <w:t xml:space="preserve">përkatëse të lidhura ndërmjet Palëve Kontraktuese dhe synon zëvendësimin e protokolleve për rregullat e origjinës që aktualisht janë në fuqi ndërmjet tyre me një akt të vetëm ligjor. </w:t>
      </w:r>
    </w:p>
    <w:p w14:paraId="3ED50F42" w14:textId="5F57115E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3</w:t>
      </w:r>
      <w:r w:rsidR="00077009">
        <w:rPr>
          <w:rFonts w:ascii="Garamond" w:hAnsi="Garamond"/>
          <w:sz w:val="24"/>
          <w:szCs w:val="24"/>
        </w:rPr>
        <w:t>.</w:t>
      </w:r>
      <w:r w:rsidRPr="006C09FD">
        <w:rPr>
          <w:rFonts w:ascii="Garamond" w:hAnsi="Garamond"/>
          <w:sz w:val="24"/>
          <w:szCs w:val="24"/>
        </w:rPr>
        <w:t xml:space="preserve"> Konventa ka përfshirë pjesëmarrësit në Procesin e Stabilizim-Asociimit në zonën mbar</w:t>
      </w:r>
      <w:r w:rsidR="00077009">
        <w:rPr>
          <w:rFonts w:ascii="Garamond" w:hAnsi="Garamond"/>
          <w:sz w:val="24"/>
          <w:szCs w:val="24"/>
        </w:rPr>
        <w:t>e</w:t>
      </w:r>
      <w:r w:rsidRPr="006C09FD">
        <w:rPr>
          <w:rFonts w:ascii="Garamond" w:hAnsi="Garamond"/>
          <w:sz w:val="24"/>
          <w:szCs w:val="24"/>
        </w:rPr>
        <w:t>uro</w:t>
      </w:r>
      <w:r w:rsidR="00077009">
        <w:rPr>
          <w:rFonts w:ascii="Garamond" w:hAnsi="Garamond"/>
          <w:sz w:val="24"/>
          <w:szCs w:val="24"/>
        </w:rPr>
        <w:t>m</w:t>
      </w:r>
      <w:r w:rsidR="00957937" w:rsidRPr="006C09FD">
        <w:rPr>
          <w:rFonts w:ascii="Garamond" w:hAnsi="Garamond"/>
          <w:sz w:val="24"/>
          <w:szCs w:val="24"/>
        </w:rPr>
        <w:t>esdhetare të kumulimit të origj</w:t>
      </w:r>
      <w:r w:rsidRPr="006C09FD">
        <w:rPr>
          <w:rFonts w:ascii="Garamond" w:hAnsi="Garamond"/>
          <w:sz w:val="24"/>
          <w:szCs w:val="24"/>
        </w:rPr>
        <w:t xml:space="preserve">inës. </w:t>
      </w:r>
    </w:p>
    <w:p w14:paraId="0EB7279A" w14:textId="612E0FAF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4</w:t>
      </w:r>
      <w:r w:rsidR="00077009">
        <w:rPr>
          <w:rFonts w:ascii="Garamond" w:hAnsi="Garamond"/>
          <w:sz w:val="24"/>
          <w:szCs w:val="24"/>
        </w:rPr>
        <w:t>.</w:t>
      </w:r>
      <w:r w:rsidRPr="006C09FD">
        <w:rPr>
          <w:rFonts w:ascii="Garamond" w:hAnsi="Garamond"/>
          <w:sz w:val="24"/>
          <w:szCs w:val="24"/>
        </w:rPr>
        <w:t xml:space="preserve"> Republika e Shqipërisë dhe Republika e Turqisë nënshkruan Konventën përkatësisht në datat 27 qershor 2011 dhe 4 nëntor 2011. </w:t>
      </w:r>
    </w:p>
    <w:p w14:paraId="23770382" w14:textId="2CD067B2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5</w:t>
      </w:r>
      <w:r w:rsidR="00077009">
        <w:rPr>
          <w:rFonts w:ascii="Garamond" w:hAnsi="Garamond"/>
          <w:sz w:val="24"/>
          <w:szCs w:val="24"/>
        </w:rPr>
        <w:t>.</w:t>
      </w:r>
      <w:r w:rsidRPr="006C09FD">
        <w:rPr>
          <w:rFonts w:ascii="Garamond" w:hAnsi="Garamond"/>
          <w:sz w:val="24"/>
          <w:szCs w:val="24"/>
        </w:rPr>
        <w:t xml:space="preserve"> Republika e Shqipërisë dhe Republika e Turqisë depozituan instrumentet e tyre të pranimit pranë depozitarit të Konventës përkatësisht në datat 5 mars 2012 dhe 4 dhjetor 2013. Si rrjedhojë, në zbatim të </w:t>
      </w:r>
      <w:r w:rsidR="00077009" w:rsidRPr="006C09FD">
        <w:rPr>
          <w:rFonts w:ascii="Garamond" w:hAnsi="Garamond"/>
          <w:sz w:val="24"/>
          <w:szCs w:val="24"/>
        </w:rPr>
        <w:t xml:space="preserve">nenit </w:t>
      </w:r>
      <w:r w:rsidRPr="006C09FD">
        <w:rPr>
          <w:rFonts w:ascii="Garamond" w:hAnsi="Garamond"/>
          <w:sz w:val="24"/>
          <w:szCs w:val="24"/>
        </w:rPr>
        <w:t>10 (3) të Konve</w:t>
      </w:r>
      <w:r w:rsidR="00192D55" w:rsidRPr="006C09FD">
        <w:rPr>
          <w:rFonts w:ascii="Garamond" w:hAnsi="Garamond"/>
          <w:sz w:val="24"/>
          <w:szCs w:val="24"/>
        </w:rPr>
        <w:t>ntës, Konventa hyri në fuqi në l</w:t>
      </w:r>
      <w:r w:rsidRPr="006C09FD">
        <w:rPr>
          <w:rFonts w:ascii="Garamond" w:hAnsi="Garamond"/>
          <w:sz w:val="24"/>
          <w:szCs w:val="24"/>
        </w:rPr>
        <w:t xml:space="preserve">idhje me Republikën e Shqipërisë më 1 maj 2012 dhe në lidhje me Republikën e Turqisë më 1 shkurt 2014. </w:t>
      </w:r>
    </w:p>
    <w:p w14:paraId="27CE4D6C" w14:textId="563FDB16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6</w:t>
      </w:r>
      <w:r w:rsidR="00077009">
        <w:rPr>
          <w:rFonts w:ascii="Garamond" w:hAnsi="Garamond"/>
          <w:sz w:val="24"/>
          <w:szCs w:val="24"/>
        </w:rPr>
        <w:t>.</w:t>
      </w:r>
      <w:r w:rsidRPr="006C09FD">
        <w:rPr>
          <w:rFonts w:ascii="Garamond" w:hAnsi="Garamond"/>
          <w:sz w:val="24"/>
          <w:szCs w:val="24"/>
        </w:rPr>
        <w:t xml:space="preserve"> Kur kalimi drejt Konventës nuk është i njëkohshëm për të gjitha Palët Kontraktuese brenda zonës së kumulimit, ai nuk duhet të sjellë ndonjë situatë më pak të favorshme se</w:t>
      </w:r>
      <w:r w:rsidR="00077009">
        <w:rPr>
          <w:rFonts w:ascii="Garamond" w:hAnsi="Garamond"/>
          <w:sz w:val="24"/>
          <w:szCs w:val="24"/>
        </w:rPr>
        <w:t xml:space="preserve"> </w:t>
      </w:r>
      <w:r w:rsidRPr="006C09FD">
        <w:rPr>
          <w:rFonts w:ascii="Garamond" w:hAnsi="Garamond"/>
          <w:sz w:val="24"/>
          <w:szCs w:val="24"/>
        </w:rPr>
        <w:t>sa më parë</w:t>
      </w:r>
      <w:r w:rsidR="00077009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sipas </w:t>
      </w:r>
      <w:r w:rsidR="00077009" w:rsidRPr="006C09FD">
        <w:rPr>
          <w:rFonts w:ascii="Garamond" w:hAnsi="Garamond"/>
          <w:sz w:val="24"/>
          <w:szCs w:val="24"/>
        </w:rPr>
        <w:t xml:space="preserve">Protokollit </w:t>
      </w:r>
      <w:r w:rsidRPr="006C09FD">
        <w:rPr>
          <w:rFonts w:ascii="Garamond" w:hAnsi="Garamond"/>
          <w:sz w:val="24"/>
          <w:szCs w:val="24"/>
        </w:rPr>
        <w:t xml:space="preserve">II. </w:t>
      </w:r>
    </w:p>
    <w:p w14:paraId="17BCF6F7" w14:textId="69999C97" w:rsidR="00131FDB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7</w:t>
      </w:r>
      <w:r w:rsidR="00077009">
        <w:rPr>
          <w:rFonts w:ascii="Garamond" w:hAnsi="Garamond"/>
          <w:sz w:val="24"/>
          <w:szCs w:val="24"/>
        </w:rPr>
        <w:t xml:space="preserve">. </w:t>
      </w:r>
      <w:r w:rsidRPr="006C09FD">
        <w:rPr>
          <w:rFonts w:ascii="Garamond" w:hAnsi="Garamond"/>
          <w:sz w:val="24"/>
          <w:szCs w:val="24"/>
        </w:rPr>
        <w:t xml:space="preserve">Si rrjedhojë, Protokolli II duhet të zëvendësohet me një protokoll të ri, duke iu referuar Konventës, </w:t>
      </w:r>
    </w:p>
    <w:p w14:paraId="0CB3BF25" w14:textId="06A7176C" w:rsidR="00131FDB" w:rsidRPr="006C09FD" w:rsidRDefault="00131FDB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Komiteti i Përbashkët, </w:t>
      </w:r>
    </w:p>
    <w:p w14:paraId="307CEEBE" w14:textId="46E7D4F5" w:rsidR="00100574" w:rsidRPr="006C09FD" w:rsidRDefault="00077009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ka </w:t>
      </w:r>
      <w:r w:rsidR="00131FDB" w:rsidRPr="006C09FD">
        <w:rPr>
          <w:rFonts w:ascii="Garamond" w:hAnsi="Garamond"/>
          <w:sz w:val="24"/>
          <w:szCs w:val="24"/>
        </w:rPr>
        <w:t xml:space="preserve">vendosur si më poshtë: </w:t>
      </w:r>
    </w:p>
    <w:p w14:paraId="30812720" w14:textId="77777777" w:rsidR="00FD3C3C" w:rsidRPr="006C09FD" w:rsidRDefault="00FD3C3C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C6D389" w14:textId="133A1E3E" w:rsidR="00FD3C3C" w:rsidRPr="006C09FD" w:rsidRDefault="00100574" w:rsidP="00FD3C3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1</w:t>
      </w:r>
    </w:p>
    <w:p w14:paraId="43DFC5F1" w14:textId="37A6DEFB" w:rsidR="00100574" w:rsidRPr="006C09FD" w:rsidRDefault="00100574" w:rsidP="00FD3C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Rregullat e origjinës</w:t>
      </w:r>
    </w:p>
    <w:p w14:paraId="0BE60AD4" w14:textId="77777777" w:rsidR="00FD3C3C" w:rsidRPr="006C09FD" w:rsidRDefault="00FD3C3C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B97CFF" w14:textId="003A6216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Në lidhje me përkufizimin e konceptit të </w:t>
      </w:r>
      <w:r w:rsidR="00077009">
        <w:rPr>
          <w:rFonts w:ascii="Garamond" w:hAnsi="Garamond"/>
          <w:sz w:val="24"/>
          <w:szCs w:val="24"/>
        </w:rPr>
        <w:t>“</w:t>
      </w:r>
      <w:r w:rsidRPr="006C09FD">
        <w:rPr>
          <w:rFonts w:ascii="Garamond" w:hAnsi="Garamond"/>
          <w:sz w:val="24"/>
          <w:szCs w:val="24"/>
        </w:rPr>
        <w:t>produkteve origjinuese</w:t>
      </w:r>
      <w:r w:rsidR="00077009">
        <w:rPr>
          <w:rFonts w:ascii="Garamond" w:hAnsi="Garamond"/>
          <w:sz w:val="24"/>
          <w:szCs w:val="24"/>
        </w:rPr>
        <w:t>”</w:t>
      </w:r>
      <w:r w:rsidRPr="006C09FD">
        <w:rPr>
          <w:rFonts w:ascii="Garamond" w:hAnsi="Garamond"/>
          <w:sz w:val="24"/>
          <w:szCs w:val="24"/>
        </w:rPr>
        <w:t xml:space="preserve"> dhe </w:t>
      </w:r>
      <w:r w:rsidR="00077009">
        <w:rPr>
          <w:rFonts w:ascii="Garamond" w:hAnsi="Garamond"/>
          <w:sz w:val="24"/>
          <w:szCs w:val="24"/>
        </w:rPr>
        <w:t xml:space="preserve">të </w:t>
      </w:r>
      <w:r w:rsidRPr="006C09FD">
        <w:rPr>
          <w:rFonts w:ascii="Garamond" w:hAnsi="Garamond"/>
          <w:sz w:val="24"/>
          <w:szCs w:val="24"/>
        </w:rPr>
        <w:t xml:space="preserve">metodave të bashkëpunimit administrativ, Protokolli II i kësaj Marrëveshjeje dhe </w:t>
      </w:r>
      <w:r w:rsidR="00077009" w:rsidRPr="006C09FD">
        <w:rPr>
          <w:rFonts w:ascii="Garamond" w:hAnsi="Garamond"/>
          <w:sz w:val="24"/>
          <w:szCs w:val="24"/>
        </w:rPr>
        <w:t xml:space="preserve">shtojcat </w:t>
      </w:r>
      <w:r w:rsidRPr="006C09FD">
        <w:rPr>
          <w:rFonts w:ascii="Garamond" w:hAnsi="Garamond"/>
          <w:sz w:val="24"/>
          <w:szCs w:val="24"/>
        </w:rPr>
        <w:t xml:space="preserve">e tij zëvendësohen me tekstin e paraqitur në </w:t>
      </w:r>
      <w:r w:rsidR="00077009" w:rsidRPr="006C09FD">
        <w:rPr>
          <w:rFonts w:ascii="Garamond" w:hAnsi="Garamond"/>
          <w:sz w:val="24"/>
          <w:szCs w:val="24"/>
        </w:rPr>
        <w:t xml:space="preserve">shtojcën e këtij vendimi. </w:t>
      </w:r>
    </w:p>
    <w:p w14:paraId="778C6624" w14:textId="77777777" w:rsidR="00957937" w:rsidRPr="006C09FD" w:rsidRDefault="00957937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2EEFD6" w14:textId="1221D1A0" w:rsidR="00957937" w:rsidRPr="006C09FD" w:rsidRDefault="00100574" w:rsidP="009579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2</w:t>
      </w:r>
    </w:p>
    <w:p w14:paraId="38FD49A9" w14:textId="367393C8" w:rsidR="00100574" w:rsidRPr="006C09FD" w:rsidRDefault="00100574" w:rsidP="009579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Hyrja në fuqi</w:t>
      </w:r>
    </w:p>
    <w:p w14:paraId="60376BC9" w14:textId="77777777" w:rsidR="00957937" w:rsidRPr="006C09FD" w:rsidRDefault="00957937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FF9828" w14:textId="37A27B87" w:rsidR="00100574" w:rsidRPr="006C09FD" w:rsidRDefault="00100574" w:rsidP="001005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Ky </w:t>
      </w:r>
      <w:r w:rsidR="00077009" w:rsidRPr="006C09FD">
        <w:rPr>
          <w:rFonts w:ascii="Garamond" w:hAnsi="Garamond"/>
          <w:sz w:val="24"/>
          <w:szCs w:val="24"/>
        </w:rPr>
        <w:t xml:space="preserve">vendim </w:t>
      </w:r>
      <w:r w:rsidRPr="006C09FD">
        <w:rPr>
          <w:rFonts w:ascii="Garamond" w:hAnsi="Garamond"/>
          <w:sz w:val="24"/>
          <w:szCs w:val="24"/>
        </w:rPr>
        <w:t xml:space="preserve">hyn në fuqi në përputhje me </w:t>
      </w:r>
      <w:r w:rsidR="00077009" w:rsidRPr="006C09FD">
        <w:rPr>
          <w:rFonts w:ascii="Garamond" w:hAnsi="Garamond"/>
          <w:sz w:val="24"/>
          <w:szCs w:val="24"/>
        </w:rPr>
        <w:t xml:space="preserve">nenin </w:t>
      </w:r>
      <w:r w:rsidRPr="006C09FD">
        <w:rPr>
          <w:rFonts w:ascii="Garamond" w:hAnsi="Garamond"/>
          <w:sz w:val="24"/>
          <w:szCs w:val="24"/>
        </w:rPr>
        <w:t xml:space="preserve">34 të kësaj Marrëveshjeje. </w:t>
      </w:r>
    </w:p>
    <w:p w14:paraId="2AF393F9" w14:textId="127E051A" w:rsidR="00BC3105" w:rsidRPr="006C09FD" w:rsidRDefault="00131FDB" w:rsidP="00BC31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Në </w:t>
      </w:r>
      <w:r w:rsidR="00192D55" w:rsidRPr="006C09FD">
        <w:rPr>
          <w:rFonts w:ascii="Garamond" w:hAnsi="Garamond"/>
          <w:sz w:val="24"/>
          <w:szCs w:val="24"/>
        </w:rPr>
        <w:t>dëshmi</w:t>
      </w:r>
      <w:r w:rsidRPr="006C09FD">
        <w:rPr>
          <w:rFonts w:ascii="Garamond" w:hAnsi="Garamond"/>
          <w:sz w:val="24"/>
          <w:szCs w:val="24"/>
        </w:rPr>
        <w:t xml:space="preserve"> të kësaj</w:t>
      </w:r>
      <w:r w:rsidR="00192D55" w:rsidRPr="006C09FD">
        <w:rPr>
          <w:rFonts w:ascii="Garamond" w:hAnsi="Garamond"/>
          <w:sz w:val="24"/>
          <w:szCs w:val="24"/>
        </w:rPr>
        <w:t>, të plotfuq</w:t>
      </w:r>
      <w:r w:rsidR="00BC3105" w:rsidRPr="006C09FD">
        <w:rPr>
          <w:rFonts w:ascii="Garamond" w:hAnsi="Garamond"/>
          <w:sz w:val="24"/>
          <w:szCs w:val="24"/>
        </w:rPr>
        <w:t xml:space="preserve">ishmit e nënshkruar, të autorizuar sipas rregullave, kanë nënshkruar këtë </w:t>
      </w:r>
      <w:r w:rsidR="00077009" w:rsidRPr="006C09FD">
        <w:rPr>
          <w:rFonts w:ascii="Garamond" w:hAnsi="Garamond"/>
          <w:sz w:val="24"/>
          <w:szCs w:val="24"/>
        </w:rPr>
        <w:t>vendim</w:t>
      </w:r>
      <w:r w:rsidR="00BC3105" w:rsidRPr="006C09FD">
        <w:rPr>
          <w:rFonts w:ascii="Garamond" w:hAnsi="Garamond"/>
          <w:sz w:val="24"/>
          <w:szCs w:val="24"/>
        </w:rPr>
        <w:t xml:space="preserve">. </w:t>
      </w:r>
    </w:p>
    <w:p w14:paraId="5D807413" w14:textId="651446DC" w:rsidR="00BC3105" w:rsidRPr="006C09FD" w:rsidRDefault="00BC3105" w:rsidP="00BC31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1A8A">
        <w:rPr>
          <w:rFonts w:ascii="Garamond" w:hAnsi="Garamond"/>
          <w:sz w:val="24"/>
          <w:szCs w:val="24"/>
        </w:rPr>
        <w:t>Bërë në</w:t>
      </w:r>
      <w:r w:rsidR="00F942BD" w:rsidRPr="00701A8A">
        <w:rPr>
          <w:rFonts w:ascii="Garamond" w:hAnsi="Garamond"/>
          <w:sz w:val="24"/>
          <w:szCs w:val="24"/>
        </w:rPr>
        <w:t xml:space="preserve"> ...</w:t>
      </w:r>
      <w:r w:rsidRPr="00701A8A">
        <w:rPr>
          <w:rFonts w:ascii="Garamond" w:hAnsi="Garamond"/>
          <w:sz w:val="24"/>
          <w:szCs w:val="24"/>
        </w:rPr>
        <w:t>, 2019</w:t>
      </w:r>
      <w:r w:rsidR="00F942BD" w:rsidRPr="00701A8A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në dy kopje autentike në gjuhën angleze.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F942BD" w14:paraId="25A1C8A9" w14:textId="77777777" w:rsidTr="00F942BD">
        <w:tc>
          <w:tcPr>
            <w:tcW w:w="4621" w:type="dxa"/>
          </w:tcPr>
          <w:p w14:paraId="00B394F4" w14:textId="77777777" w:rsidR="00F942BD" w:rsidRDefault="00F942BD" w:rsidP="00F942B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942BD">
              <w:rPr>
                <w:rFonts w:ascii="Garamond" w:hAnsi="Garamond"/>
                <w:b/>
                <w:sz w:val="24"/>
                <w:szCs w:val="24"/>
              </w:rPr>
              <w:lastRenderedPageBreak/>
              <w:t>Në emër të Republikës së Shqipërisë</w:t>
            </w:r>
          </w:p>
          <w:p w14:paraId="10D00F94" w14:textId="333DA532" w:rsidR="00F942BD" w:rsidRDefault="00F942BD" w:rsidP="00F942B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...</w:t>
            </w:r>
          </w:p>
        </w:tc>
        <w:tc>
          <w:tcPr>
            <w:tcW w:w="4622" w:type="dxa"/>
          </w:tcPr>
          <w:p w14:paraId="3880493A" w14:textId="77777777" w:rsidR="00F942BD" w:rsidRDefault="00F942BD" w:rsidP="00F942B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942BD">
              <w:rPr>
                <w:rFonts w:ascii="Garamond" w:hAnsi="Garamond"/>
                <w:b/>
                <w:sz w:val="24"/>
                <w:szCs w:val="24"/>
              </w:rPr>
              <w:t>Në emër të Republikës së Turqisë</w:t>
            </w:r>
          </w:p>
          <w:p w14:paraId="18F261E2" w14:textId="2C860738" w:rsidR="00F942BD" w:rsidRDefault="00F942BD" w:rsidP="00F942B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...</w:t>
            </w:r>
          </w:p>
        </w:tc>
      </w:tr>
    </w:tbl>
    <w:p w14:paraId="6AEFD733" w14:textId="77777777" w:rsidR="00D90281" w:rsidRPr="006C09FD" w:rsidRDefault="00D90281" w:rsidP="00BC31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0FBFC9" w14:textId="70128E00" w:rsidR="00F942BD" w:rsidRPr="00F942BD" w:rsidRDefault="00BC3105" w:rsidP="00F942B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942BD">
        <w:rPr>
          <w:rFonts w:ascii="Garamond" w:hAnsi="Garamond"/>
          <w:b/>
          <w:sz w:val="24"/>
          <w:szCs w:val="24"/>
        </w:rPr>
        <w:t xml:space="preserve"> </w:t>
      </w:r>
      <w:r w:rsidR="00F942BD">
        <w:rPr>
          <w:rFonts w:ascii="Garamond" w:hAnsi="Garamond"/>
          <w:b/>
          <w:sz w:val="24"/>
          <w:szCs w:val="24"/>
        </w:rPr>
        <w:t xml:space="preserve">                 </w:t>
      </w:r>
    </w:p>
    <w:p w14:paraId="58EF5F24" w14:textId="07632411" w:rsidR="00183C96" w:rsidRPr="007A2897" w:rsidRDefault="007A2897" w:rsidP="002F1C8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A2897">
        <w:rPr>
          <w:rFonts w:ascii="Garamond" w:hAnsi="Garamond"/>
          <w:sz w:val="24"/>
          <w:szCs w:val="24"/>
        </w:rPr>
        <w:t>SHTOJCË</w:t>
      </w:r>
    </w:p>
    <w:p w14:paraId="7221C789" w14:textId="5821AE6E" w:rsidR="00183C96" w:rsidRPr="007A2897" w:rsidRDefault="007A2897" w:rsidP="002F1C8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A2897">
        <w:rPr>
          <w:rFonts w:ascii="Garamond" w:hAnsi="Garamond"/>
          <w:sz w:val="24"/>
          <w:szCs w:val="24"/>
        </w:rPr>
        <w:t>PROTOKOLL II NË LIDHJE ME PËRKUFIZIMIN E KONCEPTIT TË “PRODUKTEVE ORIGJINUESE” DHE METODAVE TË BASHKËPUNIMIT ADMINISTRATIV</w:t>
      </w:r>
    </w:p>
    <w:p w14:paraId="08C17ED4" w14:textId="77777777" w:rsidR="00183C96" w:rsidRPr="007A2897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B4AB6" w14:textId="5DF13B52" w:rsidR="00183C96" w:rsidRPr="006C09FD" w:rsidRDefault="00183C96" w:rsidP="00183C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1</w:t>
      </w:r>
    </w:p>
    <w:p w14:paraId="14F0BC59" w14:textId="0A7D9F38" w:rsidR="00183C96" w:rsidRPr="006C09FD" w:rsidRDefault="00183C96" w:rsidP="00183C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Rregullat e zbatueshme të origjinës</w:t>
      </w:r>
    </w:p>
    <w:p w14:paraId="47352C4C" w14:textId="77777777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765342" w14:textId="391F1F2F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1. Për qëllimin e implementimit të kësaj Marrëveshjeje, zbatohen </w:t>
      </w:r>
      <w:r w:rsidR="007A2897" w:rsidRPr="006C09FD">
        <w:rPr>
          <w:rFonts w:ascii="Garamond" w:hAnsi="Garamond"/>
          <w:sz w:val="24"/>
          <w:szCs w:val="24"/>
        </w:rPr>
        <w:t xml:space="preserve">shtojca </w:t>
      </w:r>
      <w:r w:rsidRPr="006C09FD">
        <w:rPr>
          <w:rFonts w:ascii="Garamond" w:hAnsi="Garamond"/>
          <w:sz w:val="24"/>
          <w:szCs w:val="24"/>
        </w:rPr>
        <w:t>I dhe</w:t>
      </w:r>
      <w:r w:rsidR="007A2897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sipas rastit, dispozitat përkatëse të </w:t>
      </w:r>
      <w:r w:rsidR="007A2897" w:rsidRPr="006C09FD">
        <w:rPr>
          <w:rFonts w:ascii="Garamond" w:hAnsi="Garamond"/>
          <w:sz w:val="24"/>
          <w:szCs w:val="24"/>
        </w:rPr>
        <w:t xml:space="preserve">shtojcës </w:t>
      </w:r>
      <w:r w:rsidRPr="006C09FD">
        <w:rPr>
          <w:rFonts w:ascii="Garamond" w:hAnsi="Garamond"/>
          <w:sz w:val="24"/>
          <w:szCs w:val="24"/>
        </w:rPr>
        <w:t>II të Konventës Rajonale</w:t>
      </w:r>
      <w:r w:rsidR="007A2897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mbi rregullat preferenciale </w:t>
      </w:r>
      <w:r w:rsidR="007A2897" w:rsidRPr="006C09FD">
        <w:rPr>
          <w:rFonts w:ascii="Garamond" w:hAnsi="Garamond"/>
          <w:sz w:val="24"/>
          <w:szCs w:val="24"/>
        </w:rPr>
        <w:t xml:space="preserve">mbareuromesdhetare </w:t>
      </w:r>
      <w:r w:rsidRPr="006C09FD">
        <w:rPr>
          <w:rFonts w:ascii="Garamond" w:hAnsi="Garamond"/>
          <w:sz w:val="24"/>
          <w:szCs w:val="24"/>
        </w:rPr>
        <w:t>të origjinës</w:t>
      </w:r>
      <w:r w:rsidR="00856F7B" w:rsidRPr="006C09FD">
        <w:rPr>
          <w:rStyle w:val="FootnoteReference"/>
          <w:rFonts w:ascii="Garamond" w:hAnsi="Garamond"/>
          <w:sz w:val="24"/>
          <w:szCs w:val="24"/>
        </w:rPr>
        <w:footnoteReference w:id="5"/>
      </w:r>
      <w:r w:rsidRPr="006C09FD">
        <w:rPr>
          <w:rFonts w:ascii="Garamond" w:hAnsi="Garamond"/>
          <w:sz w:val="24"/>
          <w:szCs w:val="24"/>
        </w:rPr>
        <w:t xml:space="preserve"> (Konventa). </w:t>
      </w:r>
    </w:p>
    <w:p w14:paraId="4064FC45" w14:textId="16F582FC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2. Të gjitha referencat ndaj </w:t>
      </w:r>
      <w:r w:rsidR="00077009">
        <w:rPr>
          <w:rFonts w:ascii="Garamond" w:hAnsi="Garamond"/>
          <w:sz w:val="24"/>
          <w:szCs w:val="24"/>
        </w:rPr>
        <w:t>“</w:t>
      </w:r>
      <w:r w:rsidRPr="006C09FD">
        <w:rPr>
          <w:rFonts w:ascii="Garamond" w:hAnsi="Garamond"/>
          <w:sz w:val="24"/>
          <w:szCs w:val="24"/>
        </w:rPr>
        <w:t>marrëveshjes përkatëse</w:t>
      </w:r>
      <w:r w:rsidR="00077009">
        <w:rPr>
          <w:rFonts w:ascii="Garamond" w:hAnsi="Garamond"/>
          <w:sz w:val="24"/>
          <w:szCs w:val="24"/>
        </w:rPr>
        <w:t>”</w:t>
      </w:r>
      <w:r w:rsidRPr="006C09FD">
        <w:rPr>
          <w:rFonts w:ascii="Garamond" w:hAnsi="Garamond"/>
          <w:sz w:val="24"/>
          <w:szCs w:val="24"/>
        </w:rPr>
        <w:t xml:space="preserve"> në </w:t>
      </w:r>
      <w:r w:rsidR="007A2897" w:rsidRPr="006C09FD">
        <w:rPr>
          <w:rFonts w:ascii="Garamond" w:hAnsi="Garamond"/>
          <w:sz w:val="24"/>
          <w:szCs w:val="24"/>
        </w:rPr>
        <w:t xml:space="preserve">shtojcën </w:t>
      </w:r>
      <w:r w:rsidRPr="006C09FD">
        <w:rPr>
          <w:rFonts w:ascii="Garamond" w:hAnsi="Garamond"/>
          <w:sz w:val="24"/>
          <w:szCs w:val="24"/>
        </w:rPr>
        <w:t xml:space="preserve">I dhe dispozitat përkatëse të </w:t>
      </w:r>
      <w:r w:rsidR="003126C2" w:rsidRPr="006C09FD">
        <w:rPr>
          <w:rFonts w:ascii="Garamond" w:hAnsi="Garamond"/>
          <w:sz w:val="24"/>
          <w:szCs w:val="24"/>
        </w:rPr>
        <w:t xml:space="preserve">shtojcës </w:t>
      </w:r>
      <w:r w:rsidRPr="006C09FD">
        <w:rPr>
          <w:rFonts w:ascii="Garamond" w:hAnsi="Garamond"/>
          <w:sz w:val="24"/>
          <w:szCs w:val="24"/>
        </w:rPr>
        <w:t xml:space="preserve">II të Konventës interpretohen në kuptim të kësaj Marrëveshjeje. </w:t>
      </w:r>
    </w:p>
    <w:p w14:paraId="1051E670" w14:textId="77777777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0207EB" w14:textId="58D4D856" w:rsidR="00183C96" w:rsidRPr="006C09FD" w:rsidRDefault="00183C96" w:rsidP="00183C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2</w:t>
      </w:r>
    </w:p>
    <w:p w14:paraId="7D2EAF1D" w14:textId="787C43EA" w:rsidR="00183C96" w:rsidRPr="006C09FD" w:rsidRDefault="00183C96" w:rsidP="00183C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Zgjidhja e mosmarrëveshjeve</w:t>
      </w:r>
    </w:p>
    <w:p w14:paraId="4D052121" w14:textId="77777777" w:rsidR="00183C96" w:rsidRPr="006C09FD" w:rsidRDefault="00183C96" w:rsidP="00183C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300F9C1" w14:textId="596F4A85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1. Nëse lindin mosmarrëveshje në lidhje me procedurat e verifikimit të </w:t>
      </w:r>
      <w:r w:rsidR="003126C2" w:rsidRPr="006C09FD">
        <w:rPr>
          <w:rFonts w:ascii="Garamond" w:hAnsi="Garamond"/>
          <w:sz w:val="24"/>
          <w:szCs w:val="24"/>
        </w:rPr>
        <w:t xml:space="preserve">nenit 32 të shtojcës </w:t>
      </w:r>
      <w:r w:rsidRPr="006C09FD">
        <w:rPr>
          <w:rFonts w:ascii="Garamond" w:hAnsi="Garamond"/>
          <w:sz w:val="24"/>
          <w:szCs w:val="24"/>
        </w:rPr>
        <w:t>I të Konventës, të cilat nuk mund të zgjidhen ndërmjet autoriteteve doganore që kërkojnë verifikimin dhe autoriteteve doganore përgjegjëse për kryerjen e këtij verifikimi, do t</w:t>
      </w:r>
      <w:r w:rsidR="003126C2">
        <w:rPr>
          <w:rFonts w:ascii="Garamond" w:hAnsi="Garamond"/>
          <w:sz w:val="24"/>
          <w:szCs w:val="24"/>
        </w:rPr>
        <w:t>’</w:t>
      </w:r>
      <w:r w:rsidRPr="006C09FD">
        <w:rPr>
          <w:rFonts w:ascii="Garamond" w:hAnsi="Garamond"/>
          <w:sz w:val="24"/>
          <w:szCs w:val="24"/>
        </w:rPr>
        <w:t xml:space="preserve">i paraqiten Komitetit të Përbashkët të parashikuar në </w:t>
      </w:r>
      <w:r w:rsidR="003126C2" w:rsidRPr="006C09FD">
        <w:rPr>
          <w:rFonts w:ascii="Garamond" w:hAnsi="Garamond"/>
          <w:sz w:val="24"/>
          <w:szCs w:val="24"/>
        </w:rPr>
        <w:t xml:space="preserve">nenin </w:t>
      </w:r>
      <w:r w:rsidRPr="006C09FD">
        <w:rPr>
          <w:rFonts w:ascii="Garamond" w:hAnsi="Garamond"/>
          <w:sz w:val="24"/>
          <w:szCs w:val="24"/>
        </w:rPr>
        <w:t xml:space="preserve">28 të kësaj Marrëveshjeje. </w:t>
      </w:r>
    </w:p>
    <w:p w14:paraId="577A0B4C" w14:textId="77777777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2. Në të gjitha rastet, zgjidhja e mosmarrëveshjeve ndërmjet importuesit dhe autoriteteve doganore të vendit importues, kryhet sipas legjislacionit të atij vendi. </w:t>
      </w:r>
    </w:p>
    <w:p w14:paraId="07B804AB" w14:textId="77777777" w:rsidR="00673C9D" w:rsidRPr="006C09FD" w:rsidRDefault="00673C9D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97B9A9" w14:textId="53BC63DF" w:rsidR="00673C9D" w:rsidRPr="006C09FD" w:rsidRDefault="00183C96" w:rsidP="00673C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3</w:t>
      </w:r>
    </w:p>
    <w:p w14:paraId="00104692" w14:textId="7D5056F9" w:rsidR="00183C96" w:rsidRPr="006C09FD" w:rsidRDefault="00183C96" w:rsidP="00673C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Amendimet e Protokollit</w:t>
      </w:r>
    </w:p>
    <w:p w14:paraId="655A4956" w14:textId="77777777" w:rsidR="00673C9D" w:rsidRPr="006C09FD" w:rsidRDefault="00673C9D" w:rsidP="00673C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6FFEFF" w14:textId="6AD9C609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Komiteti i Përbashkët</w:t>
      </w:r>
      <w:r w:rsidR="003126C2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i parashikuar në </w:t>
      </w:r>
      <w:r w:rsidR="003126C2" w:rsidRPr="006C09FD">
        <w:rPr>
          <w:rFonts w:ascii="Garamond" w:hAnsi="Garamond"/>
          <w:sz w:val="24"/>
          <w:szCs w:val="24"/>
        </w:rPr>
        <w:t xml:space="preserve">nenin </w:t>
      </w:r>
      <w:r w:rsidRPr="006C09FD">
        <w:rPr>
          <w:rFonts w:ascii="Garamond" w:hAnsi="Garamond"/>
          <w:sz w:val="24"/>
          <w:szCs w:val="24"/>
        </w:rPr>
        <w:t>28 të Marrëveshjes</w:t>
      </w:r>
      <w:r w:rsidR="003126C2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mund të vendosë për të amenduar dispozitat e këtij Protokolli. </w:t>
      </w:r>
    </w:p>
    <w:p w14:paraId="0E257D0E" w14:textId="77777777" w:rsidR="00673C9D" w:rsidRPr="006C09FD" w:rsidRDefault="00673C9D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3B3975" w14:textId="355E11F5" w:rsidR="00673C9D" w:rsidRPr="006C09FD" w:rsidRDefault="00183C96" w:rsidP="00673C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4</w:t>
      </w:r>
    </w:p>
    <w:p w14:paraId="629639B4" w14:textId="74E3B872" w:rsidR="00183C96" w:rsidRPr="006C09FD" w:rsidRDefault="00183C96" w:rsidP="00673C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t>Tërheqja nga Konventa</w:t>
      </w:r>
    </w:p>
    <w:p w14:paraId="6E9A6D40" w14:textId="77777777" w:rsidR="00673C9D" w:rsidRPr="006C09FD" w:rsidRDefault="00673C9D" w:rsidP="00673C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830974F" w14:textId="00EB4FB0" w:rsidR="00183C96" w:rsidRPr="006C09FD" w:rsidRDefault="00183C96" w:rsidP="00183C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1. Nëse Republika e Shqipërisë ose Republika e Turqisë njoftojnë me shkrim depozitarin e Konventës</w:t>
      </w:r>
      <w:r w:rsidR="003126C2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në lidhje me synimin e tyre për t</w:t>
      </w:r>
      <w:r w:rsidR="003126C2">
        <w:rPr>
          <w:rFonts w:ascii="Garamond" w:hAnsi="Garamond"/>
          <w:sz w:val="24"/>
          <w:szCs w:val="24"/>
        </w:rPr>
        <w:t>’</w:t>
      </w:r>
      <w:r w:rsidRPr="006C09FD">
        <w:rPr>
          <w:rFonts w:ascii="Garamond" w:hAnsi="Garamond"/>
          <w:sz w:val="24"/>
          <w:szCs w:val="24"/>
        </w:rPr>
        <w:t>u tërhequr nga Konventa</w:t>
      </w:r>
      <w:r w:rsidR="003126C2">
        <w:rPr>
          <w:rFonts w:ascii="Garamond" w:hAnsi="Garamond"/>
          <w:sz w:val="24"/>
          <w:szCs w:val="24"/>
        </w:rPr>
        <w:t>,</w:t>
      </w:r>
      <w:r w:rsidRPr="006C09FD">
        <w:rPr>
          <w:rFonts w:ascii="Garamond" w:hAnsi="Garamond"/>
          <w:sz w:val="24"/>
          <w:szCs w:val="24"/>
        </w:rPr>
        <w:t xml:space="preserve"> sipas </w:t>
      </w:r>
      <w:r w:rsidR="003126C2" w:rsidRPr="006C09FD">
        <w:rPr>
          <w:rFonts w:ascii="Garamond" w:hAnsi="Garamond"/>
          <w:sz w:val="24"/>
          <w:szCs w:val="24"/>
        </w:rPr>
        <w:t xml:space="preserve">nenit </w:t>
      </w:r>
      <w:r w:rsidRPr="006C09FD">
        <w:rPr>
          <w:rFonts w:ascii="Garamond" w:hAnsi="Garamond"/>
          <w:sz w:val="24"/>
          <w:szCs w:val="24"/>
        </w:rPr>
        <w:t xml:space="preserve">9 të kësaj Marrëveshjeje, Republika e Shqipërisë dhe Republika e Turqisë do të fillojnë menjëherë bisedimet për rregullat e origjinës për qëllimin e zbatimit të kësaj Marrëveshjeje. </w:t>
      </w:r>
    </w:p>
    <w:p w14:paraId="7CF50840" w14:textId="37758F18" w:rsidR="00305A0F" w:rsidRPr="006C09FD" w:rsidRDefault="00305A0F" w:rsidP="00305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2. Deri në hyrjen në fuqi të rregullave të origjinës të saponegoci</w:t>
      </w:r>
      <w:r w:rsidR="003126C2">
        <w:rPr>
          <w:rFonts w:ascii="Garamond" w:hAnsi="Garamond"/>
          <w:sz w:val="24"/>
          <w:szCs w:val="24"/>
        </w:rPr>
        <w:t>u</w:t>
      </w:r>
      <w:r w:rsidRPr="006C09FD">
        <w:rPr>
          <w:rFonts w:ascii="Garamond" w:hAnsi="Garamond"/>
          <w:sz w:val="24"/>
          <w:szCs w:val="24"/>
        </w:rPr>
        <w:t xml:space="preserve">ara, rregullat e origjinës të përfshira në </w:t>
      </w:r>
      <w:r w:rsidR="003126C2" w:rsidRPr="006C09FD">
        <w:rPr>
          <w:rFonts w:ascii="Garamond" w:hAnsi="Garamond"/>
          <w:sz w:val="24"/>
          <w:szCs w:val="24"/>
        </w:rPr>
        <w:t xml:space="preserve">shtojcën </w:t>
      </w:r>
      <w:r w:rsidRPr="006C09FD">
        <w:rPr>
          <w:rFonts w:ascii="Garamond" w:hAnsi="Garamond"/>
          <w:sz w:val="24"/>
          <w:szCs w:val="24"/>
        </w:rPr>
        <w:t xml:space="preserve">I dhe sipas rastit, dispozitat përkatëse të </w:t>
      </w:r>
      <w:r w:rsidR="003126C2" w:rsidRPr="006C09FD">
        <w:rPr>
          <w:rFonts w:ascii="Garamond" w:hAnsi="Garamond"/>
          <w:sz w:val="24"/>
          <w:szCs w:val="24"/>
        </w:rPr>
        <w:t xml:space="preserve">shtojcës </w:t>
      </w:r>
      <w:r w:rsidRPr="006C09FD">
        <w:rPr>
          <w:rFonts w:ascii="Garamond" w:hAnsi="Garamond"/>
          <w:sz w:val="24"/>
          <w:szCs w:val="24"/>
        </w:rPr>
        <w:t>II të Konventës, të zbatueshme në momentin e tërhe</w:t>
      </w:r>
      <w:r w:rsidR="003126C2">
        <w:rPr>
          <w:rFonts w:ascii="Garamond" w:hAnsi="Garamond"/>
          <w:sz w:val="24"/>
          <w:szCs w:val="24"/>
        </w:rPr>
        <w:t>q</w:t>
      </w:r>
      <w:r w:rsidRPr="006C09FD">
        <w:rPr>
          <w:rFonts w:ascii="Garamond" w:hAnsi="Garamond"/>
          <w:sz w:val="24"/>
          <w:szCs w:val="24"/>
        </w:rPr>
        <w:t xml:space="preserve">jes, do të vazhdojnë të zbatohen për këtë Marrëveshje. Megjithatë, që nga momenti i tërheqjes, rregullat e origjinës të përfshira në </w:t>
      </w:r>
      <w:r w:rsidR="003126C2" w:rsidRPr="006C09FD">
        <w:rPr>
          <w:rFonts w:ascii="Garamond" w:hAnsi="Garamond"/>
          <w:sz w:val="24"/>
          <w:szCs w:val="24"/>
        </w:rPr>
        <w:t xml:space="preserve">shtojcën </w:t>
      </w:r>
      <w:r w:rsidRPr="006C09FD">
        <w:rPr>
          <w:rFonts w:ascii="Garamond" w:hAnsi="Garamond"/>
          <w:sz w:val="24"/>
          <w:szCs w:val="24"/>
        </w:rPr>
        <w:t xml:space="preserve">I dhe sipas rastit, dispozitat përkatëse të </w:t>
      </w:r>
      <w:r w:rsidR="003126C2" w:rsidRPr="006C09FD">
        <w:rPr>
          <w:rFonts w:ascii="Garamond" w:hAnsi="Garamond"/>
          <w:sz w:val="24"/>
          <w:szCs w:val="24"/>
        </w:rPr>
        <w:t xml:space="preserve">shtojcës </w:t>
      </w:r>
      <w:r w:rsidRPr="006C09FD">
        <w:rPr>
          <w:rFonts w:ascii="Garamond" w:hAnsi="Garamond"/>
          <w:sz w:val="24"/>
          <w:szCs w:val="24"/>
        </w:rPr>
        <w:t xml:space="preserve">II të Konventës do të interpretohen në mënyrë që të lejojnë kumulimin dypalësh vetëm ndërmjet Republikës së Shqipërisë dhe Republikës së Turqisë. </w:t>
      </w:r>
    </w:p>
    <w:p w14:paraId="5E43251D" w14:textId="77777777" w:rsidR="008715F4" w:rsidRPr="006C09FD" w:rsidRDefault="008715F4" w:rsidP="00305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F3B5F5" w14:textId="1CA01EC4" w:rsidR="008715F4" w:rsidRPr="006C09FD" w:rsidRDefault="00305A0F" w:rsidP="008715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>Neni 5</w:t>
      </w:r>
    </w:p>
    <w:p w14:paraId="5F4A8C57" w14:textId="054A77D2" w:rsidR="00305A0F" w:rsidRPr="006C09FD" w:rsidRDefault="00305A0F" w:rsidP="008715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09FD">
        <w:rPr>
          <w:rFonts w:ascii="Garamond" w:hAnsi="Garamond"/>
          <w:b/>
          <w:sz w:val="24"/>
          <w:szCs w:val="24"/>
        </w:rPr>
        <w:lastRenderedPageBreak/>
        <w:t>Dispozitat e përkohshme</w:t>
      </w:r>
      <w:r w:rsidR="003126C2">
        <w:rPr>
          <w:rFonts w:ascii="Garamond" w:hAnsi="Garamond"/>
          <w:b/>
          <w:sz w:val="24"/>
          <w:szCs w:val="24"/>
        </w:rPr>
        <w:t xml:space="preserve"> –</w:t>
      </w:r>
      <w:r w:rsidRPr="006C09FD">
        <w:rPr>
          <w:rFonts w:ascii="Garamond" w:hAnsi="Garamond"/>
          <w:b/>
          <w:sz w:val="24"/>
          <w:szCs w:val="24"/>
        </w:rPr>
        <w:t xml:space="preserve"> kumulimi</w:t>
      </w:r>
    </w:p>
    <w:p w14:paraId="5D944822" w14:textId="77777777" w:rsidR="008715F4" w:rsidRPr="006C09FD" w:rsidRDefault="008715F4" w:rsidP="00305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6C0A5" w14:textId="0EAEBEDD" w:rsidR="00305A0F" w:rsidRPr="006C09FD" w:rsidRDefault="00305A0F" w:rsidP="00305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1. Pavarësisht </w:t>
      </w:r>
      <w:r w:rsidR="003126C2" w:rsidRPr="006C09FD">
        <w:rPr>
          <w:rFonts w:ascii="Garamond" w:hAnsi="Garamond"/>
          <w:sz w:val="24"/>
          <w:szCs w:val="24"/>
        </w:rPr>
        <w:t xml:space="preserve">nenit </w:t>
      </w:r>
      <w:r w:rsidRPr="006C09FD">
        <w:rPr>
          <w:rFonts w:ascii="Garamond" w:hAnsi="Garamond"/>
          <w:sz w:val="24"/>
          <w:szCs w:val="24"/>
        </w:rPr>
        <w:t xml:space="preserve">3 të </w:t>
      </w:r>
      <w:r w:rsidR="003126C2" w:rsidRPr="006C09FD">
        <w:rPr>
          <w:rFonts w:ascii="Garamond" w:hAnsi="Garamond"/>
          <w:sz w:val="24"/>
          <w:szCs w:val="24"/>
        </w:rPr>
        <w:t xml:space="preserve">shtojcës </w:t>
      </w:r>
      <w:r w:rsidRPr="006C09FD">
        <w:rPr>
          <w:rFonts w:ascii="Garamond" w:hAnsi="Garamond"/>
          <w:sz w:val="24"/>
          <w:szCs w:val="24"/>
        </w:rPr>
        <w:t xml:space="preserve">I të Konventës, rregullat mbi kumulimin e parashikuar në </w:t>
      </w:r>
      <w:r w:rsidR="003126C2" w:rsidRPr="006C09FD">
        <w:rPr>
          <w:rFonts w:ascii="Garamond" w:hAnsi="Garamond"/>
          <w:sz w:val="24"/>
          <w:szCs w:val="24"/>
        </w:rPr>
        <w:t xml:space="preserve">nenet </w:t>
      </w:r>
      <w:r w:rsidRPr="006C09FD">
        <w:rPr>
          <w:rFonts w:ascii="Garamond" w:hAnsi="Garamond"/>
          <w:sz w:val="24"/>
          <w:szCs w:val="24"/>
        </w:rPr>
        <w:t xml:space="preserve">3 dhe 4 të </w:t>
      </w:r>
      <w:r w:rsidR="003126C2" w:rsidRPr="006C09FD">
        <w:rPr>
          <w:rFonts w:ascii="Garamond" w:hAnsi="Garamond"/>
          <w:sz w:val="24"/>
          <w:szCs w:val="24"/>
        </w:rPr>
        <w:t xml:space="preserve">Protokollit </w:t>
      </w:r>
      <w:r w:rsidRPr="006C09FD">
        <w:rPr>
          <w:rFonts w:ascii="Garamond" w:hAnsi="Garamond"/>
          <w:sz w:val="24"/>
          <w:szCs w:val="24"/>
        </w:rPr>
        <w:t xml:space="preserve">II të kësaj Marrëveshjeje, të ndryshuar me </w:t>
      </w:r>
      <w:r w:rsidR="003126C2" w:rsidRPr="006C09FD">
        <w:rPr>
          <w:rFonts w:ascii="Garamond" w:hAnsi="Garamond"/>
          <w:sz w:val="24"/>
          <w:szCs w:val="24"/>
        </w:rPr>
        <w:t xml:space="preserve">vendimin </w:t>
      </w:r>
      <w:r w:rsidRPr="006C09FD">
        <w:rPr>
          <w:rFonts w:ascii="Garamond" w:hAnsi="Garamond"/>
          <w:sz w:val="24"/>
          <w:szCs w:val="24"/>
        </w:rPr>
        <w:t>nr. 1/2009 të Komitetit të Për</w:t>
      </w:r>
      <w:r w:rsidR="007B3E49" w:rsidRPr="006C09FD">
        <w:rPr>
          <w:rFonts w:ascii="Garamond" w:hAnsi="Garamond"/>
          <w:sz w:val="24"/>
          <w:szCs w:val="24"/>
        </w:rPr>
        <w:t>bashkët të datës 30 korrik 2009</w:t>
      </w:r>
      <w:r w:rsidR="007B3E49" w:rsidRPr="006C09FD">
        <w:rPr>
          <w:rStyle w:val="FootnoteReference"/>
          <w:rFonts w:ascii="Garamond" w:hAnsi="Garamond"/>
          <w:sz w:val="24"/>
          <w:szCs w:val="24"/>
        </w:rPr>
        <w:footnoteReference w:id="6"/>
      </w:r>
      <w:r w:rsidRPr="006C09FD">
        <w:rPr>
          <w:rFonts w:ascii="Garamond" w:hAnsi="Garamond"/>
          <w:sz w:val="24"/>
          <w:szCs w:val="24"/>
        </w:rPr>
        <w:t xml:space="preserve">, do të vazhdojnë të zbatohen ndërmjet Republikës së Shqipërisë dhe Republikës së Turqisë derisa Konventa të ketë hyrë në zbatim në lidhje me të gjitha Palët e listuara në </w:t>
      </w:r>
      <w:r w:rsidR="003126C2" w:rsidRPr="006C09FD">
        <w:rPr>
          <w:rFonts w:ascii="Garamond" w:hAnsi="Garamond"/>
          <w:sz w:val="24"/>
          <w:szCs w:val="24"/>
        </w:rPr>
        <w:t xml:space="preserve">nenet </w:t>
      </w:r>
      <w:r w:rsidRPr="006C09FD">
        <w:rPr>
          <w:rFonts w:ascii="Garamond" w:hAnsi="Garamond"/>
          <w:sz w:val="24"/>
          <w:szCs w:val="24"/>
        </w:rPr>
        <w:t xml:space="preserve">3 dhe 4 të Protokollit II të kësaj Marrëveshjeje. </w:t>
      </w:r>
    </w:p>
    <w:p w14:paraId="2A711CA2" w14:textId="34CCC91B" w:rsidR="003819F4" w:rsidRPr="006C09FD" w:rsidRDefault="00305A0F" w:rsidP="00305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C09FD">
        <w:rPr>
          <w:rFonts w:ascii="Garamond" w:hAnsi="Garamond"/>
          <w:sz w:val="24"/>
          <w:szCs w:val="24"/>
        </w:rPr>
        <w:t xml:space="preserve">2. Pavarësisht </w:t>
      </w:r>
      <w:r w:rsidR="003126C2" w:rsidRPr="006C09FD">
        <w:rPr>
          <w:rFonts w:ascii="Garamond" w:hAnsi="Garamond"/>
          <w:sz w:val="24"/>
          <w:szCs w:val="24"/>
        </w:rPr>
        <w:t xml:space="preserve">neneve </w:t>
      </w:r>
      <w:r w:rsidRPr="006C09FD">
        <w:rPr>
          <w:rFonts w:ascii="Garamond" w:hAnsi="Garamond"/>
          <w:sz w:val="24"/>
          <w:szCs w:val="24"/>
        </w:rPr>
        <w:t xml:space="preserve">16 (5) dhe 21 (3) të </w:t>
      </w:r>
      <w:r w:rsidR="003126C2" w:rsidRPr="006C09FD">
        <w:rPr>
          <w:rFonts w:ascii="Garamond" w:hAnsi="Garamond"/>
          <w:sz w:val="24"/>
          <w:szCs w:val="24"/>
        </w:rPr>
        <w:t xml:space="preserve">shtojcës </w:t>
      </w:r>
      <w:r w:rsidRPr="006C09FD">
        <w:rPr>
          <w:rFonts w:ascii="Garamond" w:hAnsi="Garamond"/>
          <w:sz w:val="24"/>
          <w:szCs w:val="24"/>
        </w:rPr>
        <w:t xml:space="preserve">I të Konventës, ku kumulimi i origjinës përfshin vetëm Bashkimin Evropian, </w:t>
      </w:r>
      <w:r w:rsidR="003126C2" w:rsidRPr="006C09FD">
        <w:rPr>
          <w:rFonts w:ascii="Garamond" w:hAnsi="Garamond"/>
          <w:sz w:val="24"/>
          <w:szCs w:val="24"/>
        </w:rPr>
        <w:t xml:space="preserve">shtetet </w:t>
      </w:r>
      <w:r w:rsidRPr="006C09FD">
        <w:rPr>
          <w:rFonts w:ascii="Garamond" w:hAnsi="Garamond"/>
          <w:sz w:val="24"/>
          <w:szCs w:val="24"/>
        </w:rPr>
        <w:t>e EFTA-s, Ishujt Faroe, Turqia dhe pjesëma</w:t>
      </w:r>
      <w:r w:rsidR="003126C2">
        <w:rPr>
          <w:rFonts w:ascii="Garamond" w:hAnsi="Garamond"/>
          <w:sz w:val="24"/>
          <w:szCs w:val="24"/>
        </w:rPr>
        <w:t>rrësit në Procesin e Stabilizim-</w:t>
      </w:r>
      <w:r w:rsidRPr="006C09FD">
        <w:rPr>
          <w:rFonts w:ascii="Garamond" w:hAnsi="Garamond"/>
          <w:sz w:val="24"/>
          <w:szCs w:val="24"/>
        </w:rPr>
        <w:t xml:space="preserve">Asociimit lë BE-së, prova e origjinës mund të jetë një </w:t>
      </w:r>
      <w:r w:rsidR="003126C2" w:rsidRPr="006C09FD">
        <w:rPr>
          <w:rFonts w:ascii="Garamond" w:hAnsi="Garamond"/>
          <w:sz w:val="24"/>
          <w:szCs w:val="24"/>
        </w:rPr>
        <w:t>certifikatë</w:t>
      </w:r>
      <w:r w:rsidRPr="006C09FD">
        <w:rPr>
          <w:rFonts w:ascii="Garamond" w:hAnsi="Garamond"/>
          <w:sz w:val="24"/>
          <w:szCs w:val="24"/>
        </w:rPr>
        <w:t xml:space="preserve"> qarkullimi </w:t>
      </w:r>
      <w:r w:rsidRPr="001C67B2">
        <w:rPr>
          <w:rFonts w:ascii="Garamond" w:hAnsi="Garamond"/>
          <w:sz w:val="24"/>
          <w:szCs w:val="24"/>
        </w:rPr>
        <w:t>EUR.1 ose</w:t>
      </w:r>
      <w:r w:rsidRPr="006C09FD">
        <w:rPr>
          <w:rFonts w:ascii="Garamond" w:hAnsi="Garamond"/>
          <w:sz w:val="24"/>
          <w:szCs w:val="24"/>
        </w:rPr>
        <w:t xml:space="preserve"> një deklaratë origjine.</w:t>
      </w:r>
    </w:p>
    <w:sectPr w:rsidR="003819F4" w:rsidRPr="006C09FD" w:rsidSect="00410235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A6600" w14:textId="77777777" w:rsidR="00F644A7" w:rsidRDefault="00F644A7">
      <w:pPr>
        <w:spacing w:after="0" w:line="240" w:lineRule="auto"/>
      </w:pPr>
      <w:r>
        <w:separator/>
      </w:r>
    </w:p>
  </w:endnote>
  <w:endnote w:type="continuationSeparator" w:id="0">
    <w:p w14:paraId="40C7D5BD" w14:textId="77777777" w:rsidR="00F644A7" w:rsidRDefault="00F644A7">
      <w:pPr>
        <w:spacing w:after="0" w:line="240" w:lineRule="auto"/>
      </w:pPr>
      <w:r>
        <w:continuationSeparator/>
      </w:r>
    </w:p>
  </w:endnote>
  <w:endnote w:type="continuationNotice" w:id="1">
    <w:p w14:paraId="66F4EB76" w14:textId="77777777" w:rsidR="00F644A7" w:rsidRDefault="00F64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67191522"/>
      <w:docPartObj>
        <w:docPartGallery w:val="Page Numbers (Bottom of Page)"/>
        <w:docPartUnique/>
      </w:docPartObj>
    </w:sdtPr>
    <w:sdtContent>
      <w:p w14:paraId="660FD0FA" w14:textId="77777777" w:rsidR="00F644A7" w:rsidRDefault="00F644A7" w:rsidP="00C34C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60FD0FB" w14:textId="77777777" w:rsidR="00F644A7" w:rsidRDefault="00F644A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4010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0FD0FC" w14:textId="77777777" w:rsidR="00F644A7" w:rsidRDefault="00F644A7">
        <w:pPr>
          <w:pStyle w:val="Footer"/>
          <w:jc w:val="center"/>
        </w:pPr>
        <w:r w:rsidRPr="00294BD0">
          <w:rPr>
            <w:rFonts w:ascii="Times New Roman" w:hAnsi="Times New Roman" w:cs="Times New Roman"/>
          </w:rPr>
          <w:fldChar w:fldCharType="begin"/>
        </w:r>
        <w:r w:rsidRPr="00294BD0">
          <w:rPr>
            <w:rFonts w:ascii="Times New Roman" w:hAnsi="Times New Roman" w:cs="Times New Roman"/>
          </w:rPr>
          <w:instrText xml:space="preserve"> PAGE   \* MERGEFORMAT </w:instrText>
        </w:r>
        <w:r w:rsidRPr="00294BD0">
          <w:rPr>
            <w:rFonts w:ascii="Times New Roman" w:hAnsi="Times New Roman" w:cs="Times New Roman"/>
          </w:rPr>
          <w:fldChar w:fldCharType="separate"/>
        </w:r>
        <w:r w:rsidR="00AF6BDD">
          <w:rPr>
            <w:rFonts w:ascii="Times New Roman" w:hAnsi="Times New Roman" w:cs="Times New Roman"/>
            <w:noProof/>
          </w:rPr>
          <w:t>3</w:t>
        </w:r>
        <w:r w:rsidRPr="00294BD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60FD0FD" w14:textId="77777777" w:rsidR="00F644A7" w:rsidRDefault="00F644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9230B" w14:textId="77777777" w:rsidR="00F644A7" w:rsidRDefault="00F644A7">
      <w:pPr>
        <w:spacing w:after="0" w:line="240" w:lineRule="auto"/>
      </w:pPr>
      <w:r>
        <w:separator/>
      </w:r>
    </w:p>
  </w:footnote>
  <w:footnote w:type="continuationSeparator" w:id="0">
    <w:p w14:paraId="298813A2" w14:textId="77777777" w:rsidR="00F644A7" w:rsidRDefault="00F644A7">
      <w:pPr>
        <w:spacing w:after="0" w:line="240" w:lineRule="auto"/>
      </w:pPr>
      <w:r>
        <w:continuationSeparator/>
      </w:r>
    </w:p>
  </w:footnote>
  <w:footnote w:type="continuationNotice" w:id="1">
    <w:p w14:paraId="3908658F" w14:textId="77777777" w:rsidR="00F644A7" w:rsidRDefault="00F644A7">
      <w:pPr>
        <w:spacing w:after="0" w:line="240" w:lineRule="auto"/>
      </w:pPr>
    </w:p>
  </w:footnote>
  <w:footnote w:id="2">
    <w:p w14:paraId="4CFCEDD8" w14:textId="0F4A937F" w:rsidR="00F644A7" w:rsidRPr="00077009" w:rsidRDefault="00F644A7" w:rsidP="00131FDB">
      <w:pPr>
        <w:pStyle w:val="FootnoteText"/>
        <w:jc w:val="both"/>
        <w:rPr>
          <w:rFonts w:ascii="Garamond" w:hAnsi="Garamond"/>
        </w:rPr>
      </w:pPr>
      <w:r w:rsidRPr="00077009">
        <w:rPr>
          <w:rStyle w:val="FootnoteReference"/>
        </w:rPr>
        <w:footnoteRef/>
      </w:r>
      <w:r w:rsidRPr="00077009">
        <w:t xml:space="preserve"> </w:t>
      </w:r>
      <w:r w:rsidRPr="00077009">
        <w:rPr>
          <w:rFonts w:ascii="Garamond" w:hAnsi="Garamond"/>
        </w:rPr>
        <w:t>“Fletorja Zyrt</w:t>
      </w:r>
      <w:r>
        <w:rPr>
          <w:rFonts w:ascii="Garamond" w:hAnsi="Garamond"/>
        </w:rPr>
        <w:t>are e Republikës së Shqipërisë”</w:t>
      </w:r>
      <w:r w:rsidRPr="00077009">
        <w:rPr>
          <w:rFonts w:ascii="Garamond" w:hAnsi="Garamond"/>
        </w:rPr>
        <w:t xml:space="preserve"> nr. 7, 20.3.2012 dhe Fletorja </w:t>
      </w:r>
      <w:r>
        <w:rPr>
          <w:rFonts w:ascii="Garamond" w:hAnsi="Garamond"/>
        </w:rPr>
        <w:t>Zyrtare e Republikës së Turqisë</w:t>
      </w:r>
      <w:r w:rsidRPr="00077009">
        <w:rPr>
          <w:rFonts w:ascii="Garamond" w:hAnsi="Garamond"/>
        </w:rPr>
        <w:t xml:space="preserve"> nr. 27947, 28.5.2011</w:t>
      </w:r>
      <w:r>
        <w:rPr>
          <w:rFonts w:ascii="Garamond" w:hAnsi="Garamond"/>
        </w:rPr>
        <w:t>.</w:t>
      </w:r>
    </w:p>
  </w:footnote>
  <w:footnote w:id="3">
    <w:p w14:paraId="3CD1BFDD" w14:textId="0C5CA783" w:rsidR="00F644A7" w:rsidRPr="00077009" w:rsidRDefault="00F644A7" w:rsidP="00131FDB">
      <w:pPr>
        <w:pStyle w:val="FootnoteText"/>
        <w:jc w:val="both"/>
        <w:rPr>
          <w:rFonts w:ascii="Garamond" w:hAnsi="Garamond"/>
        </w:rPr>
      </w:pPr>
      <w:r w:rsidRPr="00077009">
        <w:rPr>
          <w:rStyle w:val="FootnoteReference"/>
          <w:rFonts w:ascii="Garamond" w:hAnsi="Garamond"/>
        </w:rPr>
        <w:footnoteRef/>
      </w:r>
      <w:r w:rsidRPr="00077009">
        <w:rPr>
          <w:rFonts w:ascii="Garamond" w:hAnsi="Garamond"/>
        </w:rPr>
        <w:t xml:space="preserve"> Siç përcaktohet në konkluzionet e Këshillit të </w:t>
      </w:r>
      <w:r>
        <w:rPr>
          <w:rFonts w:ascii="Garamond" w:hAnsi="Garamond"/>
        </w:rPr>
        <w:t>Ç</w:t>
      </w:r>
      <w:r w:rsidRPr="00077009">
        <w:rPr>
          <w:rFonts w:ascii="Garamond" w:hAnsi="Garamond"/>
        </w:rPr>
        <w:t>ështjeve të Përgjithshme në prill 1997 dhe Komunikatën e Komisionit të muajit maj 1999</w:t>
      </w:r>
      <w:r>
        <w:rPr>
          <w:rFonts w:ascii="Garamond" w:hAnsi="Garamond"/>
        </w:rPr>
        <w:t>,</w:t>
      </w:r>
      <w:r w:rsidRPr="00077009">
        <w:rPr>
          <w:rFonts w:ascii="Garamond" w:hAnsi="Garamond"/>
        </w:rPr>
        <w:t xml:space="preserve"> mbi krijimin e Procesit të Stabilizim</w:t>
      </w:r>
      <w:r>
        <w:rPr>
          <w:rFonts w:ascii="Garamond" w:hAnsi="Garamond"/>
        </w:rPr>
        <w:t>-</w:t>
      </w:r>
      <w:r w:rsidRPr="00077009">
        <w:rPr>
          <w:rFonts w:ascii="Garamond" w:hAnsi="Garamond"/>
        </w:rPr>
        <w:t>Asociimit me vendet e Ballkanit Perëndimor.</w:t>
      </w:r>
    </w:p>
  </w:footnote>
  <w:footnote w:id="4">
    <w:p w14:paraId="6FBE9870" w14:textId="518C9923" w:rsidR="00F644A7" w:rsidRPr="00077009" w:rsidRDefault="00F644A7" w:rsidP="00131FDB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077009">
        <w:rPr>
          <w:rStyle w:val="FootnoteReference"/>
          <w:rFonts w:ascii="Garamond" w:hAnsi="Garamond"/>
          <w:sz w:val="20"/>
          <w:szCs w:val="20"/>
        </w:rPr>
        <w:footnoteRef/>
      </w:r>
      <w:r w:rsidRPr="00077009">
        <w:rPr>
          <w:rFonts w:ascii="Garamond" w:hAnsi="Garamond"/>
          <w:sz w:val="20"/>
          <w:szCs w:val="20"/>
        </w:rPr>
        <w:t xml:space="preserve"> Fletorja </w:t>
      </w:r>
      <w:r>
        <w:rPr>
          <w:rFonts w:ascii="Garamond" w:hAnsi="Garamond"/>
          <w:sz w:val="20"/>
          <w:szCs w:val="20"/>
        </w:rPr>
        <w:t xml:space="preserve">Zyrtare e Bashkimit Evropian L 54, 26.2.2013, f. </w:t>
      </w:r>
      <w:r w:rsidRPr="00077009">
        <w:rPr>
          <w:rFonts w:ascii="Garamond" w:hAnsi="Garamond"/>
          <w:sz w:val="20"/>
          <w:szCs w:val="20"/>
        </w:rPr>
        <w:t>4.</w:t>
      </w:r>
    </w:p>
    <w:p w14:paraId="182C01BF" w14:textId="50A0EEBA" w:rsidR="00F644A7" w:rsidRPr="00077009" w:rsidRDefault="00F644A7">
      <w:pPr>
        <w:pStyle w:val="FootnoteText"/>
      </w:pPr>
    </w:p>
  </w:footnote>
  <w:footnote w:id="5">
    <w:p w14:paraId="4B49A0AB" w14:textId="40CD4EBF" w:rsidR="00F644A7" w:rsidRPr="003126C2" w:rsidRDefault="00F644A7">
      <w:pPr>
        <w:pStyle w:val="FootnoteText"/>
        <w:rPr>
          <w:rFonts w:ascii="Garamond" w:hAnsi="Garamond"/>
        </w:rPr>
      </w:pPr>
      <w:r w:rsidRPr="003126C2">
        <w:rPr>
          <w:rStyle w:val="FootnoteReference"/>
          <w:rFonts w:ascii="Garamond" w:hAnsi="Garamond"/>
        </w:rPr>
        <w:footnoteRef/>
      </w:r>
      <w:r w:rsidRPr="003126C2">
        <w:rPr>
          <w:rFonts w:ascii="Garamond" w:hAnsi="Garamond"/>
        </w:rPr>
        <w:t xml:space="preserve"> </w:t>
      </w:r>
      <w:r>
        <w:rPr>
          <w:rFonts w:ascii="Garamond" w:hAnsi="Garamond"/>
        </w:rPr>
        <w:t>Fletorja Zyrtare e Bashkimit Ev</w:t>
      </w:r>
      <w:r w:rsidRPr="003126C2">
        <w:rPr>
          <w:rFonts w:ascii="Garamond" w:hAnsi="Garamond"/>
        </w:rPr>
        <w:t>ropian L.</w:t>
      </w:r>
      <w:r>
        <w:rPr>
          <w:rFonts w:ascii="Garamond" w:hAnsi="Garamond"/>
        </w:rPr>
        <w:t xml:space="preserve"> </w:t>
      </w:r>
      <w:r w:rsidRPr="003126C2">
        <w:rPr>
          <w:rFonts w:ascii="Garamond" w:hAnsi="Garamond"/>
        </w:rPr>
        <w:t>54, 26.2.2013, f. 4.</w:t>
      </w:r>
    </w:p>
  </w:footnote>
  <w:footnote w:id="6">
    <w:p w14:paraId="7D07C403" w14:textId="59D43EF8" w:rsidR="00F644A7" w:rsidRPr="001C67B2" w:rsidRDefault="00F644A7">
      <w:pPr>
        <w:pStyle w:val="FootnoteText"/>
      </w:pPr>
      <w:r w:rsidRPr="001C67B2">
        <w:rPr>
          <w:rStyle w:val="FootnoteReference"/>
        </w:rPr>
        <w:footnoteRef/>
      </w:r>
      <w:r w:rsidRPr="001C67B2">
        <w:t xml:space="preserve"> </w:t>
      </w:r>
      <w:r w:rsidRPr="001C67B2">
        <w:rPr>
          <w:rFonts w:ascii="Garamond" w:hAnsi="Garamond"/>
        </w:rPr>
        <w:t xml:space="preserve">Fletorja Zyrtare e Republikës së Shqipërisë nr. 7, </w:t>
      </w:r>
      <w:r>
        <w:rPr>
          <w:rFonts w:ascii="Garamond" w:hAnsi="Garamond"/>
        </w:rPr>
        <w:t xml:space="preserve">datë </w:t>
      </w:r>
      <w:r w:rsidRPr="001C67B2">
        <w:rPr>
          <w:rFonts w:ascii="Garamond" w:hAnsi="Garamond"/>
        </w:rPr>
        <w:t>20.3.2012</w:t>
      </w:r>
      <w:r>
        <w:rPr>
          <w:rFonts w:ascii="Garamond" w:hAnsi="Garamond"/>
        </w:rPr>
        <w:t>,</w:t>
      </w:r>
      <w:r w:rsidRPr="001C67B2">
        <w:rPr>
          <w:rFonts w:ascii="Garamond" w:hAnsi="Garamond"/>
        </w:rPr>
        <w:t xml:space="preserve"> dhe Fletorja </w:t>
      </w:r>
      <w:r>
        <w:rPr>
          <w:rFonts w:ascii="Garamond" w:hAnsi="Garamond"/>
        </w:rPr>
        <w:t>Zyrtare e Republikës së Turqisë</w:t>
      </w:r>
      <w:r w:rsidRPr="001C67B2">
        <w:rPr>
          <w:rFonts w:ascii="Garamond" w:hAnsi="Garamond"/>
        </w:rPr>
        <w:t xml:space="preserve"> nr. 27947, </w:t>
      </w:r>
      <w:r>
        <w:rPr>
          <w:rFonts w:ascii="Garamond" w:hAnsi="Garamond"/>
        </w:rPr>
        <w:t xml:space="preserve">datë </w:t>
      </w:r>
      <w:r w:rsidRPr="001C67B2">
        <w:rPr>
          <w:rFonts w:ascii="Garamond" w:hAnsi="Garamond"/>
        </w:rPr>
        <w:t>28.5.2011</w:t>
      </w:r>
      <w:r>
        <w:rPr>
          <w:rFonts w:ascii="Garamond" w:hAnsi="Garamond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B3140"/>
    <w:multiLevelType w:val="hybridMultilevel"/>
    <w:tmpl w:val="4B044B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E47D6"/>
    <w:multiLevelType w:val="hybridMultilevel"/>
    <w:tmpl w:val="5B1259DC"/>
    <w:lvl w:ilvl="0" w:tplc="CDE41A6A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102D9"/>
    <w:multiLevelType w:val="hybridMultilevel"/>
    <w:tmpl w:val="594AD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356C2"/>
    <w:multiLevelType w:val="hybridMultilevel"/>
    <w:tmpl w:val="B914A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A1C22"/>
    <w:multiLevelType w:val="hybridMultilevel"/>
    <w:tmpl w:val="A3AEC7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19272F"/>
    <w:multiLevelType w:val="hybridMultilevel"/>
    <w:tmpl w:val="C9E62A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5725E"/>
    <w:multiLevelType w:val="hybridMultilevel"/>
    <w:tmpl w:val="809A29E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FB23E5"/>
    <w:multiLevelType w:val="hybridMultilevel"/>
    <w:tmpl w:val="A75CF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724E88"/>
    <w:multiLevelType w:val="hybridMultilevel"/>
    <w:tmpl w:val="F94EEE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845CF7"/>
    <w:multiLevelType w:val="hybridMultilevel"/>
    <w:tmpl w:val="770A54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4687A"/>
    <w:multiLevelType w:val="hybridMultilevel"/>
    <w:tmpl w:val="4D181C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4546C8"/>
    <w:multiLevelType w:val="hybridMultilevel"/>
    <w:tmpl w:val="26C83E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5A01F5"/>
    <w:multiLevelType w:val="hybridMultilevel"/>
    <w:tmpl w:val="669A8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92B4A"/>
    <w:multiLevelType w:val="hybridMultilevel"/>
    <w:tmpl w:val="DA5809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4A1FA0"/>
    <w:multiLevelType w:val="hybridMultilevel"/>
    <w:tmpl w:val="DBECA9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B60DD"/>
    <w:multiLevelType w:val="hybridMultilevel"/>
    <w:tmpl w:val="384AD7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6EB52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67340E"/>
    <w:multiLevelType w:val="hybridMultilevel"/>
    <w:tmpl w:val="62DAAC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194E41"/>
    <w:multiLevelType w:val="hybridMultilevel"/>
    <w:tmpl w:val="809C51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DA2230"/>
    <w:multiLevelType w:val="hybridMultilevel"/>
    <w:tmpl w:val="789C6A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E714B"/>
    <w:multiLevelType w:val="hybridMultilevel"/>
    <w:tmpl w:val="9894F0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2A8F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35C66"/>
    <w:multiLevelType w:val="hybridMultilevel"/>
    <w:tmpl w:val="1E24A2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C34E13"/>
    <w:multiLevelType w:val="hybridMultilevel"/>
    <w:tmpl w:val="FBD829C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7D7C79"/>
    <w:multiLevelType w:val="hybridMultilevel"/>
    <w:tmpl w:val="CF4660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733E97"/>
    <w:multiLevelType w:val="hybridMultilevel"/>
    <w:tmpl w:val="75FE1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E50EF"/>
    <w:multiLevelType w:val="hybridMultilevel"/>
    <w:tmpl w:val="DF901864"/>
    <w:lvl w:ilvl="0" w:tplc="1B585E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505211"/>
    <w:multiLevelType w:val="hybridMultilevel"/>
    <w:tmpl w:val="667648D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AE207D"/>
    <w:multiLevelType w:val="hybridMultilevel"/>
    <w:tmpl w:val="33349B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0D07BE4"/>
    <w:multiLevelType w:val="hybridMultilevel"/>
    <w:tmpl w:val="EEB2D0E4"/>
    <w:lvl w:ilvl="0" w:tplc="642078D0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 w15:restartNumberingAfterBreak="0">
    <w:nsid w:val="57A07088"/>
    <w:multiLevelType w:val="hybridMultilevel"/>
    <w:tmpl w:val="C576F1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B4451C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C362AA"/>
    <w:multiLevelType w:val="hybridMultilevel"/>
    <w:tmpl w:val="BE183C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A4310E"/>
    <w:multiLevelType w:val="hybridMultilevel"/>
    <w:tmpl w:val="5E8464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3C0100"/>
    <w:multiLevelType w:val="hybridMultilevel"/>
    <w:tmpl w:val="56DA65DA"/>
    <w:lvl w:ilvl="0" w:tplc="C4743752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581720"/>
    <w:multiLevelType w:val="hybridMultilevel"/>
    <w:tmpl w:val="A7C849A0"/>
    <w:lvl w:ilvl="0" w:tplc="F0D01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C629D3"/>
    <w:multiLevelType w:val="hybridMultilevel"/>
    <w:tmpl w:val="703C47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3D6BC5"/>
    <w:multiLevelType w:val="hybridMultilevel"/>
    <w:tmpl w:val="81F06FA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94033A"/>
    <w:multiLevelType w:val="hybridMultilevel"/>
    <w:tmpl w:val="F9282E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CF4F96"/>
    <w:multiLevelType w:val="hybridMultilevel"/>
    <w:tmpl w:val="0E7042AE"/>
    <w:lvl w:ilvl="0" w:tplc="72BE4A2A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7E4A58"/>
    <w:multiLevelType w:val="hybridMultilevel"/>
    <w:tmpl w:val="47420682"/>
    <w:lvl w:ilvl="0" w:tplc="5FBABA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5F1FAE"/>
    <w:multiLevelType w:val="hybridMultilevel"/>
    <w:tmpl w:val="9B604FD8"/>
    <w:lvl w:ilvl="0" w:tplc="1B585E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BC6F71C">
      <w:start w:val="1"/>
      <w:numFmt w:val="decimal"/>
      <w:lvlText w:val="%2.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38"/>
  </w:num>
  <w:num w:numId="3">
    <w:abstractNumId w:val="20"/>
  </w:num>
  <w:num w:numId="4">
    <w:abstractNumId w:val="23"/>
  </w:num>
  <w:num w:numId="5">
    <w:abstractNumId w:val="2"/>
  </w:num>
  <w:num w:numId="6">
    <w:abstractNumId w:val="15"/>
  </w:num>
  <w:num w:numId="7">
    <w:abstractNumId w:val="25"/>
  </w:num>
  <w:num w:numId="8">
    <w:abstractNumId w:val="28"/>
  </w:num>
  <w:num w:numId="9">
    <w:abstractNumId w:val="26"/>
  </w:num>
  <w:num w:numId="10">
    <w:abstractNumId w:val="17"/>
  </w:num>
  <w:num w:numId="11">
    <w:abstractNumId w:val="7"/>
  </w:num>
  <w:num w:numId="12">
    <w:abstractNumId w:val="4"/>
  </w:num>
  <w:num w:numId="13">
    <w:abstractNumId w:val="12"/>
  </w:num>
  <w:num w:numId="14">
    <w:abstractNumId w:val="36"/>
  </w:num>
  <w:num w:numId="15">
    <w:abstractNumId w:val="29"/>
  </w:num>
  <w:num w:numId="16">
    <w:abstractNumId w:val="11"/>
  </w:num>
  <w:num w:numId="17">
    <w:abstractNumId w:val="10"/>
  </w:num>
  <w:num w:numId="18">
    <w:abstractNumId w:val="18"/>
  </w:num>
  <w:num w:numId="19">
    <w:abstractNumId w:val="30"/>
  </w:num>
  <w:num w:numId="20">
    <w:abstractNumId w:val="21"/>
  </w:num>
  <w:num w:numId="21">
    <w:abstractNumId w:val="35"/>
  </w:num>
  <w:num w:numId="22">
    <w:abstractNumId w:val="14"/>
  </w:num>
  <w:num w:numId="23">
    <w:abstractNumId w:val="13"/>
  </w:num>
  <w:num w:numId="24">
    <w:abstractNumId w:val="33"/>
  </w:num>
  <w:num w:numId="25">
    <w:abstractNumId w:val="5"/>
  </w:num>
  <w:num w:numId="26">
    <w:abstractNumId w:val="0"/>
  </w:num>
  <w:num w:numId="27">
    <w:abstractNumId w:val="9"/>
  </w:num>
  <w:num w:numId="28">
    <w:abstractNumId w:val="27"/>
  </w:num>
  <w:num w:numId="29">
    <w:abstractNumId w:val="16"/>
  </w:num>
  <w:num w:numId="30">
    <w:abstractNumId w:val="32"/>
  </w:num>
  <w:num w:numId="31">
    <w:abstractNumId w:val="34"/>
  </w:num>
  <w:num w:numId="32">
    <w:abstractNumId w:val="1"/>
  </w:num>
  <w:num w:numId="33">
    <w:abstractNumId w:val="19"/>
  </w:num>
  <w:num w:numId="34">
    <w:abstractNumId w:val="31"/>
  </w:num>
  <w:num w:numId="35">
    <w:abstractNumId w:val="3"/>
  </w:num>
  <w:num w:numId="36">
    <w:abstractNumId w:val="6"/>
  </w:num>
  <w:num w:numId="37">
    <w:abstractNumId w:val="37"/>
  </w:num>
  <w:num w:numId="38">
    <w:abstractNumId w:val="2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F59"/>
    <w:rsid w:val="00077009"/>
    <w:rsid w:val="000C6D03"/>
    <w:rsid w:val="000E4D19"/>
    <w:rsid w:val="000E7403"/>
    <w:rsid w:val="00100574"/>
    <w:rsid w:val="00131FDB"/>
    <w:rsid w:val="001338CD"/>
    <w:rsid w:val="001634E7"/>
    <w:rsid w:val="00171F2A"/>
    <w:rsid w:val="00183C96"/>
    <w:rsid w:val="00192D55"/>
    <w:rsid w:val="001964C0"/>
    <w:rsid w:val="001A2342"/>
    <w:rsid w:val="001C67B2"/>
    <w:rsid w:val="001D2821"/>
    <w:rsid w:val="001D6B42"/>
    <w:rsid w:val="001E1805"/>
    <w:rsid w:val="00200B6F"/>
    <w:rsid w:val="00222586"/>
    <w:rsid w:val="002359A0"/>
    <w:rsid w:val="00293CAF"/>
    <w:rsid w:val="002D1878"/>
    <w:rsid w:val="002F1C80"/>
    <w:rsid w:val="002F2DEE"/>
    <w:rsid w:val="00305A0F"/>
    <w:rsid w:val="003126C2"/>
    <w:rsid w:val="00337BB1"/>
    <w:rsid w:val="003513B0"/>
    <w:rsid w:val="003819F4"/>
    <w:rsid w:val="003B112E"/>
    <w:rsid w:val="003D4F59"/>
    <w:rsid w:val="003D6FBE"/>
    <w:rsid w:val="00410235"/>
    <w:rsid w:val="0041183F"/>
    <w:rsid w:val="00437443"/>
    <w:rsid w:val="00462B2D"/>
    <w:rsid w:val="0048344D"/>
    <w:rsid w:val="004C7ECD"/>
    <w:rsid w:val="00501477"/>
    <w:rsid w:val="005350E1"/>
    <w:rsid w:val="00563114"/>
    <w:rsid w:val="0057419F"/>
    <w:rsid w:val="005B4EA8"/>
    <w:rsid w:val="005D5F35"/>
    <w:rsid w:val="005E0FEB"/>
    <w:rsid w:val="005F3FC4"/>
    <w:rsid w:val="00673C9D"/>
    <w:rsid w:val="00677157"/>
    <w:rsid w:val="00681B34"/>
    <w:rsid w:val="006865EE"/>
    <w:rsid w:val="006874F2"/>
    <w:rsid w:val="006A4641"/>
    <w:rsid w:val="006B3690"/>
    <w:rsid w:val="006B5DE4"/>
    <w:rsid w:val="006C09FD"/>
    <w:rsid w:val="006C5DAA"/>
    <w:rsid w:val="006E1F63"/>
    <w:rsid w:val="006E6442"/>
    <w:rsid w:val="00701A8A"/>
    <w:rsid w:val="00706789"/>
    <w:rsid w:val="007168C2"/>
    <w:rsid w:val="00782918"/>
    <w:rsid w:val="007A2897"/>
    <w:rsid w:val="007B3E49"/>
    <w:rsid w:val="00807860"/>
    <w:rsid w:val="00824BEB"/>
    <w:rsid w:val="00834A74"/>
    <w:rsid w:val="00856F7B"/>
    <w:rsid w:val="008715F4"/>
    <w:rsid w:val="008D1EB0"/>
    <w:rsid w:val="008E3DFB"/>
    <w:rsid w:val="009044B8"/>
    <w:rsid w:val="00957937"/>
    <w:rsid w:val="009C429B"/>
    <w:rsid w:val="009F66E0"/>
    <w:rsid w:val="00A23152"/>
    <w:rsid w:val="00A462FB"/>
    <w:rsid w:val="00A63A4B"/>
    <w:rsid w:val="00AA7599"/>
    <w:rsid w:val="00AF6BDD"/>
    <w:rsid w:val="00B26589"/>
    <w:rsid w:val="00B83C5E"/>
    <w:rsid w:val="00BC3105"/>
    <w:rsid w:val="00C30EEE"/>
    <w:rsid w:val="00C34C38"/>
    <w:rsid w:val="00C70260"/>
    <w:rsid w:val="00C77E3D"/>
    <w:rsid w:val="00CB513B"/>
    <w:rsid w:val="00D82B72"/>
    <w:rsid w:val="00D90281"/>
    <w:rsid w:val="00DA63C6"/>
    <w:rsid w:val="00DF395D"/>
    <w:rsid w:val="00E0319C"/>
    <w:rsid w:val="00E20BC3"/>
    <w:rsid w:val="00EC281A"/>
    <w:rsid w:val="00F10F12"/>
    <w:rsid w:val="00F644A7"/>
    <w:rsid w:val="00F942BD"/>
    <w:rsid w:val="00FA1272"/>
    <w:rsid w:val="00FD3C3C"/>
    <w:rsid w:val="00FE574A"/>
    <w:rsid w:val="00F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FD0D0"/>
  <w15:docId w15:val="{32B4DFD1-A844-4D99-B3D8-D79216B8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410235"/>
  </w:style>
  <w:style w:type="paragraph" w:styleId="ListParagraph">
    <w:name w:val="List Paragraph"/>
    <w:basedOn w:val="Normal"/>
    <w:uiPriority w:val="34"/>
    <w:qFormat/>
    <w:rsid w:val="00410235"/>
    <w:pPr>
      <w:spacing w:after="0" w:line="240" w:lineRule="auto"/>
      <w:ind w:left="720"/>
      <w:contextualSpacing/>
    </w:pPr>
    <w:rPr>
      <w:rFonts w:eastAsia="MS Mincho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0235"/>
    <w:pPr>
      <w:tabs>
        <w:tab w:val="center" w:pos="4680"/>
        <w:tab w:val="right" w:pos="9360"/>
      </w:tabs>
      <w:spacing w:after="0" w:line="240" w:lineRule="auto"/>
    </w:pPr>
    <w:rPr>
      <w:rFonts w:eastAsia="MS Mincho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10235"/>
    <w:rPr>
      <w:rFonts w:eastAsia="MS Mincho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410235"/>
  </w:style>
  <w:style w:type="paragraph" w:styleId="BalloonText">
    <w:name w:val="Balloon Text"/>
    <w:basedOn w:val="Normal"/>
    <w:link w:val="BalloonTextChar"/>
    <w:uiPriority w:val="99"/>
    <w:semiHidden/>
    <w:unhideWhenUsed/>
    <w:rsid w:val="00410235"/>
    <w:pPr>
      <w:spacing w:after="0" w:line="240" w:lineRule="auto"/>
    </w:pPr>
    <w:rPr>
      <w:rFonts w:ascii="Segoe UI" w:eastAsia="MS Mincho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235"/>
    <w:rPr>
      <w:rFonts w:ascii="Segoe UI" w:eastAsia="MS Mincho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410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10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0235"/>
    <w:pPr>
      <w:spacing w:after="0" w:line="240" w:lineRule="auto"/>
    </w:pPr>
    <w:rPr>
      <w:rFonts w:eastAsia="MS Mincho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235"/>
    <w:rPr>
      <w:rFonts w:eastAsia="MS Mincho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0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0235"/>
    <w:rPr>
      <w:rFonts w:eastAsia="MS Mincho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10235"/>
    <w:pPr>
      <w:spacing w:after="0" w:line="240" w:lineRule="auto"/>
    </w:pPr>
    <w:rPr>
      <w:rFonts w:eastAsia="MS Mincho"/>
      <w:sz w:val="24"/>
      <w:szCs w:val="24"/>
      <w:lang w:val="en-US"/>
    </w:rPr>
  </w:style>
  <w:style w:type="character" w:styleId="Strong">
    <w:name w:val="Strong"/>
    <w:uiPriority w:val="22"/>
    <w:qFormat/>
    <w:rsid w:val="00410235"/>
    <w:rPr>
      <w:b/>
      <w:bCs/>
    </w:rPr>
  </w:style>
  <w:style w:type="paragraph" w:styleId="NoSpacing">
    <w:name w:val="No Spacing"/>
    <w:uiPriority w:val="1"/>
    <w:qFormat/>
    <w:rsid w:val="0041023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410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410235"/>
  </w:style>
  <w:style w:type="paragraph" w:styleId="Header">
    <w:name w:val="header"/>
    <w:basedOn w:val="Normal"/>
    <w:link w:val="HeaderChar1"/>
    <w:uiPriority w:val="99"/>
    <w:semiHidden/>
    <w:unhideWhenUsed/>
    <w:rsid w:val="004102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410235"/>
  </w:style>
  <w:style w:type="paragraph" w:styleId="FootnoteText">
    <w:name w:val="footnote text"/>
    <w:basedOn w:val="Normal"/>
    <w:link w:val="FootnoteTextChar"/>
    <w:uiPriority w:val="99"/>
    <w:semiHidden/>
    <w:unhideWhenUsed/>
    <w:rsid w:val="009579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9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7937"/>
    <w:rPr>
      <w:vertAlign w:val="superscript"/>
    </w:rPr>
  </w:style>
  <w:style w:type="table" w:styleId="TableGrid">
    <w:name w:val="Table Grid"/>
    <w:basedOn w:val="TableNormal"/>
    <w:uiPriority w:val="39"/>
    <w:rsid w:val="00F94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C5CA4CFDF4C979BF325063A749C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2020-07-13T08:35:33Z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ratifikimin e ndryshimit të protokollit II të marrëveshjes së tregtisë së lirë ndërmjet Republikës së Shqipërisë dhe Republikës së Turqisë, të ratifikuar me ligjin nr.9733, datë 14.5.2007, në lidhje me përkufizimin e konceptit “Produkte origjinuese” dhe “Metoda e bashkëpunimit administrativ"</Titulli>
    <Modifikuesi xmlns="0e656187-b300-4fb0-8bf4-3a50f872073c">alma.lisaku</Modifikuesi>
    <Nr_x002e__x0020_prot_x0020_QBZ xmlns="0e656187-b300-4fb0-8bf4-3a50f872073c">1092/1</Nr_x002e__x0020_prot_x0020_QBZ>
    <Data_x0020_e_x0020_Modifikimit xmlns="0e656187-b300-4fb0-8bf4-3a50f872073c">2020-07-15T07:00:35Z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1753/2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C5CA4CFDF4C979BF325063A749C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51C59-D947-40D4-97AF-756550FCE8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50B0A5-6224-425C-9E34-FCD8EAC74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AB7D98-C89E-4393-8E28-731F447B9F94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9DB3527-0DDE-4424-813A-6120594569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7532FF-F8B7-4793-A62A-A46CD248E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12498C-0B5E-442D-BE77-718E3BF8A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ndryshimit të protokollit II të marrëveshjes së tregtisë së lirë ndërmjet Republikës së Shqipërisë dhe Republikës së Turqisë, të ratifikuar me ligjin nr.9733, datë 14.5.2007, në lidhje me përkufizimin e konceptit “Produkte origjinuese” d</vt:lpstr>
    </vt:vector>
  </TitlesOfParts>
  <Company/>
  <LinksUpToDate>false</LinksUpToDate>
  <CharactersWithSpaces>7704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ndryshimit të protokollit II të marrëveshjes së tregtisë së lirë ndërmjet Republikës së Shqipërisë dhe Republikës së Turqisë, të ratifikuar me ligjin nr.9733, datë 14.5.2007, në lidhje me përkufizimin e konceptit “Produkte origjinuese” dhe “Metoda e bashkëpunimit administrativ"</dc:title>
  <dc:creator>Gazmend Hanku</dc:creator>
  <cp:lastModifiedBy>Amarilda Halilaj</cp:lastModifiedBy>
  <cp:revision>36</cp:revision>
  <cp:lastPrinted>2019-10-18T10:41:00Z</cp:lastPrinted>
  <dcterms:created xsi:type="dcterms:W3CDTF">2020-07-13T08:21:00Z</dcterms:created>
  <dcterms:modified xsi:type="dcterms:W3CDTF">2020-07-15T08:10:00Z</dcterms:modified>
</cp:coreProperties>
</file>