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8F519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0911B4">
        <w:rPr>
          <w:rFonts w:ascii="Garamond" w:hAnsi="Garamond"/>
          <w:b/>
          <w:sz w:val="24"/>
          <w:szCs w:val="24"/>
        </w:rPr>
        <w:t>LIGJ</w:t>
      </w:r>
    </w:p>
    <w:p w14:paraId="2B18F51B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0911B4">
        <w:rPr>
          <w:rFonts w:ascii="Garamond" w:hAnsi="Garamond"/>
          <w:b/>
          <w:sz w:val="24"/>
          <w:szCs w:val="24"/>
        </w:rPr>
        <w:t>Nr. 146/2020</w:t>
      </w:r>
    </w:p>
    <w:p w14:paraId="2B18F51C" w14:textId="77777777" w:rsidR="005F403D" w:rsidRPr="000911B4" w:rsidRDefault="005F403D" w:rsidP="000911B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B18F51D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0911B4">
        <w:rPr>
          <w:rFonts w:ascii="Garamond" w:hAnsi="Garamond"/>
          <w:b/>
          <w:sz w:val="24"/>
          <w:szCs w:val="24"/>
        </w:rPr>
        <w:t>PËR DISA SHTESA DHE NDRYSHIME NË LIGJIN NR. 7895, DATË 27.1.1995, “KODI PENAL I REPUBLIKËS SË SHQIPËRISË”, TË NDRYSHUAR</w:t>
      </w:r>
    </w:p>
    <w:p w14:paraId="2B18F51E" w14:textId="77777777" w:rsidR="005F403D" w:rsidRPr="000911B4" w:rsidRDefault="005F403D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B18F51F" w14:textId="77777777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 xml:space="preserve">Në mbështetje të neneve 81, pikat 1 dhe 2, shkronja “d”, dhe 83, pika 1, të Kushtetutës, me propozimin e Këshillit të Ministrave dhe të një deputeti, </w:t>
      </w:r>
    </w:p>
    <w:p w14:paraId="2B18F520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21" w14:textId="365E8484" w:rsidR="005F403D" w:rsidRPr="000911B4" w:rsidRDefault="000911B4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3C3656" w:rsidRPr="000911B4">
        <w:rPr>
          <w:rFonts w:ascii="Garamond" w:hAnsi="Garamond"/>
          <w:sz w:val="24"/>
          <w:szCs w:val="24"/>
        </w:rPr>
        <w:t>I</w:t>
      </w:r>
    </w:p>
    <w:p w14:paraId="2B18F523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I REPUBLIKËS SË SHQIPËRISË</w:t>
      </w:r>
    </w:p>
    <w:p w14:paraId="2B18F524" w14:textId="77777777" w:rsidR="005F403D" w:rsidRPr="000911B4" w:rsidRDefault="005F403D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B18F525" w14:textId="2CC65F3C" w:rsidR="005F403D" w:rsidRPr="000911B4" w:rsidRDefault="000911B4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3C3656" w:rsidRPr="000911B4">
        <w:rPr>
          <w:rFonts w:ascii="Garamond" w:hAnsi="Garamond"/>
          <w:sz w:val="24"/>
          <w:szCs w:val="24"/>
        </w:rPr>
        <w:t>I:</w:t>
      </w:r>
    </w:p>
    <w:p w14:paraId="2B18F526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27" w14:textId="03EEB29D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 xml:space="preserve">Në ligjin nr. 7895, datë 27.1.1995, “Kodi Penal i Republikës së Shqipërisë”, të ndryshuar, bëhen shtesat dhe ndryshimet </w:t>
      </w:r>
      <w:r w:rsidR="00403E12" w:rsidRPr="000911B4">
        <w:rPr>
          <w:rFonts w:ascii="Garamond" w:hAnsi="Garamond"/>
          <w:sz w:val="24"/>
          <w:szCs w:val="24"/>
        </w:rPr>
        <w:t>e mëposhtme</w:t>
      </w:r>
      <w:r w:rsidR="00213D66">
        <w:rPr>
          <w:rFonts w:ascii="Garamond" w:hAnsi="Garamond"/>
          <w:sz w:val="24"/>
          <w:szCs w:val="24"/>
        </w:rPr>
        <w:t>:</w:t>
      </w:r>
    </w:p>
    <w:p w14:paraId="2B18F528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29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Neni 1</w:t>
      </w:r>
    </w:p>
    <w:p w14:paraId="2B18F52A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2B" w14:textId="77777777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Në nenin 52/a togfjalëshi “319/c dhe 328” zëvendësohet me togfjalëshin “dhe 319/c.”</w:t>
      </w:r>
    </w:p>
    <w:p w14:paraId="2B18F52C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2D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Neni 2</w:t>
      </w:r>
    </w:p>
    <w:p w14:paraId="2B18F52E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2F" w14:textId="2AB6E06B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Pas nenit 52/a</w:t>
      </w:r>
      <w:r w:rsidR="00213D66">
        <w:rPr>
          <w:rFonts w:ascii="Garamond" w:hAnsi="Garamond"/>
          <w:sz w:val="24"/>
          <w:szCs w:val="24"/>
        </w:rPr>
        <w:t>,</w:t>
      </w:r>
      <w:r w:rsidRPr="000911B4">
        <w:rPr>
          <w:rFonts w:ascii="Garamond" w:hAnsi="Garamond"/>
          <w:sz w:val="24"/>
          <w:szCs w:val="24"/>
        </w:rPr>
        <w:t xml:space="preserve"> shtohet neni 52/b</w:t>
      </w:r>
      <w:r w:rsidR="00213D66">
        <w:rPr>
          <w:rFonts w:ascii="Garamond" w:hAnsi="Garamond"/>
          <w:sz w:val="24"/>
          <w:szCs w:val="24"/>
        </w:rPr>
        <w:t>,</w:t>
      </w:r>
      <w:r w:rsidRPr="000911B4">
        <w:rPr>
          <w:rFonts w:ascii="Garamond" w:hAnsi="Garamond"/>
          <w:sz w:val="24"/>
          <w:szCs w:val="24"/>
        </w:rPr>
        <w:t xml:space="preserve"> me këtë përmbajtje: </w:t>
      </w:r>
    </w:p>
    <w:p w14:paraId="2B18F530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31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“Neni 52/b</w:t>
      </w:r>
    </w:p>
    <w:p w14:paraId="2B18F533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0911B4">
        <w:rPr>
          <w:rFonts w:ascii="Garamond" w:hAnsi="Garamond"/>
          <w:b/>
          <w:sz w:val="24"/>
          <w:szCs w:val="24"/>
        </w:rPr>
        <w:t>Përjashtimi nga dënimi për krimet në fushën e zgjedhjeve</w:t>
      </w:r>
    </w:p>
    <w:p w14:paraId="2B18F534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35" w14:textId="44CC1FA5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Personi që ka kryer një ose më shumë vepra penale të parashikuara në kreun X</w:t>
      </w:r>
      <w:r w:rsidR="00213D66">
        <w:rPr>
          <w:rFonts w:ascii="Garamond" w:hAnsi="Garamond"/>
          <w:sz w:val="24"/>
          <w:szCs w:val="24"/>
        </w:rPr>
        <w:t>,</w:t>
      </w:r>
      <w:r w:rsidRPr="000911B4">
        <w:rPr>
          <w:rFonts w:ascii="Garamond" w:hAnsi="Garamond"/>
          <w:sz w:val="24"/>
          <w:szCs w:val="24"/>
        </w:rPr>
        <w:t xml:space="preserve"> të këtij Kodi, i cili bashkëpunon dhe ndihmon organet e ndjekjes penale për hetimin, si dhe për zbulimin e personave të tjerë, bashkëpunëtorë në kryerjen e veprës penale ose autorë të veprave të tjera të lidhura, përjashtohet nga dënimi për veprën penale të kryer prej tij.”.</w:t>
      </w:r>
    </w:p>
    <w:p w14:paraId="2B18F536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37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Neni 3</w:t>
      </w:r>
    </w:p>
    <w:p w14:paraId="2B18F538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39" w14:textId="6285B6F1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Pas nenit 154</w:t>
      </w:r>
      <w:r w:rsidR="00213D66">
        <w:rPr>
          <w:rFonts w:ascii="Garamond" w:hAnsi="Garamond"/>
          <w:sz w:val="24"/>
          <w:szCs w:val="24"/>
        </w:rPr>
        <w:t>,</w:t>
      </w:r>
      <w:r w:rsidRPr="000911B4">
        <w:rPr>
          <w:rFonts w:ascii="Garamond" w:hAnsi="Garamond"/>
          <w:sz w:val="24"/>
          <w:szCs w:val="24"/>
        </w:rPr>
        <w:t xml:space="preserve"> shtohet neni 154/a</w:t>
      </w:r>
      <w:r w:rsidR="00213D66">
        <w:rPr>
          <w:rFonts w:ascii="Garamond" w:hAnsi="Garamond"/>
          <w:sz w:val="24"/>
          <w:szCs w:val="24"/>
        </w:rPr>
        <w:t>,</w:t>
      </w:r>
      <w:r w:rsidRPr="000911B4">
        <w:rPr>
          <w:rFonts w:ascii="Garamond" w:hAnsi="Garamond"/>
          <w:sz w:val="24"/>
          <w:szCs w:val="24"/>
        </w:rPr>
        <w:t xml:space="preserve"> me këtë përmbajtje:</w:t>
      </w:r>
    </w:p>
    <w:p w14:paraId="2B18F53A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3F" w14:textId="795E27A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“Neni 154/a</w:t>
      </w:r>
    </w:p>
    <w:p w14:paraId="2B18F541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0911B4">
        <w:rPr>
          <w:rFonts w:ascii="Garamond" w:hAnsi="Garamond"/>
          <w:b/>
          <w:sz w:val="24"/>
          <w:szCs w:val="24"/>
        </w:rPr>
        <w:t>Shkatërrimi i ndërtesave dhe objekteve të tjera</w:t>
      </w:r>
    </w:p>
    <w:p w14:paraId="2B18F542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43" w14:textId="77777777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Kryerja me dashje e çdo veprimi tjetër, të ndryshëm me ato të parashikuara nga nenet e mësipërme të këtij seksioni, që mund të sjellë shkatërrimin e plotë ose të pjesshëm të ndërtesës, të objektit qytetar, të veprës industriale, të infrastrukturës apo të çdo objekti tjetër ose që mund të rrezikojë jetën ose shëndetin e njerëzve, nëse nuk përbën vepër tjetër penale, dënohet me gjobë ose me burgim deri në pesë vjet.</w:t>
      </w:r>
    </w:p>
    <w:p w14:paraId="2B18F544" w14:textId="77777777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 xml:space="preserve">Kur nga vepra penale kanë ardhur pasoja të rënda materiale, dënohet me burgim nga pesë deri në dhjetë vjet. </w:t>
      </w:r>
    </w:p>
    <w:p w14:paraId="2B18F545" w14:textId="77777777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Kur janë shkaktuar pasoja të rënda për jetën dhe shëndetin e njerëzve, dënohet me burgim nga pesë deri në pesëmbëdhjetë vjet.”.</w:t>
      </w:r>
    </w:p>
    <w:p w14:paraId="2B18F546" w14:textId="77777777" w:rsidR="005F403D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E862B9" w14:textId="77777777" w:rsidR="000911B4" w:rsidRPr="000911B4" w:rsidRDefault="000911B4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47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lastRenderedPageBreak/>
        <w:t>Neni 4</w:t>
      </w:r>
    </w:p>
    <w:p w14:paraId="2B18F548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49" w14:textId="77777777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Në nenin 199/a, pas paragrafit të parë shtohet paragrafi i dytë me këtë përmbajtje:</w:t>
      </w:r>
    </w:p>
    <w:p w14:paraId="2B18F54A" w14:textId="77777777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“Po kjo vepër, e kryer për plotësimin e nevojave për strehim sipas ligjit, dënohet me gjobë ose me burgim deri në tre muaj.”.</w:t>
      </w:r>
    </w:p>
    <w:p w14:paraId="2B18F54B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4C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Neni 5</w:t>
      </w:r>
    </w:p>
    <w:p w14:paraId="2B18F54D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4E" w14:textId="1DA44699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Neni 199/b</w:t>
      </w:r>
      <w:r w:rsidR="00213D66">
        <w:rPr>
          <w:rFonts w:ascii="Garamond" w:hAnsi="Garamond"/>
          <w:sz w:val="24"/>
          <w:szCs w:val="24"/>
        </w:rPr>
        <w:t>,</w:t>
      </w:r>
      <w:r w:rsidRPr="000911B4">
        <w:rPr>
          <w:rFonts w:ascii="Garamond" w:hAnsi="Garamond"/>
          <w:sz w:val="24"/>
          <w:szCs w:val="24"/>
        </w:rPr>
        <w:t xml:space="preserve"> ndryshohet</w:t>
      </w:r>
      <w:r w:rsidR="00213D66">
        <w:rPr>
          <w:rFonts w:ascii="Garamond" w:hAnsi="Garamond"/>
          <w:sz w:val="24"/>
          <w:szCs w:val="24"/>
        </w:rPr>
        <w:t>,</w:t>
      </w:r>
      <w:r w:rsidRPr="000911B4">
        <w:rPr>
          <w:rFonts w:ascii="Garamond" w:hAnsi="Garamond"/>
          <w:sz w:val="24"/>
          <w:szCs w:val="24"/>
        </w:rPr>
        <w:t xml:space="preserve"> si më poshtë:</w:t>
      </w:r>
    </w:p>
    <w:p w14:paraId="7829F714" w14:textId="77777777" w:rsidR="000911B4" w:rsidRDefault="000911B4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50" w14:textId="7CF8BB4A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“Neni 199/b</w:t>
      </w:r>
    </w:p>
    <w:p w14:paraId="2B18F552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0911B4">
        <w:rPr>
          <w:rFonts w:ascii="Garamond" w:hAnsi="Garamond"/>
          <w:b/>
          <w:sz w:val="24"/>
          <w:szCs w:val="24"/>
        </w:rPr>
        <w:t>Projektimi, mbikëqyrja, zbatimi ose kolaudimi i paligjshëm i ndërtimeve</w:t>
      </w:r>
    </w:p>
    <w:p w14:paraId="2B18F553" w14:textId="77777777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 xml:space="preserve"> </w:t>
      </w:r>
    </w:p>
    <w:p w14:paraId="2B18F554" w14:textId="77777777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Projektimi, mbikëqyrja, zbatimi ose kolaudimi i punimeve të ndërtimit në kundërshtim me ligjin, dokumentet e planifikimit, standardet profesionale në fuqi ose në kundërshtim me lejen e zhvillimit ose të ndërtimit nga persona ndaj të cilëve janë marrë më parë masa administrative për këto shkelje, dënohet me burgim nga një deri në pesë vjet.</w:t>
      </w:r>
    </w:p>
    <w:p w14:paraId="2B18F555" w14:textId="77777777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Nxitja me ose pa shpërblim, ose detyrimi i projektuesit, mbikëqyrësit, zbatuesit ose kolauduesit të punimeve të ndërtimit për të shkelur rregullat që garantojnë kryerjen e ndërtimeve në përputhje me ligjin, dokumentet e planifikimit, standardet profesionale në fuqi ose në kundërshtim me lejen e zhvillimit ose të ndërtimit, sipas paragrafit të parë të këtij neni, nëse nuk përbën vepër tjetër penale, dënohet me burgim nga një deri në pesë vjet.</w:t>
      </w:r>
    </w:p>
    <w:p w14:paraId="2B18F556" w14:textId="77777777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 xml:space="preserve">Kur nga vepra penale kanë ardhur pasoja të rënda materiale, dënohet me burgim nga pesë deri në dhjetë vjet. </w:t>
      </w:r>
    </w:p>
    <w:p w14:paraId="2B18F557" w14:textId="77777777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Kur janë shkaktuar pasoja të rënda për jetën dhe shëndetin e njerëzve, dënohet me burgim nga pesë deri në pesëmbëdhjetë vjet.”.</w:t>
      </w:r>
    </w:p>
    <w:p w14:paraId="2B18F558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59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Neni 6</w:t>
      </w:r>
    </w:p>
    <w:p w14:paraId="2B18F55A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5B" w14:textId="77777777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Në nenin 328 hiqet togfjalëshi “në kundërshtim me ligjin”.</w:t>
      </w:r>
    </w:p>
    <w:p w14:paraId="2B18F55C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5D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Neni 7</w:t>
      </w:r>
    </w:p>
    <w:p w14:paraId="2B18F55E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5F" w14:textId="77777777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Në paragrafin e fundit të nenit 328/a hiqet togfjalëshi “në kundërshtim me ligjin dhe qëllimin e detyrës”.</w:t>
      </w:r>
    </w:p>
    <w:p w14:paraId="0959FEE8" w14:textId="77777777" w:rsidR="000911B4" w:rsidRDefault="000911B4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60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Neni 8</w:t>
      </w:r>
    </w:p>
    <w:p w14:paraId="2B18F561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62" w14:textId="089823BD" w:rsidR="005F403D" w:rsidRPr="000911B4" w:rsidRDefault="00213D6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Në nenin 328/b hiqet</w:t>
      </w:r>
      <w:r w:rsidR="003C3656" w:rsidRPr="000911B4">
        <w:rPr>
          <w:rFonts w:ascii="Garamond" w:hAnsi="Garamond"/>
          <w:sz w:val="24"/>
          <w:szCs w:val="24"/>
        </w:rPr>
        <w:t xml:space="preserve"> togfjalëshi “në kundërshtim me ligjin”.</w:t>
      </w:r>
    </w:p>
    <w:p w14:paraId="2B18F563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64" w14:textId="77777777" w:rsidR="005F403D" w:rsidRPr="000911B4" w:rsidRDefault="003C3656" w:rsidP="000911B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Neni 9</w:t>
      </w:r>
    </w:p>
    <w:p w14:paraId="2B18F565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66" w14:textId="77777777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Ky ligj hyn në fuqi 15 ditë pas botimit në Fletoren Zyrtare.</w:t>
      </w:r>
    </w:p>
    <w:p w14:paraId="2B18F568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6D" w14:textId="77777777" w:rsidR="005F403D" w:rsidRPr="000911B4" w:rsidRDefault="003C3656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0911B4">
        <w:rPr>
          <w:rFonts w:ascii="Garamond" w:hAnsi="Garamond"/>
          <w:sz w:val="24"/>
          <w:szCs w:val="24"/>
        </w:rPr>
        <w:t>Miratuar në datën 17.12.2020</w:t>
      </w:r>
    </w:p>
    <w:p w14:paraId="2B18F56E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8F56F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709032" w14:textId="04798D3B" w:rsidR="004F5D78" w:rsidRPr="00F05A9C" w:rsidRDefault="004F5D78" w:rsidP="004F5D78">
      <w:pPr>
        <w:rPr>
          <w:rFonts w:ascii="Garamond" w:eastAsia="Times New Roman" w:hAnsi="Garamond" w:cs="Times New Roman"/>
          <w:b/>
          <w:sz w:val="24"/>
          <w:szCs w:val="24"/>
        </w:rPr>
      </w:pPr>
      <w:r w:rsidRPr="00F05A9C">
        <w:rPr>
          <w:rFonts w:ascii="Garamond" w:eastAsia="Times New Roman" w:hAnsi="Garamond" w:cs="Times New Roman"/>
          <w:b/>
          <w:sz w:val="24"/>
          <w:szCs w:val="24"/>
        </w:rPr>
        <w:t>Shpallur me dekretin nr.</w:t>
      </w:r>
      <w:r>
        <w:rPr>
          <w:rFonts w:ascii="Garamond" w:eastAsia="Times New Roman" w:hAnsi="Garamond" w:cs="Times New Roman"/>
          <w:b/>
          <w:sz w:val="24"/>
          <w:szCs w:val="24"/>
        </w:rPr>
        <w:t xml:space="preserve"> 11904</w:t>
      </w:r>
      <w:bookmarkStart w:id="0" w:name="_GoBack"/>
      <w:bookmarkEnd w:id="0"/>
      <w:r w:rsidRPr="00F05A9C">
        <w:rPr>
          <w:rFonts w:ascii="Garamond" w:eastAsia="Times New Roman" w:hAnsi="Garamond" w:cs="Times New Roman"/>
          <w:b/>
          <w:sz w:val="24"/>
          <w:szCs w:val="24"/>
        </w:rPr>
        <w:t xml:space="preserve">, datë </w:t>
      </w:r>
      <w:r>
        <w:rPr>
          <w:rFonts w:ascii="Garamond" w:eastAsia="Times New Roman" w:hAnsi="Garamond" w:cs="Times New Roman"/>
          <w:b/>
          <w:sz w:val="24"/>
          <w:szCs w:val="24"/>
        </w:rPr>
        <w:t xml:space="preserve">8.1.2021 </w:t>
      </w:r>
      <w:r w:rsidRPr="00F05A9C">
        <w:rPr>
          <w:rFonts w:ascii="Garamond" w:eastAsia="Times New Roman" w:hAnsi="Garamond" w:cs="Times New Roman"/>
          <w:b/>
          <w:sz w:val="24"/>
          <w:szCs w:val="24"/>
        </w:rPr>
        <w:t>të Presidentit të Republikës së Shqipërisë, Ilir Meta</w:t>
      </w:r>
    </w:p>
    <w:p w14:paraId="2B18F570" w14:textId="77777777" w:rsidR="005F403D" w:rsidRPr="000911B4" w:rsidRDefault="005F403D" w:rsidP="000911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5F403D" w:rsidRPr="000911B4" w:rsidSect="00D572BF">
      <w:footerReference w:type="default" r:id="rId13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A7AD1" w14:textId="77777777" w:rsidR="004F5D78" w:rsidRDefault="004F5D78">
      <w:pPr>
        <w:spacing w:after="0" w:line="240" w:lineRule="auto"/>
      </w:pPr>
      <w:r>
        <w:separator/>
      </w:r>
    </w:p>
  </w:endnote>
  <w:endnote w:type="continuationSeparator" w:id="0">
    <w:p w14:paraId="7462EBE8" w14:textId="77777777" w:rsidR="004F5D78" w:rsidRDefault="004F5D78">
      <w:pPr>
        <w:spacing w:after="0" w:line="240" w:lineRule="auto"/>
      </w:pPr>
      <w:r>
        <w:continuationSeparator/>
      </w:r>
    </w:p>
  </w:endnote>
  <w:endnote w:type="continuationNotice" w:id="1">
    <w:p w14:paraId="5050C2A7" w14:textId="77777777" w:rsidR="004F5D78" w:rsidRDefault="004F5D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66678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B18F576" w14:textId="77777777" w:rsidR="004F5D78" w:rsidRPr="00D572BF" w:rsidRDefault="004F5D7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72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72B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572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72B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B18F577" w14:textId="77777777" w:rsidR="004F5D78" w:rsidRDefault="004F5D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BF821" w14:textId="77777777" w:rsidR="004F5D78" w:rsidRDefault="004F5D78">
      <w:pPr>
        <w:spacing w:after="0" w:line="240" w:lineRule="auto"/>
      </w:pPr>
      <w:r>
        <w:separator/>
      </w:r>
    </w:p>
  </w:footnote>
  <w:footnote w:type="continuationSeparator" w:id="0">
    <w:p w14:paraId="30BF6F60" w14:textId="77777777" w:rsidR="004F5D78" w:rsidRDefault="004F5D78">
      <w:pPr>
        <w:spacing w:after="0" w:line="240" w:lineRule="auto"/>
      </w:pPr>
      <w:r>
        <w:continuationSeparator/>
      </w:r>
    </w:p>
  </w:footnote>
  <w:footnote w:type="continuationNotice" w:id="1">
    <w:p w14:paraId="68257475" w14:textId="77777777" w:rsidR="004F5D78" w:rsidRDefault="004F5D7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03D"/>
    <w:rsid w:val="00000137"/>
    <w:rsid w:val="00012B1B"/>
    <w:rsid w:val="000911B4"/>
    <w:rsid w:val="00213D66"/>
    <w:rsid w:val="003C3656"/>
    <w:rsid w:val="003E5D87"/>
    <w:rsid w:val="00403E12"/>
    <w:rsid w:val="00491679"/>
    <w:rsid w:val="004F5D78"/>
    <w:rsid w:val="005F403D"/>
    <w:rsid w:val="008C410F"/>
    <w:rsid w:val="00902BC5"/>
    <w:rsid w:val="00B02DE7"/>
    <w:rsid w:val="00B211A9"/>
    <w:rsid w:val="00CB5E1F"/>
    <w:rsid w:val="00CD4D88"/>
    <w:rsid w:val="00D37520"/>
    <w:rsid w:val="00D54324"/>
    <w:rsid w:val="00D5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8F513"/>
  <w15:docId w15:val="{288AD6E1-5DED-4AE9-B9DB-1B794357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7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2BF"/>
  </w:style>
  <w:style w:type="paragraph" w:styleId="Footer">
    <w:name w:val="footer"/>
    <w:basedOn w:val="Normal"/>
    <w:link w:val="FooterChar"/>
    <w:uiPriority w:val="99"/>
    <w:unhideWhenUsed/>
    <w:rsid w:val="00D57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146</Nr_x002e__x0020_akti>
    <Data_x0020_e_x0020_Krijimit xmlns="0e656187-b300-4fb0-8bf4-3a50f872073c">2021-01-12T11:20:19Z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2021-01-11T23:00:00Z</Date_x0020_protokolli>
    <Titulli xmlns="0e656187-b300-4fb0-8bf4-3a50f872073c">Për disa shtesa dhe ndryshime në ligjin nr. 7895, datë 27.1.1995, "Kodi Penal i Republikës së Shqipërisë", të ndryshuar</Titulli>
    <Modifikuesi xmlns="0e656187-b300-4fb0-8bf4-3a50f872073c">Fjora.Korita</Modifikuesi>
    <Nr_x002e__x0020_prot_x0020_QBZ xmlns="0e656187-b300-4fb0-8bf4-3a50f872073c">57/1</Nr_x002e__x0020_prot_x0020_QBZ>
    <Data_x0020_e_x0020_Modifikimit xmlns="0e656187-b300-4fb0-8bf4-3a50f872073c">2021-01-13T09:13:41Z</Data_x0020_e_x0020_Modifikimit>
    <Dekretuar xmlns="0e656187-b300-4fb0-8bf4-3a50f872073c">false</Dekretuar>
    <Data xmlns="0e656187-b300-4fb0-8bf4-3a50f872073c">2020-12-16T23:00:00Z</Data>
    <Nr_x002e__x0020_protokolli_x0020_i_x0020_aktit xmlns="0e656187-b300-4fb0-8bf4-3a50f872073c">119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B06E7F471F94875A9F31225B92103B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B06E7F471F94875A9F31225B92103B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D1874-396E-4F1F-B7B8-76B038E74A01}">
  <ds:schemaRefs>
    <ds:schemaRef ds:uri="0e656187-b300-4fb0-8bf4-3a50f872073c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2EA4AFF-D381-47CE-8D32-B8B63D8865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B57A18-A7B5-45FC-95B1-97F1FDFF8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16EF3A0-A411-4D1C-9657-96CF08D8A50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2D7984-909B-40D8-960C-9FF2B7046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AE4DA7A-E316-4766-B60A-E57F47440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7895, datë 27.1.1995, "Kodi Penal i Republikës së Shqipërisë", të ndryshuar</vt:lpstr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7895, datë 27.1.1995, "Kodi Penal i Republikës së Shqipërisë", të ndryshuar</dc:title>
  <dc:creator>gazmend.hanku</dc:creator>
  <cp:lastModifiedBy>Amarilda Muja</cp:lastModifiedBy>
  <cp:revision>7</cp:revision>
  <cp:lastPrinted>2020-12-24T09:13:00Z</cp:lastPrinted>
  <dcterms:created xsi:type="dcterms:W3CDTF">2021-01-11T11:08:00Z</dcterms:created>
  <dcterms:modified xsi:type="dcterms:W3CDTF">2021-01-13T09:45:00Z</dcterms:modified>
</cp:coreProperties>
</file>