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56F50" w14:textId="77777777" w:rsidR="00420682" w:rsidRPr="007C23E4" w:rsidRDefault="00420682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LIGJ</w:t>
      </w:r>
    </w:p>
    <w:p w14:paraId="6DC56F52" w14:textId="77777777" w:rsidR="00420682" w:rsidRPr="007C23E4" w:rsidRDefault="002009A1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 xml:space="preserve">Nr. </w:t>
      </w:r>
      <w:r w:rsidR="00A14C87" w:rsidRPr="007C23E4">
        <w:rPr>
          <w:rFonts w:ascii="Garamond" w:hAnsi="Garamond"/>
          <w:b/>
          <w:sz w:val="24"/>
          <w:szCs w:val="24"/>
        </w:rPr>
        <w:t>154</w:t>
      </w:r>
      <w:r w:rsidR="001C7EC0" w:rsidRPr="007C23E4">
        <w:rPr>
          <w:rFonts w:ascii="Garamond" w:hAnsi="Garamond"/>
          <w:b/>
          <w:sz w:val="24"/>
          <w:szCs w:val="24"/>
        </w:rPr>
        <w:t>/2020</w:t>
      </w:r>
    </w:p>
    <w:p w14:paraId="6DC56F53" w14:textId="77777777" w:rsidR="001C322E" w:rsidRPr="007C23E4" w:rsidRDefault="001C322E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DC56F54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PËR REGJISTRIN QENDROR TË LLOGARIVE BANKARE</w:t>
      </w:r>
      <w:r w:rsidRPr="007C23E4">
        <w:rPr>
          <w:rFonts w:ascii="Garamond" w:hAnsi="Garamond"/>
          <w:b/>
          <w:sz w:val="24"/>
          <w:szCs w:val="24"/>
          <w:vertAlign w:val="superscript"/>
        </w:rPr>
        <w:footnoteReference w:id="2"/>
      </w:r>
    </w:p>
    <w:p w14:paraId="6DC56F55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 </w:t>
      </w:r>
    </w:p>
    <w:p w14:paraId="6DC56F56" w14:textId="77777777" w:rsidR="00F95FD7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Në mbështetje të neneve 78 e 83, pikat 1 e 2, të Kushtetutës, me propozimin e Këshillit të Ministrave, </w:t>
      </w:r>
    </w:p>
    <w:p w14:paraId="6DC56F57" w14:textId="77777777" w:rsidR="00F95FD7" w:rsidRPr="007C23E4" w:rsidRDefault="00F95FD7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58" w14:textId="2DAD843C" w:rsidR="00F95FD7" w:rsidRPr="007C23E4" w:rsidRDefault="00984668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KUVEND</w:t>
      </w:r>
      <w:r w:rsidR="00F95FD7" w:rsidRPr="007C23E4">
        <w:rPr>
          <w:rFonts w:ascii="Garamond" w:hAnsi="Garamond"/>
          <w:sz w:val="24"/>
          <w:szCs w:val="24"/>
        </w:rPr>
        <w:t>I</w:t>
      </w:r>
    </w:p>
    <w:p w14:paraId="6DC56F5A" w14:textId="77777777" w:rsidR="00A4231C" w:rsidRPr="007C23E4" w:rsidRDefault="00F95FD7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I REPUBLIKËS SË SHQIPËRISË</w:t>
      </w:r>
    </w:p>
    <w:p w14:paraId="6DC56F5B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DC56F5C" w14:textId="67C8FC52" w:rsidR="00A4231C" w:rsidRPr="007C23E4" w:rsidRDefault="00984668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VENDOS</w:t>
      </w:r>
      <w:r w:rsidR="00A4231C" w:rsidRPr="007C23E4">
        <w:rPr>
          <w:rFonts w:ascii="Garamond" w:hAnsi="Garamond"/>
          <w:sz w:val="24"/>
          <w:szCs w:val="24"/>
        </w:rPr>
        <w:t>I:</w:t>
      </w:r>
    </w:p>
    <w:p w14:paraId="6DC56F5D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DC56F5E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</w:t>
      </w:r>
    </w:p>
    <w:p w14:paraId="6DC56F60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Objekti</w:t>
      </w:r>
    </w:p>
    <w:p w14:paraId="6DC56F61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6DC56F62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Objekti i këtij ligji është përcaktimi i parimeve të përgjithshme dhe i rregullave për krijimin e administrimin e Regjistrit Qendror të Llogarive Bankare dhe kasetave të sigurisë, si një bazë e të dhënave shtetërore, si dhe detyrimin e institucioneve financ</w:t>
      </w:r>
      <w:r w:rsidR="00A14C87" w:rsidRPr="007C23E4">
        <w:rPr>
          <w:rFonts w:ascii="Garamond" w:hAnsi="Garamond"/>
          <w:sz w:val="24"/>
          <w:szCs w:val="24"/>
        </w:rPr>
        <w:t>iare për të raportuar të dhënat</w:t>
      </w:r>
      <w:r w:rsidRPr="007C23E4">
        <w:rPr>
          <w:rFonts w:ascii="Garamond" w:hAnsi="Garamond"/>
          <w:sz w:val="24"/>
          <w:szCs w:val="24"/>
        </w:rPr>
        <w:t xml:space="preserve"> sipas përcaktimeve t</w:t>
      </w:r>
      <w:r w:rsidR="00A14C87" w:rsidRPr="007C23E4">
        <w:rPr>
          <w:rFonts w:ascii="Garamond" w:hAnsi="Garamond"/>
          <w:sz w:val="24"/>
          <w:szCs w:val="24"/>
        </w:rPr>
        <w:t>ë</w:t>
      </w:r>
      <w:r w:rsidRPr="007C23E4">
        <w:rPr>
          <w:rFonts w:ascii="Garamond" w:hAnsi="Garamond"/>
          <w:sz w:val="24"/>
          <w:szCs w:val="24"/>
        </w:rPr>
        <w:t xml:space="preserve"> këtij ligji.</w:t>
      </w:r>
    </w:p>
    <w:p w14:paraId="6DC56F63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64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2</w:t>
      </w:r>
    </w:p>
    <w:p w14:paraId="6DC56F66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Qëllimi</w:t>
      </w:r>
    </w:p>
    <w:p w14:paraId="6DC56F67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6DC56F68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Qëllimi i këtij ligji është krijimi i kushteve për parandalimin e përdorimit të sistemit financiar në Republikën e Shqipërisë, për pastrimin e parave dhe të produkteve që burojnë nga veprat penale, </w:t>
      </w:r>
      <w:r w:rsidR="00A14C87" w:rsidRPr="007C23E4">
        <w:rPr>
          <w:rFonts w:ascii="Garamond" w:hAnsi="Garamond"/>
          <w:sz w:val="24"/>
          <w:szCs w:val="24"/>
        </w:rPr>
        <w:t xml:space="preserve">për </w:t>
      </w:r>
      <w:r w:rsidRPr="007C23E4">
        <w:rPr>
          <w:rFonts w:ascii="Garamond" w:hAnsi="Garamond"/>
          <w:sz w:val="24"/>
          <w:szCs w:val="24"/>
        </w:rPr>
        <w:t xml:space="preserve">parandalimin e financimit të terrorizmit, si dhe </w:t>
      </w:r>
      <w:r w:rsidR="00A14C87" w:rsidRPr="007C23E4">
        <w:rPr>
          <w:rFonts w:ascii="Garamond" w:hAnsi="Garamond"/>
          <w:sz w:val="24"/>
          <w:szCs w:val="24"/>
        </w:rPr>
        <w:t xml:space="preserve">për </w:t>
      </w:r>
      <w:r w:rsidRPr="007C23E4">
        <w:rPr>
          <w:rFonts w:ascii="Garamond" w:hAnsi="Garamond"/>
          <w:sz w:val="24"/>
          <w:szCs w:val="24"/>
        </w:rPr>
        <w:t>lehtësimin e procedurave të mbledhjes së detyrimeve tatimore, taksave apo tarifave, në nivel qendror apo vendor.</w:t>
      </w:r>
    </w:p>
    <w:p w14:paraId="6DC56F69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6D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3</w:t>
      </w:r>
    </w:p>
    <w:p w14:paraId="6DC56F6F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Fusha e zbatimit</w:t>
      </w:r>
    </w:p>
    <w:p w14:paraId="6DC56F70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71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Ky ligj zbatohet nga të gjitha institucionet financiare, të cilat veprojnë në Republikën e Shqipërisë dhe ofrojnë shërbimet e llogarive bankare ose të kasetave të sigurisë për klientët e tyre. </w:t>
      </w:r>
    </w:p>
    <w:p w14:paraId="6DC56F72" w14:textId="77777777" w:rsidR="00F95FD7" w:rsidRPr="007C23E4" w:rsidRDefault="00F95FD7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73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4</w:t>
      </w:r>
    </w:p>
    <w:p w14:paraId="6DC56F75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Përkufizime</w:t>
      </w:r>
    </w:p>
    <w:p w14:paraId="6DC56F76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77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Në kuptim të këtij ligji, termat e mëposhtëm kanë këto kuptime:</w:t>
      </w:r>
    </w:p>
    <w:p w14:paraId="6DC56F78" w14:textId="77777777" w:rsidR="00A4231C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“Regjistri” është Regjistri Qendror i Llogarive Bankare dhe i kasetave të sigurisë, si një bazë e të dhënave shtetërore, në të cilin</w:t>
      </w:r>
      <w:r w:rsidRPr="007C23E4">
        <w:rPr>
          <w:rFonts w:ascii="Garamond" w:hAnsi="Garamond"/>
          <w:sz w:val="24"/>
          <w:szCs w:val="24"/>
        </w:rPr>
        <w:t xml:space="preserve"> regjistrohen e ruhen të dhënat,</w:t>
      </w:r>
      <w:r w:rsidR="00A4231C" w:rsidRPr="007C23E4">
        <w:rPr>
          <w:rFonts w:ascii="Garamond" w:hAnsi="Garamond"/>
          <w:sz w:val="24"/>
          <w:szCs w:val="24"/>
        </w:rPr>
        <w:t xml:space="preserve"> sipas përcaktimeve të këtij ligji, në formë elektronike. Përpunimi dhe përditësimi i tij kryhen në mënyrë të automatizuar, me </w:t>
      </w:r>
      <w:r w:rsidR="00A4231C" w:rsidRPr="007C23E4">
        <w:rPr>
          <w:rFonts w:ascii="Garamond" w:hAnsi="Garamond"/>
          <w:sz w:val="24"/>
          <w:szCs w:val="24"/>
        </w:rPr>
        <w:lastRenderedPageBreak/>
        <w:t>ndërveprim, nëpërmjet një sistemi komp</w:t>
      </w:r>
      <w:r w:rsidRPr="007C23E4">
        <w:rPr>
          <w:rFonts w:ascii="Garamond" w:hAnsi="Garamond"/>
          <w:sz w:val="24"/>
          <w:szCs w:val="24"/>
        </w:rPr>
        <w:t>juterik, që lejon identifikimin në kohën e duhur</w:t>
      </w:r>
      <w:r w:rsidR="00A4231C" w:rsidRPr="007C23E4">
        <w:rPr>
          <w:rFonts w:ascii="Garamond" w:hAnsi="Garamond"/>
          <w:sz w:val="24"/>
          <w:szCs w:val="24"/>
        </w:rPr>
        <w:t xml:space="preserve"> të çdo individi, personi fizik ose juridik, që ka ose kontrollon llogari bankare të identifikuar nga I</w:t>
      </w:r>
      <w:r w:rsidR="0088140F" w:rsidRPr="007C23E4">
        <w:rPr>
          <w:rFonts w:ascii="Garamond" w:hAnsi="Garamond"/>
          <w:sz w:val="24"/>
          <w:szCs w:val="24"/>
        </w:rPr>
        <w:t>BAN dhe kasetat e sigurisë</w:t>
      </w:r>
      <w:r w:rsidR="00A4231C" w:rsidRPr="007C23E4">
        <w:rPr>
          <w:rFonts w:ascii="Garamond" w:hAnsi="Garamond"/>
          <w:sz w:val="24"/>
          <w:szCs w:val="24"/>
        </w:rPr>
        <w:t xml:space="preserve"> të mbajtura nga një institucion financiar brenda territorit të Republikës së Shqipërisë.</w:t>
      </w:r>
    </w:p>
    <w:p w14:paraId="6DC56F79" w14:textId="77777777" w:rsidR="00A4231C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 xml:space="preserve">“Llogari bankare” 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>sht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 xml:space="preserve"> llogaria e mbajtur nga një institucion financiar për një klient individ, person fizik ose juridik, e cila përfshin llogari depozitë, llogari rrjedhëse, llogari për kartë krediti, llogari pagese apo çdo lloj llogarie tjetër të ofruar nga një institucion financiar, pavarësisht status</w:t>
      </w:r>
      <w:r w:rsidRPr="007C23E4">
        <w:rPr>
          <w:rFonts w:ascii="Garamond" w:hAnsi="Garamond"/>
          <w:sz w:val="24"/>
          <w:szCs w:val="24"/>
        </w:rPr>
        <w:t xml:space="preserve">it të saj: aktive, e bllokuar </w:t>
      </w:r>
      <w:r w:rsidR="00A4231C" w:rsidRPr="007C23E4">
        <w:rPr>
          <w:rFonts w:ascii="Garamond" w:hAnsi="Garamond"/>
          <w:sz w:val="24"/>
          <w:szCs w:val="24"/>
        </w:rPr>
        <w:t>o</w:t>
      </w:r>
      <w:r w:rsidRPr="007C23E4">
        <w:rPr>
          <w:rFonts w:ascii="Garamond" w:hAnsi="Garamond"/>
          <w:sz w:val="24"/>
          <w:szCs w:val="24"/>
        </w:rPr>
        <w:t>se</w:t>
      </w:r>
      <w:r w:rsidR="00A4231C" w:rsidRPr="007C23E4">
        <w:rPr>
          <w:rFonts w:ascii="Garamond" w:hAnsi="Garamond"/>
          <w:sz w:val="24"/>
          <w:szCs w:val="24"/>
        </w:rPr>
        <w:t xml:space="preserve"> e fjetur. </w:t>
      </w:r>
    </w:p>
    <w:p w14:paraId="6DC56F7A" w14:textId="77777777" w:rsidR="00A4231C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3. </w:t>
      </w:r>
      <w:r w:rsidR="00A4231C" w:rsidRPr="007C23E4">
        <w:rPr>
          <w:rFonts w:ascii="Garamond" w:hAnsi="Garamond"/>
          <w:sz w:val="24"/>
          <w:szCs w:val="24"/>
        </w:rPr>
        <w:t xml:space="preserve">“Kasetë sigurie” 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>sht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 xml:space="preserve"> kutia e sigurt, e vendosur zakonisht pranë një kasete bankare apo në një </w:t>
      </w:r>
      <w:r w:rsidR="0088140F" w:rsidRPr="007C23E4">
        <w:rPr>
          <w:rFonts w:ascii="Garamond" w:hAnsi="Garamond"/>
          <w:sz w:val="24"/>
          <w:szCs w:val="24"/>
        </w:rPr>
        <w:t>zonë</w:t>
      </w:r>
      <w:r w:rsidR="00A4231C" w:rsidRPr="007C23E4">
        <w:rPr>
          <w:rFonts w:ascii="Garamond" w:hAnsi="Garamond"/>
          <w:sz w:val="24"/>
          <w:szCs w:val="24"/>
        </w:rPr>
        <w:t xml:space="preserve"> sigurie të posaçme, me qëllim mbajtjen e sendeve me vlerë nga klientët. </w:t>
      </w:r>
      <w:r w:rsidRPr="007C23E4">
        <w:rPr>
          <w:rFonts w:ascii="Garamond" w:hAnsi="Garamond"/>
          <w:sz w:val="24"/>
          <w:szCs w:val="24"/>
        </w:rPr>
        <w:t xml:space="preserve"> </w:t>
      </w:r>
    </w:p>
    <w:p w14:paraId="6DC56F7B" w14:textId="77777777" w:rsidR="00A4231C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4. </w:t>
      </w:r>
      <w:r w:rsidR="00A4231C" w:rsidRPr="007C23E4">
        <w:rPr>
          <w:rFonts w:ascii="Garamond" w:hAnsi="Garamond"/>
          <w:sz w:val="24"/>
          <w:szCs w:val="24"/>
        </w:rPr>
        <w:t xml:space="preserve">“Mbajtës i llogarisë bankare” 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>sht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 xml:space="preserve"> individi</w:t>
      </w:r>
      <w:r w:rsidRPr="007C23E4">
        <w:rPr>
          <w:rFonts w:ascii="Garamond" w:hAnsi="Garamond"/>
          <w:sz w:val="24"/>
          <w:szCs w:val="24"/>
        </w:rPr>
        <w:t xml:space="preserve">, personi fizik </w:t>
      </w:r>
      <w:r w:rsidR="00A4231C" w:rsidRPr="007C23E4">
        <w:rPr>
          <w:rFonts w:ascii="Garamond" w:hAnsi="Garamond"/>
          <w:sz w:val="24"/>
          <w:szCs w:val="24"/>
        </w:rPr>
        <w:t>o</w:t>
      </w:r>
      <w:r w:rsidRPr="007C23E4">
        <w:rPr>
          <w:rFonts w:ascii="Garamond" w:hAnsi="Garamond"/>
          <w:sz w:val="24"/>
          <w:szCs w:val="24"/>
        </w:rPr>
        <w:t>se</w:t>
      </w:r>
      <w:r w:rsidR="00A4231C" w:rsidRPr="007C23E4">
        <w:rPr>
          <w:rFonts w:ascii="Garamond" w:hAnsi="Garamond"/>
          <w:sz w:val="24"/>
          <w:szCs w:val="24"/>
        </w:rPr>
        <w:t xml:space="preserve"> personi juridik në emër të të cilit është e regjistruar llogaria bankare pranë një institucioni financiar.</w:t>
      </w:r>
    </w:p>
    <w:p w14:paraId="6DC56F7C" w14:textId="77777777" w:rsidR="00A4231C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5. </w:t>
      </w:r>
      <w:r w:rsidR="00A4231C" w:rsidRPr="007C23E4">
        <w:rPr>
          <w:rFonts w:ascii="Garamond" w:hAnsi="Garamond"/>
          <w:sz w:val="24"/>
          <w:szCs w:val="24"/>
        </w:rPr>
        <w:t xml:space="preserve">“Institucion financiar” 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>sht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 xml:space="preserve"> çdo bankë ose subjekt financiar jo bankë, i cili, sipas legjislacionit në fuqi për bankat dhe për institucionet financiare jobankare në Republikën e Shqipërisë, ofron kontrata të llogarive bankare apo shërbimin e kasetave të sigurisë dhe ka detyrimin për raportim sipas këtij ligji.</w:t>
      </w:r>
      <w:r w:rsidRPr="007C23E4">
        <w:rPr>
          <w:rFonts w:ascii="Garamond" w:hAnsi="Garamond"/>
          <w:sz w:val="24"/>
          <w:szCs w:val="24"/>
        </w:rPr>
        <w:t xml:space="preserve"> </w:t>
      </w:r>
    </w:p>
    <w:p w14:paraId="6DC56F7D" w14:textId="77777777" w:rsidR="00A4231C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6.</w:t>
      </w:r>
      <w:r w:rsidR="00A4231C" w:rsidRPr="007C23E4">
        <w:rPr>
          <w:rFonts w:ascii="Garamond" w:hAnsi="Garamond"/>
          <w:sz w:val="24"/>
          <w:szCs w:val="24"/>
        </w:rPr>
        <w:t>“IBAN” është numri identifikues ndërkombëtar i llogarisë bankare, i cili identifikon në mënyrë të qartë një llogari bankare individuale, elementet e së cilës përcaktohen nga standardet ndërkombëtare.</w:t>
      </w:r>
    </w:p>
    <w:p w14:paraId="6DC56F7E" w14:textId="77777777" w:rsidR="00A4231C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7. </w:t>
      </w:r>
      <w:r w:rsidR="00A4231C" w:rsidRPr="007C23E4">
        <w:rPr>
          <w:rFonts w:ascii="Garamond" w:hAnsi="Garamond"/>
          <w:sz w:val="24"/>
          <w:szCs w:val="24"/>
        </w:rPr>
        <w:t>“Organizime ligjore” ka t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 xml:space="preserve"> njëjtin kuptim si në ligjin për parandalimin e pastrimit të parave dhe financimin e terrorizmit.</w:t>
      </w:r>
    </w:p>
    <w:p w14:paraId="6DC56F7F" w14:textId="20F45015" w:rsidR="00F95FD7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8.</w:t>
      </w:r>
      <w:r w:rsidR="00681FFB">
        <w:rPr>
          <w:rFonts w:ascii="Garamond" w:hAnsi="Garamond"/>
          <w:sz w:val="24"/>
          <w:szCs w:val="24"/>
        </w:rPr>
        <w:t xml:space="preserve"> </w:t>
      </w:r>
      <w:r w:rsidR="00A4231C" w:rsidRPr="007C23E4">
        <w:rPr>
          <w:rFonts w:ascii="Garamond" w:hAnsi="Garamond"/>
          <w:sz w:val="24"/>
          <w:szCs w:val="24"/>
        </w:rPr>
        <w:t>“Pronar përfitues” ka t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 xml:space="preserve"> njëjtin kuptim si në legjislacionin në fuqi për pronarët përfitues.</w:t>
      </w:r>
    </w:p>
    <w:p w14:paraId="6DC56F80" w14:textId="57B0FCBC" w:rsidR="00A4231C" w:rsidRPr="007C23E4" w:rsidRDefault="00AA10A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9.</w:t>
      </w:r>
      <w:r w:rsidR="00681FFB">
        <w:rPr>
          <w:rFonts w:ascii="Garamond" w:hAnsi="Garamond"/>
          <w:sz w:val="24"/>
          <w:szCs w:val="24"/>
        </w:rPr>
        <w:t xml:space="preserve"> </w:t>
      </w:r>
      <w:r w:rsidR="00A4231C" w:rsidRPr="007C23E4">
        <w:rPr>
          <w:rFonts w:ascii="Garamond" w:hAnsi="Garamond"/>
          <w:sz w:val="24"/>
          <w:szCs w:val="24"/>
        </w:rPr>
        <w:t xml:space="preserve">“Person i autorizuar” </w:t>
      </w:r>
      <w:r w:rsidR="00EC1243"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>sht</w:t>
      </w:r>
      <w:r w:rsidR="00EC1243" w:rsidRPr="007C23E4">
        <w:rPr>
          <w:rFonts w:ascii="Garamond" w:hAnsi="Garamond"/>
          <w:sz w:val="24"/>
          <w:szCs w:val="24"/>
        </w:rPr>
        <w:t>ë çdo person, i cili</w:t>
      </w:r>
      <w:r w:rsidR="00A4231C" w:rsidRPr="007C23E4">
        <w:rPr>
          <w:rFonts w:ascii="Garamond" w:hAnsi="Garamond"/>
          <w:sz w:val="24"/>
          <w:szCs w:val="24"/>
        </w:rPr>
        <w:t xml:space="preserve"> </w:t>
      </w:r>
      <w:r w:rsidR="00EC1243" w:rsidRPr="007C23E4">
        <w:rPr>
          <w:rFonts w:ascii="Garamond" w:hAnsi="Garamond"/>
          <w:sz w:val="24"/>
          <w:szCs w:val="24"/>
        </w:rPr>
        <w:t>në</w:t>
      </w:r>
      <w:r w:rsidR="00A4231C" w:rsidRPr="007C23E4">
        <w:rPr>
          <w:rFonts w:ascii="Garamond" w:hAnsi="Garamond"/>
          <w:sz w:val="24"/>
          <w:szCs w:val="24"/>
        </w:rPr>
        <w:t xml:space="preserve"> bazë të një mar</w:t>
      </w:r>
      <w:r w:rsidR="00EC1243" w:rsidRPr="007C23E4">
        <w:rPr>
          <w:rFonts w:ascii="Garamond" w:hAnsi="Garamond"/>
          <w:sz w:val="24"/>
          <w:szCs w:val="24"/>
        </w:rPr>
        <w:t>rëveshjeje ose akti përfaqësimi</w:t>
      </w:r>
      <w:r w:rsidR="00A4231C" w:rsidRPr="007C23E4">
        <w:rPr>
          <w:rFonts w:ascii="Garamond" w:hAnsi="Garamond"/>
          <w:sz w:val="24"/>
          <w:szCs w:val="24"/>
        </w:rPr>
        <w:t xml:space="preserve"> mund të kryejë veprime në emër të mbajtësit të llogarisë apo të kasetës së sigurisë.</w:t>
      </w:r>
    </w:p>
    <w:p w14:paraId="6DC56F81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10.</w:t>
      </w:r>
      <w:r w:rsidRPr="007C23E4">
        <w:rPr>
          <w:rFonts w:ascii="Garamond" w:hAnsi="Garamond"/>
          <w:sz w:val="24"/>
          <w:szCs w:val="24"/>
        </w:rPr>
        <w:tab/>
        <w:t>“Subjektet e interesuara” jan</w:t>
      </w:r>
      <w:r w:rsidR="00EC1243" w:rsidRPr="007C23E4">
        <w:rPr>
          <w:rFonts w:ascii="Garamond" w:hAnsi="Garamond"/>
          <w:sz w:val="24"/>
          <w:szCs w:val="24"/>
        </w:rPr>
        <w:t>ë</w:t>
      </w:r>
      <w:r w:rsidRPr="007C23E4">
        <w:rPr>
          <w:rFonts w:ascii="Garamond" w:hAnsi="Garamond"/>
          <w:sz w:val="24"/>
          <w:szCs w:val="24"/>
        </w:rPr>
        <w:t xml:space="preserve"> subjektet që kanë akses në regjistër sipas nivelev</w:t>
      </w:r>
      <w:r w:rsidR="00EC1243" w:rsidRPr="007C23E4">
        <w:rPr>
          <w:rFonts w:ascii="Garamond" w:hAnsi="Garamond"/>
          <w:sz w:val="24"/>
          <w:szCs w:val="24"/>
        </w:rPr>
        <w:t xml:space="preserve">e të përcaktuara në këtë ligj </w:t>
      </w:r>
      <w:r w:rsidRPr="007C23E4">
        <w:rPr>
          <w:rFonts w:ascii="Garamond" w:hAnsi="Garamond"/>
          <w:sz w:val="24"/>
          <w:szCs w:val="24"/>
        </w:rPr>
        <w:t>o</w:t>
      </w:r>
      <w:r w:rsidR="00EC1243" w:rsidRPr="007C23E4">
        <w:rPr>
          <w:rFonts w:ascii="Garamond" w:hAnsi="Garamond"/>
          <w:sz w:val="24"/>
          <w:szCs w:val="24"/>
        </w:rPr>
        <w:t>se në aktet nënligjore të tij si më poshtë</w:t>
      </w:r>
      <w:r w:rsidRPr="007C23E4">
        <w:rPr>
          <w:rFonts w:ascii="Garamond" w:hAnsi="Garamond"/>
          <w:sz w:val="24"/>
          <w:szCs w:val="24"/>
        </w:rPr>
        <w:t>:</w:t>
      </w:r>
      <w:r w:rsidR="00EC1243" w:rsidRPr="007C23E4">
        <w:rPr>
          <w:rFonts w:ascii="Garamond" w:hAnsi="Garamond"/>
          <w:sz w:val="24"/>
          <w:szCs w:val="24"/>
        </w:rPr>
        <w:t xml:space="preserve"> </w:t>
      </w:r>
    </w:p>
    <w:p w14:paraId="6DC56F82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a) </w:t>
      </w:r>
      <w:r w:rsidR="00A4231C" w:rsidRPr="007C23E4">
        <w:rPr>
          <w:rFonts w:ascii="Garamond" w:hAnsi="Garamond"/>
          <w:sz w:val="24"/>
          <w:szCs w:val="24"/>
        </w:rPr>
        <w:t xml:space="preserve">Drejtoria e Përgjithshme </w:t>
      </w:r>
      <w:r w:rsidRPr="007C23E4">
        <w:rPr>
          <w:rFonts w:ascii="Garamond" w:hAnsi="Garamond"/>
          <w:sz w:val="24"/>
          <w:szCs w:val="24"/>
        </w:rPr>
        <w:t>e</w:t>
      </w:r>
      <w:r w:rsidR="00A4231C" w:rsidRPr="007C23E4">
        <w:rPr>
          <w:rFonts w:ascii="Garamond" w:hAnsi="Garamond"/>
          <w:sz w:val="24"/>
          <w:szCs w:val="24"/>
        </w:rPr>
        <w:t xml:space="preserve"> Parandalimit të Pastrimit të Parave; </w:t>
      </w:r>
      <w:r w:rsidRPr="007C23E4">
        <w:rPr>
          <w:rFonts w:ascii="Garamond" w:hAnsi="Garamond"/>
          <w:sz w:val="24"/>
          <w:szCs w:val="24"/>
        </w:rPr>
        <w:t xml:space="preserve"> </w:t>
      </w:r>
    </w:p>
    <w:p w14:paraId="6DC56F83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b) </w:t>
      </w:r>
      <w:r w:rsidR="00A4231C" w:rsidRPr="007C23E4">
        <w:rPr>
          <w:rFonts w:ascii="Garamond" w:hAnsi="Garamond"/>
          <w:sz w:val="24"/>
          <w:szCs w:val="24"/>
        </w:rPr>
        <w:t>Prokuroria e Juridiksionit të Përgjithshëm;</w:t>
      </w:r>
    </w:p>
    <w:p w14:paraId="6DC56F84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c) </w:t>
      </w:r>
      <w:r w:rsidR="00A4231C" w:rsidRPr="007C23E4">
        <w:rPr>
          <w:rFonts w:ascii="Garamond" w:hAnsi="Garamond"/>
          <w:sz w:val="24"/>
          <w:szCs w:val="24"/>
        </w:rPr>
        <w:t>Prokuroria e Posaçme Kundër Korrupsionit dhe Krimit të Organizuar;</w:t>
      </w:r>
    </w:p>
    <w:p w14:paraId="6DC56F85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ç) </w:t>
      </w:r>
      <w:r w:rsidR="00A4231C" w:rsidRPr="007C23E4">
        <w:rPr>
          <w:rFonts w:ascii="Garamond" w:hAnsi="Garamond"/>
          <w:sz w:val="24"/>
          <w:szCs w:val="24"/>
        </w:rPr>
        <w:t>Drejtoria e Përgjithshme e Policisë së Shtetit;</w:t>
      </w:r>
    </w:p>
    <w:p w14:paraId="6DC56F86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d) </w:t>
      </w:r>
      <w:r w:rsidR="00A4231C" w:rsidRPr="007C23E4">
        <w:rPr>
          <w:rFonts w:ascii="Garamond" w:hAnsi="Garamond"/>
          <w:sz w:val="24"/>
          <w:szCs w:val="24"/>
        </w:rPr>
        <w:t>Byroja Kombëtare e Hetimit;</w:t>
      </w:r>
    </w:p>
    <w:p w14:paraId="6DC56F87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dh)</w:t>
      </w:r>
      <w:r w:rsidRPr="007C23E4">
        <w:rPr>
          <w:rFonts w:ascii="Garamond" w:hAnsi="Garamond"/>
          <w:sz w:val="24"/>
          <w:szCs w:val="24"/>
        </w:rPr>
        <w:tab/>
        <w:t>Shërbimi Informativ Shtetëror;</w:t>
      </w:r>
    </w:p>
    <w:p w14:paraId="6DC56F88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e) </w:t>
      </w:r>
      <w:r w:rsidR="00A4231C" w:rsidRPr="007C23E4">
        <w:rPr>
          <w:rFonts w:ascii="Garamond" w:hAnsi="Garamond"/>
          <w:sz w:val="24"/>
          <w:szCs w:val="24"/>
        </w:rPr>
        <w:t>Inspektorati i Lartë i Deklarimit dhe Kontrollit të Pasurive dhe Konfliktit të Interesit</w:t>
      </w:r>
      <w:r w:rsidRPr="007C23E4">
        <w:rPr>
          <w:rFonts w:ascii="Garamond" w:hAnsi="Garamond"/>
          <w:sz w:val="24"/>
          <w:szCs w:val="24"/>
        </w:rPr>
        <w:t>;</w:t>
      </w:r>
    </w:p>
    <w:p w14:paraId="6DC56F89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ë) </w:t>
      </w:r>
      <w:r w:rsidR="00A4231C" w:rsidRPr="007C23E4">
        <w:rPr>
          <w:rFonts w:ascii="Garamond" w:hAnsi="Garamond"/>
          <w:sz w:val="24"/>
          <w:szCs w:val="24"/>
        </w:rPr>
        <w:t>Drejtoria e Përgjithshme e Tatimeve;</w:t>
      </w:r>
    </w:p>
    <w:p w14:paraId="6DC56F8A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f) d</w:t>
      </w:r>
      <w:r w:rsidR="00A4231C" w:rsidRPr="007C23E4">
        <w:rPr>
          <w:rFonts w:ascii="Garamond" w:hAnsi="Garamond"/>
          <w:sz w:val="24"/>
          <w:szCs w:val="24"/>
        </w:rPr>
        <w:t>rejtoritë e taksave dhe tarifave pranë njësive të vetëqeverisjes vendore;</w:t>
      </w:r>
    </w:p>
    <w:p w14:paraId="6DC56F8B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g) </w:t>
      </w:r>
      <w:r w:rsidR="00A4231C" w:rsidRPr="007C23E4">
        <w:rPr>
          <w:rFonts w:ascii="Garamond" w:hAnsi="Garamond"/>
          <w:sz w:val="24"/>
          <w:szCs w:val="24"/>
        </w:rPr>
        <w:t>Drejtoria e Përgjithshme e Doganave.</w:t>
      </w:r>
    </w:p>
    <w:p w14:paraId="6DC56F8C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11.</w:t>
      </w:r>
      <w:r w:rsidRPr="007C23E4">
        <w:rPr>
          <w:rFonts w:ascii="Garamond" w:hAnsi="Garamond"/>
          <w:sz w:val="24"/>
          <w:szCs w:val="24"/>
        </w:rPr>
        <w:tab/>
      </w:r>
      <w:r w:rsidR="00A4231C" w:rsidRPr="007C23E4">
        <w:rPr>
          <w:rFonts w:ascii="Garamond" w:hAnsi="Garamond"/>
          <w:sz w:val="24"/>
          <w:szCs w:val="24"/>
        </w:rPr>
        <w:t>“Subjekte që kanë të drejtë të marrin informacion” jan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 xml:space="preserve"> personat </w:t>
      </w:r>
      <w:r w:rsidRPr="007C23E4">
        <w:rPr>
          <w:rFonts w:ascii="Garamond" w:hAnsi="Garamond"/>
          <w:sz w:val="24"/>
          <w:szCs w:val="24"/>
        </w:rPr>
        <w:t xml:space="preserve">fizikë </w:t>
      </w:r>
      <w:r w:rsidR="00A4231C" w:rsidRPr="007C23E4">
        <w:rPr>
          <w:rFonts w:ascii="Garamond" w:hAnsi="Garamond"/>
          <w:sz w:val="24"/>
          <w:szCs w:val="24"/>
        </w:rPr>
        <w:t>o</w:t>
      </w:r>
      <w:r w:rsidRPr="007C23E4">
        <w:rPr>
          <w:rFonts w:ascii="Garamond" w:hAnsi="Garamond"/>
          <w:sz w:val="24"/>
          <w:szCs w:val="24"/>
        </w:rPr>
        <w:t xml:space="preserve">se juridikë, publikë </w:t>
      </w:r>
      <w:r w:rsidR="00A4231C" w:rsidRPr="007C23E4">
        <w:rPr>
          <w:rFonts w:ascii="Garamond" w:hAnsi="Garamond"/>
          <w:sz w:val="24"/>
          <w:szCs w:val="24"/>
        </w:rPr>
        <w:t>o</w:t>
      </w:r>
      <w:r w:rsidRPr="007C23E4">
        <w:rPr>
          <w:rFonts w:ascii="Garamond" w:hAnsi="Garamond"/>
          <w:sz w:val="24"/>
          <w:szCs w:val="24"/>
        </w:rPr>
        <w:t>se</w:t>
      </w:r>
      <w:r w:rsidR="00A4231C" w:rsidRPr="007C23E4">
        <w:rPr>
          <w:rFonts w:ascii="Garamond" w:hAnsi="Garamond"/>
          <w:sz w:val="24"/>
          <w:szCs w:val="24"/>
        </w:rPr>
        <w:t xml:space="preserve"> privatë, të cilët, me kërkesë të argumentuar pranë institucionit administrues të regjistrit, kanë të drejtë të marrin informacion nga regjistri. Këto subjekte janë:</w:t>
      </w:r>
    </w:p>
    <w:p w14:paraId="6DC56F8D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a) shërbimi përmbarimor gjyqësor</w:t>
      </w:r>
      <w:r w:rsidR="00A4231C" w:rsidRPr="007C23E4">
        <w:rPr>
          <w:rFonts w:ascii="Garamond" w:hAnsi="Garamond"/>
          <w:sz w:val="24"/>
          <w:szCs w:val="24"/>
        </w:rPr>
        <w:t xml:space="preserve"> shtetëror ose privat;</w:t>
      </w:r>
    </w:p>
    <w:p w14:paraId="6DC56F8E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b)</w:t>
      </w:r>
      <w:r w:rsidR="00EC1243" w:rsidRPr="007C23E4">
        <w:rPr>
          <w:rFonts w:ascii="Garamond" w:hAnsi="Garamond"/>
          <w:sz w:val="24"/>
          <w:szCs w:val="24"/>
        </w:rPr>
        <w:t xml:space="preserve"> </w:t>
      </w:r>
      <w:r w:rsidRPr="007C23E4">
        <w:rPr>
          <w:rFonts w:ascii="Garamond" w:hAnsi="Garamond"/>
          <w:sz w:val="24"/>
          <w:szCs w:val="24"/>
        </w:rPr>
        <w:t xml:space="preserve">institucionet financiare; </w:t>
      </w:r>
    </w:p>
    <w:p w14:paraId="6DC56F8F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c) </w:t>
      </w:r>
      <w:r w:rsidR="00A4231C" w:rsidRPr="007C23E4">
        <w:rPr>
          <w:rFonts w:ascii="Garamond" w:hAnsi="Garamond"/>
          <w:sz w:val="24"/>
          <w:szCs w:val="24"/>
        </w:rPr>
        <w:t>çdo autoritet publik tjetër, që legjislacioni i posaçëm i jep të drejtën për të pasur informacion në regjistër.</w:t>
      </w:r>
    </w:p>
    <w:p w14:paraId="6DC56F90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12.</w:t>
      </w:r>
      <w:r w:rsidRPr="007C23E4">
        <w:rPr>
          <w:rFonts w:ascii="Garamond" w:hAnsi="Garamond"/>
          <w:sz w:val="24"/>
          <w:szCs w:val="24"/>
        </w:rPr>
        <w:tab/>
        <w:t>“Vigjilenca e duhur”</w:t>
      </w:r>
      <w:r w:rsidR="00A4231C" w:rsidRPr="007C23E4">
        <w:rPr>
          <w:rFonts w:ascii="Garamond" w:hAnsi="Garamond"/>
          <w:sz w:val="24"/>
          <w:szCs w:val="24"/>
        </w:rPr>
        <w:t xml:space="preserve"> ka t</w:t>
      </w:r>
      <w:r w:rsidRPr="007C23E4">
        <w:rPr>
          <w:rFonts w:ascii="Garamond" w:hAnsi="Garamond"/>
          <w:sz w:val="24"/>
          <w:szCs w:val="24"/>
        </w:rPr>
        <w:t>ë</w:t>
      </w:r>
      <w:r w:rsidR="00A4231C" w:rsidRPr="007C23E4">
        <w:rPr>
          <w:rFonts w:ascii="Garamond" w:hAnsi="Garamond"/>
          <w:sz w:val="24"/>
          <w:szCs w:val="24"/>
        </w:rPr>
        <w:t xml:space="preserve"> njëjtin kuptim si në ligjin për parandalimin e pastrimit të parave dhe financimin e terrorizmit.</w:t>
      </w:r>
    </w:p>
    <w:p w14:paraId="6DC56F91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92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5</w:t>
      </w:r>
    </w:p>
    <w:p w14:paraId="6DC56F94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Regjistri Qendror i Llogarive Bankare</w:t>
      </w:r>
    </w:p>
    <w:p w14:paraId="6DC56F95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96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lastRenderedPageBreak/>
        <w:t xml:space="preserve">1. </w:t>
      </w:r>
      <w:r w:rsidR="00A4231C" w:rsidRPr="007C23E4">
        <w:rPr>
          <w:rFonts w:ascii="Garamond" w:hAnsi="Garamond"/>
          <w:sz w:val="24"/>
          <w:szCs w:val="24"/>
        </w:rPr>
        <w:t>Regjistri krijohet si një bazë të dhën</w:t>
      </w:r>
      <w:r w:rsidRPr="007C23E4">
        <w:rPr>
          <w:rFonts w:ascii="Garamond" w:hAnsi="Garamond"/>
          <w:sz w:val="24"/>
          <w:szCs w:val="24"/>
        </w:rPr>
        <w:t>ash shtetërore, ku grumbullohet në formë të organizuar</w:t>
      </w:r>
      <w:r w:rsidR="00A4231C" w:rsidRPr="007C23E4">
        <w:rPr>
          <w:rFonts w:ascii="Garamond" w:hAnsi="Garamond"/>
          <w:sz w:val="24"/>
          <w:szCs w:val="24"/>
        </w:rPr>
        <w:t xml:space="preserve"> informacioni i ruajtur në formë elektronike për çdo mbajtës të llogarive bankare dhe të kasetave të sigurisë, në të cilin regjistrohen të dhënat e raportuara nga institucionet financiare. </w:t>
      </w:r>
    </w:p>
    <w:p w14:paraId="6DC56F97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Drejtoria e Përgjithshme e Parandalimit të Pastrimit të Parave ka akses të plotë, të menjëhershëm dhe të pafiltruar në të dhënat e regjistrit.</w:t>
      </w:r>
    </w:p>
    <w:p w14:paraId="6DC56F98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3. </w:t>
      </w:r>
      <w:r w:rsidR="00A4231C" w:rsidRPr="007C23E4">
        <w:rPr>
          <w:rFonts w:ascii="Garamond" w:hAnsi="Garamond"/>
          <w:sz w:val="24"/>
          <w:szCs w:val="24"/>
        </w:rPr>
        <w:t>Subjekteve të tjera të interesuara u garantohet e drejta e aksesit vetëm për ato të dhëna të regjistrit që janë të nevojshme për përmbushjen e detyrave të tyre funksionale sipas legjislacionit të zbatueshëm.</w:t>
      </w:r>
    </w:p>
    <w:p w14:paraId="6DC56F99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4. </w:t>
      </w:r>
      <w:r w:rsidR="00A4231C" w:rsidRPr="007C23E4">
        <w:rPr>
          <w:rFonts w:ascii="Garamond" w:hAnsi="Garamond"/>
          <w:sz w:val="24"/>
          <w:szCs w:val="24"/>
        </w:rPr>
        <w:t>Ni</w:t>
      </w:r>
      <w:r w:rsidRPr="007C23E4">
        <w:rPr>
          <w:rFonts w:ascii="Garamond" w:hAnsi="Garamond"/>
          <w:sz w:val="24"/>
          <w:szCs w:val="24"/>
        </w:rPr>
        <w:t>veli i aksesimit, sipas pikës 3</w:t>
      </w:r>
      <w:r w:rsidR="00A4231C" w:rsidRPr="007C23E4">
        <w:rPr>
          <w:rFonts w:ascii="Garamond" w:hAnsi="Garamond"/>
          <w:sz w:val="24"/>
          <w:szCs w:val="24"/>
        </w:rPr>
        <w:t xml:space="preserve"> të këtij neni, për subjektet e interes</w:t>
      </w:r>
      <w:r w:rsidRPr="007C23E4">
        <w:rPr>
          <w:rFonts w:ascii="Garamond" w:hAnsi="Garamond"/>
          <w:sz w:val="24"/>
          <w:szCs w:val="24"/>
        </w:rPr>
        <w:t>uara të përcaktuara në pikën 10 të nenit 4</w:t>
      </w:r>
      <w:r w:rsidR="00A4231C" w:rsidRPr="007C23E4">
        <w:rPr>
          <w:rFonts w:ascii="Garamond" w:hAnsi="Garamond"/>
          <w:sz w:val="24"/>
          <w:szCs w:val="24"/>
        </w:rPr>
        <w:t xml:space="preserve"> të këtij ligji, përcaktohet me vendim të Këshillit të Ministrave, me propozimin e ministrit përgjegjës për financat. </w:t>
      </w:r>
    </w:p>
    <w:p w14:paraId="6DC56F9A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5. </w:t>
      </w:r>
      <w:r w:rsidR="00A4231C" w:rsidRPr="007C23E4">
        <w:rPr>
          <w:rFonts w:ascii="Garamond" w:hAnsi="Garamond"/>
          <w:sz w:val="24"/>
          <w:szCs w:val="24"/>
        </w:rPr>
        <w:t>Informacioni i ruajtur në regjistër nuk është i disponueshëm për publikun.</w:t>
      </w:r>
    </w:p>
    <w:p w14:paraId="6DC56F9B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9C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6</w:t>
      </w:r>
    </w:p>
    <w:p w14:paraId="6DC56F9E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Krijimi dhe administrimi i regjistrit</w:t>
      </w:r>
    </w:p>
    <w:p w14:paraId="6DC56F9F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A0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Drejtoria e Përgjithshme e Tatimeve është institucioni administrues i regjistrit.</w:t>
      </w:r>
    </w:p>
    <w:p w14:paraId="6DC56FA1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 xml:space="preserve">Agjencia Kombëtare e Shoqërisë së Informacionit është përgjegjëse për krijimin e sistemit, në mënyrë që të garantojë masat e përshtatshme për sigurinë e të dhënave, si dhe parimet e mjaftueshmërisë e proporcionalitetit lidhur me përpunimin e të dhënave. </w:t>
      </w:r>
    </w:p>
    <w:p w14:paraId="6DC56FA2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A3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7</w:t>
      </w:r>
    </w:p>
    <w:p w14:paraId="6DC56FA5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Roli i Drejtorisë së Përgjithshme të Tatimeve</w:t>
      </w:r>
    </w:p>
    <w:p w14:paraId="6DC56FA6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A7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Drejtoria e Përgjithshme e Tatimeve, në zbatim të këtij ligji,  është përgjegjëse për:</w:t>
      </w:r>
    </w:p>
    <w:p w14:paraId="6DC56FA8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a) </w:t>
      </w:r>
      <w:r w:rsidR="00A4231C" w:rsidRPr="007C23E4">
        <w:rPr>
          <w:rFonts w:ascii="Garamond" w:hAnsi="Garamond"/>
          <w:sz w:val="24"/>
          <w:szCs w:val="24"/>
        </w:rPr>
        <w:t>vënien në dispozicion të aksesit të regjistrit për subjektet e interesuara;</w:t>
      </w:r>
    </w:p>
    <w:p w14:paraId="6DC56FA9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b) </w:t>
      </w:r>
      <w:r w:rsidR="00A4231C" w:rsidRPr="007C23E4">
        <w:rPr>
          <w:rFonts w:ascii="Garamond" w:hAnsi="Garamond"/>
          <w:sz w:val="24"/>
          <w:szCs w:val="24"/>
        </w:rPr>
        <w:t>mbikëqyrjen e përputhshmërisë së institucioneve financiare me detyrimet e përcaktuara në këtë ligj;</w:t>
      </w:r>
    </w:p>
    <w:p w14:paraId="6DC56FAA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c) </w:t>
      </w:r>
      <w:r w:rsidR="00A4231C" w:rsidRPr="007C23E4">
        <w:rPr>
          <w:rFonts w:ascii="Garamond" w:hAnsi="Garamond"/>
          <w:sz w:val="24"/>
          <w:szCs w:val="24"/>
        </w:rPr>
        <w:t>dhënien e informacionit për subjektet që kanë të drejtë të marrin informa</w:t>
      </w:r>
      <w:r w:rsidRPr="007C23E4">
        <w:rPr>
          <w:rFonts w:ascii="Garamond" w:hAnsi="Garamond"/>
          <w:sz w:val="24"/>
          <w:szCs w:val="24"/>
        </w:rPr>
        <w:t>cion me kërkesë, sipas pikës 11</w:t>
      </w:r>
      <w:r w:rsidR="00A4231C" w:rsidRPr="007C23E4">
        <w:rPr>
          <w:rFonts w:ascii="Garamond" w:hAnsi="Garamond"/>
          <w:sz w:val="24"/>
          <w:szCs w:val="24"/>
        </w:rPr>
        <w:t xml:space="preserve"> të </w:t>
      </w:r>
      <w:r w:rsidRPr="007C23E4">
        <w:rPr>
          <w:rFonts w:ascii="Garamond" w:hAnsi="Garamond"/>
          <w:sz w:val="24"/>
          <w:szCs w:val="24"/>
        </w:rPr>
        <w:t>nenit 4</w:t>
      </w:r>
      <w:r w:rsidR="00A4231C" w:rsidRPr="007C23E4">
        <w:rPr>
          <w:rFonts w:ascii="Garamond" w:hAnsi="Garamond"/>
          <w:sz w:val="24"/>
          <w:szCs w:val="24"/>
        </w:rPr>
        <w:t xml:space="preserve"> të këtij ligji;</w:t>
      </w:r>
    </w:p>
    <w:p w14:paraId="6DC56FAB" w14:textId="77777777" w:rsidR="00A4231C" w:rsidRPr="007C23E4" w:rsidRDefault="00EC1243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ç)</w:t>
      </w:r>
      <w:r w:rsidR="00241662" w:rsidRPr="007C23E4">
        <w:rPr>
          <w:rFonts w:ascii="Garamond" w:hAnsi="Garamond"/>
          <w:sz w:val="24"/>
          <w:szCs w:val="24"/>
        </w:rPr>
        <w:t xml:space="preserve"> </w:t>
      </w:r>
      <w:r w:rsidR="00A4231C" w:rsidRPr="007C23E4">
        <w:rPr>
          <w:rFonts w:ascii="Garamond" w:hAnsi="Garamond"/>
          <w:sz w:val="24"/>
          <w:szCs w:val="24"/>
        </w:rPr>
        <w:t>kryerjen e veprimtarive në funksion të përmbushjes së detyrimeve të përcaktuara në këtë ligj.</w:t>
      </w:r>
    </w:p>
    <w:p w14:paraId="6DC56FAC" w14:textId="77777777" w:rsidR="00A4231C" w:rsidRPr="007C23E4" w:rsidRDefault="00241662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Kërkesa dhe dhënia e inf</w:t>
      </w:r>
      <w:r w:rsidRPr="007C23E4">
        <w:rPr>
          <w:rFonts w:ascii="Garamond" w:hAnsi="Garamond"/>
          <w:sz w:val="24"/>
          <w:szCs w:val="24"/>
        </w:rPr>
        <w:t>ormacionit, sipas shkronjës “c” të pikës 1</w:t>
      </w:r>
      <w:r w:rsidR="00A4231C" w:rsidRPr="007C23E4">
        <w:rPr>
          <w:rFonts w:ascii="Garamond" w:hAnsi="Garamond"/>
          <w:sz w:val="24"/>
          <w:szCs w:val="24"/>
        </w:rPr>
        <w:t xml:space="preserve"> të këtij neni, realizohe</w:t>
      </w:r>
      <w:r w:rsidRPr="007C23E4">
        <w:rPr>
          <w:rFonts w:ascii="Garamond" w:hAnsi="Garamond"/>
          <w:sz w:val="24"/>
          <w:szCs w:val="24"/>
        </w:rPr>
        <w:t>n</w:t>
      </w:r>
      <w:r w:rsidR="00A4231C" w:rsidRPr="007C23E4">
        <w:rPr>
          <w:rFonts w:ascii="Garamond" w:hAnsi="Garamond"/>
          <w:sz w:val="24"/>
          <w:szCs w:val="24"/>
        </w:rPr>
        <w:t xml:space="preserve"> sipas përcaktimeve të Kodit të Procedurës Administrative. Subjektet që kanë të drejtë të marrin informacion me kërkesë duhet t</w:t>
      </w:r>
      <w:r w:rsidRPr="007C23E4">
        <w:rPr>
          <w:rFonts w:ascii="Garamond" w:hAnsi="Garamond"/>
          <w:sz w:val="24"/>
          <w:szCs w:val="24"/>
        </w:rPr>
        <w:t xml:space="preserve">ë ruajnë të dhënat e përdorura, </w:t>
      </w:r>
      <w:r w:rsidR="00A4231C" w:rsidRPr="007C23E4">
        <w:rPr>
          <w:rFonts w:ascii="Garamond" w:hAnsi="Garamond"/>
          <w:sz w:val="24"/>
          <w:szCs w:val="24"/>
        </w:rPr>
        <w:t xml:space="preserve">sipas </w:t>
      </w:r>
      <w:r w:rsidRPr="007C23E4">
        <w:rPr>
          <w:rFonts w:ascii="Garamond" w:hAnsi="Garamond"/>
          <w:sz w:val="24"/>
          <w:szCs w:val="24"/>
        </w:rPr>
        <w:t>kësaj pike, për një periudhë 10-</w:t>
      </w:r>
      <w:r w:rsidR="00A4231C" w:rsidRPr="007C23E4">
        <w:rPr>
          <w:rFonts w:ascii="Garamond" w:hAnsi="Garamond"/>
          <w:sz w:val="24"/>
          <w:szCs w:val="24"/>
        </w:rPr>
        <w:t xml:space="preserve">vjeçare. </w:t>
      </w:r>
    </w:p>
    <w:p w14:paraId="6DC56FAD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AE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8</w:t>
      </w:r>
    </w:p>
    <w:p w14:paraId="6DC56FB0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Të dhënat e regjistrit</w:t>
      </w:r>
    </w:p>
    <w:p w14:paraId="6DC56FB1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B2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Regjistri përmban të dhënat e mëposhtme për mbajtësit individualë të llogarive bankare dhe kasetave të sigurisë:</w:t>
      </w:r>
    </w:p>
    <w:p w14:paraId="6DC56FB3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a) </w:t>
      </w:r>
      <w:r w:rsidR="00A4231C" w:rsidRPr="007C23E4">
        <w:rPr>
          <w:rFonts w:ascii="Garamond" w:hAnsi="Garamond"/>
          <w:sz w:val="24"/>
          <w:szCs w:val="24"/>
        </w:rPr>
        <w:t>emrin e mbiemrin e mbajtësit/mbajtësve të llogarisë bankare ose të individit, i cili ka apo i është vënë në dispozicion kaseta e sigurisë;</w:t>
      </w:r>
    </w:p>
    <w:p w14:paraId="6DC56FB4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b) </w:t>
      </w:r>
      <w:r w:rsidR="00A4231C" w:rsidRPr="007C23E4">
        <w:rPr>
          <w:rFonts w:ascii="Garamond" w:hAnsi="Garamond"/>
          <w:sz w:val="24"/>
          <w:szCs w:val="24"/>
        </w:rPr>
        <w:t>numrin e llogarisë bankare d</w:t>
      </w:r>
      <w:r w:rsidRPr="007C23E4">
        <w:rPr>
          <w:rFonts w:ascii="Garamond" w:hAnsi="Garamond"/>
          <w:sz w:val="24"/>
          <w:szCs w:val="24"/>
        </w:rPr>
        <w:t>he kodin IBAN të llogarisë</w:t>
      </w:r>
      <w:r w:rsidR="00A4231C" w:rsidRPr="007C23E4">
        <w:rPr>
          <w:rFonts w:ascii="Garamond" w:hAnsi="Garamond"/>
          <w:sz w:val="24"/>
          <w:szCs w:val="24"/>
        </w:rPr>
        <w:t xml:space="preserve"> në rastet kur është llogari bankare;</w:t>
      </w:r>
    </w:p>
    <w:p w14:paraId="6DC56FB5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c) </w:t>
      </w:r>
      <w:r w:rsidR="00A4231C" w:rsidRPr="007C23E4">
        <w:rPr>
          <w:rFonts w:ascii="Garamond" w:hAnsi="Garamond"/>
          <w:sz w:val="24"/>
          <w:szCs w:val="24"/>
        </w:rPr>
        <w:t>numrin e identifikimi</w:t>
      </w:r>
      <w:r w:rsidRPr="007C23E4">
        <w:rPr>
          <w:rFonts w:ascii="Garamond" w:hAnsi="Garamond"/>
          <w:sz w:val="24"/>
          <w:szCs w:val="24"/>
        </w:rPr>
        <w:t>t ose kodin identifikues të saj</w:t>
      </w:r>
      <w:r w:rsidR="00A4231C" w:rsidRPr="007C23E4">
        <w:rPr>
          <w:rFonts w:ascii="Garamond" w:hAnsi="Garamond"/>
          <w:sz w:val="24"/>
          <w:szCs w:val="24"/>
        </w:rPr>
        <w:t xml:space="preserve"> në rastet kur është kasetë sigurie;</w:t>
      </w:r>
    </w:p>
    <w:p w14:paraId="6DC56FB6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ç) </w:t>
      </w:r>
      <w:r w:rsidR="00A4231C" w:rsidRPr="007C23E4">
        <w:rPr>
          <w:rFonts w:ascii="Garamond" w:hAnsi="Garamond"/>
          <w:sz w:val="24"/>
          <w:szCs w:val="24"/>
        </w:rPr>
        <w:t>emrin e institucionit financiar që mban llogarinë bankare ose kasetën e sigurisë;</w:t>
      </w:r>
    </w:p>
    <w:p w14:paraId="6DC56FB7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d) </w:t>
      </w:r>
      <w:r w:rsidR="00A4231C" w:rsidRPr="007C23E4">
        <w:rPr>
          <w:rFonts w:ascii="Garamond" w:hAnsi="Garamond"/>
          <w:sz w:val="24"/>
          <w:szCs w:val="24"/>
        </w:rPr>
        <w:t>datëlindjen, vendlindjen, shtetësinë dhe adresën e përhershme të mbajtësit të llogarisë bankare ose qiramarrësit të kasetës së sigurisë;</w:t>
      </w:r>
    </w:p>
    <w:p w14:paraId="6DC56FB8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dh)</w:t>
      </w:r>
      <w:r w:rsidRPr="007C23E4">
        <w:rPr>
          <w:rFonts w:ascii="Garamond" w:hAnsi="Garamond"/>
          <w:sz w:val="24"/>
          <w:szCs w:val="24"/>
        </w:rPr>
        <w:tab/>
        <w:t>emrin, mbiemrin, datëlindjen, shtetësinë dhe adresën e përhershme të çdo personi, që vepron në emër të mbajtësit të llogarisë bankare ose qiramarrësit të kasetës së sigurisë;</w:t>
      </w:r>
    </w:p>
    <w:p w14:paraId="6DC56FB9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lastRenderedPageBreak/>
        <w:t xml:space="preserve">e) </w:t>
      </w:r>
      <w:r w:rsidR="00A4231C" w:rsidRPr="007C23E4">
        <w:rPr>
          <w:rFonts w:ascii="Garamond" w:hAnsi="Garamond"/>
          <w:sz w:val="24"/>
          <w:szCs w:val="24"/>
        </w:rPr>
        <w:t>emrin, mbiemrin, datëlindjen, shtetësinë dhe adresën e përhershme të çdo individi që ka përfitim në llogari dhe/ose që është person i lidhur me mbajtësin e llogarisë, kasetat e sigurisë ose qiramarrësit e tyre;</w:t>
      </w:r>
    </w:p>
    <w:p w14:paraId="6DC56FBA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ë) </w:t>
      </w:r>
      <w:r w:rsidR="00A4231C" w:rsidRPr="007C23E4">
        <w:rPr>
          <w:rFonts w:ascii="Garamond" w:hAnsi="Garamond"/>
          <w:sz w:val="24"/>
          <w:szCs w:val="24"/>
        </w:rPr>
        <w:t>numrin personal të identifikimit për shtetasit e Republikës së Shqipërisë, si dhe ekuivalentin e tij për shtetasit e huaj, nëse ka;</w:t>
      </w:r>
    </w:p>
    <w:p w14:paraId="6DC56FBB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f) </w:t>
      </w:r>
      <w:r w:rsidR="00A4231C" w:rsidRPr="007C23E4">
        <w:rPr>
          <w:rFonts w:ascii="Garamond" w:hAnsi="Garamond"/>
          <w:sz w:val="24"/>
          <w:szCs w:val="24"/>
        </w:rPr>
        <w:t>statusin e llogarisë bankare ose të kasetës së sigurisë;</w:t>
      </w:r>
    </w:p>
    <w:p w14:paraId="6DC56FBC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g) datën e hapjes së llogarisë bankare ose të kasetës së sigurisë;</w:t>
      </w:r>
    </w:p>
    <w:p w14:paraId="6DC56FBD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gj) datën e mbylljes, nëse llogaria ose kaseta e sigurisë është mbyllur; dhe</w:t>
      </w:r>
    </w:p>
    <w:p w14:paraId="6DC56FBE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h) </w:t>
      </w:r>
      <w:r w:rsidR="00A4231C" w:rsidRPr="007C23E4">
        <w:rPr>
          <w:rFonts w:ascii="Garamond" w:hAnsi="Garamond"/>
          <w:sz w:val="24"/>
          <w:szCs w:val="24"/>
        </w:rPr>
        <w:t>numrin e llojin e dokumentit të identifikimit të vlefshëm të përdorur në institucionin financiar gjatë procesit të vigjilencës së duhur.</w:t>
      </w:r>
    </w:p>
    <w:p w14:paraId="6DC56FBF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Regjistri përmban të dhënat e mëposhtme kur një person fizik, person juridik ose organizim ligjor është mbajtës i llogarisë bankare ose qiramarrës i një kasete sigurie:</w:t>
      </w:r>
    </w:p>
    <w:p w14:paraId="6DC56FC0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a) </w:t>
      </w:r>
      <w:r w:rsidR="00A4231C" w:rsidRPr="007C23E4">
        <w:rPr>
          <w:rFonts w:ascii="Garamond" w:hAnsi="Garamond"/>
          <w:sz w:val="24"/>
          <w:szCs w:val="24"/>
        </w:rPr>
        <w:t>emrin e mbajtësit të llogarisë ose të qiramarrësit të kasetës së sigurisë;</w:t>
      </w:r>
    </w:p>
    <w:p w14:paraId="6DC56FC1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b) </w:t>
      </w:r>
      <w:r w:rsidR="00A4231C" w:rsidRPr="007C23E4">
        <w:rPr>
          <w:rFonts w:ascii="Garamond" w:hAnsi="Garamond"/>
          <w:sz w:val="24"/>
          <w:szCs w:val="24"/>
        </w:rPr>
        <w:t>numrin e llogarisë bank</w:t>
      </w:r>
      <w:r w:rsidRPr="007C23E4">
        <w:rPr>
          <w:rFonts w:ascii="Garamond" w:hAnsi="Garamond"/>
          <w:sz w:val="24"/>
          <w:szCs w:val="24"/>
        </w:rPr>
        <w:t>are dhe kodin IBAN të llogarisë</w:t>
      </w:r>
      <w:r w:rsidR="00A4231C" w:rsidRPr="007C23E4">
        <w:rPr>
          <w:rFonts w:ascii="Garamond" w:hAnsi="Garamond"/>
          <w:sz w:val="24"/>
          <w:szCs w:val="24"/>
        </w:rPr>
        <w:t xml:space="preserve"> në rastet kur është llogari    bankare;</w:t>
      </w:r>
    </w:p>
    <w:p w14:paraId="6DC56FC2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c) </w:t>
      </w:r>
      <w:r w:rsidR="00A4231C" w:rsidRPr="007C23E4">
        <w:rPr>
          <w:rFonts w:ascii="Garamond" w:hAnsi="Garamond"/>
          <w:sz w:val="24"/>
          <w:szCs w:val="24"/>
        </w:rPr>
        <w:t>numrin e identifikimi</w:t>
      </w:r>
      <w:r w:rsidRPr="007C23E4">
        <w:rPr>
          <w:rFonts w:ascii="Garamond" w:hAnsi="Garamond"/>
          <w:sz w:val="24"/>
          <w:szCs w:val="24"/>
        </w:rPr>
        <w:t>t ose kodin identifikues të saj</w:t>
      </w:r>
      <w:r w:rsidR="004E4C30" w:rsidRPr="007C23E4">
        <w:rPr>
          <w:rFonts w:ascii="Garamond" w:hAnsi="Garamond"/>
          <w:sz w:val="24"/>
          <w:szCs w:val="24"/>
        </w:rPr>
        <w:t xml:space="preserve"> në rastet kur është</w:t>
      </w:r>
      <w:r w:rsidR="00A4231C" w:rsidRPr="007C23E4">
        <w:rPr>
          <w:rFonts w:ascii="Garamond" w:hAnsi="Garamond"/>
          <w:sz w:val="24"/>
          <w:szCs w:val="24"/>
        </w:rPr>
        <w:t xml:space="preserve"> kasetë sigurie;</w:t>
      </w:r>
    </w:p>
    <w:p w14:paraId="6DC56FC3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ç) </w:t>
      </w:r>
      <w:r w:rsidR="00A4231C" w:rsidRPr="007C23E4">
        <w:rPr>
          <w:rFonts w:ascii="Garamond" w:hAnsi="Garamond"/>
          <w:sz w:val="24"/>
          <w:szCs w:val="24"/>
        </w:rPr>
        <w:t>emrin e institucionit financiar që mban llogarinë bankare ose kasetën e sigurisë;</w:t>
      </w:r>
    </w:p>
    <w:p w14:paraId="6DC56FC4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d) </w:t>
      </w:r>
      <w:r w:rsidR="00A4231C" w:rsidRPr="007C23E4">
        <w:rPr>
          <w:rFonts w:ascii="Garamond" w:hAnsi="Garamond"/>
          <w:sz w:val="24"/>
          <w:szCs w:val="24"/>
        </w:rPr>
        <w:t>selinë e regjistruar të personit fizik, të personit juridik ose të organizimit ligjor dhe, nëse është e ndryshme, vendin kryesor të ushtrimit të aktivitetit;</w:t>
      </w:r>
    </w:p>
    <w:p w14:paraId="6DC56FC5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dh)</w:t>
      </w:r>
      <w:r w:rsidRPr="007C23E4">
        <w:rPr>
          <w:rFonts w:ascii="Garamond" w:hAnsi="Garamond"/>
          <w:sz w:val="24"/>
          <w:szCs w:val="24"/>
        </w:rPr>
        <w:tab/>
        <w:t>numrin unik të identifikimit të subjektit për personat juridikë të regjistruar në Republikën e Shqipërisë, si dhe ekuivalentin e tij për subjektet e huaja;</w:t>
      </w:r>
    </w:p>
    <w:p w14:paraId="6DC56FC6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e) </w:t>
      </w:r>
      <w:r w:rsidR="00A4231C" w:rsidRPr="007C23E4">
        <w:rPr>
          <w:rFonts w:ascii="Garamond" w:hAnsi="Garamond"/>
          <w:sz w:val="24"/>
          <w:szCs w:val="24"/>
        </w:rPr>
        <w:t>emrin, mbiemrin, datëlindjen, shtetësinë dhe adresën e përhershme të çdo personi që është i autorizuar të veprojë në emër të mbajtësit të llogarisë ose të qiramarrësit të kasetës së sigurisë;</w:t>
      </w:r>
    </w:p>
    <w:p w14:paraId="6DC56FC7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ë) </w:t>
      </w:r>
      <w:r w:rsidR="00A4231C" w:rsidRPr="007C23E4">
        <w:rPr>
          <w:rFonts w:ascii="Garamond" w:hAnsi="Garamond"/>
          <w:sz w:val="24"/>
          <w:szCs w:val="24"/>
        </w:rPr>
        <w:t>emrin, mbiemrin, datëlindjen, shtetësinë dhe adresën e çdo individi pronar përfitues në llogarinë ose mbajtësin e llogarisë, kasetës së sigurisë ose qiramarrësit të saj;</w:t>
      </w:r>
    </w:p>
    <w:p w14:paraId="6DC56FC8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f) </w:t>
      </w:r>
      <w:r w:rsidR="00A4231C" w:rsidRPr="007C23E4">
        <w:rPr>
          <w:rFonts w:ascii="Garamond" w:hAnsi="Garamond"/>
          <w:sz w:val="24"/>
          <w:szCs w:val="24"/>
        </w:rPr>
        <w:t>emrin, mbiemrin, datëlindjen, shtetësinë dhe adresën e themeluesit, të përfituesve dhe të per</w:t>
      </w:r>
      <w:r w:rsidRPr="007C23E4">
        <w:rPr>
          <w:rFonts w:ascii="Garamond" w:hAnsi="Garamond"/>
          <w:sz w:val="24"/>
          <w:szCs w:val="24"/>
        </w:rPr>
        <w:t>sonit të autorizuar/të besuarit</w:t>
      </w:r>
      <w:r w:rsidR="00A4231C" w:rsidRPr="007C23E4">
        <w:rPr>
          <w:rFonts w:ascii="Garamond" w:hAnsi="Garamond"/>
          <w:sz w:val="24"/>
          <w:szCs w:val="24"/>
        </w:rPr>
        <w:t xml:space="preserve"> në rastet kur është një organizim ligjor;</w:t>
      </w:r>
    </w:p>
    <w:p w14:paraId="6DC56FC9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g) </w:t>
      </w:r>
      <w:r w:rsidR="00A4231C" w:rsidRPr="007C23E4">
        <w:rPr>
          <w:rFonts w:ascii="Garamond" w:hAnsi="Garamond"/>
          <w:sz w:val="24"/>
          <w:szCs w:val="24"/>
        </w:rPr>
        <w:t>numrin personal të identifikimit për shtetasit e Republikës së Shqipërisë, si dhe ekuivalentin për shtetasit e huaj, nëse ka, për pronarët përfitues, themeluesit, përfituesit dhe personat e autorizuar;</w:t>
      </w:r>
    </w:p>
    <w:p w14:paraId="6DC56FCA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gj) </w:t>
      </w:r>
      <w:r w:rsidR="00A4231C" w:rsidRPr="007C23E4">
        <w:rPr>
          <w:rFonts w:ascii="Garamond" w:hAnsi="Garamond"/>
          <w:sz w:val="24"/>
          <w:szCs w:val="24"/>
        </w:rPr>
        <w:t>statusin e llogarisë bankare ose të kasetës së sigurisë;</w:t>
      </w:r>
    </w:p>
    <w:p w14:paraId="6DC56FCB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h) </w:t>
      </w:r>
      <w:r w:rsidR="00A4231C" w:rsidRPr="007C23E4">
        <w:rPr>
          <w:rFonts w:ascii="Garamond" w:hAnsi="Garamond"/>
          <w:sz w:val="24"/>
          <w:szCs w:val="24"/>
        </w:rPr>
        <w:t>datën e hapjes së llogarisë bankare ose të kasetës së sigurisë;</w:t>
      </w:r>
    </w:p>
    <w:p w14:paraId="6DC56FCC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i) datën e mbylljes</w:t>
      </w:r>
      <w:r w:rsidR="00A4231C" w:rsidRPr="007C23E4">
        <w:rPr>
          <w:rFonts w:ascii="Garamond" w:hAnsi="Garamond"/>
          <w:sz w:val="24"/>
          <w:szCs w:val="24"/>
        </w:rPr>
        <w:t xml:space="preserve"> nëse llogaria është mbyllur</w:t>
      </w:r>
      <w:r w:rsidRPr="007C23E4">
        <w:rPr>
          <w:rFonts w:ascii="Garamond" w:hAnsi="Garamond"/>
          <w:sz w:val="24"/>
          <w:szCs w:val="24"/>
        </w:rPr>
        <w:t>;</w:t>
      </w:r>
      <w:r w:rsidR="00A4231C" w:rsidRPr="007C23E4">
        <w:rPr>
          <w:rFonts w:ascii="Garamond" w:hAnsi="Garamond"/>
          <w:sz w:val="24"/>
          <w:szCs w:val="24"/>
        </w:rPr>
        <w:t xml:space="preserve"> dhe</w:t>
      </w:r>
    </w:p>
    <w:p w14:paraId="6DC56FCD" w14:textId="77777777" w:rsidR="00A4231C" w:rsidRPr="007C23E4" w:rsidRDefault="00FA2B96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j) </w:t>
      </w:r>
      <w:r w:rsidR="00A4231C" w:rsidRPr="007C23E4">
        <w:rPr>
          <w:rFonts w:ascii="Garamond" w:hAnsi="Garamond"/>
          <w:sz w:val="24"/>
          <w:szCs w:val="24"/>
        </w:rPr>
        <w:t>numrin e llojin e dokumentit të identifikimit të vlefshëm të përdorur në institucionin financiar gjatë procesit të vigjilencës së duhur.</w:t>
      </w:r>
    </w:p>
    <w:p w14:paraId="6DC56FCE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3. </w:t>
      </w:r>
      <w:r w:rsidR="00A4231C" w:rsidRPr="007C23E4">
        <w:rPr>
          <w:rFonts w:ascii="Garamond" w:hAnsi="Garamond"/>
          <w:sz w:val="24"/>
          <w:szCs w:val="24"/>
        </w:rPr>
        <w:t xml:space="preserve">Për qëllime të administrimit të regjistrit, të dhënat e tij klasifikohen </w:t>
      </w:r>
      <w:r w:rsidRPr="007C23E4">
        <w:rPr>
          <w:rFonts w:ascii="Garamond" w:hAnsi="Garamond"/>
          <w:sz w:val="24"/>
          <w:szCs w:val="24"/>
        </w:rPr>
        <w:t>në të dhëna parësore e dytësore si më poshtë</w:t>
      </w:r>
      <w:r w:rsidR="00A4231C" w:rsidRPr="007C23E4">
        <w:rPr>
          <w:rFonts w:ascii="Garamond" w:hAnsi="Garamond"/>
          <w:sz w:val="24"/>
          <w:szCs w:val="24"/>
        </w:rPr>
        <w:t>:</w:t>
      </w:r>
    </w:p>
    <w:p w14:paraId="6DC56FCF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a) t</w:t>
      </w:r>
      <w:r w:rsidR="00A4231C" w:rsidRPr="007C23E4">
        <w:rPr>
          <w:rFonts w:ascii="Garamond" w:hAnsi="Garamond"/>
          <w:sz w:val="24"/>
          <w:szCs w:val="24"/>
        </w:rPr>
        <w:t>ë dhëna parësore konsiderohen:</w:t>
      </w:r>
    </w:p>
    <w:p w14:paraId="6DC56FD0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i. n</w:t>
      </w:r>
      <w:r w:rsidR="00A4231C" w:rsidRPr="007C23E4">
        <w:rPr>
          <w:rFonts w:ascii="Garamond" w:hAnsi="Garamond"/>
          <w:sz w:val="24"/>
          <w:szCs w:val="24"/>
        </w:rPr>
        <w:t>umri identifikues në regjistër i llogarisë;</w:t>
      </w:r>
    </w:p>
    <w:p w14:paraId="6DC56FD1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ii. n</w:t>
      </w:r>
      <w:r w:rsidR="00A4231C" w:rsidRPr="007C23E4">
        <w:rPr>
          <w:rFonts w:ascii="Garamond" w:hAnsi="Garamond"/>
          <w:sz w:val="24"/>
          <w:szCs w:val="24"/>
        </w:rPr>
        <w:t>umri identifikues në regj</w:t>
      </w:r>
      <w:r w:rsidRPr="007C23E4">
        <w:rPr>
          <w:rFonts w:ascii="Garamond" w:hAnsi="Garamond"/>
          <w:sz w:val="24"/>
          <w:szCs w:val="24"/>
        </w:rPr>
        <w:t>istër i institucionit financiar;</w:t>
      </w:r>
    </w:p>
    <w:p w14:paraId="6DC56FD2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b) t</w:t>
      </w:r>
      <w:r w:rsidR="00A4231C" w:rsidRPr="007C23E4">
        <w:rPr>
          <w:rFonts w:ascii="Garamond" w:hAnsi="Garamond"/>
          <w:sz w:val="24"/>
          <w:szCs w:val="24"/>
        </w:rPr>
        <w:t xml:space="preserve">ë dhëna dytësore konsiderohen të dhënat </w:t>
      </w:r>
      <w:r w:rsidRPr="007C23E4">
        <w:rPr>
          <w:rFonts w:ascii="Garamond" w:hAnsi="Garamond"/>
          <w:sz w:val="24"/>
          <w:szCs w:val="24"/>
        </w:rPr>
        <w:t>e përcaktuara në pikat 1 e 2</w:t>
      </w:r>
      <w:r w:rsidR="00A4231C" w:rsidRPr="007C23E4">
        <w:rPr>
          <w:rFonts w:ascii="Garamond" w:hAnsi="Garamond"/>
          <w:sz w:val="24"/>
          <w:szCs w:val="24"/>
        </w:rPr>
        <w:t xml:space="preserve"> të këtij neni. </w:t>
      </w:r>
    </w:p>
    <w:p w14:paraId="6DC56FD3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4. </w:t>
      </w:r>
      <w:r w:rsidR="00A4231C" w:rsidRPr="007C23E4">
        <w:rPr>
          <w:rFonts w:ascii="Garamond" w:hAnsi="Garamond"/>
          <w:sz w:val="24"/>
          <w:szCs w:val="24"/>
        </w:rPr>
        <w:t>Regjistri nuk përmban të dhëna për gjendjen e llogarive bankare dhe përmbajtjen e kasetave të sigurisë. Institucionet financiare nuk raportojnë të dhëna për gjendjen e llogarive bankare dhe përmbajtjen e kasetave të sigurisë.</w:t>
      </w:r>
    </w:p>
    <w:p w14:paraId="6DC56FD4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D5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9</w:t>
      </w:r>
    </w:p>
    <w:p w14:paraId="6DC56FD7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Raportimi i të dhënave</w:t>
      </w:r>
    </w:p>
    <w:p w14:paraId="6DC56FD8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D9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Institucionet financiare duhet të krijojnë dhe të administrojnë sisteme që sigurojnë raportimin e të dhën</w:t>
      </w:r>
      <w:r w:rsidRPr="007C23E4">
        <w:rPr>
          <w:rFonts w:ascii="Garamond" w:hAnsi="Garamond"/>
          <w:sz w:val="24"/>
          <w:szCs w:val="24"/>
        </w:rPr>
        <w:t>ave, siç përcaktohet në nenin 8</w:t>
      </w:r>
      <w:r w:rsidR="00A4231C" w:rsidRPr="007C23E4">
        <w:rPr>
          <w:rFonts w:ascii="Garamond" w:hAnsi="Garamond"/>
          <w:sz w:val="24"/>
          <w:szCs w:val="24"/>
        </w:rPr>
        <w:t xml:space="preserve"> të këtij ligji, në kohë reale, pas përfundimit të veprimeve me mbajtësit e llogarisë bankare ose të kasetave të sigurisë.</w:t>
      </w:r>
    </w:p>
    <w:p w14:paraId="6DC56FDA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lastRenderedPageBreak/>
        <w:t xml:space="preserve">2. </w:t>
      </w:r>
      <w:r w:rsidR="00A4231C" w:rsidRPr="007C23E4">
        <w:rPr>
          <w:rFonts w:ascii="Garamond" w:hAnsi="Garamond"/>
          <w:sz w:val="24"/>
          <w:szCs w:val="24"/>
        </w:rPr>
        <w:t>Institucionet financiare i raportojnë të dhënat në regjistër në mënyrë elektronike, duke përdorur mek</w:t>
      </w:r>
      <w:r w:rsidRPr="007C23E4">
        <w:rPr>
          <w:rFonts w:ascii="Garamond" w:hAnsi="Garamond"/>
          <w:sz w:val="24"/>
          <w:szCs w:val="24"/>
        </w:rPr>
        <w:t>anizmin qendror të automatizuar</w:t>
      </w:r>
      <w:r w:rsidR="00A4231C" w:rsidRPr="007C23E4">
        <w:rPr>
          <w:rFonts w:ascii="Garamond" w:hAnsi="Garamond"/>
          <w:sz w:val="24"/>
          <w:szCs w:val="24"/>
        </w:rPr>
        <w:t xml:space="preserve"> sipas formatit të skedarit të raportimit. </w:t>
      </w:r>
    </w:p>
    <w:p w14:paraId="6DC56FDB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3. </w:t>
      </w:r>
      <w:r w:rsidR="00A4231C" w:rsidRPr="007C23E4">
        <w:rPr>
          <w:rFonts w:ascii="Garamond" w:hAnsi="Garamond"/>
          <w:sz w:val="24"/>
          <w:szCs w:val="24"/>
        </w:rPr>
        <w:t>Formati i skedarit të raportimit të të dhënave përcaktohet me udhëzim të ministrit përgjegjës për financat, i cili hartohet në konsultim me Agjencinë Kombëtare të Shoqërisë së Informacionit.</w:t>
      </w:r>
    </w:p>
    <w:p w14:paraId="6DC56FDC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DD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10</w:t>
      </w:r>
    </w:p>
    <w:p w14:paraId="6DC56FDF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Mbikëqyrja e zbatimit të detyrimit për raportim</w:t>
      </w:r>
    </w:p>
    <w:p w14:paraId="6DC56FE0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E1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Mbikëqyrja e zbatimit të detyrimit për raportim dhe e përputhshmërisë së të dhënave bankare të raportuara nga institucionet financiare realizohet nga Drejtoria e Përgjithshme e Tatimeve. Drejtoria nuk e delegon këtë kompetencë pranë degëve të saj rajonale.</w:t>
      </w:r>
    </w:p>
    <w:p w14:paraId="6DC56FE2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Mbikëqyrje, sipas këtij ligji, është veri</w:t>
      </w:r>
      <w:r w:rsidRPr="007C23E4">
        <w:rPr>
          <w:rFonts w:ascii="Garamond" w:hAnsi="Garamond"/>
          <w:sz w:val="24"/>
          <w:szCs w:val="24"/>
        </w:rPr>
        <w:t>fikimi i procesit të raportimit</w:t>
      </w:r>
      <w:r w:rsidR="00A4231C" w:rsidRPr="007C23E4">
        <w:rPr>
          <w:rFonts w:ascii="Garamond" w:hAnsi="Garamond"/>
          <w:sz w:val="24"/>
          <w:szCs w:val="24"/>
        </w:rPr>
        <w:t xml:space="preserve"> kur institucionet financi</w:t>
      </w:r>
      <w:r w:rsidRPr="007C23E4">
        <w:rPr>
          <w:rFonts w:ascii="Garamond" w:hAnsi="Garamond"/>
          <w:sz w:val="24"/>
          <w:szCs w:val="24"/>
        </w:rPr>
        <w:t>are nuk raportojnë të dhënat</w:t>
      </w:r>
      <w:r w:rsidR="00A4231C" w:rsidRPr="007C23E4">
        <w:rPr>
          <w:rFonts w:ascii="Garamond" w:hAnsi="Garamond"/>
          <w:sz w:val="24"/>
          <w:szCs w:val="24"/>
        </w:rPr>
        <w:t xml:space="preserve"> dhe verif</w:t>
      </w:r>
      <w:r w:rsidRPr="007C23E4">
        <w:rPr>
          <w:rFonts w:ascii="Garamond" w:hAnsi="Garamond"/>
          <w:sz w:val="24"/>
          <w:szCs w:val="24"/>
        </w:rPr>
        <w:t>ikimi i saktësisë së të dhënave</w:t>
      </w:r>
      <w:r w:rsidR="00A4231C" w:rsidRPr="007C23E4">
        <w:rPr>
          <w:rFonts w:ascii="Garamond" w:hAnsi="Garamond"/>
          <w:sz w:val="24"/>
          <w:szCs w:val="24"/>
        </w:rPr>
        <w:t xml:space="preserve"> kur konstatohet mospërputhje nga Drejtoria e Përgjithshme e Tatimeve apo kur kjo e fundit ka dijeni për mospërputhje nga burime të ligjshme. </w:t>
      </w:r>
    </w:p>
    <w:p w14:paraId="6DC56FE3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3. </w:t>
      </w:r>
      <w:r w:rsidR="00A4231C" w:rsidRPr="007C23E4">
        <w:rPr>
          <w:rFonts w:ascii="Garamond" w:hAnsi="Garamond"/>
          <w:sz w:val="24"/>
          <w:szCs w:val="24"/>
        </w:rPr>
        <w:t>Për qëllimet e këtij ligji, Drejtoria e Përgjithshme e Tatimeve:</w:t>
      </w:r>
    </w:p>
    <w:p w14:paraId="6DC56FE4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a) </w:t>
      </w:r>
      <w:r w:rsidR="00A4231C" w:rsidRPr="007C23E4">
        <w:rPr>
          <w:rFonts w:ascii="Garamond" w:hAnsi="Garamond"/>
          <w:sz w:val="24"/>
          <w:szCs w:val="24"/>
        </w:rPr>
        <w:t>mbikëqyr  përputhshmërinë e  veprimtarisë  së  institucioneve financiare  me  kërkesat e këtij ligji;</w:t>
      </w:r>
    </w:p>
    <w:p w14:paraId="6DC56FE5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b) </w:t>
      </w:r>
      <w:r w:rsidR="00A4231C" w:rsidRPr="007C23E4">
        <w:rPr>
          <w:rFonts w:ascii="Garamond" w:hAnsi="Garamond"/>
          <w:sz w:val="24"/>
          <w:szCs w:val="24"/>
        </w:rPr>
        <w:t xml:space="preserve">kërkon  nga çdo institucion financiar akses dhe vënien  në  dispozicion  të  çdo  lloj  informacioni dhe dokumenti, përfshirë kopje të tyre, që ka të </w:t>
      </w:r>
      <w:r w:rsidRPr="007C23E4">
        <w:rPr>
          <w:rFonts w:ascii="Garamond" w:hAnsi="Garamond"/>
          <w:sz w:val="24"/>
          <w:szCs w:val="24"/>
        </w:rPr>
        <w:t xml:space="preserve">bëjë me të dhënat sipas nenit 8 të këtij ligji, që lidhet me </w:t>
      </w:r>
      <w:r w:rsidR="00A4231C" w:rsidRPr="007C23E4">
        <w:rPr>
          <w:rFonts w:ascii="Garamond" w:hAnsi="Garamond"/>
          <w:sz w:val="24"/>
          <w:szCs w:val="24"/>
        </w:rPr>
        <w:t>përputhshmërinë  e  detyrimeve të institucioneve financiare në zbatim të këtij ligji;</w:t>
      </w:r>
    </w:p>
    <w:p w14:paraId="6DC56FE6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c) </w:t>
      </w:r>
      <w:r w:rsidR="00A4231C" w:rsidRPr="007C23E4">
        <w:rPr>
          <w:rFonts w:ascii="Garamond" w:hAnsi="Garamond"/>
          <w:sz w:val="24"/>
          <w:szCs w:val="24"/>
        </w:rPr>
        <w:t>mbikëqyr mënyrën e saktësinë e raportimit të të dhënave nga institucionet financiare;</w:t>
      </w:r>
    </w:p>
    <w:p w14:paraId="6DC56FE7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ç) </w:t>
      </w:r>
      <w:r w:rsidR="00A4231C" w:rsidRPr="007C23E4">
        <w:rPr>
          <w:rFonts w:ascii="Garamond" w:hAnsi="Garamond"/>
          <w:sz w:val="24"/>
          <w:szCs w:val="24"/>
        </w:rPr>
        <w:t>mund të urdhërojë institucionet financiare të ndërpresin çdo praktikë që është në kundërshtim me dispozitat e këtij ligji.</w:t>
      </w:r>
    </w:p>
    <w:p w14:paraId="6DC56FE8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E9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11</w:t>
      </w:r>
    </w:p>
    <w:p w14:paraId="6DC56FEB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Detyrimi për ruajtjen e të dhënave</w:t>
      </w:r>
    </w:p>
    <w:p w14:paraId="6DC56FEC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ED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Të gjitha të dhënat e administruara nga regjistri dhe dokumentacioni tjetër ligjor ruhen të plota nga institucionet financiare për 10 (dhjetë) vjet ng</w:t>
      </w:r>
      <w:r w:rsidRPr="007C23E4">
        <w:rPr>
          <w:rFonts w:ascii="Garamond" w:hAnsi="Garamond"/>
          <w:sz w:val="24"/>
          <w:szCs w:val="24"/>
        </w:rPr>
        <w:t xml:space="preserve">a mbyllja e llogarisë bankare </w:t>
      </w:r>
      <w:r w:rsidR="00A4231C" w:rsidRPr="007C23E4">
        <w:rPr>
          <w:rFonts w:ascii="Garamond" w:hAnsi="Garamond"/>
          <w:sz w:val="24"/>
          <w:szCs w:val="24"/>
        </w:rPr>
        <w:t>o</w:t>
      </w:r>
      <w:r w:rsidRPr="007C23E4">
        <w:rPr>
          <w:rFonts w:ascii="Garamond" w:hAnsi="Garamond"/>
          <w:sz w:val="24"/>
          <w:szCs w:val="24"/>
        </w:rPr>
        <w:t>se</w:t>
      </w:r>
      <w:r w:rsidR="00A4231C" w:rsidRPr="007C23E4">
        <w:rPr>
          <w:rFonts w:ascii="Garamond" w:hAnsi="Garamond"/>
          <w:sz w:val="24"/>
          <w:szCs w:val="24"/>
        </w:rPr>
        <w:t xml:space="preserve"> e kasetës së sigurisë. </w:t>
      </w:r>
    </w:p>
    <w:p w14:paraId="6DC56FEE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Në përfundim të afatit të ruajtjes së të dhënave personale, këto të dhëna fshihen nga regjistri.</w:t>
      </w:r>
    </w:p>
    <w:p w14:paraId="6DC56FEF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3. </w:t>
      </w:r>
      <w:r w:rsidR="00A4231C" w:rsidRPr="007C23E4">
        <w:rPr>
          <w:rFonts w:ascii="Garamond" w:hAnsi="Garamond"/>
          <w:sz w:val="24"/>
          <w:szCs w:val="24"/>
        </w:rPr>
        <w:t>Përpunimi i të dhënave personale dhe informimi i subjektit të të dhënave personale nga ana e institucioneve financiare kryhet sipas rregullave të parashikuara nga legjislacioni në fuqi për mbrojtjen e të dhënave personale.</w:t>
      </w:r>
    </w:p>
    <w:p w14:paraId="6DC56FF0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F1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12</w:t>
      </w:r>
    </w:p>
    <w:p w14:paraId="6DC56FF3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Marrja e të dhënave për qëllime statistikore</w:t>
      </w:r>
    </w:p>
    <w:p w14:paraId="6DC56FF4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F5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Organet publike që janë përgjegjëse për publikimin e statistikave zyrtare në Republikën e Shqipërisë, sipas legjislacionit në fuqi për statistikat zyrtare, mund të kërkojnë informacion nga regjistri për t’u përpunuar për qëllime statistikore.</w:t>
      </w:r>
    </w:p>
    <w:p w14:paraId="6DC56FF6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Inform</w:t>
      </w:r>
      <w:r w:rsidRPr="007C23E4">
        <w:rPr>
          <w:rFonts w:ascii="Garamond" w:hAnsi="Garamond"/>
          <w:sz w:val="24"/>
          <w:szCs w:val="24"/>
        </w:rPr>
        <w:t>acioni i kërkuar, sipas pikës 1</w:t>
      </w:r>
      <w:r w:rsidR="00A4231C" w:rsidRPr="007C23E4">
        <w:rPr>
          <w:rFonts w:ascii="Garamond" w:hAnsi="Garamond"/>
          <w:sz w:val="24"/>
          <w:szCs w:val="24"/>
        </w:rPr>
        <w:t xml:space="preserve"> të këtij neni, jepet vetëm në formë të anonimizuar. </w:t>
      </w:r>
    </w:p>
    <w:p w14:paraId="6DC56FF7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F8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13</w:t>
      </w:r>
    </w:p>
    <w:p w14:paraId="6DC56FFA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Përgjegjësia për saktësinë e të dhënave në regjistër</w:t>
      </w:r>
    </w:p>
    <w:p w14:paraId="6DC56FFB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FC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lastRenderedPageBreak/>
        <w:t xml:space="preserve">1. </w:t>
      </w:r>
      <w:r w:rsidR="00A4231C" w:rsidRPr="007C23E4">
        <w:rPr>
          <w:rFonts w:ascii="Garamond" w:hAnsi="Garamond"/>
          <w:sz w:val="24"/>
          <w:szCs w:val="24"/>
        </w:rPr>
        <w:t>Institucionet financiare janë përgjegjëse për saktësinë dhe plotësinë e të dhënave të raportuara në bazë të këtij ligji dhe marrin të gjitha masat e nevojshme për këtë qëllim. Nëse institucionet financiare zbulojnë se ndonjë prej të dhënave të raportuara për qëllim të këtij ligji është e pasaktë ose e paplotë, njoftojnë menjëherë dh</w:t>
      </w:r>
      <w:r w:rsidR="00AB24D6" w:rsidRPr="007C23E4">
        <w:rPr>
          <w:rFonts w:ascii="Garamond" w:hAnsi="Garamond"/>
          <w:sz w:val="24"/>
          <w:szCs w:val="24"/>
        </w:rPr>
        <w:t>e në çdo rast, jo më vonë se 72</w:t>
      </w:r>
      <w:r w:rsidR="00A4231C" w:rsidRPr="007C23E4">
        <w:rPr>
          <w:rFonts w:ascii="Garamond" w:hAnsi="Garamond"/>
          <w:sz w:val="24"/>
          <w:szCs w:val="24"/>
        </w:rPr>
        <w:t xml:space="preserve"> orë, njësinë përgjegjëse për regjistrin në Drejtorinë e Përgjithshme të Tatimeve, duke marrë masa njëkohësisht për korrigjimin e të dhënave të pasakta ose të paplota dhe duke i raportuar ato sërish.</w:t>
      </w:r>
    </w:p>
    <w:p w14:paraId="6DC56FFD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Nëse organet që kanë akses në të dhënat e këtij regjistri vërejnë se të dhënat e raportuara apo të mbajtura në regjistër janë të pasakta apo të paplota, njoftojnë pa vonesë njësinë përgjegjëse për regjistrin në Drejtorinë e Përgjithshme të Tatimeve, e cila merr masa për komunikimin me institucionin financiar raportues e korrigjimin e pasaktësive të konstatuara.</w:t>
      </w:r>
    </w:p>
    <w:p w14:paraId="6DC56FFE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6FFF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14</w:t>
      </w:r>
    </w:p>
    <w:p w14:paraId="6DC57001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Përdorimi i të dhënave të marra në regjistër</w:t>
      </w:r>
    </w:p>
    <w:p w14:paraId="6DC57002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03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Të dhënat e mbajtura në regjistër përbëjnë sekret bankar e profesional dhe duhen trajtuar e ruajtur si të tilla nga të gjitha autoritetet që kanë akses në to.</w:t>
      </w:r>
    </w:p>
    <w:p w14:paraId="6DC57004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05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15</w:t>
      </w:r>
    </w:p>
    <w:p w14:paraId="6DC57007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Përjashtim nga e drejta për informim</w:t>
      </w:r>
    </w:p>
    <w:p w14:paraId="6DC57008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09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Legjislacioni në fuqi për të drejtën e informimit në Republikën e Shqipërisë nuk është i zbatueshëm për informacionin e mbajtur në regjistër dhe përdorimin e tij nga autoritetet përgjegjëse. </w:t>
      </w:r>
    </w:p>
    <w:p w14:paraId="6DC5700A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0B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16</w:t>
      </w:r>
    </w:p>
    <w:p w14:paraId="6DC5700D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Publikim</w:t>
      </w:r>
      <w:r w:rsidR="003823C8" w:rsidRPr="007C23E4">
        <w:rPr>
          <w:rFonts w:ascii="Garamond" w:hAnsi="Garamond"/>
          <w:b/>
          <w:sz w:val="24"/>
          <w:szCs w:val="24"/>
        </w:rPr>
        <w:t>i</w:t>
      </w:r>
      <w:r w:rsidRPr="007C23E4">
        <w:rPr>
          <w:rFonts w:ascii="Garamond" w:hAnsi="Garamond"/>
          <w:b/>
          <w:sz w:val="24"/>
          <w:szCs w:val="24"/>
        </w:rPr>
        <w:t xml:space="preserve"> i të dhënave vjetore për përdorimin e regjistrit</w:t>
      </w:r>
    </w:p>
    <w:p w14:paraId="6DC5700E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0F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Drejtoria e P</w:t>
      </w:r>
      <w:r w:rsidR="003823C8" w:rsidRPr="007C23E4">
        <w:rPr>
          <w:rFonts w:ascii="Garamond" w:hAnsi="Garamond"/>
          <w:sz w:val="24"/>
          <w:szCs w:val="24"/>
        </w:rPr>
        <w:t>ërgjithshme e Tatimeve publikon</w:t>
      </w:r>
      <w:r w:rsidRPr="007C23E4">
        <w:rPr>
          <w:rFonts w:ascii="Garamond" w:hAnsi="Garamond"/>
          <w:sz w:val="24"/>
          <w:szCs w:val="24"/>
        </w:rPr>
        <w:t xml:space="preserve"> brenda</w:t>
      </w:r>
      <w:r w:rsidR="003823C8" w:rsidRPr="007C23E4">
        <w:rPr>
          <w:rFonts w:ascii="Garamond" w:hAnsi="Garamond"/>
          <w:sz w:val="24"/>
          <w:szCs w:val="24"/>
        </w:rPr>
        <w:t xml:space="preserve"> tremujorit të parë të çdo viti</w:t>
      </w:r>
      <w:r w:rsidRPr="007C23E4">
        <w:rPr>
          <w:rFonts w:ascii="Garamond" w:hAnsi="Garamond"/>
          <w:sz w:val="24"/>
          <w:szCs w:val="24"/>
        </w:rPr>
        <w:t xml:space="preserve"> raportin publik vjetor për vitin pararendës për përdorimin e regjistrit. Raporti duhet të përfshijë edhe statistika të hollësishme të anonimizuara për numrin e organeve, të cilat kanë aksesuar në regjistër, duke përfshirë numrin e personave të kërkuar prej tyre.</w:t>
      </w:r>
    </w:p>
    <w:p w14:paraId="6DC57010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11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17</w:t>
      </w:r>
    </w:p>
    <w:p w14:paraId="6DC57013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Kundërvajtjet administrative</w:t>
      </w:r>
    </w:p>
    <w:p w14:paraId="6DC57014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15" w14:textId="150C9F86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1.</w:t>
      </w:r>
      <w:r w:rsidR="00EC1772">
        <w:rPr>
          <w:rFonts w:ascii="Garamond" w:hAnsi="Garamond"/>
          <w:sz w:val="24"/>
          <w:szCs w:val="24"/>
        </w:rPr>
        <w:t xml:space="preserve"> </w:t>
      </w:r>
      <w:r w:rsidR="00A4231C" w:rsidRPr="007C23E4">
        <w:rPr>
          <w:rFonts w:ascii="Garamond" w:hAnsi="Garamond"/>
          <w:sz w:val="24"/>
          <w:szCs w:val="24"/>
        </w:rPr>
        <w:t>Kur nuk përbëjnë vepër penale, shkeljet e dispozitave të këtij ligji përbëjnë</w:t>
      </w:r>
      <w:r w:rsidRPr="007C23E4">
        <w:rPr>
          <w:rFonts w:ascii="Garamond" w:hAnsi="Garamond"/>
          <w:sz w:val="24"/>
          <w:szCs w:val="24"/>
        </w:rPr>
        <w:t xml:space="preserve"> </w:t>
      </w:r>
      <w:r w:rsidR="00A4231C" w:rsidRPr="007C23E4">
        <w:rPr>
          <w:rFonts w:ascii="Garamond" w:hAnsi="Garamond"/>
          <w:sz w:val="24"/>
          <w:szCs w:val="24"/>
        </w:rPr>
        <w:t>kundërvajtje administrative dhe dënohe</w:t>
      </w:r>
      <w:r w:rsidRPr="007C23E4">
        <w:rPr>
          <w:rFonts w:ascii="Garamond" w:hAnsi="Garamond"/>
          <w:sz w:val="24"/>
          <w:szCs w:val="24"/>
        </w:rPr>
        <w:t>n me gjobë</w:t>
      </w:r>
      <w:r w:rsidR="00A4231C" w:rsidRPr="007C23E4">
        <w:rPr>
          <w:rFonts w:ascii="Garamond" w:hAnsi="Garamond"/>
          <w:sz w:val="24"/>
          <w:szCs w:val="24"/>
        </w:rPr>
        <w:t xml:space="preserve"> si më poshtë:</w:t>
      </w:r>
    </w:p>
    <w:p w14:paraId="6DC57016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a) </w:t>
      </w:r>
      <w:r w:rsidR="00A4231C" w:rsidRPr="007C23E4">
        <w:rPr>
          <w:rFonts w:ascii="Garamond" w:hAnsi="Garamond"/>
          <w:sz w:val="24"/>
          <w:szCs w:val="24"/>
        </w:rPr>
        <w:t xml:space="preserve">mosdërgimi i informacionit dhe i të dhënave në </w:t>
      </w:r>
      <w:r w:rsidRPr="007C23E4">
        <w:rPr>
          <w:rFonts w:ascii="Garamond" w:hAnsi="Garamond"/>
          <w:sz w:val="24"/>
          <w:szCs w:val="24"/>
        </w:rPr>
        <w:t>mënyrën e përcaktuar në pikën 2 të nenit 9</w:t>
      </w:r>
      <w:r w:rsidR="00A4231C" w:rsidRPr="007C23E4">
        <w:rPr>
          <w:rFonts w:ascii="Garamond" w:hAnsi="Garamond"/>
          <w:sz w:val="24"/>
          <w:szCs w:val="24"/>
        </w:rPr>
        <w:t xml:space="preserve"> të këtij ligji, ose raportimi i të dhënave të rreme në regjistër nga institucionet financiare dënohet me gjobë në vlerën 1 000 000 (një milion) lekë;</w:t>
      </w:r>
    </w:p>
    <w:p w14:paraId="6DC57017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b) </w:t>
      </w:r>
      <w:r w:rsidR="00A4231C" w:rsidRPr="007C23E4">
        <w:rPr>
          <w:rFonts w:ascii="Garamond" w:hAnsi="Garamond"/>
          <w:sz w:val="24"/>
          <w:szCs w:val="24"/>
        </w:rPr>
        <w:t>mosmarrja e masave nga ana e institucioneve financiare për korrigjimin e gabimeve në të dhënat e raportuara në regjistër, qofshin këto të konstatuara vetë apo të evidentuara nga Drejtoria e Përgjithshme e Tatimeve, dënohet me gjobë në vlerën 1 000 000 (një milion) lekë;</w:t>
      </w:r>
    </w:p>
    <w:p w14:paraId="6DC57018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c) </w:t>
      </w:r>
      <w:r w:rsidR="00A4231C" w:rsidRPr="007C23E4">
        <w:rPr>
          <w:rFonts w:ascii="Garamond" w:hAnsi="Garamond"/>
          <w:sz w:val="24"/>
          <w:szCs w:val="24"/>
        </w:rPr>
        <w:t>përdorimi i të dhënave nga subjektet e përcaktuara në këtë l</w:t>
      </w:r>
      <w:r w:rsidRPr="007C23E4">
        <w:rPr>
          <w:rFonts w:ascii="Garamond" w:hAnsi="Garamond"/>
          <w:sz w:val="24"/>
          <w:szCs w:val="24"/>
        </w:rPr>
        <w:t>igj, në kundërshtim me nenin 14</w:t>
      </w:r>
      <w:r w:rsidR="00A4231C" w:rsidRPr="007C23E4">
        <w:rPr>
          <w:rFonts w:ascii="Garamond" w:hAnsi="Garamond"/>
          <w:sz w:val="24"/>
          <w:szCs w:val="24"/>
        </w:rPr>
        <w:t xml:space="preserve"> të këtij ligji, dënohet me gjobë në vl</w:t>
      </w:r>
      <w:r w:rsidRPr="007C23E4">
        <w:rPr>
          <w:rFonts w:ascii="Garamond" w:hAnsi="Garamond"/>
          <w:sz w:val="24"/>
          <w:szCs w:val="24"/>
        </w:rPr>
        <w:t>erën</w:t>
      </w:r>
      <w:r w:rsidR="00A4231C" w:rsidRPr="007C23E4">
        <w:rPr>
          <w:rFonts w:ascii="Garamond" w:hAnsi="Garamond"/>
          <w:sz w:val="24"/>
          <w:szCs w:val="24"/>
        </w:rPr>
        <w:t xml:space="preserve"> 1 000 000 (një milion) lekë;</w:t>
      </w:r>
    </w:p>
    <w:p w14:paraId="6DC57019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  ç)  përdorimi i paautorizuar i të dhënave nga subjektet e përcaktuara në këtë ligj ose përdorimi i të dhënave në kundërshtim me qëllimin e dispozitat e këtij ligji dhe të akteve të tij nënligjore, dënohet me gjobë në v</w:t>
      </w:r>
      <w:r w:rsidR="003823C8" w:rsidRPr="007C23E4">
        <w:rPr>
          <w:rFonts w:ascii="Garamond" w:hAnsi="Garamond"/>
          <w:sz w:val="24"/>
          <w:szCs w:val="24"/>
        </w:rPr>
        <w:t>lerën</w:t>
      </w:r>
      <w:r w:rsidRPr="007C23E4">
        <w:rPr>
          <w:rFonts w:ascii="Garamond" w:hAnsi="Garamond"/>
          <w:sz w:val="24"/>
          <w:szCs w:val="24"/>
        </w:rPr>
        <w:t xml:space="preserve"> 1 000 000 (një milion) lekë.</w:t>
      </w:r>
    </w:p>
    <w:p w14:paraId="6DC5701A" w14:textId="77777777" w:rsidR="00A4231C" w:rsidRPr="007C23E4" w:rsidRDefault="003823C8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2.</w:t>
      </w:r>
      <w:r w:rsidR="00C31045" w:rsidRPr="007C23E4">
        <w:rPr>
          <w:rFonts w:ascii="Garamond" w:hAnsi="Garamond"/>
          <w:sz w:val="24"/>
          <w:szCs w:val="24"/>
        </w:rPr>
        <w:t xml:space="preserve"> </w:t>
      </w:r>
      <w:r w:rsidR="00A4231C" w:rsidRPr="007C23E4">
        <w:rPr>
          <w:rFonts w:ascii="Garamond" w:hAnsi="Garamond"/>
          <w:sz w:val="24"/>
          <w:szCs w:val="24"/>
        </w:rPr>
        <w:t>Gjoba vendoset nga titullari i Drejtor</w:t>
      </w:r>
      <w:r w:rsidRPr="007C23E4">
        <w:rPr>
          <w:rFonts w:ascii="Garamond" w:hAnsi="Garamond"/>
          <w:sz w:val="24"/>
          <w:szCs w:val="24"/>
        </w:rPr>
        <w:t>isë së Përgjithshme të Tatimeve</w:t>
      </w:r>
      <w:r w:rsidR="00A4231C" w:rsidRPr="007C23E4">
        <w:rPr>
          <w:rFonts w:ascii="Garamond" w:hAnsi="Garamond"/>
          <w:sz w:val="24"/>
          <w:szCs w:val="24"/>
        </w:rPr>
        <w:t xml:space="preserve"> sipas legjislacionit në fuqi për kundërvajtjet administrative.</w:t>
      </w:r>
    </w:p>
    <w:p w14:paraId="6DC5701B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lastRenderedPageBreak/>
        <w:t xml:space="preserve">3. </w:t>
      </w:r>
      <w:r w:rsidR="00A4231C" w:rsidRPr="007C23E4">
        <w:rPr>
          <w:rFonts w:ascii="Garamond" w:hAnsi="Garamond"/>
          <w:sz w:val="24"/>
          <w:szCs w:val="24"/>
        </w:rPr>
        <w:t>Formati i modelit të gjobës sipas këtij neni përcaktohet me urdhër të drejtorit të Përgjithshëm të Tatimeve.</w:t>
      </w:r>
    </w:p>
    <w:p w14:paraId="6DC5701C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4.</w:t>
      </w:r>
      <w:r w:rsidR="00C31045" w:rsidRPr="007C23E4">
        <w:rPr>
          <w:rFonts w:ascii="Garamond" w:hAnsi="Garamond"/>
          <w:sz w:val="24"/>
          <w:szCs w:val="24"/>
        </w:rPr>
        <w:t xml:space="preserve"> </w:t>
      </w:r>
      <w:r w:rsidRPr="007C23E4">
        <w:rPr>
          <w:rFonts w:ascii="Garamond" w:hAnsi="Garamond"/>
          <w:sz w:val="24"/>
          <w:szCs w:val="24"/>
        </w:rPr>
        <w:t xml:space="preserve">Kundër vendimit </w:t>
      </w:r>
      <w:r w:rsidR="009C24E3" w:rsidRPr="007C23E4">
        <w:rPr>
          <w:rFonts w:ascii="Garamond" w:hAnsi="Garamond"/>
          <w:sz w:val="24"/>
          <w:szCs w:val="24"/>
        </w:rPr>
        <w:t>të dhënë për vendosjen e gjobës</w:t>
      </w:r>
      <w:r w:rsidRPr="007C23E4">
        <w:rPr>
          <w:rFonts w:ascii="Garamond" w:hAnsi="Garamond"/>
          <w:sz w:val="24"/>
          <w:szCs w:val="24"/>
        </w:rPr>
        <w:t xml:space="preserve"> mund të bëhet ankim drejtpërdrejt në gjykatën administrative kompetente, në përputhje me parashikimet e legjislacionit në fuqi për gjykatat administrative dhe gjykimin e mosmarrëveshjeve administrative.</w:t>
      </w:r>
    </w:p>
    <w:p w14:paraId="6DC5701D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1E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18</w:t>
      </w:r>
    </w:p>
    <w:p w14:paraId="6DC57020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Përgjegjësia në rastin e forcave madhore</w:t>
      </w:r>
    </w:p>
    <w:p w14:paraId="6DC57021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22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Institucionet financiare nuk mbajnë përgjegjësi për mospërmbushjen e detyrimeve të përcaktuara në këtë ligj dhe aktet nënligjore në zbatim të tij, që vijnë si pasojë e gjendjes së jashtëzakonshme, të luftërave, të trazirave të tjera civile dhe fatkeqësive natyrore.</w:t>
      </w:r>
    </w:p>
    <w:p w14:paraId="6DC57023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Institucioni financiar që nuk është në gjendje të përmbushë detyrimet në përputhje me këtë ligj për s</w:t>
      </w:r>
      <w:r w:rsidRPr="007C23E4">
        <w:rPr>
          <w:rFonts w:ascii="Garamond" w:hAnsi="Garamond"/>
          <w:sz w:val="24"/>
          <w:szCs w:val="24"/>
        </w:rPr>
        <w:t>hkaqet e përcaktuara në pikën 1</w:t>
      </w:r>
      <w:r w:rsidR="00A4231C" w:rsidRPr="007C23E4">
        <w:rPr>
          <w:rFonts w:ascii="Garamond" w:hAnsi="Garamond"/>
          <w:sz w:val="24"/>
          <w:szCs w:val="24"/>
        </w:rPr>
        <w:t xml:space="preserve"> të këtij neni, njofton me shkrim menjëherë Drejtorinë e Përgjithshme të Tatimeve për shkakun e shkallën e problemit që e ka penguar atë në përmbushjen e detyrimeve, si dhe bën të gjitha përpjekjet e arsyeshme për të rifilluar përmbushjen e detyrimeve sa më shpejt që të jetë e mundur.</w:t>
      </w:r>
    </w:p>
    <w:p w14:paraId="6DC57024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25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19</w:t>
      </w:r>
    </w:p>
    <w:p w14:paraId="6DC57027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Dispozitat e fundit</w:t>
      </w:r>
    </w:p>
    <w:p w14:paraId="6DC57028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29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>Institucionet financiare të identifikojnë, të krijojnë e të mbajnë dokumentet përkatëse pë</w:t>
      </w:r>
      <w:r w:rsidRPr="007C23E4">
        <w:rPr>
          <w:rFonts w:ascii="Garamond" w:hAnsi="Garamond"/>
          <w:sz w:val="24"/>
          <w:szCs w:val="24"/>
        </w:rPr>
        <w:t>r mbajtësit e llogarive bankare brenda 3</w:t>
      </w:r>
      <w:r w:rsidR="00A4231C" w:rsidRPr="007C23E4">
        <w:rPr>
          <w:rFonts w:ascii="Garamond" w:hAnsi="Garamond"/>
          <w:sz w:val="24"/>
          <w:szCs w:val="24"/>
        </w:rPr>
        <w:t xml:space="preserve"> muajve nga hyrja në fuqi e këtij ligji.</w:t>
      </w:r>
    </w:p>
    <w:p w14:paraId="6DC5702A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Agjencia Kombëtare për Shoqërinë e Informacionit n</w:t>
      </w:r>
      <w:r w:rsidRPr="007C23E4">
        <w:rPr>
          <w:rFonts w:ascii="Garamond" w:hAnsi="Garamond"/>
          <w:sz w:val="24"/>
          <w:szCs w:val="24"/>
        </w:rPr>
        <w:t>dërton regjistrin brenda 3</w:t>
      </w:r>
      <w:r w:rsidR="00A4231C" w:rsidRPr="007C23E4">
        <w:rPr>
          <w:rFonts w:ascii="Garamond" w:hAnsi="Garamond"/>
          <w:sz w:val="24"/>
          <w:szCs w:val="24"/>
        </w:rPr>
        <w:t xml:space="preserve"> muajve nga hyrja në fuqi e këtij ligji.</w:t>
      </w:r>
    </w:p>
    <w:p w14:paraId="6DC5702B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3. </w:t>
      </w:r>
      <w:r w:rsidR="00A4231C" w:rsidRPr="007C23E4">
        <w:rPr>
          <w:rFonts w:ascii="Garamond" w:hAnsi="Garamond"/>
          <w:sz w:val="24"/>
          <w:szCs w:val="24"/>
        </w:rPr>
        <w:t xml:space="preserve">Institucionet financiare duhet të transmetojnë të dhënat e kërkuara nga ky ligj për mbajtësit e llogarive bankare dhe të kasetave të sigurisë </w:t>
      </w:r>
      <w:r w:rsidRPr="007C23E4">
        <w:rPr>
          <w:rFonts w:ascii="Garamond" w:hAnsi="Garamond"/>
          <w:sz w:val="24"/>
          <w:szCs w:val="24"/>
        </w:rPr>
        <w:t>jo më vonë se 60</w:t>
      </w:r>
      <w:r w:rsidR="00A4231C" w:rsidRPr="007C23E4">
        <w:rPr>
          <w:rFonts w:ascii="Garamond" w:hAnsi="Garamond"/>
          <w:sz w:val="24"/>
          <w:szCs w:val="24"/>
        </w:rPr>
        <w:t xml:space="preserve"> ditë kalendarike nga krijimi i regjistrit. </w:t>
      </w:r>
    </w:p>
    <w:p w14:paraId="6DC5702C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4. </w:t>
      </w:r>
      <w:r w:rsidR="00A4231C" w:rsidRPr="007C23E4">
        <w:rPr>
          <w:rFonts w:ascii="Garamond" w:hAnsi="Garamond"/>
          <w:sz w:val="24"/>
          <w:szCs w:val="24"/>
        </w:rPr>
        <w:t xml:space="preserve">Raportimi i parë i institucioneve financiare duhet të përfshijë </w:t>
      </w:r>
      <w:r w:rsidRPr="007C23E4">
        <w:rPr>
          <w:rFonts w:ascii="Garamond" w:hAnsi="Garamond"/>
          <w:sz w:val="24"/>
          <w:szCs w:val="24"/>
        </w:rPr>
        <w:t>e</w:t>
      </w:r>
      <w:r w:rsidR="00A4231C" w:rsidRPr="007C23E4">
        <w:rPr>
          <w:rFonts w:ascii="Garamond" w:hAnsi="Garamond"/>
          <w:sz w:val="24"/>
          <w:szCs w:val="24"/>
        </w:rPr>
        <w:t>dhe të</w:t>
      </w:r>
      <w:r w:rsidRPr="007C23E4">
        <w:rPr>
          <w:rFonts w:ascii="Garamond" w:hAnsi="Garamond"/>
          <w:sz w:val="24"/>
          <w:szCs w:val="24"/>
        </w:rPr>
        <w:t xml:space="preserve"> dhënat për llogaritë bankare </w:t>
      </w:r>
      <w:r w:rsidR="00A4231C" w:rsidRPr="007C23E4">
        <w:rPr>
          <w:rFonts w:ascii="Garamond" w:hAnsi="Garamond"/>
          <w:sz w:val="24"/>
          <w:szCs w:val="24"/>
        </w:rPr>
        <w:t>o</w:t>
      </w:r>
      <w:r w:rsidRPr="007C23E4">
        <w:rPr>
          <w:rFonts w:ascii="Garamond" w:hAnsi="Garamond"/>
          <w:sz w:val="24"/>
          <w:szCs w:val="24"/>
        </w:rPr>
        <w:t>se</w:t>
      </w:r>
      <w:r w:rsidR="00A4231C" w:rsidRPr="007C23E4">
        <w:rPr>
          <w:rFonts w:ascii="Garamond" w:hAnsi="Garamond"/>
          <w:sz w:val="24"/>
          <w:szCs w:val="24"/>
        </w:rPr>
        <w:t xml:space="preserve"> k</w:t>
      </w:r>
      <w:r w:rsidRPr="007C23E4">
        <w:rPr>
          <w:rFonts w:ascii="Garamond" w:hAnsi="Garamond"/>
          <w:sz w:val="24"/>
          <w:szCs w:val="24"/>
        </w:rPr>
        <w:t>asetat e sigurisë të mbyllura 5</w:t>
      </w:r>
      <w:r w:rsidR="00A4231C" w:rsidRPr="007C23E4">
        <w:rPr>
          <w:rFonts w:ascii="Garamond" w:hAnsi="Garamond"/>
          <w:sz w:val="24"/>
          <w:szCs w:val="24"/>
        </w:rPr>
        <w:t xml:space="preserve"> vitet e fundit. Përjashtimisht, për llogaritë e  mbyllura përpara datës 1.1.2020, institucionet financiare raportojnë ato të dhëna që disponojnë.</w:t>
      </w:r>
    </w:p>
    <w:p w14:paraId="6DC5702D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2E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20</w:t>
      </w:r>
    </w:p>
    <w:p w14:paraId="6DC57030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Aktet nënligjore</w:t>
      </w:r>
    </w:p>
    <w:p w14:paraId="6DC57031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32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1. </w:t>
      </w:r>
      <w:r w:rsidR="00A4231C" w:rsidRPr="007C23E4">
        <w:rPr>
          <w:rFonts w:ascii="Garamond" w:hAnsi="Garamond"/>
          <w:sz w:val="24"/>
          <w:szCs w:val="24"/>
        </w:rPr>
        <w:t xml:space="preserve">Ngarkohet Këshilli i Ministrave </w:t>
      </w:r>
      <w:r w:rsidRPr="007C23E4">
        <w:rPr>
          <w:rFonts w:ascii="Garamond" w:hAnsi="Garamond"/>
          <w:sz w:val="24"/>
          <w:szCs w:val="24"/>
        </w:rPr>
        <w:t>që</w:t>
      </w:r>
      <w:r w:rsidR="00A4231C" w:rsidRPr="007C23E4">
        <w:rPr>
          <w:rFonts w:ascii="Garamond" w:hAnsi="Garamond"/>
          <w:sz w:val="24"/>
          <w:szCs w:val="24"/>
        </w:rPr>
        <w:t xml:space="preserve"> brenda 60 ditëve nga hyrja në fuqi </w:t>
      </w:r>
      <w:r w:rsidRPr="007C23E4">
        <w:rPr>
          <w:rFonts w:ascii="Garamond" w:hAnsi="Garamond"/>
          <w:sz w:val="24"/>
          <w:szCs w:val="24"/>
        </w:rPr>
        <w:t>e këtij ligji</w:t>
      </w:r>
      <w:r w:rsidR="00A4231C" w:rsidRPr="007C23E4">
        <w:rPr>
          <w:rFonts w:ascii="Garamond" w:hAnsi="Garamond"/>
          <w:sz w:val="24"/>
          <w:szCs w:val="24"/>
        </w:rPr>
        <w:t xml:space="preserve"> të miratojë aktin</w:t>
      </w:r>
      <w:r w:rsidRPr="007C23E4">
        <w:rPr>
          <w:rFonts w:ascii="Garamond" w:hAnsi="Garamond"/>
          <w:sz w:val="24"/>
          <w:szCs w:val="24"/>
        </w:rPr>
        <w:t xml:space="preserve"> nënligjor në zbatim të pikës 4 të nenit 5</w:t>
      </w:r>
      <w:r w:rsidR="00A4231C" w:rsidRPr="007C23E4">
        <w:rPr>
          <w:rFonts w:ascii="Garamond" w:hAnsi="Garamond"/>
          <w:sz w:val="24"/>
          <w:szCs w:val="24"/>
        </w:rPr>
        <w:t xml:space="preserve"> të këtij ligji.</w:t>
      </w:r>
    </w:p>
    <w:p w14:paraId="6DC57033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2. </w:t>
      </w:r>
      <w:r w:rsidR="00A4231C" w:rsidRPr="007C23E4">
        <w:rPr>
          <w:rFonts w:ascii="Garamond" w:hAnsi="Garamond"/>
          <w:sz w:val="24"/>
          <w:szCs w:val="24"/>
        </w:rPr>
        <w:t>Ngarkohet ministri përgjegjës për financat</w:t>
      </w:r>
      <w:r w:rsidRPr="007C23E4">
        <w:rPr>
          <w:rFonts w:ascii="Garamond" w:hAnsi="Garamond"/>
          <w:sz w:val="24"/>
          <w:szCs w:val="24"/>
        </w:rPr>
        <w:t xml:space="preserve"> që brenda 30</w:t>
      </w:r>
      <w:r w:rsidR="00A4231C" w:rsidRPr="007C23E4">
        <w:rPr>
          <w:rFonts w:ascii="Garamond" w:hAnsi="Garamond"/>
          <w:sz w:val="24"/>
          <w:szCs w:val="24"/>
        </w:rPr>
        <w:t xml:space="preserve"> ditëve nga hyrja në fuqi e kët</w:t>
      </w:r>
      <w:r w:rsidRPr="007C23E4">
        <w:rPr>
          <w:rFonts w:ascii="Garamond" w:hAnsi="Garamond"/>
          <w:sz w:val="24"/>
          <w:szCs w:val="24"/>
        </w:rPr>
        <w:t>ij ligji të miratojë udhëzimin në zbatim të pikës 3</w:t>
      </w:r>
      <w:r w:rsidR="00A4231C" w:rsidRPr="007C23E4">
        <w:rPr>
          <w:rFonts w:ascii="Garamond" w:hAnsi="Garamond"/>
          <w:sz w:val="24"/>
          <w:szCs w:val="24"/>
        </w:rPr>
        <w:t xml:space="preserve"> të nen</w:t>
      </w:r>
      <w:r w:rsidRPr="007C23E4">
        <w:rPr>
          <w:rFonts w:ascii="Garamond" w:hAnsi="Garamond"/>
          <w:sz w:val="24"/>
          <w:szCs w:val="24"/>
        </w:rPr>
        <w:t>it 9</w:t>
      </w:r>
      <w:r w:rsidR="00A4231C" w:rsidRPr="007C23E4">
        <w:rPr>
          <w:rFonts w:ascii="Garamond" w:hAnsi="Garamond"/>
          <w:sz w:val="24"/>
          <w:szCs w:val="24"/>
        </w:rPr>
        <w:t xml:space="preserve"> të këtij ligji.</w:t>
      </w:r>
    </w:p>
    <w:p w14:paraId="6DC57034" w14:textId="77777777" w:rsidR="00A4231C" w:rsidRPr="007C23E4" w:rsidRDefault="00C31045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3. </w:t>
      </w:r>
      <w:r w:rsidR="00A4231C" w:rsidRPr="007C23E4">
        <w:rPr>
          <w:rFonts w:ascii="Garamond" w:hAnsi="Garamond"/>
          <w:sz w:val="24"/>
          <w:szCs w:val="24"/>
        </w:rPr>
        <w:t>Ngarkohet drejto</w:t>
      </w:r>
      <w:r w:rsidRPr="007C23E4">
        <w:rPr>
          <w:rFonts w:ascii="Garamond" w:hAnsi="Garamond"/>
          <w:sz w:val="24"/>
          <w:szCs w:val="24"/>
        </w:rPr>
        <w:t>ri i Përgjithshëm i Tatimeve që brenda 30</w:t>
      </w:r>
      <w:r w:rsidR="00A4231C" w:rsidRPr="007C23E4">
        <w:rPr>
          <w:rFonts w:ascii="Garamond" w:hAnsi="Garamond"/>
          <w:sz w:val="24"/>
          <w:szCs w:val="24"/>
        </w:rPr>
        <w:t xml:space="preserve"> ditëve </w:t>
      </w:r>
      <w:r w:rsidRPr="007C23E4">
        <w:rPr>
          <w:rFonts w:ascii="Garamond" w:hAnsi="Garamond"/>
          <w:sz w:val="24"/>
          <w:szCs w:val="24"/>
        </w:rPr>
        <w:t>nga hyrja në fuqi e këtij ligji të miratojë urdhrin në zbatim të pikës 3</w:t>
      </w:r>
      <w:r w:rsidR="00A4231C" w:rsidRPr="007C23E4">
        <w:rPr>
          <w:rFonts w:ascii="Garamond" w:hAnsi="Garamond"/>
          <w:sz w:val="24"/>
          <w:szCs w:val="24"/>
        </w:rPr>
        <w:t xml:space="preserve"> të</w:t>
      </w:r>
      <w:r w:rsidR="00F95FD7" w:rsidRPr="007C23E4">
        <w:rPr>
          <w:rFonts w:ascii="Garamond" w:hAnsi="Garamond"/>
          <w:sz w:val="24"/>
          <w:szCs w:val="24"/>
        </w:rPr>
        <w:t xml:space="preserve"> </w:t>
      </w:r>
      <w:r w:rsidRPr="007C23E4">
        <w:rPr>
          <w:rFonts w:ascii="Garamond" w:hAnsi="Garamond"/>
          <w:sz w:val="24"/>
          <w:szCs w:val="24"/>
        </w:rPr>
        <w:t>nenit 17</w:t>
      </w:r>
      <w:r w:rsidR="00A4231C" w:rsidRPr="007C23E4">
        <w:rPr>
          <w:rFonts w:ascii="Garamond" w:hAnsi="Garamond"/>
          <w:sz w:val="24"/>
          <w:szCs w:val="24"/>
        </w:rPr>
        <w:t xml:space="preserve"> të këtij ligji.</w:t>
      </w:r>
    </w:p>
    <w:p w14:paraId="6DC57035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36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Neni 21</w:t>
      </w:r>
    </w:p>
    <w:p w14:paraId="6DC57038" w14:textId="77777777" w:rsidR="00A4231C" w:rsidRPr="007C23E4" w:rsidRDefault="00A4231C" w:rsidP="009846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C23E4">
        <w:rPr>
          <w:rFonts w:ascii="Garamond" w:hAnsi="Garamond"/>
          <w:b/>
          <w:sz w:val="24"/>
          <w:szCs w:val="24"/>
        </w:rPr>
        <w:t>Hyrja në fuqi</w:t>
      </w:r>
    </w:p>
    <w:p w14:paraId="6DC57039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3A" w14:textId="77777777" w:rsidR="00A4231C" w:rsidRPr="007C23E4" w:rsidRDefault="00A4231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>Ky l</w:t>
      </w:r>
      <w:r w:rsidR="00F95FD7" w:rsidRPr="007C23E4">
        <w:rPr>
          <w:rFonts w:ascii="Garamond" w:hAnsi="Garamond"/>
          <w:sz w:val="24"/>
          <w:szCs w:val="24"/>
        </w:rPr>
        <w:t xml:space="preserve">igj hyn në fuqi </w:t>
      </w:r>
      <w:r w:rsidR="00367E21" w:rsidRPr="007C23E4">
        <w:rPr>
          <w:rFonts w:ascii="Garamond" w:hAnsi="Garamond"/>
          <w:sz w:val="24"/>
          <w:szCs w:val="24"/>
        </w:rPr>
        <w:t xml:space="preserve">15 </w:t>
      </w:r>
      <w:r w:rsidR="00F95FD7" w:rsidRPr="007C23E4">
        <w:rPr>
          <w:rFonts w:ascii="Garamond" w:hAnsi="Garamond"/>
          <w:sz w:val="24"/>
          <w:szCs w:val="24"/>
        </w:rPr>
        <w:t>pas botimit në Fletoren Zyrtare</w:t>
      </w:r>
      <w:r w:rsidRPr="007C23E4">
        <w:rPr>
          <w:rFonts w:ascii="Garamond" w:hAnsi="Garamond"/>
          <w:sz w:val="24"/>
          <w:szCs w:val="24"/>
        </w:rPr>
        <w:t>.</w:t>
      </w:r>
    </w:p>
    <w:p w14:paraId="6DC5703B" w14:textId="77777777" w:rsidR="003F34EA" w:rsidRPr="007C23E4" w:rsidRDefault="003F34EA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C57043" w14:textId="20508E61" w:rsidR="00213234" w:rsidRDefault="00976A3C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C23E4">
        <w:rPr>
          <w:rFonts w:ascii="Garamond" w:hAnsi="Garamond"/>
          <w:sz w:val="24"/>
          <w:szCs w:val="24"/>
        </w:rPr>
        <w:t xml:space="preserve">Miratuar në datën </w:t>
      </w:r>
      <w:r w:rsidR="001C322E" w:rsidRPr="007C23E4">
        <w:rPr>
          <w:rFonts w:ascii="Garamond" w:hAnsi="Garamond"/>
          <w:sz w:val="24"/>
          <w:szCs w:val="24"/>
        </w:rPr>
        <w:t>1</w:t>
      </w:r>
      <w:r w:rsidR="00A4231C" w:rsidRPr="007C23E4">
        <w:rPr>
          <w:rFonts w:ascii="Garamond" w:hAnsi="Garamond"/>
          <w:sz w:val="24"/>
          <w:szCs w:val="24"/>
        </w:rPr>
        <w:t>7</w:t>
      </w:r>
      <w:r w:rsidR="00146D52" w:rsidRPr="007C23E4">
        <w:rPr>
          <w:rFonts w:ascii="Garamond" w:hAnsi="Garamond"/>
          <w:sz w:val="24"/>
          <w:szCs w:val="24"/>
        </w:rPr>
        <w:t>.1</w:t>
      </w:r>
      <w:r w:rsidR="00A4231C" w:rsidRPr="007C23E4">
        <w:rPr>
          <w:rFonts w:ascii="Garamond" w:hAnsi="Garamond"/>
          <w:sz w:val="24"/>
          <w:szCs w:val="24"/>
        </w:rPr>
        <w:t>2</w:t>
      </w:r>
      <w:r w:rsidR="00146D52" w:rsidRPr="007C23E4">
        <w:rPr>
          <w:rFonts w:ascii="Garamond" w:hAnsi="Garamond"/>
          <w:sz w:val="24"/>
          <w:szCs w:val="24"/>
        </w:rPr>
        <w:t>.</w:t>
      </w:r>
      <w:r w:rsidR="001C7EC0" w:rsidRPr="007C23E4">
        <w:rPr>
          <w:rFonts w:ascii="Garamond" w:hAnsi="Garamond"/>
          <w:sz w:val="24"/>
          <w:szCs w:val="24"/>
        </w:rPr>
        <w:t>2020</w:t>
      </w:r>
      <w:r w:rsidR="00EC1772">
        <w:rPr>
          <w:rFonts w:ascii="Garamond" w:hAnsi="Garamond"/>
          <w:sz w:val="24"/>
          <w:szCs w:val="24"/>
        </w:rPr>
        <w:t>.</w:t>
      </w:r>
    </w:p>
    <w:p w14:paraId="6E6DE4C4" w14:textId="272CFEF4" w:rsidR="007E66AA" w:rsidRPr="00F05A9C" w:rsidRDefault="007E66AA" w:rsidP="007E66AA">
      <w:pPr>
        <w:rPr>
          <w:rFonts w:ascii="Garamond" w:eastAsia="Times New Roman" w:hAnsi="Garamond" w:cs="Times New Roman"/>
          <w:b/>
          <w:sz w:val="24"/>
          <w:szCs w:val="24"/>
        </w:rPr>
      </w:pPr>
      <w:r w:rsidRPr="00F05A9C">
        <w:rPr>
          <w:rFonts w:ascii="Garamond" w:eastAsia="Times New Roman" w:hAnsi="Garamond" w:cs="Times New Roman"/>
          <w:b/>
          <w:sz w:val="24"/>
          <w:szCs w:val="24"/>
        </w:rPr>
        <w:t>Shpallur me dekretin nr.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 11910</w:t>
      </w:r>
      <w:bookmarkStart w:id="0" w:name="_GoBack"/>
      <w:bookmarkEnd w:id="0"/>
      <w:r w:rsidRPr="00F05A9C">
        <w:rPr>
          <w:rFonts w:ascii="Garamond" w:eastAsia="Times New Roman" w:hAnsi="Garamond" w:cs="Times New Roman"/>
          <w:b/>
          <w:sz w:val="24"/>
          <w:szCs w:val="24"/>
        </w:rPr>
        <w:t xml:space="preserve">, datë </w:t>
      </w:r>
      <w:r>
        <w:rPr>
          <w:rFonts w:ascii="Garamond" w:eastAsia="Times New Roman" w:hAnsi="Garamond" w:cs="Times New Roman"/>
          <w:b/>
          <w:sz w:val="24"/>
          <w:szCs w:val="24"/>
        </w:rPr>
        <w:t xml:space="preserve">8.1.2021 </w:t>
      </w:r>
      <w:r w:rsidRPr="00F05A9C">
        <w:rPr>
          <w:rFonts w:ascii="Garamond" w:eastAsia="Times New Roman" w:hAnsi="Garamond" w:cs="Times New Roman"/>
          <w:b/>
          <w:sz w:val="24"/>
          <w:szCs w:val="24"/>
        </w:rPr>
        <w:t>të Presidentit të Republikës së Shqipërisë, Ilir Meta</w:t>
      </w:r>
    </w:p>
    <w:p w14:paraId="7C5F4884" w14:textId="77777777" w:rsidR="007E66AA" w:rsidRPr="007C23E4" w:rsidRDefault="007E66AA" w:rsidP="009846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7E66AA" w:rsidRPr="007C23E4" w:rsidSect="00095FAE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B6CCD" w14:textId="77777777" w:rsidR="007E66AA" w:rsidRDefault="007E66AA" w:rsidP="00420682">
      <w:pPr>
        <w:spacing w:after="0" w:line="240" w:lineRule="auto"/>
      </w:pPr>
      <w:r>
        <w:separator/>
      </w:r>
    </w:p>
  </w:endnote>
  <w:endnote w:type="continuationSeparator" w:id="0">
    <w:p w14:paraId="3095F6A4" w14:textId="77777777" w:rsidR="007E66AA" w:rsidRDefault="007E66AA" w:rsidP="00420682">
      <w:pPr>
        <w:spacing w:after="0" w:line="240" w:lineRule="auto"/>
      </w:pPr>
      <w:r>
        <w:continuationSeparator/>
      </w:r>
    </w:p>
  </w:endnote>
  <w:endnote w:type="continuationNotice" w:id="1">
    <w:p w14:paraId="681AE943" w14:textId="77777777" w:rsidR="007E66AA" w:rsidRDefault="007E66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65753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DC57048" w14:textId="77777777" w:rsidR="007E66AA" w:rsidRPr="00095FAE" w:rsidRDefault="007E66A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5F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5FA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F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95FA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DC57049" w14:textId="77777777" w:rsidR="007E66AA" w:rsidRDefault="007E6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71C05" w14:textId="77777777" w:rsidR="007E66AA" w:rsidRDefault="007E66AA" w:rsidP="00420682">
      <w:pPr>
        <w:spacing w:after="0" w:line="240" w:lineRule="auto"/>
      </w:pPr>
      <w:r>
        <w:separator/>
      </w:r>
    </w:p>
  </w:footnote>
  <w:footnote w:type="continuationSeparator" w:id="0">
    <w:p w14:paraId="1705E49A" w14:textId="77777777" w:rsidR="007E66AA" w:rsidRDefault="007E66AA" w:rsidP="00420682">
      <w:pPr>
        <w:spacing w:after="0" w:line="240" w:lineRule="auto"/>
      </w:pPr>
      <w:r>
        <w:continuationSeparator/>
      </w:r>
    </w:p>
  </w:footnote>
  <w:footnote w:type="continuationNotice" w:id="1">
    <w:p w14:paraId="4F2A34F3" w14:textId="77777777" w:rsidR="007E66AA" w:rsidRDefault="007E66AA">
      <w:pPr>
        <w:spacing w:after="0" w:line="240" w:lineRule="auto"/>
      </w:pPr>
    </w:p>
  </w:footnote>
  <w:footnote w:id="2">
    <w:p w14:paraId="6DC5704A" w14:textId="77777777" w:rsidR="007E66AA" w:rsidRPr="007C23E4" w:rsidRDefault="007E66AA" w:rsidP="00A4231C">
      <w:pPr>
        <w:pStyle w:val="FootnoteText"/>
        <w:jc w:val="both"/>
        <w:rPr>
          <w:rFonts w:ascii="Garamond" w:hAnsi="Garamond"/>
          <w:color w:val="000000" w:themeColor="text1"/>
          <w:lang w:val="sq-AL"/>
        </w:rPr>
      </w:pPr>
      <w:r w:rsidRPr="007C23E4">
        <w:rPr>
          <w:rStyle w:val="FootnoteReference"/>
          <w:rFonts w:ascii="Garamond" w:hAnsi="Garamond"/>
          <w:lang w:val="sq-AL"/>
        </w:rPr>
        <w:footnoteRef/>
      </w:r>
      <w:r w:rsidRPr="007C23E4">
        <w:rPr>
          <w:rFonts w:ascii="Garamond" w:hAnsi="Garamond"/>
          <w:lang w:val="sq-AL"/>
        </w:rPr>
        <w:t xml:space="preserve"> </w:t>
      </w:r>
      <w:r w:rsidRPr="007C23E4">
        <w:rPr>
          <w:rFonts w:ascii="Garamond" w:hAnsi="Garamond"/>
          <w:color w:val="000000" w:themeColor="text1"/>
          <w:lang w:val="sq-AL"/>
        </w:rPr>
        <w:t>Ky ligj është përafruar pjesërisht me:</w:t>
      </w:r>
    </w:p>
    <w:p w14:paraId="6DC5704B" w14:textId="0FD00F9D" w:rsidR="007E66AA" w:rsidRPr="007C23E4" w:rsidRDefault="007E66AA" w:rsidP="00A4231C">
      <w:pPr>
        <w:pStyle w:val="FootnoteText"/>
        <w:jc w:val="both"/>
        <w:rPr>
          <w:rFonts w:ascii="Garamond" w:hAnsi="Garamond"/>
          <w:color w:val="000000" w:themeColor="text1"/>
          <w:lang w:val="sq-AL"/>
        </w:rPr>
      </w:pPr>
      <w:r w:rsidRPr="007C23E4">
        <w:rPr>
          <w:rFonts w:ascii="Garamond" w:hAnsi="Garamond"/>
          <w:color w:val="000000" w:themeColor="text1"/>
          <w:lang w:val="sq-AL"/>
        </w:rPr>
        <w:t>- Direktivën (BE) 2018/843 të Parlamentit E</w:t>
      </w:r>
      <w:r>
        <w:rPr>
          <w:rFonts w:ascii="Garamond" w:hAnsi="Garamond"/>
          <w:color w:val="000000" w:themeColor="text1"/>
          <w:lang w:val="sq-AL"/>
        </w:rPr>
        <w:t>v</w:t>
      </w:r>
      <w:r w:rsidRPr="007C23E4">
        <w:rPr>
          <w:rFonts w:ascii="Garamond" w:hAnsi="Garamond"/>
          <w:color w:val="000000" w:themeColor="text1"/>
          <w:lang w:val="sq-AL"/>
        </w:rPr>
        <w:t>ropian dhe të Këshillit, datë 30 maj 2018 që ndryshon Direktivën (BE) 2015/849 “Për parandalimin e përdorimit të sistemit financiar për qëllime të pastrimit të parave ose të financimit të terrorizmit” dhe që ndryshon direktivat 2009/138/KE dhe 2013/36/BE. Numri CELEX 32018L0843, Fletorja Zyrtare e Bashkimit E</w:t>
      </w:r>
      <w:r>
        <w:rPr>
          <w:rFonts w:ascii="Garamond" w:hAnsi="Garamond"/>
          <w:color w:val="000000" w:themeColor="text1"/>
          <w:lang w:val="sq-AL"/>
        </w:rPr>
        <w:t>v</w:t>
      </w:r>
      <w:r w:rsidRPr="007C23E4">
        <w:rPr>
          <w:rFonts w:ascii="Garamond" w:hAnsi="Garamond"/>
          <w:color w:val="000000" w:themeColor="text1"/>
          <w:lang w:val="sq-AL"/>
        </w:rPr>
        <w:t>ropian, seria L, nr. 156, datë 19.6.2018, f.</w:t>
      </w:r>
      <w:r>
        <w:rPr>
          <w:rFonts w:ascii="Garamond" w:hAnsi="Garamond"/>
          <w:color w:val="000000" w:themeColor="text1"/>
          <w:lang w:val="sq-AL"/>
        </w:rPr>
        <w:t xml:space="preserve"> </w:t>
      </w:r>
      <w:r w:rsidRPr="007C23E4">
        <w:rPr>
          <w:rFonts w:ascii="Garamond" w:hAnsi="Garamond"/>
          <w:color w:val="000000" w:themeColor="text1"/>
          <w:lang w:val="sq-AL"/>
        </w:rPr>
        <w:t>43</w:t>
      </w:r>
      <w:r>
        <w:rPr>
          <w:rFonts w:ascii="Garamond" w:hAnsi="Garamond"/>
          <w:color w:val="000000" w:themeColor="text1"/>
          <w:lang w:val="sq-AL"/>
        </w:rPr>
        <w:t>–</w:t>
      </w:r>
      <w:r w:rsidRPr="007C23E4">
        <w:rPr>
          <w:rFonts w:ascii="Garamond" w:hAnsi="Garamond"/>
          <w:color w:val="000000" w:themeColor="text1"/>
          <w:lang w:val="sq-AL"/>
        </w:rPr>
        <w:t>74.</w:t>
      </w:r>
    </w:p>
    <w:p w14:paraId="6DC5704C" w14:textId="51FCC3E2" w:rsidR="007E66AA" w:rsidRPr="007C23E4" w:rsidRDefault="007E66AA" w:rsidP="00A4231C">
      <w:pPr>
        <w:pStyle w:val="FootnoteText"/>
        <w:jc w:val="both"/>
        <w:rPr>
          <w:rFonts w:ascii="Garamond" w:hAnsi="Garamond"/>
          <w:color w:val="000000" w:themeColor="text1"/>
          <w:lang w:val="sq-AL"/>
        </w:rPr>
      </w:pPr>
      <w:r w:rsidRPr="007C23E4">
        <w:rPr>
          <w:rFonts w:ascii="Garamond" w:hAnsi="Garamond"/>
          <w:color w:val="000000" w:themeColor="text1"/>
          <w:lang w:val="sq-AL"/>
        </w:rPr>
        <w:t>- Direktivën (BE) 2019/1153 të Parlamentit E</w:t>
      </w:r>
      <w:r>
        <w:rPr>
          <w:rFonts w:ascii="Garamond" w:hAnsi="Garamond"/>
          <w:color w:val="000000" w:themeColor="text1"/>
          <w:lang w:val="sq-AL"/>
        </w:rPr>
        <w:t>v</w:t>
      </w:r>
      <w:r w:rsidRPr="007C23E4">
        <w:rPr>
          <w:rFonts w:ascii="Garamond" w:hAnsi="Garamond"/>
          <w:color w:val="000000" w:themeColor="text1"/>
          <w:lang w:val="sq-AL"/>
        </w:rPr>
        <w:t>ropian dhe të Këshillit, datë 20 qershor 2019 që vendos rregullat që lehtësojnë përdorimin e informacionit financiar dhe informacioneve të tjera për parandalimin, zbulimin, hetimin ose ndjekjen penale të disa veprave penale dhe që shfuqizon vendimin e Këshillit 2000/642/DÇB. Numri CELEX 32019L1153, Fletorja Zyrtare e Bashkimit E</w:t>
      </w:r>
      <w:r>
        <w:rPr>
          <w:rFonts w:ascii="Garamond" w:hAnsi="Garamond"/>
          <w:color w:val="000000" w:themeColor="text1"/>
          <w:lang w:val="sq-AL"/>
        </w:rPr>
        <w:t>v</w:t>
      </w:r>
      <w:r w:rsidRPr="007C23E4">
        <w:rPr>
          <w:rFonts w:ascii="Garamond" w:hAnsi="Garamond"/>
          <w:color w:val="000000" w:themeColor="text1"/>
          <w:lang w:val="sq-AL"/>
        </w:rPr>
        <w:t>ropian, ser</w:t>
      </w:r>
      <w:r>
        <w:rPr>
          <w:rFonts w:ascii="Garamond" w:hAnsi="Garamond"/>
          <w:color w:val="000000" w:themeColor="text1"/>
          <w:lang w:val="sq-AL"/>
        </w:rPr>
        <w:t>ia L, nr. 186, datë 11.7.2019, f</w:t>
      </w:r>
      <w:r w:rsidRPr="007C23E4">
        <w:rPr>
          <w:rFonts w:ascii="Garamond" w:hAnsi="Garamond"/>
          <w:color w:val="000000" w:themeColor="text1"/>
          <w:lang w:val="sq-AL"/>
        </w:rPr>
        <w:t>.</w:t>
      </w:r>
      <w:r>
        <w:rPr>
          <w:rFonts w:ascii="Garamond" w:hAnsi="Garamond"/>
          <w:color w:val="000000" w:themeColor="text1"/>
          <w:lang w:val="sq-AL"/>
        </w:rPr>
        <w:t xml:space="preserve"> </w:t>
      </w:r>
      <w:r w:rsidRPr="007C23E4">
        <w:rPr>
          <w:rFonts w:ascii="Garamond" w:hAnsi="Garamond"/>
          <w:color w:val="000000" w:themeColor="text1"/>
          <w:lang w:val="sq-AL"/>
        </w:rPr>
        <w:t>122</w:t>
      </w:r>
      <w:r>
        <w:rPr>
          <w:rFonts w:ascii="Garamond" w:hAnsi="Garamond"/>
          <w:color w:val="000000" w:themeColor="text1"/>
          <w:lang w:val="sq-AL"/>
        </w:rPr>
        <w:t>–</w:t>
      </w:r>
      <w:r w:rsidRPr="007C23E4">
        <w:rPr>
          <w:rFonts w:ascii="Garamond" w:hAnsi="Garamond"/>
          <w:color w:val="000000" w:themeColor="text1"/>
          <w:lang w:val="sq-AL"/>
        </w:rPr>
        <w:t>137.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563E7"/>
    <w:multiLevelType w:val="hybridMultilevel"/>
    <w:tmpl w:val="9D707F28"/>
    <w:lvl w:ilvl="0" w:tplc="4394F55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1724"/>
    <w:rsid w:val="00002637"/>
    <w:rsid w:val="00055AB5"/>
    <w:rsid w:val="00060376"/>
    <w:rsid w:val="00063D0A"/>
    <w:rsid w:val="000765C2"/>
    <w:rsid w:val="00095FAE"/>
    <w:rsid w:val="00096348"/>
    <w:rsid w:val="000A3B4D"/>
    <w:rsid w:val="000B73A2"/>
    <w:rsid w:val="000D199E"/>
    <w:rsid w:val="000E5BA6"/>
    <w:rsid w:val="0010255C"/>
    <w:rsid w:val="00106F6D"/>
    <w:rsid w:val="0012550D"/>
    <w:rsid w:val="00146D52"/>
    <w:rsid w:val="00153CC5"/>
    <w:rsid w:val="00155BCF"/>
    <w:rsid w:val="00166898"/>
    <w:rsid w:val="001816AF"/>
    <w:rsid w:val="00183B7A"/>
    <w:rsid w:val="001942D4"/>
    <w:rsid w:val="001B086E"/>
    <w:rsid w:val="001B796E"/>
    <w:rsid w:val="001C0806"/>
    <w:rsid w:val="001C322E"/>
    <w:rsid w:val="001C445C"/>
    <w:rsid w:val="001C5CDE"/>
    <w:rsid w:val="001C7EC0"/>
    <w:rsid w:val="001D1268"/>
    <w:rsid w:val="001D2895"/>
    <w:rsid w:val="001F194A"/>
    <w:rsid w:val="002009A1"/>
    <w:rsid w:val="0020160E"/>
    <w:rsid w:val="0020170B"/>
    <w:rsid w:val="0020507F"/>
    <w:rsid w:val="00213234"/>
    <w:rsid w:val="00214854"/>
    <w:rsid w:val="00214C05"/>
    <w:rsid w:val="0021715D"/>
    <w:rsid w:val="00221D4E"/>
    <w:rsid w:val="00233280"/>
    <w:rsid w:val="00241662"/>
    <w:rsid w:val="0024206A"/>
    <w:rsid w:val="00243B60"/>
    <w:rsid w:val="00247D46"/>
    <w:rsid w:val="00266C06"/>
    <w:rsid w:val="00277C19"/>
    <w:rsid w:val="00282A00"/>
    <w:rsid w:val="002A47D7"/>
    <w:rsid w:val="002F5953"/>
    <w:rsid w:val="00367E21"/>
    <w:rsid w:val="003823C8"/>
    <w:rsid w:val="0038331D"/>
    <w:rsid w:val="003855F9"/>
    <w:rsid w:val="00397541"/>
    <w:rsid w:val="003A63A5"/>
    <w:rsid w:val="003C48FF"/>
    <w:rsid w:val="003E58F4"/>
    <w:rsid w:val="003F29A8"/>
    <w:rsid w:val="003F34EA"/>
    <w:rsid w:val="00402E97"/>
    <w:rsid w:val="00404016"/>
    <w:rsid w:val="0041300C"/>
    <w:rsid w:val="00420682"/>
    <w:rsid w:val="00433BCD"/>
    <w:rsid w:val="00445610"/>
    <w:rsid w:val="00455BBA"/>
    <w:rsid w:val="00460BC4"/>
    <w:rsid w:val="004647DB"/>
    <w:rsid w:val="00477804"/>
    <w:rsid w:val="004901D8"/>
    <w:rsid w:val="004A5884"/>
    <w:rsid w:val="004B6ED9"/>
    <w:rsid w:val="004C2DFD"/>
    <w:rsid w:val="004D686C"/>
    <w:rsid w:val="004E0C11"/>
    <w:rsid w:val="004E4C30"/>
    <w:rsid w:val="004E7290"/>
    <w:rsid w:val="004E7E53"/>
    <w:rsid w:val="004F447A"/>
    <w:rsid w:val="004F7030"/>
    <w:rsid w:val="00506AE4"/>
    <w:rsid w:val="005201B5"/>
    <w:rsid w:val="00531A97"/>
    <w:rsid w:val="00542102"/>
    <w:rsid w:val="00547E38"/>
    <w:rsid w:val="00550FA3"/>
    <w:rsid w:val="0055575B"/>
    <w:rsid w:val="005726F2"/>
    <w:rsid w:val="00573EE3"/>
    <w:rsid w:val="005767F6"/>
    <w:rsid w:val="00581A50"/>
    <w:rsid w:val="0059342C"/>
    <w:rsid w:val="005B6E3F"/>
    <w:rsid w:val="0062077A"/>
    <w:rsid w:val="006252FC"/>
    <w:rsid w:val="006465EF"/>
    <w:rsid w:val="00646924"/>
    <w:rsid w:val="00657C47"/>
    <w:rsid w:val="0066273A"/>
    <w:rsid w:val="0067406E"/>
    <w:rsid w:val="00677E6C"/>
    <w:rsid w:val="00681FFB"/>
    <w:rsid w:val="006C5CE1"/>
    <w:rsid w:val="006F4D55"/>
    <w:rsid w:val="00726525"/>
    <w:rsid w:val="00736DC8"/>
    <w:rsid w:val="007403CF"/>
    <w:rsid w:val="007654B3"/>
    <w:rsid w:val="00773047"/>
    <w:rsid w:val="00774741"/>
    <w:rsid w:val="007A1D05"/>
    <w:rsid w:val="007A2E0E"/>
    <w:rsid w:val="007A3D37"/>
    <w:rsid w:val="007C083E"/>
    <w:rsid w:val="007C23E4"/>
    <w:rsid w:val="007D742E"/>
    <w:rsid w:val="007E2515"/>
    <w:rsid w:val="007E66AA"/>
    <w:rsid w:val="00811138"/>
    <w:rsid w:val="00840462"/>
    <w:rsid w:val="0085472C"/>
    <w:rsid w:val="008620E4"/>
    <w:rsid w:val="0086360A"/>
    <w:rsid w:val="008720AB"/>
    <w:rsid w:val="0087264B"/>
    <w:rsid w:val="0088140F"/>
    <w:rsid w:val="00884C89"/>
    <w:rsid w:val="008914C1"/>
    <w:rsid w:val="00892C77"/>
    <w:rsid w:val="008A1646"/>
    <w:rsid w:val="008D12D7"/>
    <w:rsid w:val="00900D7B"/>
    <w:rsid w:val="0091014E"/>
    <w:rsid w:val="009104DF"/>
    <w:rsid w:val="009277B5"/>
    <w:rsid w:val="00970D95"/>
    <w:rsid w:val="00974717"/>
    <w:rsid w:val="00976A3C"/>
    <w:rsid w:val="00984668"/>
    <w:rsid w:val="00991D86"/>
    <w:rsid w:val="0099741A"/>
    <w:rsid w:val="009A6F98"/>
    <w:rsid w:val="009C24E3"/>
    <w:rsid w:val="009C78DF"/>
    <w:rsid w:val="009D1E73"/>
    <w:rsid w:val="00A06D12"/>
    <w:rsid w:val="00A14C87"/>
    <w:rsid w:val="00A15DE9"/>
    <w:rsid w:val="00A34D9D"/>
    <w:rsid w:val="00A4231C"/>
    <w:rsid w:val="00A431DD"/>
    <w:rsid w:val="00A645A6"/>
    <w:rsid w:val="00A675E7"/>
    <w:rsid w:val="00AA10A2"/>
    <w:rsid w:val="00AA32E0"/>
    <w:rsid w:val="00AB24D6"/>
    <w:rsid w:val="00AC2686"/>
    <w:rsid w:val="00AF0CE9"/>
    <w:rsid w:val="00B03A16"/>
    <w:rsid w:val="00B043AC"/>
    <w:rsid w:val="00B3070E"/>
    <w:rsid w:val="00B54D96"/>
    <w:rsid w:val="00B5548F"/>
    <w:rsid w:val="00B6427E"/>
    <w:rsid w:val="00B67778"/>
    <w:rsid w:val="00BA1706"/>
    <w:rsid w:val="00BA5571"/>
    <w:rsid w:val="00BB15C8"/>
    <w:rsid w:val="00BD4611"/>
    <w:rsid w:val="00C01930"/>
    <w:rsid w:val="00C10624"/>
    <w:rsid w:val="00C11FAE"/>
    <w:rsid w:val="00C31045"/>
    <w:rsid w:val="00C34DA3"/>
    <w:rsid w:val="00C4191B"/>
    <w:rsid w:val="00C446ED"/>
    <w:rsid w:val="00C60CAD"/>
    <w:rsid w:val="00C6573D"/>
    <w:rsid w:val="00C8679E"/>
    <w:rsid w:val="00CA0828"/>
    <w:rsid w:val="00CC7CA2"/>
    <w:rsid w:val="00CF5B26"/>
    <w:rsid w:val="00D23C4B"/>
    <w:rsid w:val="00D45AC2"/>
    <w:rsid w:val="00D60C6B"/>
    <w:rsid w:val="00DA56D4"/>
    <w:rsid w:val="00DC03DB"/>
    <w:rsid w:val="00DC39F1"/>
    <w:rsid w:val="00DF14BE"/>
    <w:rsid w:val="00E32B8C"/>
    <w:rsid w:val="00E370B3"/>
    <w:rsid w:val="00E452DA"/>
    <w:rsid w:val="00E6234F"/>
    <w:rsid w:val="00E72BC5"/>
    <w:rsid w:val="00E76B9D"/>
    <w:rsid w:val="00E8287B"/>
    <w:rsid w:val="00E913DD"/>
    <w:rsid w:val="00EC1243"/>
    <w:rsid w:val="00EC1772"/>
    <w:rsid w:val="00EC55E7"/>
    <w:rsid w:val="00EC57E8"/>
    <w:rsid w:val="00EE7E5D"/>
    <w:rsid w:val="00F05AC8"/>
    <w:rsid w:val="00F07F7F"/>
    <w:rsid w:val="00F234B6"/>
    <w:rsid w:val="00F52125"/>
    <w:rsid w:val="00F537D2"/>
    <w:rsid w:val="00F630AC"/>
    <w:rsid w:val="00F84F9C"/>
    <w:rsid w:val="00F932D5"/>
    <w:rsid w:val="00F95FD7"/>
    <w:rsid w:val="00FA2B96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6F4A"/>
  <w15:docId w15:val="{66E3C9A7-116D-440F-81BE-6E019134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3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5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FAE"/>
  </w:style>
  <w:style w:type="paragraph" w:styleId="Footer">
    <w:name w:val="footer"/>
    <w:basedOn w:val="Normal"/>
    <w:link w:val="FooterChar"/>
    <w:uiPriority w:val="99"/>
    <w:unhideWhenUsed/>
    <w:rsid w:val="00095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154</Nr_x002e__x0020_akti>
    <Data_x0020_e_x0020_Krijimit xmlns="0e656187-b300-4fb0-8bf4-3a50f872073c">2021-01-12T11:20:18Z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2021-01-11T23:00:00Z</Date_x0020_protokolli>
    <Titulli xmlns="0e656187-b300-4fb0-8bf4-3a50f872073c">Për regjistrin qendror të llogarive bankare</Titulli>
    <Modifikuesi xmlns="0e656187-b300-4fb0-8bf4-3a50f872073c">alma.lisaku</Modifikuesi>
    <Nr_x002e__x0020_prot_x0020_QBZ xmlns="0e656187-b300-4fb0-8bf4-3a50f872073c">57/7</Nr_x002e__x0020_prot_x0020_QBZ>
    <Data_x0020_e_x0020_Modifikimit xmlns="0e656187-b300-4fb0-8bf4-3a50f872073c">2021-01-13T09:28:03Z</Data_x0020_e_x0020_Modifikimit>
    <Dekretuar xmlns="0e656187-b300-4fb0-8bf4-3a50f872073c">false</Dekretuar>
    <Data xmlns="0e656187-b300-4fb0-8bf4-3a50f872073c">2020-12-16T23:00:00Z</Data>
    <Nr_x002e__x0020_protokolli_x0020_i_x0020_aktit xmlns="0e656187-b300-4fb0-8bf4-3a50f872073c">119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CA355CA73074A3E960D52F28A05BA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CA355CA73074A3E960D52F28A05BA0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38678-B358-4985-82C6-CE273509665F}">
  <ds:schemaRefs>
    <ds:schemaRef ds:uri="http://www.w3.org/XML/1998/namespace"/>
    <ds:schemaRef ds:uri="http://purl.org/dc/elements/1.1/"/>
    <ds:schemaRef ds:uri="http://purl.org/dc/dcmitype/"/>
    <ds:schemaRef ds:uri="0e656187-b300-4fb0-8bf4-3a50f872073c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78A4E13-13C3-4EB7-9280-5D2D27616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046E4-BA24-4BCA-9759-9673693EE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6FC3F35-D09B-433A-BA25-08AD073573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39FD5D-A23D-4437-A8B9-79C35DD40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B7EBFCF-BDEB-45C2-B060-8D300359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regjistrin qendror të llogarive bankare</vt:lpstr>
    </vt:vector>
  </TitlesOfParts>
  <Company/>
  <LinksUpToDate>false</LinksUpToDate>
  <CharactersWithSpaces>19824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regjistrin qendror të llogarive bankare</dc:title>
  <dc:creator>gazmend.hanku</dc:creator>
  <cp:lastModifiedBy>Amarilda Muja</cp:lastModifiedBy>
  <cp:revision>15</cp:revision>
  <cp:lastPrinted>2020-12-23T07:46:00Z</cp:lastPrinted>
  <dcterms:created xsi:type="dcterms:W3CDTF">2021-01-11T11:10:00Z</dcterms:created>
  <dcterms:modified xsi:type="dcterms:W3CDTF">2021-01-13T09:43:00Z</dcterms:modified>
</cp:coreProperties>
</file>