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37AEB" w14:textId="77777777" w:rsidR="00420682" w:rsidRPr="00D14245" w:rsidRDefault="00420682" w:rsidP="00D14245">
      <w:pPr>
        <w:spacing w:after="0" w:line="240" w:lineRule="auto"/>
        <w:ind w:firstLine="284"/>
        <w:jc w:val="center"/>
        <w:rPr>
          <w:rFonts w:ascii="Garamond" w:hAnsi="Garamond" w:cs="Times New Roman"/>
          <w:b/>
          <w:sz w:val="24"/>
          <w:szCs w:val="24"/>
        </w:rPr>
      </w:pPr>
      <w:r w:rsidRPr="00D14245">
        <w:rPr>
          <w:rFonts w:ascii="Garamond" w:hAnsi="Garamond" w:cs="Times New Roman"/>
          <w:b/>
          <w:sz w:val="24"/>
          <w:szCs w:val="24"/>
        </w:rPr>
        <w:t>LIGJ</w:t>
      </w:r>
    </w:p>
    <w:p w14:paraId="6DF37AED" w14:textId="77777777" w:rsidR="00420682" w:rsidRPr="00D14245" w:rsidRDefault="002009A1" w:rsidP="00D14245">
      <w:pPr>
        <w:spacing w:after="0" w:line="240" w:lineRule="auto"/>
        <w:ind w:firstLine="284"/>
        <w:jc w:val="center"/>
        <w:rPr>
          <w:rFonts w:ascii="Garamond" w:hAnsi="Garamond" w:cs="Times New Roman"/>
          <w:b/>
          <w:sz w:val="24"/>
          <w:szCs w:val="24"/>
        </w:rPr>
      </w:pPr>
      <w:r w:rsidRPr="00D14245">
        <w:rPr>
          <w:rFonts w:ascii="Garamond" w:hAnsi="Garamond" w:cs="Times New Roman"/>
          <w:b/>
          <w:sz w:val="24"/>
          <w:szCs w:val="24"/>
        </w:rPr>
        <w:t xml:space="preserve">Nr. </w:t>
      </w:r>
      <w:r w:rsidR="00027DD8" w:rsidRPr="00D14245">
        <w:rPr>
          <w:rFonts w:ascii="Garamond" w:hAnsi="Garamond" w:cs="Times New Roman"/>
          <w:b/>
          <w:sz w:val="24"/>
          <w:szCs w:val="24"/>
        </w:rPr>
        <w:t>1</w:t>
      </w:r>
      <w:r w:rsidR="001C322E" w:rsidRPr="00D14245">
        <w:rPr>
          <w:rFonts w:ascii="Garamond" w:hAnsi="Garamond" w:cs="Times New Roman"/>
          <w:b/>
          <w:sz w:val="24"/>
          <w:szCs w:val="24"/>
        </w:rPr>
        <w:t>5</w:t>
      </w:r>
      <w:r w:rsidR="00027DD8" w:rsidRPr="00D14245">
        <w:rPr>
          <w:rFonts w:ascii="Garamond" w:hAnsi="Garamond" w:cs="Times New Roman"/>
          <w:b/>
          <w:sz w:val="24"/>
          <w:szCs w:val="24"/>
        </w:rPr>
        <w:t>8</w:t>
      </w:r>
      <w:r w:rsidR="001C7EC0" w:rsidRPr="00D14245">
        <w:rPr>
          <w:rFonts w:ascii="Garamond" w:hAnsi="Garamond" w:cs="Times New Roman"/>
          <w:b/>
          <w:sz w:val="24"/>
          <w:szCs w:val="24"/>
        </w:rPr>
        <w:t>/2020</w:t>
      </w:r>
    </w:p>
    <w:p w14:paraId="6DF37AEE" w14:textId="77777777" w:rsidR="003F34EA" w:rsidRPr="00D14245" w:rsidRDefault="003F34EA" w:rsidP="00D14245">
      <w:pPr>
        <w:spacing w:after="0" w:line="240" w:lineRule="auto"/>
        <w:ind w:firstLine="284"/>
        <w:rPr>
          <w:rFonts w:ascii="Garamond" w:hAnsi="Garamond" w:cs="Times New Roman"/>
          <w:b/>
          <w:sz w:val="24"/>
          <w:szCs w:val="24"/>
        </w:rPr>
      </w:pPr>
    </w:p>
    <w:p w14:paraId="6DF37AEF" w14:textId="77777777" w:rsidR="00027DD8" w:rsidRPr="00D14245" w:rsidRDefault="00027DD8" w:rsidP="00D14245">
      <w:pPr>
        <w:spacing w:after="0" w:line="240" w:lineRule="auto"/>
        <w:ind w:firstLine="284"/>
        <w:jc w:val="center"/>
        <w:rPr>
          <w:rFonts w:ascii="Garamond" w:hAnsi="Garamond" w:cs="Times New Roman"/>
          <w:b/>
          <w:bCs/>
          <w:sz w:val="24"/>
          <w:szCs w:val="24"/>
        </w:rPr>
      </w:pPr>
      <w:r w:rsidRPr="00D14245">
        <w:rPr>
          <w:rFonts w:ascii="Garamond" w:hAnsi="Garamond" w:cs="Times New Roman"/>
          <w:b/>
          <w:bCs/>
          <w:sz w:val="24"/>
          <w:szCs w:val="24"/>
        </w:rPr>
        <w:t>PËR  RATIFIKIMIN E MARRËVESHJES SË FINANCIMIT NDËRMJET REPUBLIKËS SË SHQIPËRISË, PËRFAQËSUAR NGA KËSHILLI I MINISTRAVE, MALIT TË ZI, PËRFAQËSUAR NGA ZYRA E INTEGRIMIT E</w:t>
      </w:r>
      <w:r w:rsidR="001B0033" w:rsidRPr="00D14245">
        <w:rPr>
          <w:rFonts w:ascii="Garamond" w:hAnsi="Garamond" w:cs="Times New Roman"/>
          <w:b/>
          <w:bCs/>
          <w:sz w:val="24"/>
          <w:szCs w:val="24"/>
        </w:rPr>
        <w:t>U</w:t>
      </w:r>
      <w:r w:rsidRPr="00D14245">
        <w:rPr>
          <w:rFonts w:ascii="Garamond" w:hAnsi="Garamond" w:cs="Times New Roman"/>
          <w:b/>
          <w:bCs/>
          <w:sz w:val="24"/>
          <w:szCs w:val="24"/>
        </w:rPr>
        <w:t xml:space="preserve">ROPIAN, </w:t>
      </w:r>
    </w:p>
    <w:p w14:paraId="6DF37AF0" w14:textId="77777777" w:rsidR="00027DD8" w:rsidRPr="00D14245" w:rsidRDefault="00027DD8" w:rsidP="00D14245">
      <w:pPr>
        <w:spacing w:after="0" w:line="240" w:lineRule="auto"/>
        <w:ind w:firstLine="284"/>
        <w:jc w:val="center"/>
        <w:rPr>
          <w:rFonts w:ascii="Garamond" w:hAnsi="Garamond" w:cs="Times New Roman"/>
          <w:b/>
          <w:bCs/>
          <w:sz w:val="24"/>
          <w:szCs w:val="24"/>
        </w:rPr>
      </w:pPr>
      <w:r w:rsidRPr="00D14245">
        <w:rPr>
          <w:rFonts w:ascii="Garamond" w:hAnsi="Garamond" w:cs="Times New Roman"/>
          <w:b/>
          <w:bCs/>
          <w:sz w:val="24"/>
          <w:szCs w:val="24"/>
        </w:rPr>
        <w:t>DHE KOMISIONIT E</w:t>
      </w:r>
      <w:r w:rsidR="001B0033" w:rsidRPr="00D14245">
        <w:rPr>
          <w:rFonts w:ascii="Garamond" w:hAnsi="Garamond" w:cs="Times New Roman"/>
          <w:b/>
          <w:bCs/>
          <w:sz w:val="24"/>
          <w:szCs w:val="24"/>
        </w:rPr>
        <w:t>U</w:t>
      </w:r>
      <w:r w:rsidRPr="00D14245">
        <w:rPr>
          <w:rFonts w:ascii="Garamond" w:hAnsi="Garamond" w:cs="Times New Roman"/>
          <w:b/>
          <w:bCs/>
          <w:sz w:val="24"/>
          <w:szCs w:val="24"/>
        </w:rPr>
        <w:t xml:space="preserve">ROPIAN PËR PROGRAMIN E VEPRIMIT </w:t>
      </w:r>
    </w:p>
    <w:p w14:paraId="6DF37AF1" w14:textId="77777777" w:rsidR="00027DD8" w:rsidRPr="00D14245" w:rsidRDefault="00027DD8" w:rsidP="00D14245">
      <w:pPr>
        <w:spacing w:after="0" w:line="240" w:lineRule="auto"/>
        <w:ind w:firstLine="284"/>
        <w:jc w:val="center"/>
        <w:rPr>
          <w:rFonts w:ascii="Garamond" w:hAnsi="Garamond" w:cs="Times New Roman"/>
          <w:b/>
          <w:bCs/>
          <w:sz w:val="24"/>
          <w:szCs w:val="24"/>
        </w:rPr>
      </w:pPr>
      <w:r w:rsidRPr="00D14245">
        <w:rPr>
          <w:rFonts w:ascii="Garamond" w:hAnsi="Garamond" w:cs="Times New Roman"/>
          <w:b/>
          <w:bCs/>
          <w:sz w:val="24"/>
          <w:szCs w:val="24"/>
        </w:rPr>
        <w:t>TË BASHKËPUNIMIT NDËRKUFITAR IPA II, MAL I ZI-SHQIPËRI 2014-2020, ALOKIMET PËR VITIN 2019</w:t>
      </w:r>
    </w:p>
    <w:p w14:paraId="6DF37AF2"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6DF37AF3" w14:textId="77777777" w:rsidR="00027DD8" w:rsidRPr="00D14245" w:rsidRDefault="00027DD8" w:rsidP="00D14245">
      <w:pPr>
        <w:spacing w:after="0" w:line="240" w:lineRule="auto"/>
        <w:ind w:firstLine="284"/>
        <w:jc w:val="both"/>
        <w:rPr>
          <w:rFonts w:ascii="Garamond" w:hAnsi="Garamond" w:cs="Times New Roman"/>
          <w:bCs/>
          <w:sz w:val="24"/>
          <w:szCs w:val="24"/>
        </w:rPr>
      </w:pPr>
      <w:r w:rsidRPr="00D14245">
        <w:rPr>
          <w:rFonts w:ascii="Garamond" w:hAnsi="Garamond" w:cs="Times New Roman"/>
          <w:bCs/>
          <w:sz w:val="24"/>
          <w:szCs w:val="24"/>
        </w:rPr>
        <w:t xml:space="preserve">Në mbështetje të neneve 78, 83, pika 1, dhe 121, pika 1, të Kushtetutës, me propozimin e Këshillit të Ministrave, </w:t>
      </w:r>
    </w:p>
    <w:p w14:paraId="6DF37AF4"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14F6E8B9" w14:textId="77777777" w:rsidR="00027DD8" w:rsidRPr="00D14245" w:rsidRDefault="00027DD8" w:rsidP="00D14245">
      <w:pPr>
        <w:spacing w:after="0" w:line="240" w:lineRule="auto"/>
        <w:ind w:firstLine="284"/>
        <w:jc w:val="center"/>
        <w:rPr>
          <w:rFonts w:ascii="Garamond" w:hAnsi="Garamond" w:cs="Times New Roman"/>
          <w:bCs/>
          <w:sz w:val="24"/>
          <w:szCs w:val="24"/>
        </w:rPr>
      </w:pPr>
      <w:r w:rsidRPr="00D14245">
        <w:rPr>
          <w:rFonts w:ascii="Garamond" w:hAnsi="Garamond" w:cs="Times New Roman"/>
          <w:bCs/>
          <w:sz w:val="24"/>
          <w:szCs w:val="24"/>
        </w:rPr>
        <w:t>KUVENDI</w:t>
      </w:r>
    </w:p>
    <w:p w14:paraId="6DF37AF7" w14:textId="77777777" w:rsidR="00027DD8" w:rsidRPr="00D14245" w:rsidRDefault="00027DD8" w:rsidP="00D14245">
      <w:pPr>
        <w:spacing w:after="0" w:line="240" w:lineRule="auto"/>
        <w:ind w:firstLine="284"/>
        <w:jc w:val="center"/>
        <w:rPr>
          <w:rFonts w:ascii="Garamond" w:hAnsi="Garamond" w:cs="Times New Roman"/>
          <w:bCs/>
          <w:sz w:val="24"/>
          <w:szCs w:val="24"/>
        </w:rPr>
      </w:pPr>
      <w:r w:rsidRPr="00D14245">
        <w:rPr>
          <w:rFonts w:ascii="Garamond" w:hAnsi="Garamond" w:cs="Times New Roman"/>
          <w:bCs/>
          <w:sz w:val="24"/>
          <w:szCs w:val="24"/>
        </w:rPr>
        <w:t>I REPUBLIKËS SË SHQIPËRISË</w:t>
      </w:r>
    </w:p>
    <w:p w14:paraId="6DF37AF8" w14:textId="77777777" w:rsidR="00027DD8" w:rsidRPr="00D14245" w:rsidRDefault="00027DD8" w:rsidP="00D14245">
      <w:pPr>
        <w:spacing w:after="0" w:line="240" w:lineRule="auto"/>
        <w:ind w:firstLine="284"/>
        <w:jc w:val="center"/>
        <w:rPr>
          <w:rFonts w:ascii="Garamond" w:hAnsi="Garamond" w:cs="Times New Roman"/>
          <w:bCs/>
          <w:sz w:val="24"/>
          <w:szCs w:val="24"/>
        </w:rPr>
      </w:pPr>
    </w:p>
    <w:p w14:paraId="2C04E69A" w14:textId="77777777" w:rsidR="00027DD8" w:rsidRPr="00D14245" w:rsidRDefault="00D14245" w:rsidP="00D14245">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027DD8" w:rsidRPr="00D14245">
        <w:rPr>
          <w:rFonts w:ascii="Garamond" w:hAnsi="Garamond" w:cs="Times New Roman"/>
          <w:bCs/>
          <w:sz w:val="24"/>
          <w:szCs w:val="24"/>
        </w:rPr>
        <w:t>I:</w:t>
      </w:r>
    </w:p>
    <w:p w14:paraId="6DF37AFA"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6DF37AFB" w14:textId="77777777" w:rsidR="00027DD8" w:rsidRPr="00D14245" w:rsidRDefault="00027DD8" w:rsidP="00D14245">
      <w:pPr>
        <w:spacing w:after="0" w:line="240" w:lineRule="auto"/>
        <w:ind w:firstLine="284"/>
        <w:jc w:val="center"/>
        <w:rPr>
          <w:rFonts w:ascii="Garamond" w:hAnsi="Garamond" w:cs="Times New Roman"/>
          <w:bCs/>
          <w:sz w:val="24"/>
          <w:szCs w:val="24"/>
        </w:rPr>
      </w:pPr>
      <w:r w:rsidRPr="00D14245">
        <w:rPr>
          <w:rFonts w:ascii="Garamond" w:hAnsi="Garamond" w:cs="Times New Roman"/>
          <w:bCs/>
          <w:sz w:val="24"/>
          <w:szCs w:val="24"/>
        </w:rPr>
        <w:t>Neni 1</w:t>
      </w:r>
    </w:p>
    <w:p w14:paraId="6DF37AFC"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6DF37AFD" w14:textId="77777777" w:rsidR="00027DD8" w:rsidRPr="00D14245" w:rsidRDefault="00027DD8" w:rsidP="00D14245">
      <w:pPr>
        <w:spacing w:after="0" w:line="240" w:lineRule="auto"/>
        <w:ind w:firstLine="284"/>
        <w:jc w:val="both"/>
        <w:rPr>
          <w:rFonts w:ascii="Garamond" w:hAnsi="Garamond" w:cs="Times New Roman"/>
          <w:bCs/>
          <w:sz w:val="24"/>
          <w:szCs w:val="24"/>
        </w:rPr>
      </w:pPr>
      <w:r w:rsidRPr="00D14245">
        <w:rPr>
          <w:rFonts w:ascii="Garamond" w:hAnsi="Garamond" w:cs="Times New Roman"/>
          <w:bCs/>
          <w:sz w:val="24"/>
          <w:szCs w:val="24"/>
        </w:rPr>
        <w:t>Ratifikohet marrëveshja e financimit ndërmjet Republikës së Shqipërisë, përfaqësuar nga Këshilli i Ministrave, Malit të Zi, përfaqësuar nga Zyra e Integrimit E</w:t>
      </w:r>
      <w:r w:rsidR="001B0033" w:rsidRPr="00D14245">
        <w:rPr>
          <w:rFonts w:ascii="Garamond" w:hAnsi="Garamond" w:cs="Times New Roman"/>
          <w:bCs/>
          <w:sz w:val="24"/>
          <w:szCs w:val="24"/>
        </w:rPr>
        <w:t>u</w:t>
      </w:r>
      <w:r w:rsidRPr="00D14245">
        <w:rPr>
          <w:rFonts w:ascii="Garamond" w:hAnsi="Garamond" w:cs="Times New Roman"/>
          <w:bCs/>
          <w:sz w:val="24"/>
          <w:szCs w:val="24"/>
        </w:rPr>
        <w:t>ropian, dhe Komisionit E</w:t>
      </w:r>
      <w:r w:rsidR="001B0033" w:rsidRPr="00D14245">
        <w:rPr>
          <w:rFonts w:ascii="Garamond" w:hAnsi="Garamond" w:cs="Times New Roman"/>
          <w:bCs/>
          <w:sz w:val="24"/>
          <w:szCs w:val="24"/>
        </w:rPr>
        <w:t>u</w:t>
      </w:r>
      <w:r w:rsidRPr="00D14245">
        <w:rPr>
          <w:rFonts w:ascii="Garamond" w:hAnsi="Garamond" w:cs="Times New Roman"/>
          <w:bCs/>
          <w:sz w:val="24"/>
          <w:szCs w:val="24"/>
        </w:rPr>
        <w:t xml:space="preserve">ropian, për programin e veprimit të bashkëpunimit ndërkufitar IPA II, Mal i Zi-Shqipëri 2014-2020, alokimet për vitin 2019, sipas tekstit që i bashkëlidhet këtij ligji. </w:t>
      </w:r>
    </w:p>
    <w:p w14:paraId="6DF37AFE"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6DF37AFF" w14:textId="77777777" w:rsidR="00027DD8" w:rsidRPr="00D14245" w:rsidRDefault="00027DD8" w:rsidP="00D14245">
      <w:pPr>
        <w:spacing w:after="0" w:line="240" w:lineRule="auto"/>
        <w:ind w:firstLine="284"/>
        <w:jc w:val="center"/>
        <w:rPr>
          <w:rFonts w:ascii="Garamond" w:hAnsi="Garamond" w:cs="Times New Roman"/>
          <w:bCs/>
          <w:sz w:val="24"/>
          <w:szCs w:val="24"/>
        </w:rPr>
      </w:pPr>
      <w:r w:rsidRPr="00D14245">
        <w:rPr>
          <w:rFonts w:ascii="Garamond" w:hAnsi="Garamond" w:cs="Times New Roman"/>
          <w:bCs/>
          <w:sz w:val="24"/>
          <w:szCs w:val="24"/>
        </w:rPr>
        <w:t>Neni 2</w:t>
      </w:r>
    </w:p>
    <w:p w14:paraId="6DF37B00" w14:textId="77777777" w:rsidR="00027DD8" w:rsidRPr="00D14245" w:rsidRDefault="00027DD8" w:rsidP="00D14245">
      <w:pPr>
        <w:spacing w:after="0" w:line="240" w:lineRule="auto"/>
        <w:ind w:firstLine="284"/>
        <w:jc w:val="both"/>
        <w:rPr>
          <w:rFonts w:ascii="Garamond" w:hAnsi="Garamond" w:cs="Times New Roman"/>
          <w:bCs/>
          <w:sz w:val="24"/>
          <w:szCs w:val="24"/>
        </w:rPr>
      </w:pPr>
    </w:p>
    <w:p w14:paraId="6DF37B01" w14:textId="77777777" w:rsidR="001C322E" w:rsidRPr="00D14245" w:rsidRDefault="00027DD8" w:rsidP="00D14245">
      <w:pPr>
        <w:spacing w:after="0" w:line="240" w:lineRule="auto"/>
        <w:ind w:firstLine="284"/>
        <w:jc w:val="both"/>
        <w:rPr>
          <w:rFonts w:ascii="Garamond" w:hAnsi="Garamond" w:cs="Times New Roman"/>
          <w:bCs/>
          <w:sz w:val="24"/>
          <w:szCs w:val="24"/>
        </w:rPr>
      </w:pPr>
      <w:r w:rsidRPr="00D14245">
        <w:rPr>
          <w:rFonts w:ascii="Garamond" w:hAnsi="Garamond" w:cs="Times New Roman"/>
          <w:bCs/>
          <w:sz w:val="24"/>
          <w:szCs w:val="24"/>
        </w:rPr>
        <w:t>Ky ligj hyn në fuqi 15 ditë pas botimit në Fletoren Zyrtare.</w:t>
      </w:r>
    </w:p>
    <w:p w14:paraId="6DF37B02" w14:textId="77777777" w:rsidR="00D14245" w:rsidRDefault="00D14245" w:rsidP="00D14245">
      <w:pPr>
        <w:spacing w:after="0" w:line="240" w:lineRule="auto"/>
        <w:ind w:firstLine="284"/>
        <w:jc w:val="both"/>
        <w:rPr>
          <w:rFonts w:ascii="Garamond" w:hAnsi="Garamond" w:cs="Times New Roman"/>
          <w:bCs/>
          <w:sz w:val="24"/>
          <w:szCs w:val="24"/>
        </w:rPr>
      </w:pPr>
    </w:p>
    <w:p w14:paraId="6DF37B08" w14:textId="48C6ECC7" w:rsidR="00976A3C" w:rsidRPr="00D14245" w:rsidRDefault="00976A3C" w:rsidP="00D14245">
      <w:pPr>
        <w:spacing w:after="0" w:line="240" w:lineRule="auto"/>
        <w:ind w:firstLine="284"/>
        <w:jc w:val="both"/>
        <w:rPr>
          <w:rFonts w:ascii="Garamond" w:hAnsi="Garamond" w:cs="Times New Roman"/>
          <w:bCs/>
          <w:sz w:val="24"/>
          <w:szCs w:val="24"/>
        </w:rPr>
      </w:pPr>
      <w:r w:rsidRPr="00D14245">
        <w:rPr>
          <w:rFonts w:ascii="Garamond" w:hAnsi="Garamond" w:cs="Times New Roman"/>
          <w:bCs/>
          <w:sz w:val="24"/>
          <w:szCs w:val="24"/>
        </w:rPr>
        <w:t xml:space="preserve">Miratuar në datën </w:t>
      </w:r>
      <w:r w:rsidR="001C322E" w:rsidRPr="00D14245">
        <w:rPr>
          <w:rFonts w:ascii="Garamond" w:hAnsi="Garamond" w:cs="Times New Roman"/>
          <w:bCs/>
          <w:sz w:val="24"/>
          <w:szCs w:val="24"/>
        </w:rPr>
        <w:t>1</w:t>
      </w:r>
      <w:r w:rsidR="00027DD8" w:rsidRPr="00D14245">
        <w:rPr>
          <w:rFonts w:ascii="Garamond" w:hAnsi="Garamond" w:cs="Times New Roman"/>
          <w:bCs/>
          <w:sz w:val="24"/>
          <w:szCs w:val="24"/>
        </w:rPr>
        <w:t>7</w:t>
      </w:r>
      <w:r w:rsidR="00146D52" w:rsidRPr="00D14245">
        <w:rPr>
          <w:rFonts w:ascii="Garamond" w:hAnsi="Garamond" w:cs="Times New Roman"/>
          <w:bCs/>
          <w:sz w:val="24"/>
          <w:szCs w:val="24"/>
        </w:rPr>
        <w:t>.1</w:t>
      </w:r>
      <w:r w:rsidR="00027DD8" w:rsidRPr="00D14245">
        <w:rPr>
          <w:rFonts w:ascii="Garamond" w:hAnsi="Garamond" w:cs="Times New Roman"/>
          <w:bCs/>
          <w:sz w:val="24"/>
          <w:szCs w:val="24"/>
        </w:rPr>
        <w:t>2</w:t>
      </w:r>
      <w:r w:rsidR="00146D52" w:rsidRPr="00D14245">
        <w:rPr>
          <w:rFonts w:ascii="Garamond" w:hAnsi="Garamond" w:cs="Times New Roman"/>
          <w:bCs/>
          <w:sz w:val="24"/>
          <w:szCs w:val="24"/>
        </w:rPr>
        <w:t>.</w:t>
      </w:r>
      <w:r w:rsidR="001C7EC0" w:rsidRPr="00D14245">
        <w:rPr>
          <w:rFonts w:ascii="Garamond" w:hAnsi="Garamond" w:cs="Times New Roman"/>
          <w:bCs/>
          <w:sz w:val="24"/>
          <w:szCs w:val="24"/>
        </w:rPr>
        <w:t>2020</w:t>
      </w:r>
      <w:r w:rsidR="00DF58EA">
        <w:rPr>
          <w:rFonts w:ascii="Garamond" w:hAnsi="Garamond" w:cs="Times New Roman"/>
          <w:bCs/>
          <w:sz w:val="24"/>
          <w:szCs w:val="24"/>
        </w:rPr>
        <w:t>.</w:t>
      </w:r>
    </w:p>
    <w:p w14:paraId="6DF37B09" w14:textId="77777777" w:rsidR="004E0C11" w:rsidRDefault="004E0C11" w:rsidP="003F34EA">
      <w:pPr>
        <w:spacing w:after="0" w:line="240" w:lineRule="auto"/>
        <w:jc w:val="both"/>
        <w:rPr>
          <w:rFonts w:ascii="Times New Roman" w:hAnsi="Times New Roman" w:cs="Times New Roman"/>
          <w:bCs/>
          <w:sz w:val="24"/>
          <w:szCs w:val="24"/>
        </w:rPr>
      </w:pPr>
    </w:p>
    <w:p w14:paraId="4F0EFD34" w14:textId="77D2A9BF" w:rsidR="007435D6" w:rsidRDefault="00A56C08" w:rsidP="007435D6">
      <w:pPr>
        <w:spacing w:after="0" w:line="240" w:lineRule="auto"/>
        <w:jc w:val="both"/>
        <w:rPr>
          <w:rFonts w:ascii="Times New Roman" w:hAnsi="Times New Roman" w:cs="Times New Roman"/>
          <w:bCs/>
          <w:sz w:val="24"/>
          <w:szCs w:val="24"/>
        </w:rPr>
      </w:pPr>
      <w:r>
        <w:rPr>
          <w:rFonts w:ascii="Garamond" w:eastAsia="Times New Roman" w:hAnsi="Garamond" w:cs="Arial"/>
          <w:b/>
          <w:spacing w:val="-2"/>
          <w:sz w:val="24"/>
          <w:szCs w:val="24"/>
        </w:rPr>
        <w:t>Shpallur me dekretin nr. 11896,</w:t>
      </w:r>
      <w:r w:rsidR="007435D6">
        <w:rPr>
          <w:rFonts w:ascii="Garamond" w:eastAsia="Times New Roman" w:hAnsi="Garamond" w:cs="Arial"/>
          <w:b/>
          <w:spacing w:val="-2"/>
          <w:sz w:val="24"/>
          <w:szCs w:val="24"/>
        </w:rPr>
        <w:t xml:space="preserve"> datë 5.1.2021,</w:t>
      </w:r>
      <w:r w:rsidR="007435D6" w:rsidRPr="0087634E">
        <w:rPr>
          <w:rFonts w:ascii="Garamond" w:eastAsia="Times New Roman" w:hAnsi="Garamond" w:cs="Arial"/>
          <w:b/>
          <w:spacing w:val="-2"/>
          <w:sz w:val="24"/>
          <w:szCs w:val="24"/>
        </w:rPr>
        <w:t xml:space="preserve"> të Presidentit të Republikës së Shqipërisë, Ilir</w:t>
      </w:r>
      <w:r w:rsidR="007435D6">
        <w:rPr>
          <w:rFonts w:ascii="Garamond" w:eastAsia="Times New Roman" w:hAnsi="Garamond" w:cs="Arial"/>
          <w:b/>
          <w:spacing w:val="-2"/>
          <w:sz w:val="24"/>
          <w:szCs w:val="24"/>
        </w:rPr>
        <w:t xml:space="preserve"> </w:t>
      </w:r>
      <w:r w:rsidR="007435D6" w:rsidRPr="0087634E">
        <w:rPr>
          <w:rFonts w:ascii="Garamond" w:eastAsia="Times New Roman" w:hAnsi="Garamond" w:cs="Arial"/>
          <w:b/>
          <w:spacing w:val="-2"/>
          <w:sz w:val="24"/>
          <w:szCs w:val="24"/>
        </w:rPr>
        <w:t>Meta</w:t>
      </w:r>
      <w:r w:rsidR="007435D6">
        <w:rPr>
          <w:rFonts w:ascii="Garamond" w:eastAsia="Times New Roman" w:hAnsi="Garamond" w:cs="Arial"/>
          <w:b/>
          <w:spacing w:val="-2"/>
          <w:sz w:val="24"/>
          <w:szCs w:val="24"/>
        </w:rPr>
        <w:t>.</w:t>
      </w:r>
    </w:p>
    <w:p w14:paraId="6320B739" w14:textId="77777777" w:rsidR="007435D6" w:rsidRDefault="007435D6" w:rsidP="003F34EA">
      <w:pPr>
        <w:spacing w:after="0" w:line="240" w:lineRule="auto"/>
        <w:jc w:val="both"/>
        <w:rPr>
          <w:rFonts w:ascii="Times New Roman" w:hAnsi="Times New Roman" w:cs="Times New Roman"/>
          <w:bCs/>
          <w:sz w:val="24"/>
          <w:szCs w:val="24"/>
        </w:rPr>
      </w:pPr>
    </w:p>
    <w:p w14:paraId="7921F8B8" w14:textId="77777777" w:rsidR="007435D6" w:rsidRDefault="007435D6" w:rsidP="003F34EA">
      <w:pPr>
        <w:spacing w:after="0" w:line="240" w:lineRule="auto"/>
        <w:jc w:val="both"/>
        <w:rPr>
          <w:rFonts w:ascii="Times New Roman" w:hAnsi="Times New Roman" w:cs="Times New Roman"/>
          <w:bCs/>
          <w:sz w:val="24"/>
          <w:szCs w:val="24"/>
        </w:rPr>
      </w:pPr>
    </w:p>
    <w:p w14:paraId="5E367DAB" w14:textId="77777777" w:rsidR="00983ABA" w:rsidRPr="008D0C79" w:rsidRDefault="00983ABA" w:rsidP="008D0C79">
      <w:pPr>
        <w:pStyle w:val="TEKSTI"/>
        <w:jc w:val="center"/>
        <w:rPr>
          <w:b/>
        </w:rPr>
      </w:pPr>
      <w:r w:rsidRPr="008D0C79">
        <w:rPr>
          <w:b/>
        </w:rPr>
        <w:t>MARRËVESHJA E FINACIMIT</w:t>
      </w:r>
    </w:p>
    <w:p w14:paraId="27072873" w14:textId="77777777" w:rsidR="00983ABA" w:rsidRPr="00BA054A" w:rsidRDefault="00983ABA" w:rsidP="008D0C79">
      <w:pPr>
        <w:pStyle w:val="TEKSTI"/>
        <w:jc w:val="center"/>
      </w:pPr>
      <w:r w:rsidRPr="00BA054A">
        <w:t>KUSHTET E VEÇANTA</w:t>
      </w:r>
    </w:p>
    <w:p w14:paraId="58A79A9E" w14:textId="77777777" w:rsidR="00983ABA" w:rsidRPr="00BA054A" w:rsidRDefault="00983ABA" w:rsidP="00983ABA">
      <w:pPr>
        <w:widowControl w:val="0"/>
        <w:autoSpaceDE w:val="0"/>
        <w:autoSpaceDN w:val="0"/>
        <w:adjustRightInd w:val="0"/>
        <w:spacing w:after="0" w:line="240" w:lineRule="auto"/>
        <w:ind w:left="2784" w:firstLine="284"/>
        <w:rPr>
          <w:rFonts w:ascii="Garamond" w:hAnsi="Garamond"/>
          <w:sz w:val="24"/>
          <w:szCs w:val="24"/>
        </w:rPr>
      </w:pPr>
    </w:p>
    <w:p w14:paraId="30E38D3F" w14:textId="77777777" w:rsidR="00983ABA" w:rsidRPr="00BA054A" w:rsidRDefault="00983ABA" w:rsidP="00983ABA">
      <w:pPr>
        <w:widowControl w:val="0"/>
        <w:overflowPunct w:val="0"/>
        <w:autoSpaceDE w:val="0"/>
        <w:autoSpaceDN w:val="0"/>
        <w:adjustRightInd w:val="0"/>
        <w:spacing w:after="0" w:line="240" w:lineRule="auto"/>
        <w:ind w:left="4" w:firstLine="284"/>
        <w:jc w:val="both"/>
        <w:rPr>
          <w:rFonts w:ascii="Garamond" w:hAnsi="Garamond"/>
          <w:sz w:val="24"/>
          <w:szCs w:val="24"/>
        </w:rPr>
      </w:pPr>
      <w:r w:rsidRPr="00BA054A">
        <w:rPr>
          <w:rFonts w:ascii="Garamond" w:hAnsi="Garamond"/>
          <w:sz w:val="24"/>
          <w:szCs w:val="24"/>
        </w:rPr>
        <w:t>Komisioni Evropian, në vijim i referuar si "Komisioni" ose "pala" e cila vepron në emër të Bashkimit Evropian, në vijim  i referuar si "Bashkimi",</w:t>
      </w:r>
    </w:p>
    <w:p w14:paraId="51E43793" w14:textId="77777777" w:rsidR="00983ABA" w:rsidRPr="00BA054A" w:rsidRDefault="00983ABA" w:rsidP="00983ABA">
      <w:pPr>
        <w:widowControl w:val="0"/>
        <w:autoSpaceDE w:val="0"/>
        <w:autoSpaceDN w:val="0"/>
        <w:adjustRightInd w:val="0"/>
        <w:spacing w:after="0" w:line="240" w:lineRule="auto"/>
        <w:ind w:left="4" w:firstLine="284"/>
        <w:rPr>
          <w:rFonts w:ascii="Garamond" w:hAnsi="Garamond"/>
          <w:sz w:val="24"/>
          <w:szCs w:val="24"/>
        </w:rPr>
      </w:pPr>
      <w:r w:rsidRPr="00BA054A">
        <w:rPr>
          <w:rFonts w:ascii="Garamond" w:hAnsi="Garamond"/>
          <w:sz w:val="24"/>
          <w:szCs w:val="24"/>
        </w:rPr>
        <w:t>nga njëra anë dhe</w:t>
      </w:r>
    </w:p>
    <w:p w14:paraId="77B27404" w14:textId="77777777" w:rsidR="00983ABA" w:rsidRPr="00BA054A" w:rsidRDefault="00983ABA" w:rsidP="00983ABA">
      <w:pPr>
        <w:widowControl w:val="0"/>
        <w:overflowPunct w:val="0"/>
        <w:autoSpaceDE w:val="0"/>
        <w:autoSpaceDN w:val="0"/>
        <w:adjustRightInd w:val="0"/>
        <w:spacing w:after="0" w:line="240" w:lineRule="auto"/>
        <w:ind w:left="4" w:firstLine="284"/>
        <w:jc w:val="both"/>
        <w:rPr>
          <w:rFonts w:ascii="Garamond" w:hAnsi="Garamond"/>
          <w:sz w:val="24"/>
          <w:szCs w:val="24"/>
        </w:rPr>
      </w:pPr>
      <w:r w:rsidRPr="00BA054A">
        <w:rPr>
          <w:rFonts w:ascii="Garamond" w:hAnsi="Garamond"/>
          <w:sz w:val="24"/>
          <w:szCs w:val="24"/>
        </w:rPr>
        <w:t>Mali i Zi i përfaqësuar nga Qeveria e Malit të Zi - Zyra e Integrimit Evropian dhe Republika e Shqipërisë, e përfaqësuar nga Këshilli i Ministrave,</w:t>
      </w:r>
      <w:r w:rsidRPr="00BA054A" w:rsidDel="004A60B0">
        <w:rPr>
          <w:rFonts w:ascii="Garamond" w:hAnsi="Garamond"/>
          <w:sz w:val="24"/>
          <w:szCs w:val="24"/>
        </w:rPr>
        <w:t xml:space="preserve"> </w:t>
      </w:r>
      <w:r w:rsidRPr="00BA054A">
        <w:rPr>
          <w:rFonts w:ascii="Garamond" w:hAnsi="Garamond"/>
          <w:sz w:val="24"/>
          <w:szCs w:val="24"/>
        </w:rPr>
        <w:t>që në vijim referohen bashkërisht si "Përfituesit e IPA II" ose veçmas si "përfituesja e IPA II" ose "pala",</w:t>
      </w:r>
    </w:p>
    <w:p w14:paraId="3BE0D885" w14:textId="77777777" w:rsidR="00983ABA" w:rsidRPr="00BA054A" w:rsidRDefault="00983ABA" w:rsidP="00983ABA">
      <w:pPr>
        <w:widowControl w:val="0"/>
        <w:autoSpaceDE w:val="0"/>
        <w:autoSpaceDN w:val="0"/>
        <w:adjustRightInd w:val="0"/>
        <w:spacing w:after="0" w:line="240" w:lineRule="auto"/>
        <w:ind w:left="4" w:firstLine="284"/>
        <w:rPr>
          <w:rFonts w:ascii="Garamond" w:hAnsi="Garamond"/>
          <w:sz w:val="24"/>
          <w:szCs w:val="24"/>
        </w:rPr>
      </w:pPr>
      <w:r w:rsidRPr="00BA054A">
        <w:rPr>
          <w:rFonts w:ascii="Garamond" w:hAnsi="Garamond"/>
          <w:b/>
          <w:bCs/>
          <w:sz w:val="24"/>
          <w:szCs w:val="24"/>
        </w:rPr>
        <w:t>nga ana tjetër,</w:t>
      </w:r>
    </w:p>
    <w:p w14:paraId="7BC491B2" w14:textId="77777777" w:rsidR="00983ABA" w:rsidRPr="00BA054A" w:rsidRDefault="00983ABA" w:rsidP="00983ABA">
      <w:pPr>
        <w:widowControl w:val="0"/>
        <w:autoSpaceDE w:val="0"/>
        <w:autoSpaceDN w:val="0"/>
        <w:adjustRightInd w:val="0"/>
        <w:spacing w:after="0" w:line="240" w:lineRule="auto"/>
        <w:ind w:left="4" w:firstLine="284"/>
        <w:rPr>
          <w:rFonts w:ascii="Garamond" w:hAnsi="Garamond"/>
          <w:sz w:val="24"/>
          <w:szCs w:val="24"/>
        </w:rPr>
      </w:pPr>
      <w:r w:rsidRPr="00BA054A">
        <w:rPr>
          <w:rFonts w:ascii="Garamond" w:hAnsi="Garamond"/>
          <w:b/>
          <w:bCs/>
          <w:sz w:val="24"/>
          <w:szCs w:val="24"/>
        </w:rPr>
        <w:t>dhe bashkërisht të referuara si "Palët"</w:t>
      </w:r>
    </w:p>
    <w:p w14:paraId="78B3A286" w14:textId="5C05FF4E" w:rsidR="00983ABA" w:rsidRPr="00BA054A" w:rsidRDefault="008D0C79" w:rsidP="00983ABA">
      <w:pPr>
        <w:widowControl w:val="0"/>
        <w:autoSpaceDE w:val="0"/>
        <w:autoSpaceDN w:val="0"/>
        <w:adjustRightInd w:val="0"/>
        <w:spacing w:after="0" w:line="240" w:lineRule="auto"/>
        <w:ind w:left="4" w:firstLine="284"/>
        <w:rPr>
          <w:rFonts w:ascii="Garamond" w:hAnsi="Garamond"/>
          <w:sz w:val="24"/>
          <w:szCs w:val="24"/>
        </w:rPr>
      </w:pPr>
      <w:r w:rsidRPr="00BA054A">
        <w:rPr>
          <w:rFonts w:ascii="Garamond" w:hAnsi="Garamond"/>
          <w:sz w:val="24"/>
          <w:szCs w:val="24"/>
        </w:rPr>
        <w:t>kanë rënë dakord si më poshtë</w:t>
      </w:r>
      <w:r w:rsidR="00983ABA" w:rsidRPr="00BA054A">
        <w:rPr>
          <w:rFonts w:ascii="Garamond" w:hAnsi="Garamond"/>
          <w:sz w:val="24"/>
          <w:szCs w:val="24"/>
        </w:rPr>
        <w:t>:</w:t>
      </w:r>
    </w:p>
    <w:p w14:paraId="1E6EDD0D"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2BCADB5A" w14:textId="77777777" w:rsidR="003F7568" w:rsidRDefault="003F7568" w:rsidP="008D0C79">
      <w:pPr>
        <w:widowControl w:val="0"/>
        <w:autoSpaceDE w:val="0"/>
        <w:autoSpaceDN w:val="0"/>
        <w:adjustRightInd w:val="0"/>
        <w:spacing w:after="0" w:line="240" w:lineRule="auto"/>
        <w:ind w:left="4" w:firstLine="284"/>
        <w:jc w:val="center"/>
        <w:rPr>
          <w:rFonts w:ascii="Garamond" w:hAnsi="Garamond"/>
          <w:bCs/>
          <w:sz w:val="24"/>
          <w:szCs w:val="24"/>
        </w:rPr>
      </w:pPr>
    </w:p>
    <w:p w14:paraId="204DE5FC" w14:textId="77777777" w:rsidR="003F7568" w:rsidRDefault="003F7568" w:rsidP="008D0C79">
      <w:pPr>
        <w:widowControl w:val="0"/>
        <w:autoSpaceDE w:val="0"/>
        <w:autoSpaceDN w:val="0"/>
        <w:adjustRightInd w:val="0"/>
        <w:spacing w:after="0" w:line="240" w:lineRule="auto"/>
        <w:ind w:left="4" w:firstLine="284"/>
        <w:jc w:val="center"/>
        <w:rPr>
          <w:rFonts w:ascii="Garamond" w:hAnsi="Garamond"/>
          <w:bCs/>
          <w:sz w:val="24"/>
          <w:szCs w:val="24"/>
        </w:rPr>
      </w:pPr>
    </w:p>
    <w:p w14:paraId="677CC9AA" w14:textId="77777777" w:rsidR="003F7568" w:rsidRDefault="003F7568" w:rsidP="008D0C79">
      <w:pPr>
        <w:widowControl w:val="0"/>
        <w:autoSpaceDE w:val="0"/>
        <w:autoSpaceDN w:val="0"/>
        <w:adjustRightInd w:val="0"/>
        <w:spacing w:after="0" w:line="240" w:lineRule="auto"/>
        <w:ind w:left="4" w:firstLine="284"/>
        <w:jc w:val="center"/>
        <w:rPr>
          <w:rFonts w:ascii="Garamond" w:hAnsi="Garamond"/>
          <w:bCs/>
          <w:sz w:val="24"/>
          <w:szCs w:val="24"/>
        </w:rPr>
      </w:pPr>
    </w:p>
    <w:p w14:paraId="395165C9" w14:textId="77777777" w:rsidR="003F7568" w:rsidRDefault="003F7568" w:rsidP="008D0C79">
      <w:pPr>
        <w:widowControl w:val="0"/>
        <w:autoSpaceDE w:val="0"/>
        <w:autoSpaceDN w:val="0"/>
        <w:adjustRightInd w:val="0"/>
        <w:spacing w:after="0" w:line="240" w:lineRule="auto"/>
        <w:ind w:left="4" w:firstLine="284"/>
        <w:jc w:val="center"/>
        <w:rPr>
          <w:rFonts w:ascii="Garamond" w:hAnsi="Garamond"/>
          <w:bCs/>
          <w:sz w:val="24"/>
          <w:szCs w:val="24"/>
        </w:rPr>
      </w:pPr>
    </w:p>
    <w:p w14:paraId="3A21CD82" w14:textId="4E8B9122" w:rsidR="008D0C79" w:rsidRPr="008D0C79" w:rsidRDefault="008D0C79" w:rsidP="008D0C79">
      <w:pPr>
        <w:widowControl w:val="0"/>
        <w:autoSpaceDE w:val="0"/>
        <w:autoSpaceDN w:val="0"/>
        <w:adjustRightInd w:val="0"/>
        <w:spacing w:after="0" w:line="240" w:lineRule="auto"/>
        <w:ind w:left="4" w:firstLine="284"/>
        <w:jc w:val="center"/>
        <w:rPr>
          <w:rFonts w:ascii="Garamond" w:hAnsi="Garamond"/>
          <w:bCs/>
          <w:sz w:val="24"/>
          <w:szCs w:val="24"/>
        </w:rPr>
      </w:pPr>
      <w:r w:rsidRPr="008D0C79">
        <w:rPr>
          <w:rFonts w:ascii="Garamond" w:hAnsi="Garamond"/>
          <w:bCs/>
          <w:sz w:val="24"/>
          <w:szCs w:val="24"/>
        </w:rPr>
        <w:t>Neni 1</w:t>
      </w:r>
    </w:p>
    <w:p w14:paraId="1E2304A1" w14:textId="3DD5CFA4" w:rsidR="00983ABA" w:rsidRPr="00BA054A" w:rsidRDefault="00983ABA" w:rsidP="008D0C79">
      <w:pPr>
        <w:widowControl w:val="0"/>
        <w:autoSpaceDE w:val="0"/>
        <w:autoSpaceDN w:val="0"/>
        <w:adjustRightInd w:val="0"/>
        <w:spacing w:after="0" w:line="240" w:lineRule="auto"/>
        <w:ind w:left="4" w:firstLine="284"/>
        <w:jc w:val="center"/>
        <w:rPr>
          <w:rFonts w:ascii="Garamond" w:hAnsi="Garamond"/>
          <w:sz w:val="24"/>
          <w:szCs w:val="24"/>
        </w:rPr>
      </w:pPr>
      <w:r w:rsidRPr="00BA054A">
        <w:rPr>
          <w:rFonts w:ascii="Garamond" w:hAnsi="Garamond"/>
          <w:b/>
          <w:bCs/>
          <w:sz w:val="24"/>
          <w:szCs w:val="24"/>
        </w:rPr>
        <w:t>Programi i Veprimit</w:t>
      </w:r>
    </w:p>
    <w:p w14:paraId="40756436"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72924FA5" w14:textId="5B4B94ED" w:rsidR="00983ABA" w:rsidRPr="00BA054A" w:rsidRDefault="008D0C79" w:rsidP="008D0C79">
      <w:pPr>
        <w:pStyle w:val="TEKSTI"/>
      </w:pPr>
      <w:r>
        <w:t xml:space="preserve">1. </w:t>
      </w:r>
      <w:r w:rsidR="00983ABA" w:rsidRPr="00BA054A">
        <w:t xml:space="preserve">Bashkimi bie dakord të financojë dhe përfituesit e IPA II bien dakord të pranojnë financimin për alokimet e vitit 2019 të Programit të Veprimit në vijim, siç përshkruhet në Shtojcën I: </w:t>
      </w:r>
    </w:p>
    <w:p w14:paraId="72065996" w14:textId="77777777" w:rsidR="00983ABA" w:rsidRPr="00BA054A" w:rsidRDefault="00983ABA" w:rsidP="008D0C79">
      <w:pPr>
        <w:pStyle w:val="TEKSTI"/>
      </w:pPr>
      <w:r w:rsidRPr="00BA054A">
        <w:t>Programi i Veprimit të Bashkëpunimi Ndërkufitar Mali i Zi për vitet 2018 – 2020. (Numri i angazhimit (CRIS): 2019 / 041-470)</w:t>
      </w:r>
    </w:p>
    <w:p w14:paraId="554B5A47" w14:textId="77777777" w:rsidR="00983ABA" w:rsidRPr="00BA054A" w:rsidRDefault="00983ABA" w:rsidP="008D0C79">
      <w:pPr>
        <w:pStyle w:val="TEKSTI"/>
      </w:pPr>
      <w:r w:rsidRPr="00BA054A">
        <w:t>Ky Program Veprimi financohet nga Buxheti i Bashkimit në bazë të aktit themelor në vijim: Instrumenti për Asistencën e Para-Anëtarësimit (IPA II)</w:t>
      </w:r>
      <w:r w:rsidRPr="00BA054A">
        <w:rPr>
          <w:rStyle w:val="FootnoteReference"/>
        </w:rPr>
        <w:footnoteReference w:id="2"/>
      </w:r>
      <w:r w:rsidRPr="00BA054A">
        <w:t>.</w:t>
      </w:r>
    </w:p>
    <w:p w14:paraId="2F83A3C4" w14:textId="04B859BE" w:rsidR="00983ABA" w:rsidRPr="00BA054A" w:rsidRDefault="008D0C79" w:rsidP="008D0C79">
      <w:pPr>
        <w:pStyle w:val="TEKSTI"/>
      </w:pPr>
      <w:r>
        <w:t xml:space="preserve">2. </w:t>
      </w:r>
      <w:r w:rsidR="00983ABA" w:rsidRPr="00BA054A">
        <w:t>Kostoja e totale e llogaritur për fondet e vitit 2019 është 2,000,000 EURO dhe kontributi maksimal i Bashkimit në këtë Program të Veprimit është 1,700,000 EURO</w:t>
      </w:r>
    </w:p>
    <w:p w14:paraId="55EC85EE" w14:textId="77777777" w:rsidR="00983ABA" w:rsidRPr="00BA054A" w:rsidRDefault="00983ABA" w:rsidP="008D0C79">
      <w:pPr>
        <w:pStyle w:val="TEKSTI"/>
      </w:pPr>
      <w:r w:rsidRPr="00BA054A">
        <w:t xml:space="preserve">Nuk kërkohet kontribut financiar nga përfituesit e vendeve IPA II. </w:t>
      </w:r>
    </w:p>
    <w:p w14:paraId="6DDADA18"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5ACAA7DD" w14:textId="314EF66B" w:rsidR="008D0C79" w:rsidRPr="008D0C79" w:rsidRDefault="008D0C79" w:rsidP="008D0C79">
      <w:pPr>
        <w:widowControl w:val="0"/>
        <w:autoSpaceDE w:val="0"/>
        <w:autoSpaceDN w:val="0"/>
        <w:adjustRightInd w:val="0"/>
        <w:spacing w:after="0" w:line="240" w:lineRule="auto"/>
        <w:ind w:left="6" w:firstLine="284"/>
        <w:jc w:val="center"/>
        <w:rPr>
          <w:rFonts w:ascii="Garamond" w:hAnsi="Garamond"/>
          <w:bCs/>
          <w:sz w:val="24"/>
          <w:szCs w:val="24"/>
        </w:rPr>
      </w:pPr>
      <w:bookmarkStart w:id="0" w:name="page2"/>
      <w:bookmarkEnd w:id="0"/>
      <w:r w:rsidRPr="008D0C79">
        <w:rPr>
          <w:rFonts w:ascii="Garamond" w:hAnsi="Garamond"/>
          <w:bCs/>
          <w:sz w:val="24"/>
          <w:szCs w:val="24"/>
        </w:rPr>
        <w:t>Neni 2</w:t>
      </w:r>
    </w:p>
    <w:p w14:paraId="5D2D587B" w14:textId="2B96A79F" w:rsidR="00983ABA" w:rsidRDefault="00983ABA" w:rsidP="008D0C79">
      <w:pPr>
        <w:widowControl w:val="0"/>
        <w:autoSpaceDE w:val="0"/>
        <w:autoSpaceDN w:val="0"/>
        <w:adjustRightInd w:val="0"/>
        <w:spacing w:after="0" w:line="240" w:lineRule="auto"/>
        <w:ind w:left="6" w:firstLine="284"/>
        <w:jc w:val="center"/>
        <w:rPr>
          <w:rFonts w:ascii="Garamond" w:hAnsi="Garamond"/>
          <w:b/>
          <w:bCs/>
          <w:sz w:val="24"/>
          <w:szCs w:val="24"/>
        </w:rPr>
      </w:pPr>
      <w:r w:rsidRPr="00BA054A">
        <w:rPr>
          <w:rFonts w:ascii="Garamond" w:hAnsi="Garamond"/>
          <w:b/>
          <w:bCs/>
          <w:sz w:val="24"/>
          <w:szCs w:val="24"/>
        </w:rPr>
        <w:t>Periudha e ekzekutimit dhe periudha e zbatimit operacional</w:t>
      </w:r>
    </w:p>
    <w:p w14:paraId="4CABDEC2" w14:textId="77777777" w:rsidR="003F7568" w:rsidRPr="00BA054A" w:rsidRDefault="003F7568" w:rsidP="008D0C79">
      <w:pPr>
        <w:widowControl w:val="0"/>
        <w:autoSpaceDE w:val="0"/>
        <w:autoSpaceDN w:val="0"/>
        <w:adjustRightInd w:val="0"/>
        <w:spacing w:after="0" w:line="240" w:lineRule="auto"/>
        <w:ind w:left="6" w:firstLine="284"/>
        <w:jc w:val="center"/>
        <w:rPr>
          <w:rFonts w:ascii="Garamond" w:hAnsi="Garamond"/>
          <w:sz w:val="24"/>
          <w:szCs w:val="24"/>
        </w:rPr>
      </w:pPr>
    </w:p>
    <w:p w14:paraId="68B3F8D4" w14:textId="15BFDC7A" w:rsidR="00983ABA" w:rsidRPr="00BA054A" w:rsidRDefault="008D0C79" w:rsidP="008D0C79">
      <w:pPr>
        <w:pStyle w:val="TEKSTI"/>
      </w:pPr>
      <w:r>
        <w:t xml:space="preserve">1. </w:t>
      </w:r>
      <w:r w:rsidR="00983ABA" w:rsidRPr="00BA054A">
        <w:t xml:space="preserve">Siç përcaktohet në nenin 1 (1) të Shtojcës II, periudha e ekzekutimit të kësaj Marrëveshjeje Financimi është caktuar 12 vjet nga hyrja në fuqi e kësaj Marrëveshjeje Financimi. </w:t>
      </w:r>
    </w:p>
    <w:p w14:paraId="363F7598" w14:textId="7C79FFFF" w:rsidR="00983ABA" w:rsidRPr="00BA054A" w:rsidRDefault="008D0C79" w:rsidP="008D0C79">
      <w:pPr>
        <w:pStyle w:val="TEKSTI"/>
      </w:pPr>
      <w:r>
        <w:t xml:space="preserve">2. </w:t>
      </w:r>
      <w:r w:rsidR="00983ABA" w:rsidRPr="00BA054A">
        <w:t xml:space="preserve">Siç përcaktohet në nenin 1 (2) të Shtojcës II, periudha e zbatimit operacional të kësaj Marrëveshjeje Financimi është caktuar 6 vjet nga hyrja në fuqi e kësaj Marrëveshjeje Financimi. </w:t>
      </w:r>
    </w:p>
    <w:p w14:paraId="3B8F07FC"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4F542804" w14:textId="6F5EC502" w:rsidR="008D0C79" w:rsidRDefault="00983ABA" w:rsidP="008D0C79">
      <w:pPr>
        <w:widowControl w:val="0"/>
        <w:autoSpaceDE w:val="0"/>
        <w:autoSpaceDN w:val="0"/>
        <w:adjustRightInd w:val="0"/>
        <w:spacing w:after="0" w:line="240" w:lineRule="auto"/>
        <w:ind w:left="6" w:firstLine="284"/>
        <w:jc w:val="center"/>
        <w:rPr>
          <w:rFonts w:ascii="Garamond" w:hAnsi="Garamond"/>
          <w:b/>
          <w:bCs/>
          <w:sz w:val="24"/>
          <w:szCs w:val="24"/>
        </w:rPr>
      </w:pPr>
      <w:r w:rsidRPr="008D0C79">
        <w:rPr>
          <w:rFonts w:ascii="Garamond" w:hAnsi="Garamond"/>
          <w:bCs/>
          <w:sz w:val="24"/>
          <w:szCs w:val="24"/>
        </w:rPr>
        <w:t>Neni 3</w:t>
      </w:r>
    </w:p>
    <w:p w14:paraId="79321820" w14:textId="6A8FFFA3" w:rsidR="00983ABA" w:rsidRPr="00BA054A" w:rsidRDefault="00983ABA" w:rsidP="008D0C79">
      <w:pPr>
        <w:widowControl w:val="0"/>
        <w:autoSpaceDE w:val="0"/>
        <w:autoSpaceDN w:val="0"/>
        <w:adjustRightInd w:val="0"/>
        <w:spacing w:after="0" w:line="240" w:lineRule="auto"/>
        <w:ind w:left="6" w:firstLine="284"/>
        <w:jc w:val="center"/>
        <w:rPr>
          <w:rFonts w:ascii="Garamond" w:hAnsi="Garamond"/>
          <w:sz w:val="24"/>
          <w:szCs w:val="24"/>
        </w:rPr>
      </w:pPr>
      <w:r w:rsidRPr="00BA054A">
        <w:rPr>
          <w:rFonts w:ascii="Garamond" w:hAnsi="Garamond"/>
          <w:b/>
          <w:bCs/>
          <w:sz w:val="24"/>
          <w:szCs w:val="24"/>
        </w:rPr>
        <w:t>Adresat dhe Komunikimi</w:t>
      </w:r>
    </w:p>
    <w:p w14:paraId="11D46BB4"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1D349768" w14:textId="77777777" w:rsidR="00983ABA" w:rsidRPr="00BA054A" w:rsidRDefault="00983ABA" w:rsidP="00983ABA">
      <w:pPr>
        <w:widowControl w:val="0"/>
        <w:overflowPunct w:val="0"/>
        <w:autoSpaceDE w:val="0"/>
        <w:autoSpaceDN w:val="0"/>
        <w:adjustRightInd w:val="0"/>
        <w:spacing w:after="0" w:line="240" w:lineRule="auto"/>
        <w:ind w:left="6" w:firstLine="284"/>
        <w:jc w:val="both"/>
        <w:rPr>
          <w:rFonts w:ascii="Garamond" w:hAnsi="Garamond"/>
          <w:sz w:val="24"/>
          <w:szCs w:val="24"/>
        </w:rPr>
      </w:pPr>
      <w:r w:rsidRPr="00BA054A">
        <w:rPr>
          <w:rFonts w:ascii="Garamond" w:hAnsi="Garamond"/>
          <w:sz w:val="24"/>
          <w:szCs w:val="24"/>
        </w:rPr>
        <w:t>I gjithë komunikimi në lidhje me zbatimin e kësaj marrëveshjeje financimi duhet të jenë në formë të shkruar, duke iu referuar shprehimisht Programit të Veprimit, siç identifikohet në nenin 1 (1) dhe do të dërgohet në adresat e mëposhtme:</w:t>
      </w:r>
    </w:p>
    <w:p w14:paraId="05A14168"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1656F758" w14:textId="77777777" w:rsidR="00983ABA" w:rsidRPr="00BA054A" w:rsidRDefault="00983ABA" w:rsidP="00983ABA">
      <w:pPr>
        <w:widowControl w:val="0"/>
        <w:overflowPunct w:val="0"/>
        <w:autoSpaceDE w:val="0"/>
        <w:autoSpaceDN w:val="0"/>
        <w:adjustRightInd w:val="0"/>
        <w:spacing w:after="0" w:line="240" w:lineRule="auto"/>
        <w:ind w:firstLine="284"/>
        <w:jc w:val="both"/>
        <w:rPr>
          <w:rFonts w:ascii="Garamond" w:hAnsi="Garamond"/>
          <w:sz w:val="24"/>
          <w:szCs w:val="24"/>
        </w:rPr>
      </w:pPr>
      <w:r w:rsidRPr="00BA054A">
        <w:rPr>
          <w:rFonts w:ascii="Garamond" w:hAnsi="Garamond"/>
          <w:b/>
          <w:bCs/>
          <w:sz w:val="24"/>
          <w:szCs w:val="24"/>
        </w:rPr>
        <w:t xml:space="preserve">për Komisionin </w:t>
      </w:r>
    </w:p>
    <w:p w14:paraId="54025FC4" w14:textId="77777777" w:rsidR="00983ABA" w:rsidRPr="00BA054A" w:rsidRDefault="00983ABA" w:rsidP="00983ABA">
      <w:pPr>
        <w:widowControl w:val="0"/>
        <w:overflowPunct w:val="0"/>
        <w:autoSpaceDE w:val="0"/>
        <w:autoSpaceDN w:val="0"/>
        <w:adjustRightInd w:val="0"/>
        <w:spacing w:after="0" w:line="240" w:lineRule="auto"/>
        <w:ind w:left="6" w:firstLine="284"/>
        <w:jc w:val="both"/>
        <w:rPr>
          <w:rFonts w:ascii="Garamond" w:hAnsi="Garamond"/>
          <w:sz w:val="24"/>
          <w:szCs w:val="24"/>
        </w:rPr>
      </w:pPr>
      <w:r w:rsidRPr="00BA054A">
        <w:rPr>
          <w:rFonts w:ascii="Garamond" w:hAnsi="Garamond"/>
          <w:sz w:val="24"/>
          <w:szCs w:val="24"/>
        </w:rPr>
        <w:t xml:space="preserve">Znj. Genoveva Ruiz Calavera </w:t>
      </w:r>
    </w:p>
    <w:p w14:paraId="546AA8B6"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Drejtoria D, Ballkani Perëndimor</w:t>
      </w:r>
    </w:p>
    <w:p w14:paraId="4C2D27C7" w14:textId="77777777" w:rsidR="00983ABA" w:rsidRPr="00BA054A" w:rsidRDefault="00983ABA" w:rsidP="00983ABA">
      <w:pPr>
        <w:widowControl w:val="0"/>
        <w:overflowPunct w:val="0"/>
        <w:autoSpaceDE w:val="0"/>
        <w:autoSpaceDN w:val="0"/>
        <w:adjustRightInd w:val="0"/>
        <w:spacing w:after="0" w:line="240" w:lineRule="auto"/>
        <w:ind w:left="6" w:right="3036" w:firstLine="284"/>
        <w:rPr>
          <w:rFonts w:ascii="Garamond" w:hAnsi="Garamond"/>
          <w:sz w:val="24"/>
          <w:szCs w:val="24"/>
        </w:rPr>
      </w:pPr>
      <w:r w:rsidRPr="00BA054A">
        <w:rPr>
          <w:rFonts w:ascii="Garamond" w:hAnsi="Garamond"/>
          <w:sz w:val="24"/>
          <w:szCs w:val="24"/>
        </w:rPr>
        <w:t>Drejtoria e Përgjithshme për Negociatat e Zgjerimit dhe Fqinjësinë, Komisioni Europian</w:t>
      </w:r>
    </w:p>
    <w:p w14:paraId="2093DC2F" w14:textId="77777777" w:rsidR="00D643B1" w:rsidRDefault="00983ABA" w:rsidP="00983ABA">
      <w:pPr>
        <w:widowControl w:val="0"/>
        <w:tabs>
          <w:tab w:val="left" w:pos="4320"/>
        </w:tabs>
        <w:overflowPunct w:val="0"/>
        <w:autoSpaceDE w:val="0"/>
        <w:autoSpaceDN w:val="0"/>
        <w:adjustRightInd w:val="0"/>
        <w:spacing w:after="0" w:line="240" w:lineRule="auto"/>
        <w:ind w:left="6" w:right="4520" w:firstLine="284"/>
        <w:rPr>
          <w:rFonts w:ascii="Garamond" w:hAnsi="Garamond"/>
          <w:sz w:val="24"/>
          <w:szCs w:val="24"/>
        </w:rPr>
      </w:pPr>
      <w:r w:rsidRPr="00BA054A">
        <w:rPr>
          <w:rFonts w:ascii="Garamond" w:hAnsi="Garamond"/>
          <w:sz w:val="24"/>
          <w:szCs w:val="24"/>
        </w:rPr>
        <w:t>15, Rue de la Loi, B – 1049 Bruksel, B</w:t>
      </w:r>
      <w:r w:rsidR="00D643B1">
        <w:rPr>
          <w:rFonts w:ascii="Garamond" w:hAnsi="Garamond"/>
          <w:sz w:val="24"/>
          <w:szCs w:val="24"/>
        </w:rPr>
        <w:t>elgjikë</w:t>
      </w:r>
    </w:p>
    <w:p w14:paraId="7B5BDB2D" w14:textId="6372AF0B" w:rsidR="00983ABA" w:rsidRPr="00BA054A" w:rsidRDefault="00983ABA" w:rsidP="00983ABA">
      <w:pPr>
        <w:widowControl w:val="0"/>
        <w:tabs>
          <w:tab w:val="left" w:pos="4320"/>
        </w:tabs>
        <w:overflowPunct w:val="0"/>
        <w:autoSpaceDE w:val="0"/>
        <w:autoSpaceDN w:val="0"/>
        <w:adjustRightInd w:val="0"/>
        <w:spacing w:after="0" w:line="240" w:lineRule="auto"/>
        <w:ind w:left="6" w:right="4520" w:firstLine="284"/>
        <w:rPr>
          <w:rFonts w:ascii="Garamond" w:hAnsi="Garamond"/>
          <w:sz w:val="24"/>
          <w:szCs w:val="24"/>
        </w:rPr>
      </w:pPr>
      <w:r w:rsidRPr="00BA054A">
        <w:rPr>
          <w:rFonts w:ascii="Garamond" w:hAnsi="Garamond"/>
          <w:sz w:val="24"/>
          <w:szCs w:val="24"/>
        </w:rPr>
        <w:t xml:space="preserve">E-mail: </w:t>
      </w:r>
      <w:hyperlink r:id="rId12" w:history="1">
        <w:r w:rsidRPr="00BA054A">
          <w:rPr>
            <w:rFonts w:ascii="Garamond" w:hAnsi="Garamond"/>
            <w:sz w:val="24"/>
            <w:szCs w:val="24"/>
          </w:rPr>
          <w:t xml:space="preserve"> </w:t>
        </w:r>
        <w:r w:rsidRPr="00BA054A">
          <w:rPr>
            <w:rFonts w:ascii="Garamond" w:hAnsi="Garamond"/>
            <w:sz w:val="24"/>
            <w:szCs w:val="24"/>
            <w:u w:val="single"/>
          </w:rPr>
          <w:t>NEAR-D1@ec.europa.e</w:t>
        </w:r>
      </w:hyperlink>
      <w:r w:rsidRPr="00BA054A">
        <w:rPr>
          <w:rFonts w:ascii="Garamond" w:hAnsi="Garamond"/>
          <w:sz w:val="24"/>
          <w:szCs w:val="24"/>
          <w:u w:val="single"/>
        </w:rPr>
        <w:t>u</w:t>
      </w:r>
    </w:p>
    <w:p w14:paraId="0DF43E0B"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6DFCE6AA" w14:textId="77777777" w:rsidR="00983ABA" w:rsidRPr="00BA054A" w:rsidRDefault="00983ABA" w:rsidP="00983ABA">
      <w:pPr>
        <w:widowControl w:val="0"/>
        <w:tabs>
          <w:tab w:val="num" w:pos="346"/>
        </w:tabs>
        <w:autoSpaceDE w:val="0"/>
        <w:autoSpaceDN w:val="0"/>
        <w:adjustRightInd w:val="0"/>
        <w:spacing w:after="0" w:line="240" w:lineRule="auto"/>
        <w:ind w:left="6" w:firstLine="284"/>
        <w:rPr>
          <w:rFonts w:ascii="Garamond" w:hAnsi="Garamond"/>
          <w:sz w:val="24"/>
          <w:szCs w:val="24"/>
        </w:rPr>
      </w:pPr>
      <w:r w:rsidRPr="00BA054A">
        <w:rPr>
          <w:rFonts w:ascii="Garamond" w:hAnsi="Garamond"/>
          <w:b/>
          <w:bCs/>
          <w:sz w:val="24"/>
          <w:szCs w:val="24"/>
        </w:rPr>
        <w:t>për përfituesit e IPA II</w:t>
      </w:r>
    </w:p>
    <w:p w14:paraId="1A29EA37"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550B0D88"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b/>
          <w:bCs/>
          <w:sz w:val="24"/>
          <w:szCs w:val="24"/>
        </w:rPr>
        <w:t>Për Malin e Zi</w:t>
      </w:r>
      <w:r w:rsidRPr="00BA054A">
        <w:rPr>
          <w:rFonts w:ascii="Garamond" w:hAnsi="Garamond"/>
          <w:sz w:val="24"/>
          <w:szCs w:val="24"/>
        </w:rPr>
        <w:t>:</w:t>
      </w:r>
    </w:p>
    <w:p w14:paraId="062E06B1"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 xml:space="preserve">Z. Aleksandar Drljević </w:t>
      </w:r>
      <w:r w:rsidRPr="00BA054A">
        <w:rPr>
          <w:rFonts w:ascii="Garamond" w:hAnsi="Garamond"/>
          <w:snapToGrid w:val="0"/>
          <w:sz w:val="24"/>
          <w:szCs w:val="24"/>
        </w:rPr>
        <w:t>Krye-Negociator</w:t>
      </w:r>
      <w:r w:rsidRPr="00BA054A">
        <w:rPr>
          <w:rFonts w:ascii="Garamond" w:hAnsi="Garamond"/>
          <w:sz w:val="24"/>
          <w:szCs w:val="24"/>
        </w:rPr>
        <w:t xml:space="preserve"> dhe Koordinator Kombëtar i IPA-s</w:t>
      </w:r>
    </w:p>
    <w:p w14:paraId="2EC36B73"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r w:rsidRPr="00BA054A">
        <w:rPr>
          <w:rFonts w:ascii="Garamond" w:hAnsi="Garamond"/>
          <w:sz w:val="24"/>
          <w:szCs w:val="24"/>
        </w:rPr>
        <w:t>Qeveria e Malit të Zi</w:t>
      </w:r>
    </w:p>
    <w:p w14:paraId="19FDE8A1"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r w:rsidRPr="00BA054A">
        <w:rPr>
          <w:rFonts w:ascii="Garamond" w:hAnsi="Garamond"/>
          <w:sz w:val="24"/>
          <w:szCs w:val="24"/>
        </w:rPr>
        <w:t>Zyra e Integrimit Evropian</w:t>
      </w:r>
    </w:p>
    <w:p w14:paraId="3CD237C3"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r w:rsidRPr="00BA054A">
        <w:rPr>
          <w:rFonts w:ascii="Garamond" w:hAnsi="Garamond"/>
          <w:sz w:val="24"/>
          <w:szCs w:val="24"/>
        </w:rPr>
        <w:t>Bulevar Revolucije 15</w:t>
      </w:r>
    </w:p>
    <w:p w14:paraId="67B2146C"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81000, Podgoricë, Mali i Zi</w:t>
      </w:r>
    </w:p>
    <w:p w14:paraId="0E95A240"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E-mail: aleksandar.drlievic@,gsv.gov.me</w:t>
      </w:r>
    </w:p>
    <w:p w14:paraId="1D7E32F7"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0D75ECAC"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b/>
          <w:bCs/>
          <w:sz w:val="24"/>
          <w:szCs w:val="24"/>
        </w:rPr>
      </w:pPr>
      <w:r w:rsidRPr="00BA054A">
        <w:rPr>
          <w:rFonts w:ascii="Garamond" w:hAnsi="Garamond"/>
          <w:b/>
          <w:bCs/>
          <w:sz w:val="24"/>
          <w:szCs w:val="24"/>
        </w:rPr>
        <w:lastRenderedPageBreak/>
        <w:t>Për Republikën e Shqipërisë::</w:t>
      </w:r>
    </w:p>
    <w:p w14:paraId="6646C9C2"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 xml:space="preserve">Ministria për Evropën dhe Punët e Jashtme </w:t>
      </w:r>
    </w:p>
    <w:p w14:paraId="3A6E4349"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Drejtoria e Bashkëpunimit Territorial</w:t>
      </w:r>
    </w:p>
    <w:p w14:paraId="331823D5"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Bulevardi Gjergj Fishta, Nr. 6</w:t>
      </w:r>
    </w:p>
    <w:p w14:paraId="402373D4"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2B1F5080" w14:textId="77777777" w:rsidR="00983ABA" w:rsidRPr="00BA054A" w:rsidRDefault="00983ABA" w:rsidP="00983ABA">
      <w:pPr>
        <w:widowControl w:val="0"/>
        <w:autoSpaceDE w:val="0"/>
        <w:autoSpaceDN w:val="0"/>
        <w:adjustRightInd w:val="0"/>
        <w:spacing w:after="0" w:line="240" w:lineRule="auto"/>
        <w:ind w:left="6" w:firstLine="284"/>
        <w:rPr>
          <w:rFonts w:ascii="Garamond" w:hAnsi="Garamond"/>
          <w:sz w:val="24"/>
          <w:szCs w:val="24"/>
        </w:rPr>
      </w:pPr>
      <w:r w:rsidRPr="00BA054A">
        <w:rPr>
          <w:rFonts w:ascii="Garamond" w:hAnsi="Garamond"/>
          <w:sz w:val="24"/>
          <w:szCs w:val="24"/>
        </w:rPr>
        <w:t>Tiranë, Shqipëri</w:t>
      </w:r>
    </w:p>
    <w:p w14:paraId="40E90717"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r w:rsidRPr="00BA054A">
        <w:rPr>
          <w:rFonts w:ascii="Garamond" w:hAnsi="Garamond"/>
          <w:sz w:val="24"/>
          <w:szCs w:val="24"/>
        </w:rPr>
        <w:t>E-mail: info@mfa.gov.al</w:t>
      </w:r>
      <w:r w:rsidRPr="00BA054A" w:rsidDel="004A60B0">
        <w:rPr>
          <w:rFonts w:ascii="Garamond" w:hAnsi="Garamond"/>
          <w:sz w:val="24"/>
          <w:szCs w:val="24"/>
        </w:rPr>
        <w:t xml:space="preserve"> </w:t>
      </w:r>
    </w:p>
    <w:p w14:paraId="2EE40DBA" w14:textId="77777777" w:rsidR="00D643B1" w:rsidRDefault="00D643B1" w:rsidP="00983ABA">
      <w:pPr>
        <w:widowControl w:val="0"/>
        <w:autoSpaceDE w:val="0"/>
        <w:autoSpaceDN w:val="0"/>
        <w:adjustRightInd w:val="0"/>
        <w:spacing w:after="0" w:line="240" w:lineRule="auto"/>
        <w:ind w:firstLine="284"/>
        <w:rPr>
          <w:rFonts w:ascii="Garamond" w:hAnsi="Garamond"/>
          <w:b/>
          <w:bCs/>
          <w:sz w:val="24"/>
          <w:szCs w:val="24"/>
        </w:rPr>
      </w:pPr>
      <w:bookmarkStart w:id="1" w:name="page3"/>
      <w:bookmarkEnd w:id="1"/>
    </w:p>
    <w:p w14:paraId="56E572C3" w14:textId="676E79BB" w:rsidR="00D643B1" w:rsidRPr="00D643B1" w:rsidRDefault="00D643B1" w:rsidP="00D643B1">
      <w:pPr>
        <w:widowControl w:val="0"/>
        <w:autoSpaceDE w:val="0"/>
        <w:autoSpaceDN w:val="0"/>
        <w:adjustRightInd w:val="0"/>
        <w:spacing w:after="0" w:line="240" w:lineRule="auto"/>
        <w:ind w:firstLine="284"/>
        <w:jc w:val="center"/>
        <w:rPr>
          <w:rFonts w:ascii="Garamond" w:hAnsi="Garamond"/>
          <w:bCs/>
          <w:sz w:val="24"/>
          <w:szCs w:val="24"/>
        </w:rPr>
      </w:pPr>
      <w:r w:rsidRPr="00D643B1">
        <w:rPr>
          <w:rFonts w:ascii="Garamond" w:hAnsi="Garamond"/>
          <w:bCs/>
          <w:sz w:val="24"/>
          <w:szCs w:val="24"/>
        </w:rPr>
        <w:t>Neni 4</w:t>
      </w:r>
    </w:p>
    <w:p w14:paraId="46C1CF54" w14:textId="3B708A17" w:rsidR="00983ABA" w:rsidRPr="00BA054A" w:rsidRDefault="00983ABA" w:rsidP="00D643B1">
      <w:pPr>
        <w:widowControl w:val="0"/>
        <w:autoSpaceDE w:val="0"/>
        <w:autoSpaceDN w:val="0"/>
        <w:adjustRightInd w:val="0"/>
        <w:spacing w:after="0" w:line="240" w:lineRule="auto"/>
        <w:ind w:firstLine="284"/>
        <w:jc w:val="center"/>
        <w:rPr>
          <w:rFonts w:ascii="Garamond" w:hAnsi="Garamond"/>
          <w:sz w:val="24"/>
          <w:szCs w:val="24"/>
        </w:rPr>
      </w:pPr>
      <w:r w:rsidRPr="00BA054A">
        <w:rPr>
          <w:rFonts w:ascii="Garamond" w:hAnsi="Garamond"/>
          <w:b/>
          <w:bCs/>
          <w:sz w:val="24"/>
          <w:szCs w:val="24"/>
        </w:rPr>
        <w:t>Pikat e kontaktit të OLAF-it</w:t>
      </w:r>
    </w:p>
    <w:p w14:paraId="143B986B"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4D52FE9D" w14:textId="77777777" w:rsidR="00983ABA" w:rsidRPr="00BA054A" w:rsidRDefault="00983ABA" w:rsidP="00983ABA">
      <w:pPr>
        <w:widowControl w:val="0"/>
        <w:overflowPunct w:val="0"/>
        <w:autoSpaceDE w:val="0"/>
        <w:autoSpaceDN w:val="0"/>
        <w:adjustRightInd w:val="0"/>
        <w:spacing w:after="0" w:line="240" w:lineRule="auto"/>
        <w:ind w:left="4" w:right="20" w:firstLine="284"/>
        <w:jc w:val="both"/>
        <w:rPr>
          <w:rFonts w:ascii="Garamond" w:hAnsi="Garamond"/>
          <w:sz w:val="24"/>
          <w:szCs w:val="24"/>
        </w:rPr>
      </w:pPr>
      <w:r w:rsidRPr="00BA054A">
        <w:rPr>
          <w:rFonts w:ascii="Garamond" w:hAnsi="Garamond"/>
          <w:sz w:val="24"/>
          <w:szCs w:val="24"/>
        </w:rPr>
        <w:t>Pika e kontaktit të përfituesit të IPA II që ka kompetencat e duhura për të bashkëpunuar drejtpërdrejt me Zyrën Evropiane Kundër Mashtrimit (OLAF), në mënyrë që të lehtësojë aktivitetet operacionale të OLAF-it do të jenë:</w:t>
      </w:r>
    </w:p>
    <w:p w14:paraId="03FE9A4A"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1440F1EC" w14:textId="488AB1CD" w:rsidR="00D643B1"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b/>
          <w:bCs/>
          <w:sz w:val="24"/>
          <w:szCs w:val="24"/>
        </w:rPr>
        <w:t>Për Malin e Zi</w:t>
      </w:r>
      <w:r w:rsidR="00D643B1">
        <w:rPr>
          <w:rFonts w:ascii="Garamond" w:hAnsi="Garamond"/>
          <w:sz w:val="24"/>
          <w:szCs w:val="24"/>
        </w:rPr>
        <w:t>:</w:t>
      </w:r>
    </w:p>
    <w:p w14:paraId="4AD15595" w14:textId="5D04F0E2"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AFC</w:t>
      </w:r>
      <w:r w:rsidR="00D643B1">
        <w:rPr>
          <w:rFonts w:ascii="Garamond" w:hAnsi="Garamond"/>
          <w:sz w:val="24"/>
          <w:szCs w:val="24"/>
        </w:rPr>
        <w:t>OS pikë kontakti / zyra e AFCOS</w:t>
      </w:r>
    </w:p>
    <w:p w14:paraId="5BCD0A19" w14:textId="77777777" w:rsidR="00983ABA" w:rsidRPr="00BA054A" w:rsidRDefault="00983ABA" w:rsidP="00983ABA">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Znj. Natasa Kovacevic</w:t>
      </w:r>
    </w:p>
    <w:p w14:paraId="510982B3" w14:textId="2C6EABAB"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Ministria e Financave e Malit t</w:t>
      </w:r>
      <w:r w:rsidR="00D643B1">
        <w:rPr>
          <w:rFonts w:ascii="Garamond" w:hAnsi="Garamond"/>
          <w:sz w:val="24"/>
          <w:szCs w:val="24"/>
        </w:rPr>
        <w:t>ë Zi</w:t>
      </w:r>
    </w:p>
    <w:p w14:paraId="7FECA02E" w14:textId="5656D44D"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Stanka Dragojevića</w:t>
      </w:r>
      <w:r w:rsidR="00D643B1">
        <w:rPr>
          <w:rFonts w:ascii="Garamond" w:hAnsi="Garamond"/>
          <w:sz w:val="24"/>
          <w:szCs w:val="24"/>
        </w:rPr>
        <w:t xml:space="preserve"> 2, 81000, Podgoricë, Mali i Zi</w:t>
      </w:r>
    </w:p>
    <w:p w14:paraId="659BF43D" w14:textId="5C1B7E4A" w:rsidR="00983ABA" w:rsidRPr="00BA054A" w:rsidRDefault="00686AD4" w:rsidP="00D643B1">
      <w:pPr>
        <w:widowControl w:val="0"/>
        <w:autoSpaceDE w:val="0"/>
        <w:autoSpaceDN w:val="0"/>
        <w:adjustRightInd w:val="0"/>
        <w:spacing w:after="0" w:line="240" w:lineRule="auto"/>
        <w:ind w:left="384" w:firstLine="284"/>
        <w:rPr>
          <w:rFonts w:ascii="Garamond" w:hAnsi="Garamond"/>
          <w:sz w:val="24"/>
          <w:szCs w:val="24"/>
        </w:rPr>
      </w:pPr>
      <w:hyperlink r:id="rId13" w:history="1">
        <w:r w:rsidR="00983ABA" w:rsidRPr="00BA054A">
          <w:rPr>
            <w:rStyle w:val="Hyperlink"/>
            <w:rFonts w:ascii="Garamond" w:hAnsi="Garamond"/>
            <w:sz w:val="24"/>
            <w:szCs w:val="24"/>
          </w:rPr>
          <w:t>Natasa.kovacevic@mif.gov.me</w:t>
        </w:r>
      </w:hyperlink>
      <w:r w:rsidR="00983ABA" w:rsidRPr="00BA054A">
        <w:rPr>
          <w:rFonts w:ascii="Garamond" w:hAnsi="Garamond"/>
          <w:sz w:val="24"/>
          <w:szCs w:val="24"/>
        </w:rPr>
        <w:t xml:space="preserve"> </w:t>
      </w:r>
    </w:p>
    <w:p w14:paraId="2AF5BB67"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4E88F7CF" w14:textId="21B1B663"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b/>
          <w:bCs/>
          <w:sz w:val="24"/>
          <w:szCs w:val="24"/>
        </w:rPr>
        <w:t>Për Shqipërinë:</w:t>
      </w:r>
      <w:r w:rsidR="00D643B1">
        <w:rPr>
          <w:rFonts w:ascii="Garamond" w:hAnsi="Garamond"/>
          <w:sz w:val="24"/>
          <w:szCs w:val="24"/>
        </w:rPr>
        <w:t>:</w:t>
      </w:r>
    </w:p>
    <w:p w14:paraId="77979A56" w14:textId="77777777" w:rsidR="00983ABA" w:rsidRPr="00BA054A" w:rsidRDefault="00983ABA" w:rsidP="00983ABA">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Z. Bejko Late</w:t>
      </w:r>
    </w:p>
    <w:p w14:paraId="01258871" w14:textId="7FF52235"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Drejtor i Sektorit t</w:t>
      </w:r>
      <w:r w:rsidR="00D643B1">
        <w:rPr>
          <w:rFonts w:ascii="Garamond" w:hAnsi="Garamond"/>
          <w:sz w:val="24"/>
          <w:szCs w:val="24"/>
        </w:rPr>
        <w:t>ë Inspektimit Financiar</w:t>
      </w:r>
    </w:p>
    <w:p w14:paraId="4ED29FCB" w14:textId="5A3A5A0B" w:rsidR="00983ABA" w:rsidRPr="00BA054A" w:rsidRDefault="00983ABA" w:rsidP="00D643B1">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Ministria e Financave dhe Ekonomisë të S</w:t>
      </w:r>
      <w:r w:rsidR="00D643B1">
        <w:rPr>
          <w:rFonts w:ascii="Garamond" w:hAnsi="Garamond"/>
          <w:sz w:val="24"/>
          <w:szCs w:val="24"/>
        </w:rPr>
        <w:t>hqipërisë</w:t>
      </w:r>
    </w:p>
    <w:p w14:paraId="01491EC5" w14:textId="77777777" w:rsidR="00983ABA" w:rsidRPr="00BA054A" w:rsidRDefault="00983ABA" w:rsidP="00983ABA">
      <w:pPr>
        <w:widowControl w:val="0"/>
        <w:autoSpaceDE w:val="0"/>
        <w:autoSpaceDN w:val="0"/>
        <w:adjustRightInd w:val="0"/>
        <w:spacing w:after="0" w:line="240" w:lineRule="auto"/>
        <w:ind w:left="384" w:firstLine="284"/>
        <w:rPr>
          <w:rFonts w:ascii="Garamond" w:hAnsi="Garamond"/>
          <w:sz w:val="24"/>
          <w:szCs w:val="24"/>
        </w:rPr>
      </w:pPr>
      <w:r w:rsidRPr="00BA054A">
        <w:rPr>
          <w:rFonts w:ascii="Garamond" w:hAnsi="Garamond"/>
          <w:sz w:val="24"/>
          <w:szCs w:val="24"/>
        </w:rPr>
        <w:t>Bulevardi “Dëshmorët e Kombit”, Nr. 3, Tiranë, Shqipëri</w:t>
      </w:r>
    </w:p>
    <w:p w14:paraId="6D2E0DE2" w14:textId="77777777" w:rsidR="00983ABA" w:rsidRPr="00BA054A" w:rsidRDefault="00686AD4" w:rsidP="00983ABA">
      <w:pPr>
        <w:widowControl w:val="0"/>
        <w:autoSpaceDE w:val="0"/>
        <w:autoSpaceDN w:val="0"/>
        <w:adjustRightInd w:val="0"/>
        <w:spacing w:after="0" w:line="240" w:lineRule="auto"/>
        <w:ind w:left="384" w:firstLine="284"/>
        <w:rPr>
          <w:rFonts w:ascii="Garamond" w:hAnsi="Garamond"/>
          <w:sz w:val="24"/>
          <w:szCs w:val="24"/>
        </w:rPr>
      </w:pPr>
      <w:hyperlink r:id="rId14" w:history="1">
        <w:r w:rsidR="00983ABA" w:rsidRPr="00BA054A">
          <w:rPr>
            <w:rStyle w:val="Hyperlink"/>
            <w:rFonts w:ascii="Garamond" w:hAnsi="Garamond"/>
            <w:sz w:val="24"/>
            <w:szCs w:val="24"/>
          </w:rPr>
          <w:t>Bejko.late@financa.gov.al</w:t>
        </w:r>
      </w:hyperlink>
      <w:r w:rsidR="00983ABA" w:rsidRPr="00BA054A">
        <w:rPr>
          <w:rFonts w:ascii="Garamond" w:hAnsi="Garamond"/>
          <w:sz w:val="24"/>
          <w:szCs w:val="24"/>
        </w:rPr>
        <w:t xml:space="preserve"> </w:t>
      </w:r>
    </w:p>
    <w:p w14:paraId="1AD7784A" w14:textId="77777777" w:rsidR="00983ABA" w:rsidRPr="00BA054A" w:rsidRDefault="00983ABA" w:rsidP="00983ABA">
      <w:pPr>
        <w:widowControl w:val="0"/>
        <w:autoSpaceDE w:val="0"/>
        <w:autoSpaceDN w:val="0"/>
        <w:adjustRightInd w:val="0"/>
        <w:spacing w:after="0" w:line="240" w:lineRule="auto"/>
        <w:ind w:firstLine="284"/>
        <w:rPr>
          <w:rFonts w:ascii="Garamond" w:hAnsi="Garamond"/>
          <w:b/>
          <w:bCs/>
          <w:sz w:val="24"/>
          <w:szCs w:val="24"/>
        </w:rPr>
      </w:pPr>
    </w:p>
    <w:p w14:paraId="1B5BECC7" w14:textId="38E7D007" w:rsidR="00D643B1" w:rsidRPr="00D643B1" w:rsidRDefault="00D643B1" w:rsidP="00D643B1">
      <w:pPr>
        <w:widowControl w:val="0"/>
        <w:autoSpaceDE w:val="0"/>
        <w:autoSpaceDN w:val="0"/>
        <w:adjustRightInd w:val="0"/>
        <w:spacing w:after="0" w:line="240" w:lineRule="auto"/>
        <w:ind w:left="4" w:firstLine="284"/>
        <w:jc w:val="center"/>
        <w:rPr>
          <w:rFonts w:ascii="Garamond" w:hAnsi="Garamond"/>
          <w:bCs/>
          <w:sz w:val="24"/>
          <w:szCs w:val="24"/>
        </w:rPr>
      </w:pPr>
      <w:r w:rsidRPr="00D643B1">
        <w:rPr>
          <w:rFonts w:ascii="Garamond" w:hAnsi="Garamond"/>
          <w:bCs/>
          <w:sz w:val="24"/>
          <w:szCs w:val="24"/>
        </w:rPr>
        <w:t>Neni 5</w:t>
      </w:r>
    </w:p>
    <w:p w14:paraId="572E5E29" w14:textId="309756C0" w:rsidR="00983ABA" w:rsidRPr="00BA054A" w:rsidRDefault="00983ABA" w:rsidP="00D643B1">
      <w:pPr>
        <w:widowControl w:val="0"/>
        <w:autoSpaceDE w:val="0"/>
        <w:autoSpaceDN w:val="0"/>
        <w:adjustRightInd w:val="0"/>
        <w:spacing w:after="0" w:line="240" w:lineRule="auto"/>
        <w:ind w:left="4" w:firstLine="284"/>
        <w:jc w:val="center"/>
        <w:rPr>
          <w:rFonts w:ascii="Garamond" w:hAnsi="Garamond"/>
          <w:sz w:val="24"/>
          <w:szCs w:val="24"/>
        </w:rPr>
      </w:pPr>
      <w:r w:rsidRPr="00BA054A">
        <w:rPr>
          <w:rFonts w:ascii="Garamond" w:hAnsi="Garamond"/>
          <w:b/>
          <w:bCs/>
          <w:sz w:val="24"/>
          <w:szCs w:val="24"/>
        </w:rPr>
        <w:t>Marrëveshjet Kuadër</w:t>
      </w:r>
    </w:p>
    <w:p w14:paraId="28DF3C56"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171A893C" w14:textId="6C975A8D" w:rsidR="00983ABA" w:rsidRPr="00BA054A" w:rsidRDefault="00983ABA" w:rsidP="00983ABA">
      <w:pPr>
        <w:widowControl w:val="0"/>
        <w:overflowPunct w:val="0"/>
        <w:autoSpaceDE w:val="0"/>
        <w:autoSpaceDN w:val="0"/>
        <w:adjustRightInd w:val="0"/>
        <w:spacing w:after="0" w:line="240" w:lineRule="auto"/>
        <w:ind w:left="4" w:firstLine="284"/>
        <w:jc w:val="both"/>
        <w:rPr>
          <w:rFonts w:ascii="Garamond" w:hAnsi="Garamond"/>
          <w:sz w:val="24"/>
          <w:szCs w:val="24"/>
        </w:rPr>
      </w:pPr>
      <w:r w:rsidRPr="00BA054A">
        <w:rPr>
          <w:rFonts w:ascii="Garamond" w:hAnsi="Garamond"/>
          <w:sz w:val="24"/>
          <w:szCs w:val="24"/>
        </w:rPr>
        <w:t xml:space="preserve">Programi i Veprimit do të zbatohet në përputhje me dispozitat e Marrëveshjes Kuadër ndërmjet Komisionit Evropian dhe Malit të Zi mbi marrëveshjet për zbatimin e asistencës financiare të Bashkimit për Malin e Zi nën Instrumentin e Asistencës së Para-Anëtarësimit (IPA </w:t>
      </w:r>
      <w:r w:rsidR="003F7568">
        <w:rPr>
          <w:rFonts w:ascii="Garamond" w:hAnsi="Garamond"/>
          <w:sz w:val="24"/>
          <w:szCs w:val="24"/>
        </w:rPr>
        <w:t xml:space="preserve">II), e cila ka hyrë në fuqi më </w:t>
      </w:r>
      <w:r w:rsidRPr="00BA054A">
        <w:rPr>
          <w:rFonts w:ascii="Garamond" w:hAnsi="Garamond"/>
          <w:sz w:val="24"/>
          <w:szCs w:val="24"/>
        </w:rPr>
        <w:t>4 qershor 2015 dhe në përputhje me dispozitat e Marrëveshjes Kuadër ndërmjet Komisionit Evropian dhe Republikës së Shqipërisë mbi marrëveshjet për zbatimin e asistencës financiare të Bashkimit në Shqipëri nën Instrumentin e asistencës së Para-Anëtarësimit (IPA II), e cila ka hyrë në fuqi më 16 prill 2015, (e referuar në vijim si "Marrëveshja Kuadër (et)").</w:t>
      </w:r>
    </w:p>
    <w:p w14:paraId="1D168325" w14:textId="77777777" w:rsidR="00983ABA" w:rsidRPr="00BA054A" w:rsidRDefault="00983ABA" w:rsidP="00983ABA">
      <w:pPr>
        <w:widowControl w:val="0"/>
        <w:overflowPunct w:val="0"/>
        <w:autoSpaceDE w:val="0"/>
        <w:autoSpaceDN w:val="0"/>
        <w:adjustRightInd w:val="0"/>
        <w:spacing w:after="0" w:line="240" w:lineRule="auto"/>
        <w:ind w:left="4" w:right="20" w:firstLine="284"/>
        <w:jc w:val="both"/>
        <w:rPr>
          <w:rFonts w:ascii="Garamond" w:hAnsi="Garamond"/>
          <w:sz w:val="24"/>
          <w:szCs w:val="24"/>
        </w:rPr>
      </w:pPr>
      <w:r w:rsidRPr="00BA054A">
        <w:rPr>
          <w:rFonts w:ascii="Garamond" w:hAnsi="Garamond"/>
          <w:sz w:val="24"/>
          <w:szCs w:val="24"/>
        </w:rPr>
        <w:t>Kjo Marrëveshje Financimi plotëson dispozitat e Marrëveshjeve Kuadër të lartpërmendura. Në rast konflikti, nga njëra anë, të dispozitave të kësaj Marrëveshjeje Financimi dhe nga ana tjetër, dispozitave të Marrëveshjes Kuadër përkatëse, këto të fundit do të kenë përparësi.</w:t>
      </w:r>
    </w:p>
    <w:p w14:paraId="03B1F17F" w14:textId="77777777" w:rsidR="00983ABA" w:rsidRPr="00BA054A" w:rsidRDefault="00983ABA" w:rsidP="00983ABA">
      <w:pPr>
        <w:widowControl w:val="0"/>
        <w:autoSpaceDE w:val="0"/>
        <w:autoSpaceDN w:val="0"/>
        <w:adjustRightInd w:val="0"/>
        <w:spacing w:after="0" w:line="240" w:lineRule="auto"/>
        <w:ind w:firstLine="284"/>
        <w:rPr>
          <w:rFonts w:ascii="Garamond" w:hAnsi="Garamond"/>
          <w:b/>
          <w:bCs/>
          <w:sz w:val="24"/>
          <w:szCs w:val="24"/>
        </w:rPr>
      </w:pPr>
    </w:p>
    <w:p w14:paraId="0F6B5869" w14:textId="77777777" w:rsidR="0051566F" w:rsidRPr="0051566F" w:rsidRDefault="0051566F" w:rsidP="0051566F">
      <w:pPr>
        <w:widowControl w:val="0"/>
        <w:autoSpaceDE w:val="0"/>
        <w:autoSpaceDN w:val="0"/>
        <w:adjustRightInd w:val="0"/>
        <w:spacing w:after="0" w:line="240" w:lineRule="auto"/>
        <w:ind w:left="4" w:firstLine="284"/>
        <w:jc w:val="center"/>
        <w:rPr>
          <w:rFonts w:ascii="Garamond" w:hAnsi="Garamond"/>
          <w:bCs/>
          <w:sz w:val="24"/>
          <w:szCs w:val="24"/>
        </w:rPr>
      </w:pPr>
      <w:r w:rsidRPr="0051566F">
        <w:rPr>
          <w:rFonts w:ascii="Garamond" w:hAnsi="Garamond"/>
          <w:bCs/>
          <w:sz w:val="24"/>
          <w:szCs w:val="24"/>
        </w:rPr>
        <w:t>Neni 6</w:t>
      </w:r>
    </w:p>
    <w:p w14:paraId="5C8A3A73" w14:textId="242B68F9" w:rsidR="00983ABA" w:rsidRPr="00BA054A" w:rsidRDefault="00983ABA" w:rsidP="0051566F">
      <w:pPr>
        <w:widowControl w:val="0"/>
        <w:autoSpaceDE w:val="0"/>
        <w:autoSpaceDN w:val="0"/>
        <w:adjustRightInd w:val="0"/>
        <w:spacing w:after="0" w:line="240" w:lineRule="auto"/>
        <w:ind w:left="4" w:firstLine="284"/>
        <w:jc w:val="center"/>
        <w:rPr>
          <w:rFonts w:ascii="Garamond" w:hAnsi="Garamond"/>
          <w:sz w:val="24"/>
          <w:szCs w:val="24"/>
        </w:rPr>
      </w:pPr>
      <w:r w:rsidRPr="00BA054A">
        <w:rPr>
          <w:rFonts w:ascii="Garamond" w:hAnsi="Garamond"/>
          <w:b/>
          <w:bCs/>
          <w:sz w:val="24"/>
          <w:szCs w:val="24"/>
        </w:rPr>
        <w:t>Shtojcat</w:t>
      </w:r>
    </w:p>
    <w:p w14:paraId="3DF13926" w14:textId="77777777" w:rsidR="00983ABA" w:rsidRPr="00BA054A" w:rsidRDefault="00983ABA" w:rsidP="0051566F">
      <w:pPr>
        <w:pStyle w:val="TEKSTI"/>
      </w:pPr>
    </w:p>
    <w:p w14:paraId="6A2A4BCE" w14:textId="1DEC1B43" w:rsidR="00983ABA" w:rsidRPr="00BA054A" w:rsidRDefault="0051566F" w:rsidP="0051566F">
      <w:pPr>
        <w:pStyle w:val="TEKSTI"/>
      </w:pPr>
      <w:r>
        <w:t xml:space="preserve">1. </w:t>
      </w:r>
      <w:r w:rsidR="00983ABA" w:rsidRPr="00BA054A">
        <w:t>Kjo Marrëveshje Financimi përbëhet nga:</w:t>
      </w:r>
    </w:p>
    <w:p w14:paraId="05D1C123" w14:textId="57029946" w:rsidR="00983ABA" w:rsidRPr="00BA054A" w:rsidRDefault="0051566F" w:rsidP="0051566F">
      <w:pPr>
        <w:pStyle w:val="TEKSTI"/>
      </w:pPr>
      <w:r>
        <w:t xml:space="preserve">a) </w:t>
      </w:r>
      <w:r w:rsidR="00983ABA" w:rsidRPr="00BA054A">
        <w:t xml:space="preserve">këto Kushte të Veçanta; </w:t>
      </w:r>
    </w:p>
    <w:p w14:paraId="07989221" w14:textId="19BEF4E3" w:rsidR="00983ABA" w:rsidRPr="00BA054A" w:rsidRDefault="0051566F" w:rsidP="0051566F">
      <w:pPr>
        <w:pStyle w:val="TEKSTI"/>
      </w:pPr>
      <w:r>
        <w:t xml:space="preserve">b) </w:t>
      </w:r>
      <w:r w:rsidR="00983ABA" w:rsidRPr="00BA054A">
        <w:t xml:space="preserve">Shtojca I: Programi i Veprimit CBC Mali i Zi - Shqipëri për vitet 2018 - 2020; </w:t>
      </w:r>
    </w:p>
    <w:p w14:paraId="19DEDFC8" w14:textId="2B47917A" w:rsidR="00983ABA" w:rsidRPr="00BA054A" w:rsidRDefault="0051566F" w:rsidP="0051566F">
      <w:pPr>
        <w:pStyle w:val="TEKSTI"/>
      </w:pPr>
      <w:bookmarkStart w:id="2" w:name="page4"/>
      <w:bookmarkEnd w:id="2"/>
      <w:r>
        <w:t xml:space="preserve">c) </w:t>
      </w:r>
      <w:r w:rsidR="00983ABA" w:rsidRPr="00BA054A">
        <w:t xml:space="preserve">Shtojca IA: Programi IPA II BNK 2014-2020 ndërmjet Malit të Zi dhe Republikës së Shqipërisë; </w:t>
      </w:r>
    </w:p>
    <w:p w14:paraId="0C6400E4" w14:textId="73A4C843" w:rsidR="00983ABA" w:rsidRPr="00BA054A" w:rsidRDefault="0051566F" w:rsidP="0051566F">
      <w:pPr>
        <w:pStyle w:val="TEKSTI"/>
      </w:pPr>
      <w:r>
        <w:t xml:space="preserve">d) </w:t>
      </w:r>
      <w:r w:rsidR="00983ABA" w:rsidRPr="00BA054A">
        <w:t>Shtojca II: Kushtet e Përgjithshme;</w:t>
      </w:r>
    </w:p>
    <w:p w14:paraId="7DBF91B4" w14:textId="0A756B47" w:rsidR="00983ABA" w:rsidRPr="00BA054A" w:rsidRDefault="0051566F" w:rsidP="0051566F">
      <w:pPr>
        <w:pStyle w:val="TEKSTI"/>
      </w:pPr>
      <w:r>
        <w:t xml:space="preserve">e) </w:t>
      </w:r>
      <w:r w:rsidR="00983ABA" w:rsidRPr="00BA054A">
        <w:t xml:space="preserve">Shtojca III: Model i Raportit Vjetor BNK për zbatimin e asistencës IPA II në përputhje me nenin 80 të Marrëveshjes Kuadër; </w:t>
      </w:r>
    </w:p>
    <w:p w14:paraId="4059E3DD" w14:textId="55A13C7D" w:rsidR="00983ABA" w:rsidRPr="00BA054A" w:rsidRDefault="0051566F" w:rsidP="0051566F">
      <w:pPr>
        <w:pStyle w:val="TEKSTI"/>
      </w:pPr>
      <w:r>
        <w:t xml:space="preserve">f) </w:t>
      </w:r>
      <w:r w:rsidR="00983ABA" w:rsidRPr="00BA054A">
        <w:t>Shtojca IIIA: Modeli i Raportit Vjetor për zbatimin e asistencës IPA II në përputhje me nenin 58 dhe 59 (1) të Marrëveshjes Kuadër;</w:t>
      </w:r>
    </w:p>
    <w:p w14:paraId="0B662B54" w14:textId="259A5C02" w:rsidR="00983ABA" w:rsidRPr="00BA054A" w:rsidRDefault="0051566F" w:rsidP="0051566F">
      <w:pPr>
        <w:pStyle w:val="TEKSTI"/>
      </w:pPr>
      <w:r>
        <w:t xml:space="preserve">g) </w:t>
      </w:r>
      <w:r w:rsidR="00983ABA" w:rsidRPr="00BA054A">
        <w:t>Shtojca IV: Modeli i Raportit Financiar sipas nenit 59 (2) të Marrëveshjes Kuadër;</w:t>
      </w:r>
    </w:p>
    <w:p w14:paraId="2CB5ECD9" w14:textId="020DB057" w:rsidR="00983ABA" w:rsidRPr="00BA054A" w:rsidRDefault="000C6882" w:rsidP="0051566F">
      <w:pPr>
        <w:pStyle w:val="TEKSTI"/>
      </w:pPr>
      <w:r>
        <w:t xml:space="preserve">h) </w:t>
      </w:r>
      <w:r w:rsidR="00983ABA" w:rsidRPr="00BA054A">
        <w:t>Shtojca V: Specifikimet Minimale të Sistemit të Kontabilitetit me Bazë Akruale;</w:t>
      </w:r>
    </w:p>
    <w:p w14:paraId="339CB62F" w14:textId="4C9716C5" w:rsidR="00983ABA" w:rsidRPr="00BA054A" w:rsidRDefault="00983ABA" w:rsidP="0051566F">
      <w:pPr>
        <w:pStyle w:val="TEKSTI"/>
      </w:pPr>
      <w:r w:rsidRPr="00BA054A">
        <w:t xml:space="preserve">2) Në rast të një konflikti, nga njëra anë e dispozitave të Shtojcave dhe nga ana tjetër e dispozitave të këtyre Kushteve të Veçanta, këto të fundit do të kenë përparësi. Në rast të një konflikti, nga njëra anë, të dispozitave të Shtojcës I dhe Shtojcës IA dhe e dispozitave të Shtojcës II nga ana tjetër, këto të fundit do të kenë përparësi. Në rast konflikti ndërmjet dispozitave të Shtojcës I, nga njëra anë, dhe dispozitave të Shtojcës IA nga ana tjetër, këto të fundit do të kenë përparësi. </w:t>
      </w:r>
    </w:p>
    <w:p w14:paraId="678AFE1A" w14:textId="77777777" w:rsidR="00983ABA" w:rsidRPr="00BA054A" w:rsidRDefault="00983ABA" w:rsidP="00983ABA">
      <w:pPr>
        <w:widowControl w:val="0"/>
        <w:autoSpaceDE w:val="0"/>
        <w:autoSpaceDN w:val="0"/>
        <w:adjustRightInd w:val="0"/>
        <w:spacing w:after="0" w:line="240" w:lineRule="auto"/>
        <w:ind w:left="4" w:firstLine="284"/>
        <w:rPr>
          <w:rFonts w:ascii="Garamond" w:hAnsi="Garamond"/>
          <w:b/>
          <w:bCs/>
          <w:sz w:val="24"/>
          <w:szCs w:val="24"/>
        </w:rPr>
      </w:pPr>
    </w:p>
    <w:p w14:paraId="00FDE42A" w14:textId="77777777" w:rsidR="000C6882" w:rsidRPr="000C6882" w:rsidRDefault="000C6882" w:rsidP="000C6882">
      <w:pPr>
        <w:widowControl w:val="0"/>
        <w:autoSpaceDE w:val="0"/>
        <w:autoSpaceDN w:val="0"/>
        <w:adjustRightInd w:val="0"/>
        <w:spacing w:after="0" w:line="240" w:lineRule="auto"/>
        <w:ind w:left="4" w:firstLine="284"/>
        <w:jc w:val="center"/>
        <w:rPr>
          <w:rFonts w:ascii="Garamond" w:hAnsi="Garamond"/>
          <w:bCs/>
          <w:sz w:val="24"/>
          <w:szCs w:val="24"/>
        </w:rPr>
      </w:pPr>
      <w:r w:rsidRPr="000C6882">
        <w:rPr>
          <w:rFonts w:ascii="Garamond" w:hAnsi="Garamond"/>
          <w:bCs/>
          <w:sz w:val="24"/>
          <w:szCs w:val="24"/>
        </w:rPr>
        <w:t>Neni 7</w:t>
      </w:r>
    </w:p>
    <w:p w14:paraId="5A430BCD" w14:textId="2726CDF1" w:rsidR="00983ABA" w:rsidRPr="00BA054A" w:rsidRDefault="00983ABA" w:rsidP="000C6882">
      <w:pPr>
        <w:widowControl w:val="0"/>
        <w:autoSpaceDE w:val="0"/>
        <w:autoSpaceDN w:val="0"/>
        <w:adjustRightInd w:val="0"/>
        <w:spacing w:after="0" w:line="240" w:lineRule="auto"/>
        <w:ind w:left="4" w:firstLine="284"/>
        <w:jc w:val="center"/>
        <w:rPr>
          <w:rFonts w:ascii="Garamond" w:hAnsi="Garamond"/>
          <w:sz w:val="24"/>
          <w:szCs w:val="24"/>
        </w:rPr>
      </w:pPr>
      <w:r w:rsidRPr="00BA054A">
        <w:rPr>
          <w:rFonts w:ascii="Garamond" w:hAnsi="Garamond"/>
          <w:b/>
          <w:bCs/>
          <w:sz w:val="24"/>
          <w:szCs w:val="24"/>
        </w:rPr>
        <w:t>Hyrja në fuqi</w:t>
      </w:r>
    </w:p>
    <w:p w14:paraId="5928A7F0"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p w14:paraId="07BF94AF" w14:textId="77777777" w:rsidR="00983ABA" w:rsidRPr="00BA054A" w:rsidRDefault="00983ABA" w:rsidP="00983ABA">
      <w:pPr>
        <w:pStyle w:val="TEKSTI"/>
      </w:pPr>
      <w:r w:rsidRPr="00BA054A">
        <w:t>Kjo Marrëveshje Financimi hyn në fuqi në datën kur Komisioni merr njoftim nga vendi i fundit përfitues i IPA II, i cili konfirmon përfundimin e procedurave të brendshme të nevojshme për hyrjen në fuqi. Komisioni duhet të informojë përfituesit IPA II për datën e marrjes së këtij njoftimi. Nëse Komisioni nuk merr njoftim deri më 31 dhjetor 2020, Marrëveshja e Financimit nuk hyn në fuqi.</w:t>
      </w:r>
    </w:p>
    <w:p w14:paraId="5BB79FAA" w14:textId="77777777" w:rsidR="00983ABA" w:rsidRPr="00BA054A" w:rsidRDefault="00983ABA" w:rsidP="00983ABA">
      <w:pPr>
        <w:spacing w:after="0" w:line="240" w:lineRule="auto"/>
        <w:ind w:firstLine="284"/>
        <w:jc w:val="both"/>
        <w:rPr>
          <w:rFonts w:ascii="Garamond" w:hAnsi="Garamond"/>
          <w:snapToGrid w:val="0"/>
          <w:sz w:val="24"/>
          <w:szCs w:val="24"/>
        </w:rPr>
      </w:pPr>
      <w:r w:rsidRPr="00BA054A">
        <w:rPr>
          <w:rFonts w:ascii="Garamond" w:hAnsi="Garamond"/>
          <w:snapToGrid w:val="0"/>
          <w:sz w:val="24"/>
          <w:szCs w:val="24"/>
        </w:rPr>
        <w:t xml:space="preserve">Kjo Marrëveshje është hartuar në tre kopje origjinale në gjuhën angleze, nga të cilat një do i dorëzohet Komisionit dhe dy të tjerat përfituesve IPA II. </w:t>
      </w:r>
    </w:p>
    <w:p w14:paraId="60A83272" w14:textId="77777777" w:rsidR="00983ABA" w:rsidRPr="00BA054A" w:rsidRDefault="00983ABA" w:rsidP="00983ABA">
      <w:pPr>
        <w:widowControl w:val="0"/>
        <w:autoSpaceDE w:val="0"/>
        <w:autoSpaceDN w:val="0"/>
        <w:adjustRightInd w:val="0"/>
        <w:spacing w:after="0" w:line="240" w:lineRule="auto"/>
        <w:ind w:firstLine="284"/>
        <w:rPr>
          <w:rFonts w:ascii="Garamond" w:hAnsi="Garamond"/>
          <w:sz w:val="24"/>
          <w:szCs w:val="24"/>
        </w:rPr>
      </w:pPr>
    </w:p>
    <w:tbl>
      <w:tblPr>
        <w:tblW w:w="7054" w:type="dxa"/>
        <w:tblLook w:val="04A0" w:firstRow="1" w:lastRow="0" w:firstColumn="1" w:lastColumn="0" w:noHBand="0" w:noVBand="1"/>
      </w:tblPr>
      <w:tblGrid>
        <w:gridCol w:w="3652"/>
        <w:gridCol w:w="3402"/>
      </w:tblGrid>
      <w:tr w:rsidR="00983ABA" w:rsidRPr="00BA054A" w14:paraId="31FBCC69" w14:textId="77777777" w:rsidTr="002B0252">
        <w:tc>
          <w:tcPr>
            <w:tcW w:w="3652" w:type="dxa"/>
            <w:shd w:val="clear" w:color="auto" w:fill="auto"/>
          </w:tcPr>
          <w:p w14:paraId="2FA429D0" w14:textId="65C5F40F" w:rsidR="00983ABA" w:rsidRPr="00BA054A" w:rsidRDefault="00983ABA" w:rsidP="002B0252">
            <w:pPr>
              <w:spacing w:after="0" w:line="240" w:lineRule="auto"/>
              <w:rPr>
                <w:rFonts w:ascii="Garamond" w:hAnsi="Garamond"/>
                <w:b/>
                <w:snapToGrid w:val="0"/>
                <w:sz w:val="24"/>
                <w:szCs w:val="24"/>
                <w:highlight w:val="yellow"/>
              </w:rPr>
            </w:pPr>
            <w:r w:rsidRPr="00BA054A">
              <w:rPr>
                <w:rFonts w:ascii="Garamond" w:hAnsi="Garamond"/>
                <w:b/>
                <w:snapToGrid w:val="0"/>
                <w:sz w:val="24"/>
                <w:szCs w:val="24"/>
              </w:rPr>
              <w:t>Për përfituesin IPA II:</w:t>
            </w:r>
            <w:r w:rsidR="00C073A9">
              <w:rPr>
                <w:rFonts w:ascii="Garamond" w:hAnsi="Garamond"/>
                <w:b/>
                <w:snapToGrid w:val="0"/>
                <w:sz w:val="24"/>
                <w:szCs w:val="24"/>
              </w:rPr>
              <w:t xml:space="preserve"> </w:t>
            </w:r>
          </w:p>
          <w:p w14:paraId="47E4E7B4" w14:textId="77777777" w:rsidR="00983ABA" w:rsidRPr="00BA054A" w:rsidRDefault="00983ABA" w:rsidP="002B0252">
            <w:pPr>
              <w:spacing w:after="0" w:line="240" w:lineRule="auto"/>
              <w:rPr>
                <w:rFonts w:ascii="Garamond" w:hAnsi="Garamond"/>
                <w:sz w:val="24"/>
                <w:szCs w:val="24"/>
              </w:rPr>
            </w:pPr>
            <w:r w:rsidRPr="00BA054A">
              <w:rPr>
                <w:rFonts w:ascii="Garamond" w:hAnsi="Garamond"/>
                <w:b/>
                <w:bCs/>
                <w:sz w:val="24"/>
                <w:szCs w:val="24"/>
              </w:rPr>
              <w:t>Për Malin e Zi</w:t>
            </w:r>
            <w:r w:rsidRPr="00BA054A">
              <w:rPr>
                <w:rFonts w:ascii="Garamond" w:hAnsi="Garamond"/>
                <w:sz w:val="24"/>
                <w:szCs w:val="24"/>
              </w:rPr>
              <w:t>:</w:t>
            </w:r>
          </w:p>
          <w:p w14:paraId="3399C7BF" w14:textId="49B4B0B5" w:rsidR="00983ABA" w:rsidRPr="00BA054A" w:rsidRDefault="00983ABA" w:rsidP="002B0252">
            <w:pPr>
              <w:spacing w:after="0" w:line="240" w:lineRule="auto"/>
              <w:rPr>
                <w:rFonts w:ascii="Garamond" w:hAnsi="Garamond"/>
                <w:snapToGrid w:val="0"/>
                <w:sz w:val="24"/>
                <w:szCs w:val="24"/>
              </w:rPr>
            </w:pPr>
            <w:r w:rsidRPr="00BA054A">
              <w:rPr>
                <w:rFonts w:ascii="Garamond" w:hAnsi="Garamond"/>
                <w:sz w:val="24"/>
                <w:szCs w:val="24"/>
              </w:rPr>
              <w:t>Z. Aleksandar Drljević</w:t>
            </w:r>
            <w:r w:rsidR="00C073A9">
              <w:rPr>
                <w:rFonts w:ascii="Garamond" w:hAnsi="Garamond"/>
                <w:snapToGrid w:val="0"/>
                <w:sz w:val="24"/>
                <w:szCs w:val="24"/>
              </w:rPr>
              <w:t xml:space="preserve"> </w:t>
            </w:r>
          </w:p>
          <w:p w14:paraId="2D90BEAF"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Krye-Negociator</w:t>
            </w:r>
          </w:p>
          <w:p w14:paraId="24F00050"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dhe Koordinatori Kombëtar i IPA-s</w:t>
            </w:r>
          </w:p>
          <w:p w14:paraId="2648D481"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Qeveria e Malit të Zi</w:t>
            </w:r>
          </w:p>
          <w:p w14:paraId="530D31BA"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Zyra e Integrimit Evropian</w:t>
            </w:r>
          </w:p>
          <w:p w14:paraId="5487C67B" w14:textId="348EDA46" w:rsidR="00983ABA" w:rsidRPr="00BA054A" w:rsidRDefault="003F7568" w:rsidP="002B0252">
            <w:pPr>
              <w:spacing w:after="0" w:line="240" w:lineRule="auto"/>
              <w:rPr>
                <w:rFonts w:ascii="Garamond" w:hAnsi="Garamond"/>
                <w:snapToGrid w:val="0"/>
                <w:sz w:val="24"/>
                <w:szCs w:val="24"/>
              </w:rPr>
            </w:pPr>
            <w:r>
              <w:rPr>
                <w:rFonts w:ascii="Garamond" w:hAnsi="Garamond"/>
                <w:snapToGrid w:val="0"/>
                <w:sz w:val="24"/>
                <w:szCs w:val="24"/>
              </w:rPr>
              <w:t>Podgoricë, d</w:t>
            </w:r>
            <w:r w:rsidR="00983ABA" w:rsidRPr="00BA054A">
              <w:rPr>
                <w:rFonts w:ascii="Garamond" w:hAnsi="Garamond"/>
                <w:snapToGrid w:val="0"/>
                <w:sz w:val="24"/>
                <w:szCs w:val="24"/>
              </w:rPr>
              <w:t>atë 25 gusht 2020</w:t>
            </w:r>
          </w:p>
          <w:p w14:paraId="77D62FDA" w14:textId="77777777" w:rsidR="00983ABA" w:rsidRPr="00BA054A" w:rsidRDefault="00983ABA" w:rsidP="002B0252">
            <w:pPr>
              <w:spacing w:after="0" w:line="240" w:lineRule="auto"/>
              <w:rPr>
                <w:rFonts w:ascii="Garamond" w:hAnsi="Garamond"/>
                <w:snapToGrid w:val="0"/>
                <w:sz w:val="24"/>
                <w:szCs w:val="24"/>
              </w:rPr>
            </w:pPr>
          </w:p>
          <w:p w14:paraId="6EF6AFDC" w14:textId="77777777" w:rsidR="00983ABA" w:rsidRPr="00BA054A" w:rsidRDefault="00983ABA" w:rsidP="002B0252">
            <w:pPr>
              <w:widowControl w:val="0"/>
              <w:autoSpaceDE w:val="0"/>
              <w:autoSpaceDN w:val="0"/>
              <w:adjustRightInd w:val="0"/>
              <w:spacing w:after="0" w:line="240" w:lineRule="auto"/>
              <w:rPr>
                <w:rFonts w:ascii="Garamond" w:hAnsi="Garamond"/>
                <w:sz w:val="24"/>
                <w:szCs w:val="24"/>
              </w:rPr>
            </w:pPr>
            <w:r w:rsidRPr="00BA054A">
              <w:rPr>
                <w:rFonts w:ascii="Garamond" w:hAnsi="Garamond"/>
                <w:b/>
                <w:bCs/>
                <w:sz w:val="24"/>
                <w:szCs w:val="24"/>
              </w:rPr>
              <w:t>Për Republikën e Shqipërisë:</w:t>
            </w:r>
          </w:p>
          <w:p w14:paraId="1AE1FA1F" w14:textId="77777777" w:rsidR="00983ABA" w:rsidRPr="00BA054A" w:rsidRDefault="00983ABA" w:rsidP="002B0252">
            <w:pPr>
              <w:widowControl w:val="0"/>
              <w:autoSpaceDE w:val="0"/>
              <w:autoSpaceDN w:val="0"/>
              <w:adjustRightInd w:val="0"/>
              <w:spacing w:after="0" w:line="240" w:lineRule="auto"/>
              <w:rPr>
                <w:rFonts w:ascii="Garamond" w:hAnsi="Garamond"/>
                <w:sz w:val="24"/>
                <w:szCs w:val="24"/>
              </w:rPr>
            </w:pPr>
            <w:r w:rsidRPr="00BA054A">
              <w:rPr>
                <w:rFonts w:ascii="Garamond" w:hAnsi="Garamond"/>
                <w:sz w:val="24"/>
                <w:szCs w:val="24"/>
              </w:rPr>
              <w:t xml:space="preserve">Z. Zef Mazi </w:t>
            </w:r>
          </w:p>
          <w:p w14:paraId="6A452604"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Koordinator Kombëtar i IPA-s</w:t>
            </w:r>
          </w:p>
          <w:p w14:paraId="475F9528" w14:textId="2CF8D69F" w:rsidR="00983ABA" w:rsidRPr="00BA054A" w:rsidRDefault="003F7568" w:rsidP="002B0252">
            <w:pPr>
              <w:widowControl w:val="0"/>
              <w:autoSpaceDE w:val="0"/>
              <w:autoSpaceDN w:val="0"/>
              <w:adjustRightInd w:val="0"/>
              <w:spacing w:after="0" w:line="240" w:lineRule="auto"/>
              <w:rPr>
                <w:rFonts w:ascii="Garamond" w:hAnsi="Garamond"/>
                <w:snapToGrid w:val="0"/>
                <w:sz w:val="24"/>
                <w:szCs w:val="24"/>
              </w:rPr>
            </w:pPr>
            <w:r>
              <w:rPr>
                <w:rFonts w:ascii="Garamond" w:hAnsi="Garamond"/>
                <w:sz w:val="24"/>
                <w:szCs w:val="24"/>
              </w:rPr>
              <w:t>Tiranë, d</w:t>
            </w:r>
            <w:r w:rsidR="00983ABA" w:rsidRPr="00BA054A">
              <w:rPr>
                <w:rFonts w:ascii="Garamond" w:hAnsi="Garamond"/>
                <w:sz w:val="24"/>
                <w:szCs w:val="24"/>
              </w:rPr>
              <w:t xml:space="preserve">atë 9 nëntor 2020 </w:t>
            </w:r>
          </w:p>
        </w:tc>
        <w:tc>
          <w:tcPr>
            <w:tcW w:w="3402" w:type="dxa"/>
            <w:shd w:val="clear" w:color="auto" w:fill="auto"/>
          </w:tcPr>
          <w:p w14:paraId="38E9FCAB" w14:textId="77777777" w:rsidR="00983ABA" w:rsidRPr="00BA054A" w:rsidRDefault="00983ABA" w:rsidP="002B0252">
            <w:pPr>
              <w:spacing w:after="0" w:line="240" w:lineRule="auto"/>
              <w:rPr>
                <w:rFonts w:ascii="Garamond" w:hAnsi="Garamond"/>
                <w:b/>
                <w:snapToGrid w:val="0"/>
                <w:sz w:val="24"/>
                <w:szCs w:val="24"/>
              </w:rPr>
            </w:pPr>
            <w:r w:rsidRPr="00BA054A">
              <w:rPr>
                <w:rFonts w:ascii="Garamond" w:hAnsi="Garamond"/>
                <w:b/>
                <w:snapToGrid w:val="0"/>
                <w:sz w:val="24"/>
                <w:szCs w:val="24"/>
              </w:rPr>
              <w:t>Për Komisionin:</w:t>
            </w:r>
          </w:p>
          <w:p w14:paraId="038EFD7F" w14:textId="77777777" w:rsidR="00983ABA" w:rsidRPr="00BA054A" w:rsidRDefault="00983ABA" w:rsidP="002B0252">
            <w:pPr>
              <w:spacing w:after="0" w:line="240" w:lineRule="auto"/>
              <w:rPr>
                <w:rFonts w:ascii="Garamond" w:hAnsi="Garamond"/>
                <w:snapToGrid w:val="0"/>
                <w:sz w:val="24"/>
                <w:szCs w:val="24"/>
              </w:rPr>
            </w:pPr>
          </w:p>
          <w:p w14:paraId="1F9FAEA8" w14:textId="7AB8518B"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Znj. Genoveva Ruiz Calavera</w:t>
            </w:r>
            <w:r w:rsidR="00C073A9">
              <w:rPr>
                <w:rFonts w:ascii="Garamond" w:hAnsi="Garamond"/>
                <w:snapToGrid w:val="0"/>
                <w:sz w:val="24"/>
                <w:szCs w:val="24"/>
              </w:rPr>
              <w:t xml:space="preserve"> </w:t>
            </w:r>
          </w:p>
          <w:p w14:paraId="4BFC1B60"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Drejtore D, Ballkani Perëndimor</w:t>
            </w:r>
          </w:p>
          <w:p w14:paraId="21B3227F" w14:textId="77777777" w:rsidR="00983ABA" w:rsidRPr="00BA054A" w:rsidRDefault="00983ABA" w:rsidP="002B0252">
            <w:pPr>
              <w:spacing w:after="0" w:line="240" w:lineRule="auto"/>
              <w:rPr>
                <w:rFonts w:ascii="Garamond" w:hAnsi="Garamond"/>
                <w:snapToGrid w:val="0"/>
                <w:sz w:val="24"/>
                <w:szCs w:val="24"/>
              </w:rPr>
            </w:pPr>
            <w:r w:rsidRPr="00BA054A">
              <w:rPr>
                <w:rFonts w:ascii="Garamond" w:hAnsi="Garamond"/>
                <w:snapToGrid w:val="0"/>
                <w:sz w:val="24"/>
                <w:szCs w:val="24"/>
              </w:rPr>
              <w:t>Drejtoria e Përgjithshme për Negociatat e Zgjerimit dhe Fqinjësinë</w:t>
            </w:r>
          </w:p>
          <w:p w14:paraId="703F15D6" w14:textId="77777777" w:rsidR="00983ABA" w:rsidRPr="00BA054A" w:rsidRDefault="00983ABA" w:rsidP="002B0252">
            <w:pPr>
              <w:widowControl w:val="0"/>
              <w:tabs>
                <w:tab w:val="left" w:pos="4623"/>
              </w:tabs>
              <w:autoSpaceDE w:val="0"/>
              <w:autoSpaceDN w:val="0"/>
              <w:adjustRightInd w:val="0"/>
              <w:spacing w:after="0" w:line="240" w:lineRule="auto"/>
              <w:rPr>
                <w:rFonts w:ascii="Garamond" w:hAnsi="Garamond"/>
                <w:snapToGrid w:val="0"/>
                <w:sz w:val="24"/>
                <w:szCs w:val="24"/>
              </w:rPr>
            </w:pPr>
            <w:r w:rsidRPr="00BA054A">
              <w:rPr>
                <w:rFonts w:ascii="Garamond" w:hAnsi="Garamond"/>
                <w:snapToGrid w:val="0"/>
                <w:sz w:val="24"/>
                <w:szCs w:val="24"/>
              </w:rPr>
              <w:t>Komisoni Evropian</w:t>
            </w:r>
          </w:p>
          <w:p w14:paraId="3F359952" w14:textId="77777777" w:rsidR="00983ABA" w:rsidRPr="00BA054A" w:rsidRDefault="00983ABA" w:rsidP="002B0252">
            <w:pPr>
              <w:widowControl w:val="0"/>
              <w:tabs>
                <w:tab w:val="left" w:pos="4623"/>
              </w:tabs>
              <w:autoSpaceDE w:val="0"/>
              <w:autoSpaceDN w:val="0"/>
              <w:adjustRightInd w:val="0"/>
              <w:spacing w:after="0" w:line="240" w:lineRule="auto"/>
              <w:rPr>
                <w:rFonts w:ascii="Garamond" w:hAnsi="Garamond"/>
                <w:sz w:val="24"/>
                <w:szCs w:val="24"/>
              </w:rPr>
            </w:pPr>
          </w:p>
          <w:p w14:paraId="61D00EDF" w14:textId="77777777" w:rsidR="00983ABA" w:rsidRPr="00BA054A" w:rsidRDefault="00983ABA" w:rsidP="002B0252">
            <w:pPr>
              <w:widowControl w:val="0"/>
              <w:tabs>
                <w:tab w:val="left" w:pos="720"/>
                <w:tab w:val="left" w:pos="1440"/>
                <w:tab w:val="left" w:pos="5175"/>
              </w:tabs>
              <w:overflowPunct w:val="0"/>
              <w:autoSpaceDE w:val="0"/>
              <w:autoSpaceDN w:val="0"/>
              <w:adjustRightInd w:val="0"/>
              <w:spacing w:after="0" w:line="240" w:lineRule="auto"/>
              <w:jc w:val="both"/>
              <w:rPr>
                <w:rFonts w:ascii="Garamond" w:hAnsi="Garamond"/>
                <w:sz w:val="24"/>
                <w:szCs w:val="24"/>
              </w:rPr>
            </w:pPr>
          </w:p>
          <w:p w14:paraId="05D75C47" w14:textId="18C4E1A5" w:rsidR="00983ABA" w:rsidRPr="00BA054A" w:rsidRDefault="003F7568" w:rsidP="002B0252">
            <w:pPr>
              <w:spacing w:after="0" w:line="240" w:lineRule="auto"/>
              <w:rPr>
                <w:rFonts w:ascii="Garamond" w:hAnsi="Garamond"/>
                <w:sz w:val="24"/>
                <w:szCs w:val="24"/>
              </w:rPr>
            </w:pPr>
            <w:r>
              <w:rPr>
                <w:rFonts w:ascii="Garamond" w:hAnsi="Garamond"/>
                <w:snapToGrid w:val="0"/>
                <w:sz w:val="24"/>
                <w:szCs w:val="24"/>
              </w:rPr>
              <w:t>Bruksel, d</w:t>
            </w:r>
            <w:r w:rsidR="00983ABA" w:rsidRPr="00BA054A">
              <w:rPr>
                <w:rFonts w:ascii="Garamond" w:hAnsi="Garamond"/>
                <w:snapToGrid w:val="0"/>
                <w:sz w:val="24"/>
                <w:szCs w:val="24"/>
              </w:rPr>
              <w:t>atë 22 qershor 2020</w:t>
            </w:r>
          </w:p>
        </w:tc>
      </w:tr>
    </w:tbl>
    <w:p w14:paraId="6DF37B0B" w14:textId="77777777" w:rsidR="00213234" w:rsidRDefault="00213234" w:rsidP="003F34EA">
      <w:pPr>
        <w:spacing w:after="0" w:line="240" w:lineRule="auto"/>
        <w:jc w:val="both"/>
        <w:rPr>
          <w:rFonts w:ascii="Times New Roman" w:hAnsi="Times New Roman" w:cs="Times New Roman"/>
          <w:bCs/>
          <w:sz w:val="24"/>
          <w:szCs w:val="24"/>
        </w:rPr>
      </w:pPr>
    </w:p>
    <w:p w14:paraId="070EC239" w14:textId="77777777" w:rsidR="000E796D" w:rsidRPr="000E796D" w:rsidRDefault="000E796D" w:rsidP="000E796D">
      <w:pPr>
        <w:pStyle w:val="TEKSTI"/>
        <w:jc w:val="center"/>
        <w:rPr>
          <w:b/>
        </w:rPr>
      </w:pPr>
      <w:r w:rsidRPr="000E796D">
        <w:rPr>
          <w:b/>
        </w:rPr>
        <w:t>SHTOJCË</w:t>
      </w:r>
    </w:p>
    <w:p w14:paraId="44E14AFD" w14:textId="31EF8310" w:rsidR="000E796D" w:rsidRPr="000E796D" w:rsidRDefault="000E796D" w:rsidP="000E796D">
      <w:pPr>
        <w:pStyle w:val="TEKSTI"/>
        <w:jc w:val="center"/>
        <w:rPr>
          <w:b/>
        </w:rPr>
      </w:pPr>
      <w:r w:rsidRPr="000E796D">
        <w:rPr>
          <w:b/>
        </w:rPr>
        <w:t>E VENDIMIT ZBATUES TË KOMISIONIT QË MIRATON PROGRAMIN E VEPRIMIT TË BASHKËPUNIMIT NDËRKUFITAR MALI I ZI - REPUBLIKA E SHQIPËRISË PËR VITET 2018-2020</w:t>
      </w:r>
      <w:r w:rsidRPr="000E796D">
        <w:rPr>
          <w:rStyle w:val="FootnoteReference"/>
          <w:b/>
          <w:bCs/>
          <w:smallCaps/>
          <w:color w:val="000000"/>
          <w:lang w:val="en-US"/>
        </w:rPr>
        <w:footnoteReference w:id="3"/>
      </w:r>
    </w:p>
    <w:p w14:paraId="46DF8351" w14:textId="77777777" w:rsidR="000E796D" w:rsidRDefault="000E796D" w:rsidP="000E796D">
      <w:pPr>
        <w:widowControl w:val="0"/>
        <w:autoSpaceDE w:val="0"/>
        <w:autoSpaceDN w:val="0"/>
        <w:adjustRightInd w:val="0"/>
        <w:spacing w:after="0" w:line="240" w:lineRule="auto"/>
        <w:ind w:firstLine="284"/>
        <w:jc w:val="center"/>
        <w:rPr>
          <w:rFonts w:ascii="Garamond" w:hAnsi="Garamond"/>
          <w:b/>
          <w:sz w:val="24"/>
          <w:szCs w:val="24"/>
        </w:rPr>
      </w:pPr>
    </w:p>
    <w:p w14:paraId="6693CA19" w14:textId="77777777" w:rsidR="000E796D" w:rsidRPr="007479C6" w:rsidRDefault="000E796D" w:rsidP="000E796D">
      <w:pPr>
        <w:widowControl w:val="0"/>
        <w:autoSpaceDE w:val="0"/>
        <w:autoSpaceDN w:val="0"/>
        <w:adjustRightInd w:val="0"/>
        <w:spacing w:after="0" w:line="240" w:lineRule="auto"/>
        <w:ind w:firstLine="284"/>
        <w:jc w:val="center"/>
        <w:rPr>
          <w:rFonts w:ascii="Garamond" w:hAnsi="Garamond"/>
          <w:b/>
          <w:sz w:val="24"/>
          <w:szCs w:val="24"/>
        </w:rPr>
      </w:pPr>
      <w:r w:rsidRPr="007479C6">
        <w:rPr>
          <w:rFonts w:ascii="Garamond" w:hAnsi="Garamond"/>
          <w:b/>
          <w:sz w:val="24"/>
          <w:szCs w:val="24"/>
        </w:rPr>
        <w:t>Programi shumëvjeçar i punës</w:t>
      </w:r>
    </w:p>
    <w:p w14:paraId="4EBD01D0" w14:textId="77777777" w:rsidR="000E796D" w:rsidRPr="007479C6" w:rsidRDefault="000E796D" w:rsidP="000E796D">
      <w:pPr>
        <w:widowControl w:val="0"/>
        <w:autoSpaceDE w:val="0"/>
        <w:autoSpaceDN w:val="0"/>
        <w:adjustRightInd w:val="0"/>
        <w:spacing w:after="0" w:line="240" w:lineRule="auto"/>
        <w:ind w:firstLine="284"/>
        <w:jc w:val="center"/>
        <w:rPr>
          <w:rFonts w:ascii="Garamond" w:hAnsi="Garamond"/>
          <w:b/>
          <w:sz w:val="24"/>
          <w:szCs w:val="24"/>
        </w:rPr>
      </w:pPr>
      <w:r w:rsidRPr="007479C6">
        <w:rPr>
          <w:rFonts w:ascii="Garamond" w:hAnsi="Garamond"/>
          <w:b/>
          <w:sz w:val="24"/>
          <w:szCs w:val="24"/>
        </w:rPr>
        <w:t>Ky dokument përbën programin shumëvjeçar të punës në kuptimin e nenit 110 (2) të Rregullores (BE, Euratom) 2018/1046</w:t>
      </w:r>
    </w:p>
    <w:p w14:paraId="1206B796" w14:textId="77777777" w:rsidR="000E796D" w:rsidRPr="007479C6" w:rsidRDefault="000E796D" w:rsidP="000E796D">
      <w:pPr>
        <w:pStyle w:val="TEKSTI"/>
      </w:pPr>
    </w:p>
    <w:p w14:paraId="5F2FDCC1" w14:textId="77777777" w:rsidR="000E796D" w:rsidRPr="007479C6" w:rsidRDefault="000E796D" w:rsidP="000E796D">
      <w:pPr>
        <w:widowControl w:val="0"/>
        <w:autoSpaceDE w:val="0"/>
        <w:autoSpaceDN w:val="0"/>
        <w:adjustRightInd w:val="0"/>
        <w:spacing w:after="0" w:line="240" w:lineRule="auto"/>
        <w:ind w:firstLine="284"/>
        <w:rPr>
          <w:rFonts w:ascii="Garamond" w:hAnsi="Garamond"/>
          <w:sz w:val="24"/>
          <w:szCs w:val="24"/>
        </w:rPr>
      </w:pPr>
    </w:p>
    <w:p w14:paraId="4A34C9DB" w14:textId="07BD9CE3" w:rsidR="000E796D" w:rsidRPr="000E796D" w:rsidRDefault="000E796D" w:rsidP="000E796D">
      <w:pPr>
        <w:pStyle w:val="TEKSTI"/>
        <w:rPr>
          <w:b/>
        </w:rPr>
      </w:pPr>
      <w:r w:rsidRPr="000E796D">
        <w:rPr>
          <w:b/>
        </w:rPr>
        <w:t>1. IDENTIFIKIMI</w:t>
      </w:r>
    </w:p>
    <w:p w14:paraId="6630A60E" w14:textId="77777777" w:rsidR="000E796D" w:rsidRPr="007479C6" w:rsidRDefault="000E796D" w:rsidP="000E796D">
      <w:pPr>
        <w:widowControl w:val="0"/>
        <w:tabs>
          <w:tab w:val="left" w:pos="520"/>
        </w:tabs>
        <w:autoSpaceDE w:val="0"/>
        <w:autoSpaceDN w:val="0"/>
        <w:adjustRightInd w:val="0"/>
        <w:spacing w:after="0" w:line="240" w:lineRule="auto"/>
        <w:ind w:firstLine="284"/>
        <w:rPr>
          <w:rFonts w:ascii="Garamond" w:hAnsi="Garamond"/>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6520"/>
      </w:tblGrid>
      <w:tr w:rsidR="000E796D" w:rsidRPr="000E796D" w14:paraId="43DF21B0" w14:textId="77777777" w:rsidTr="00BA13DB">
        <w:tc>
          <w:tcPr>
            <w:tcW w:w="3227" w:type="dxa"/>
          </w:tcPr>
          <w:p w14:paraId="735F5C92"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Përfituesit</w:t>
            </w:r>
          </w:p>
        </w:tc>
        <w:tc>
          <w:tcPr>
            <w:tcW w:w="6520" w:type="dxa"/>
          </w:tcPr>
          <w:p w14:paraId="2C6F460D" w14:textId="77777777" w:rsidR="000E796D" w:rsidRPr="000E796D" w:rsidRDefault="000E796D" w:rsidP="000E796D">
            <w:pPr>
              <w:spacing w:after="0" w:line="240" w:lineRule="auto"/>
              <w:jc w:val="both"/>
              <w:rPr>
                <w:rFonts w:ascii="Garamond" w:hAnsi="Garamond"/>
                <w:i/>
                <w:sz w:val="20"/>
                <w:szCs w:val="20"/>
              </w:rPr>
            </w:pPr>
            <w:r w:rsidRPr="000E796D">
              <w:rPr>
                <w:rFonts w:ascii="Garamond" w:hAnsi="Garamond"/>
                <w:sz w:val="20"/>
                <w:szCs w:val="20"/>
              </w:rPr>
              <w:t>Mali i Zi, Republika e Shqipërisë</w:t>
            </w:r>
          </w:p>
        </w:tc>
      </w:tr>
      <w:tr w:rsidR="000E796D" w:rsidRPr="000E796D" w14:paraId="4DFE28BF" w14:textId="77777777" w:rsidTr="00BA13DB">
        <w:tc>
          <w:tcPr>
            <w:tcW w:w="3227" w:type="dxa"/>
          </w:tcPr>
          <w:p w14:paraId="621C22EB" w14:textId="77777777" w:rsidR="000E796D" w:rsidRPr="000E796D" w:rsidRDefault="000E796D" w:rsidP="000E796D">
            <w:pPr>
              <w:spacing w:after="0" w:line="240" w:lineRule="auto"/>
              <w:jc w:val="both"/>
              <w:rPr>
                <w:rFonts w:ascii="Garamond" w:hAnsi="Garamond"/>
                <w:sz w:val="20"/>
                <w:szCs w:val="20"/>
              </w:rPr>
            </w:pPr>
            <w:r w:rsidRPr="000E796D">
              <w:rPr>
                <w:rFonts w:ascii="Garamond" w:hAnsi="Garamond"/>
                <w:sz w:val="20"/>
                <w:szCs w:val="20"/>
              </w:rPr>
              <w:t>Referencat e angazhimit të CRIS / ABAC</w:t>
            </w:r>
          </w:p>
          <w:p w14:paraId="6C74843C" w14:textId="77777777" w:rsidR="000E796D" w:rsidRPr="000E796D" w:rsidRDefault="000E796D" w:rsidP="000E796D">
            <w:pPr>
              <w:spacing w:after="0" w:line="240" w:lineRule="auto"/>
              <w:jc w:val="both"/>
              <w:rPr>
                <w:rFonts w:ascii="Garamond" w:hAnsi="Garamond"/>
                <w:sz w:val="20"/>
                <w:szCs w:val="20"/>
              </w:rPr>
            </w:pPr>
            <w:r w:rsidRPr="000E796D">
              <w:rPr>
                <w:rFonts w:ascii="Garamond" w:hAnsi="Garamond"/>
                <w:sz w:val="20"/>
                <w:szCs w:val="20"/>
              </w:rPr>
              <w:t>Kontributi i Unionit</w:t>
            </w:r>
          </w:p>
          <w:p w14:paraId="4D01DD18" w14:textId="77777777" w:rsidR="000E796D" w:rsidRPr="000E796D" w:rsidRDefault="000E796D" w:rsidP="000E796D">
            <w:pPr>
              <w:spacing w:after="0" w:line="240" w:lineRule="auto"/>
              <w:jc w:val="both"/>
              <w:rPr>
                <w:rFonts w:ascii="Garamond" w:hAnsi="Garamond"/>
                <w:b/>
                <w:sz w:val="20"/>
                <w:szCs w:val="20"/>
              </w:rPr>
            </w:pPr>
            <w:r w:rsidRPr="000E796D">
              <w:rPr>
                <w:rFonts w:ascii="Garamond" w:hAnsi="Garamond"/>
                <w:sz w:val="20"/>
                <w:szCs w:val="20"/>
              </w:rPr>
              <w:t>Linja e buxhetit</w:t>
            </w:r>
            <w:r w:rsidRPr="000E796D">
              <w:rPr>
                <w:rFonts w:ascii="Garamond" w:hAnsi="Garamond"/>
                <w:b/>
                <w:sz w:val="20"/>
                <w:szCs w:val="20"/>
              </w:rPr>
              <w:t xml:space="preserve"> </w:t>
            </w:r>
          </w:p>
        </w:tc>
        <w:tc>
          <w:tcPr>
            <w:tcW w:w="6520" w:type="dxa"/>
          </w:tcPr>
          <w:p w14:paraId="5B8BBFC1" w14:textId="77777777" w:rsidR="000E796D" w:rsidRPr="000E796D" w:rsidRDefault="000E796D" w:rsidP="000E796D">
            <w:pPr>
              <w:spacing w:after="0" w:line="240" w:lineRule="auto"/>
              <w:jc w:val="both"/>
              <w:rPr>
                <w:rFonts w:ascii="Garamond" w:hAnsi="Garamond"/>
                <w:sz w:val="20"/>
                <w:szCs w:val="20"/>
              </w:rPr>
            </w:pPr>
            <w:r w:rsidRPr="000E796D">
              <w:rPr>
                <w:rFonts w:ascii="Garamond" w:hAnsi="Garamond"/>
                <w:sz w:val="20"/>
                <w:szCs w:val="20"/>
              </w:rPr>
              <w:t>2018/ 041-468 EURO 1,700,000 22.020401</w:t>
            </w:r>
          </w:p>
          <w:p w14:paraId="1B482762" w14:textId="77777777" w:rsidR="000E796D" w:rsidRPr="000E796D" w:rsidRDefault="000E796D" w:rsidP="000E796D">
            <w:pPr>
              <w:spacing w:after="0" w:line="240" w:lineRule="auto"/>
              <w:jc w:val="both"/>
              <w:rPr>
                <w:rFonts w:ascii="Garamond" w:hAnsi="Garamond"/>
                <w:sz w:val="20"/>
                <w:szCs w:val="20"/>
              </w:rPr>
            </w:pPr>
            <w:r w:rsidRPr="000E796D">
              <w:rPr>
                <w:rFonts w:ascii="Garamond" w:hAnsi="Garamond"/>
                <w:sz w:val="20"/>
                <w:szCs w:val="20"/>
              </w:rPr>
              <w:t>2019/ 041-470 EURO 1,700,000 22.020401</w:t>
            </w:r>
          </w:p>
          <w:p w14:paraId="3A1B8D07" w14:textId="77777777" w:rsidR="000E796D" w:rsidRPr="000E796D" w:rsidRDefault="000E796D" w:rsidP="000E796D">
            <w:pPr>
              <w:spacing w:after="0" w:line="240" w:lineRule="auto"/>
              <w:jc w:val="both"/>
              <w:rPr>
                <w:rFonts w:ascii="Garamond" w:hAnsi="Garamond"/>
                <w:i/>
                <w:sz w:val="20"/>
                <w:szCs w:val="20"/>
              </w:rPr>
            </w:pPr>
            <w:r w:rsidRPr="000E796D">
              <w:rPr>
                <w:rFonts w:ascii="Garamond" w:hAnsi="Garamond"/>
                <w:sz w:val="20"/>
                <w:szCs w:val="20"/>
              </w:rPr>
              <w:t>2020/ 041-175 EURO 1,530,000 22.020401</w:t>
            </w:r>
          </w:p>
        </w:tc>
      </w:tr>
      <w:tr w:rsidR="000E796D" w:rsidRPr="000E796D" w14:paraId="5CDEAEF4" w14:textId="77777777" w:rsidTr="00BA13DB">
        <w:tc>
          <w:tcPr>
            <w:tcW w:w="3227" w:type="dxa"/>
          </w:tcPr>
          <w:p w14:paraId="2A6E141C" w14:textId="77777777" w:rsidR="000E796D" w:rsidRPr="000E796D" w:rsidRDefault="000E796D" w:rsidP="000E796D">
            <w:pPr>
              <w:autoSpaceDE w:val="0"/>
              <w:autoSpaceDN w:val="0"/>
              <w:adjustRightInd w:val="0"/>
              <w:spacing w:after="0" w:line="240" w:lineRule="auto"/>
              <w:rPr>
                <w:rFonts w:ascii="Garamond" w:hAnsi="Garamond"/>
                <w:b/>
                <w:bCs/>
                <w:sz w:val="20"/>
                <w:szCs w:val="20"/>
              </w:rPr>
            </w:pPr>
            <w:r w:rsidRPr="000E796D">
              <w:rPr>
                <w:rFonts w:ascii="Garamond" w:hAnsi="Garamond"/>
                <w:b/>
                <w:bCs/>
                <w:sz w:val="20"/>
                <w:szCs w:val="20"/>
              </w:rPr>
              <w:t xml:space="preserve">Mënyra e menaxhimit </w:t>
            </w:r>
          </w:p>
          <w:p w14:paraId="5C063F27" w14:textId="77777777" w:rsidR="000E796D" w:rsidRPr="000E796D" w:rsidRDefault="000E796D" w:rsidP="000E796D">
            <w:pPr>
              <w:autoSpaceDE w:val="0"/>
              <w:autoSpaceDN w:val="0"/>
              <w:adjustRightInd w:val="0"/>
              <w:spacing w:after="0" w:line="240" w:lineRule="auto"/>
              <w:rPr>
                <w:rFonts w:ascii="Garamond" w:hAnsi="Garamond"/>
                <w:b/>
                <w:bCs/>
                <w:sz w:val="20"/>
                <w:szCs w:val="20"/>
              </w:rPr>
            </w:pPr>
          </w:p>
          <w:p w14:paraId="76B191DB" w14:textId="77777777" w:rsidR="000E796D" w:rsidRPr="000E796D" w:rsidRDefault="000E796D" w:rsidP="000E796D">
            <w:pPr>
              <w:spacing w:after="0" w:line="240" w:lineRule="auto"/>
              <w:rPr>
                <w:rFonts w:ascii="Garamond" w:hAnsi="Garamond"/>
                <w:b/>
                <w:bCs/>
                <w:sz w:val="20"/>
                <w:szCs w:val="20"/>
              </w:rPr>
            </w:pPr>
          </w:p>
          <w:p w14:paraId="153584D5"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bCs/>
                <w:sz w:val="20"/>
                <w:szCs w:val="20"/>
              </w:rPr>
              <w:t xml:space="preserve">Strukturat përgjegjëse </w:t>
            </w:r>
          </w:p>
        </w:tc>
        <w:tc>
          <w:tcPr>
            <w:tcW w:w="6520" w:type="dxa"/>
          </w:tcPr>
          <w:p w14:paraId="4135A609" w14:textId="77777777" w:rsidR="000E796D" w:rsidRPr="000E796D" w:rsidRDefault="000E796D" w:rsidP="000E796D">
            <w:pPr>
              <w:spacing w:after="0" w:line="240" w:lineRule="auto"/>
              <w:jc w:val="both"/>
              <w:rPr>
                <w:rFonts w:ascii="Garamond" w:hAnsi="Garamond"/>
                <w:sz w:val="20"/>
                <w:szCs w:val="20"/>
              </w:rPr>
            </w:pPr>
            <w:r w:rsidRPr="000E796D">
              <w:rPr>
                <w:rFonts w:ascii="Garamond" w:hAnsi="Garamond"/>
                <w:sz w:val="20"/>
                <w:szCs w:val="20"/>
              </w:rPr>
              <w:t>Menaxhimi i tërthortë nga Mali i Zi</w:t>
            </w:r>
          </w:p>
          <w:p w14:paraId="422F8C20" w14:textId="77777777" w:rsidR="000E796D" w:rsidRPr="000E796D" w:rsidRDefault="000E796D" w:rsidP="000E796D">
            <w:pPr>
              <w:autoSpaceDE w:val="0"/>
              <w:autoSpaceDN w:val="0"/>
              <w:adjustRightInd w:val="0"/>
              <w:spacing w:after="0" w:line="240" w:lineRule="auto"/>
              <w:rPr>
                <w:rFonts w:ascii="Garamond" w:hAnsi="Garamond"/>
                <w:sz w:val="20"/>
                <w:szCs w:val="20"/>
              </w:rPr>
            </w:pPr>
            <w:r w:rsidRPr="000E796D">
              <w:rPr>
                <w:rFonts w:ascii="Garamond" w:hAnsi="Garamond"/>
                <w:sz w:val="20"/>
                <w:szCs w:val="20"/>
              </w:rPr>
              <w:t>Struktura Operuese përgjegjëse për zbatimin e projekteve është: Zyra e Integrimit Evropian</w:t>
            </w:r>
          </w:p>
          <w:p w14:paraId="351F6DD5"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Autoriteti Kontraktues është Drejtoria për Financimin dhe Kontraktimin e Ndihmës së BE-së (CFCU) në Ministrinë e Financave</w:t>
            </w:r>
          </w:p>
          <w:p w14:paraId="11C565CA" w14:textId="77777777" w:rsidR="000E796D" w:rsidRPr="000E796D" w:rsidRDefault="000E796D" w:rsidP="000E796D">
            <w:pPr>
              <w:spacing w:after="0" w:line="240" w:lineRule="auto"/>
              <w:rPr>
                <w:rFonts w:ascii="Garamond" w:hAnsi="Garamond"/>
                <w:sz w:val="20"/>
                <w:szCs w:val="20"/>
              </w:rPr>
            </w:pPr>
            <w:r w:rsidRPr="000E796D">
              <w:rPr>
                <w:rFonts w:ascii="Garamond" w:hAnsi="Garamond"/>
                <w:iCs/>
                <w:sz w:val="20"/>
                <w:szCs w:val="20"/>
              </w:rPr>
              <w:t>Struktura Operuese partnere në Shqipëri është: Ministria për Evropën dhe Punët e Jashtme</w:t>
            </w:r>
          </w:p>
        </w:tc>
      </w:tr>
      <w:tr w:rsidR="000E796D" w:rsidRPr="000E796D" w14:paraId="58F2587E" w14:textId="77777777" w:rsidTr="00BA13DB">
        <w:tc>
          <w:tcPr>
            <w:tcW w:w="3227" w:type="dxa"/>
          </w:tcPr>
          <w:p w14:paraId="65EAA5CC"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Data përfundimtare për</w:t>
            </w:r>
          </w:p>
          <w:p w14:paraId="75E7772C"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 xml:space="preserve">miratimin e </w:t>
            </w:r>
          </w:p>
          <w:p w14:paraId="4BD3BAAF" w14:textId="77777777" w:rsidR="000E796D" w:rsidRPr="000E796D" w:rsidRDefault="000E796D" w:rsidP="000E796D">
            <w:pPr>
              <w:spacing w:after="0" w:line="240" w:lineRule="auto"/>
              <w:rPr>
                <w:rFonts w:ascii="Garamond" w:hAnsi="Garamond"/>
                <w:b/>
                <w:sz w:val="20"/>
                <w:szCs w:val="20"/>
                <w:u w:val="single"/>
              </w:rPr>
            </w:pPr>
            <w:r w:rsidRPr="000E796D">
              <w:rPr>
                <w:rFonts w:ascii="Garamond" w:hAnsi="Garamond"/>
                <w:b/>
                <w:sz w:val="20"/>
                <w:szCs w:val="20"/>
                <w:u w:val="single"/>
              </w:rPr>
              <w:t>Marrëveshjes/ve</w:t>
            </w:r>
          </w:p>
          <w:p w14:paraId="14ADB467"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u w:val="single"/>
              </w:rPr>
              <w:t>Financiare</w:t>
            </w:r>
            <w:r w:rsidRPr="000E796D">
              <w:rPr>
                <w:rFonts w:ascii="Garamond" w:hAnsi="Garamond"/>
                <w:b/>
                <w:sz w:val="20"/>
                <w:szCs w:val="20"/>
              </w:rPr>
              <w:t xml:space="preserve"> me vendet</w:t>
            </w:r>
          </w:p>
          <w:p w14:paraId="66EE8B50"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përfituese të IPA II</w:t>
            </w:r>
          </w:p>
          <w:p w14:paraId="6863693B"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(tripalëshe)</w:t>
            </w:r>
          </w:p>
        </w:tc>
        <w:tc>
          <w:tcPr>
            <w:tcW w:w="6520" w:type="dxa"/>
          </w:tcPr>
          <w:p w14:paraId="48C8EF39"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Për angazhimin buxhetor të vitit 2018</w:t>
            </w:r>
          </w:p>
          <w:p w14:paraId="5F8E4209"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maksimumi brenda datës 31 dhjetor 2019</w:t>
            </w:r>
          </w:p>
          <w:p w14:paraId="6F88356C" w14:textId="77777777" w:rsidR="000E796D" w:rsidRPr="000E796D" w:rsidRDefault="000E796D" w:rsidP="000E796D">
            <w:pPr>
              <w:spacing w:after="0" w:line="240" w:lineRule="auto"/>
              <w:rPr>
                <w:rFonts w:ascii="Garamond" w:hAnsi="Garamond"/>
                <w:sz w:val="20"/>
                <w:szCs w:val="20"/>
              </w:rPr>
            </w:pPr>
          </w:p>
          <w:p w14:paraId="57766E7D"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Për angazhimin buxhetor të vitit 2019</w:t>
            </w:r>
          </w:p>
          <w:p w14:paraId="75798DCB"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maksimumi brenda datës 31 dhjetor 2020</w:t>
            </w:r>
          </w:p>
          <w:p w14:paraId="5341A386" w14:textId="77777777" w:rsidR="000E796D" w:rsidRPr="000E796D" w:rsidRDefault="000E796D" w:rsidP="000E796D">
            <w:pPr>
              <w:spacing w:after="0" w:line="240" w:lineRule="auto"/>
              <w:rPr>
                <w:rFonts w:ascii="Garamond" w:hAnsi="Garamond"/>
                <w:sz w:val="20"/>
                <w:szCs w:val="20"/>
              </w:rPr>
            </w:pPr>
          </w:p>
          <w:p w14:paraId="182B3269"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Për angazhimin buxhetor të vitit 2020</w:t>
            </w:r>
          </w:p>
          <w:p w14:paraId="4C399ABE" w14:textId="77777777" w:rsidR="000E796D" w:rsidRPr="000E796D" w:rsidRDefault="000E796D" w:rsidP="000E796D">
            <w:pPr>
              <w:spacing w:after="0" w:line="240" w:lineRule="auto"/>
              <w:rPr>
                <w:rFonts w:ascii="Garamond" w:hAnsi="Garamond"/>
                <w:b/>
                <w:i/>
                <w:sz w:val="20"/>
                <w:szCs w:val="20"/>
              </w:rPr>
            </w:pPr>
            <w:r w:rsidRPr="000E796D">
              <w:rPr>
                <w:rFonts w:ascii="Garamond" w:hAnsi="Garamond"/>
                <w:sz w:val="20"/>
                <w:szCs w:val="20"/>
              </w:rPr>
              <w:t>maksimumi brenda datës 31 dhjetor 2021</w:t>
            </w:r>
          </w:p>
        </w:tc>
      </w:tr>
      <w:tr w:rsidR="000E796D" w:rsidRPr="000E796D" w14:paraId="24167B17" w14:textId="77777777" w:rsidTr="00BA13DB">
        <w:tc>
          <w:tcPr>
            <w:tcW w:w="3227" w:type="dxa"/>
          </w:tcPr>
          <w:p w14:paraId="6439C212"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Data përfundimtare për</w:t>
            </w:r>
          </w:p>
          <w:p w14:paraId="16D726C0"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mbylljen  e kontratave të</w:t>
            </w:r>
          </w:p>
          <w:p w14:paraId="56F6510A"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 xml:space="preserve">granteve, duke përfshirë përfundimin e marrëveshjeve të kontributit/delegimit </w:t>
            </w:r>
          </w:p>
        </w:tc>
        <w:tc>
          <w:tcPr>
            <w:tcW w:w="6520" w:type="dxa"/>
          </w:tcPr>
          <w:p w14:paraId="428FDCCD" w14:textId="77777777" w:rsidR="000E796D" w:rsidRPr="000E796D" w:rsidRDefault="000E796D" w:rsidP="000E796D">
            <w:pPr>
              <w:spacing w:after="0" w:line="240" w:lineRule="auto"/>
              <w:jc w:val="both"/>
              <w:rPr>
                <w:rFonts w:ascii="Garamond" w:hAnsi="Garamond"/>
                <w:b/>
                <w:i/>
                <w:sz w:val="20"/>
                <w:szCs w:val="20"/>
              </w:rPr>
            </w:pPr>
            <w:r w:rsidRPr="000E796D">
              <w:rPr>
                <w:rFonts w:ascii="Garamond" w:hAnsi="Garamond"/>
                <w:sz w:val="20"/>
                <w:szCs w:val="20"/>
              </w:rPr>
              <w:t>3 vjet pas datës së nënshkrimit të Marrëveshjes së Financimit, me përjashtim të rasteve të renditura në nenin 189 (2) të Rregullores Financiare</w:t>
            </w:r>
          </w:p>
        </w:tc>
      </w:tr>
      <w:tr w:rsidR="000E796D" w:rsidRPr="000E796D" w14:paraId="6B6ABA71" w14:textId="77777777" w:rsidTr="00BA13DB">
        <w:tc>
          <w:tcPr>
            <w:tcW w:w="3227" w:type="dxa"/>
          </w:tcPr>
          <w:p w14:paraId="0D7CFA4C"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Data përfundimtare për zbatimin e projekteve</w:t>
            </w:r>
          </w:p>
        </w:tc>
        <w:tc>
          <w:tcPr>
            <w:tcW w:w="6520" w:type="dxa"/>
          </w:tcPr>
          <w:p w14:paraId="0E9B0064"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 xml:space="preserve">6 vjet pas datës së nënshkrimit të Marrëveshjes së Financimit </w:t>
            </w:r>
          </w:p>
        </w:tc>
      </w:tr>
      <w:tr w:rsidR="000E796D" w:rsidRPr="000E796D" w14:paraId="1EEA7980" w14:textId="77777777" w:rsidTr="00BA13DB">
        <w:tc>
          <w:tcPr>
            <w:tcW w:w="3227" w:type="dxa"/>
          </w:tcPr>
          <w:p w14:paraId="787F7124" w14:textId="77777777" w:rsidR="000E796D" w:rsidRPr="000E796D" w:rsidRDefault="000E796D" w:rsidP="000E796D">
            <w:pPr>
              <w:spacing w:after="0" w:line="240" w:lineRule="auto"/>
              <w:rPr>
                <w:rFonts w:ascii="Garamond" w:hAnsi="Garamond"/>
                <w:b/>
                <w:sz w:val="20"/>
                <w:szCs w:val="20"/>
              </w:rPr>
            </w:pPr>
            <w:r w:rsidRPr="000E796D">
              <w:rPr>
                <w:rFonts w:ascii="Garamond" w:hAnsi="Garamond"/>
                <w:b/>
                <w:sz w:val="20"/>
                <w:szCs w:val="20"/>
              </w:rPr>
              <w:t>Data përfundimtare për zbatimin e Marrëveshjes së Financimit</w:t>
            </w:r>
          </w:p>
          <w:p w14:paraId="4C246817"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(datë në të cilën ky program</w:t>
            </w:r>
          </w:p>
          <w:p w14:paraId="2BBA177E" w14:textId="77777777" w:rsidR="000E796D" w:rsidRPr="000E796D" w:rsidRDefault="000E796D" w:rsidP="000E796D">
            <w:pPr>
              <w:spacing w:after="0" w:line="240" w:lineRule="auto"/>
              <w:rPr>
                <w:rFonts w:ascii="Garamond" w:hAnsi="Garamond"/>
                <w:b/>
                <w:sz w:val="20"/>
                <w:szCs w:val="20"/>
              </w:rPr>
            </w:pPr>
            <w:r w:rsidRPr="000E796D">
              <w:rPr>
                <w:rFonts w:ascii="Garamond" w:hAnsi="Garamond"/>
                <w:sz w:val="20"/>
                <w:szCs w:val="20"/>
              </w:rPr>
              <w:t xml:space="preserve">duhet të jetë mbyllur dhe të jetë përfunduar angazhimi i fondeve) pas pranimit të shpenzimeve </w:t>
            </w:r>
          </w:p>
        </w:tc>
        <w:tc>
          <w:tcPr>
            <w:tcW w:w="6520" w:type="dxa"/>
          </w:tcPr>
          <w:p w14:paraId="1D240E26" w14:textId="77777777" w:rsidR="000E796D" w:rsidRPr="000E796D" w:rsidRDefault="000E796D" w:rsidP="000E796D">
            <w:pPr>
              <w:spacing w:after="0" w:line="240" w:lineRule="auto"/>
              <w:rPr>
                <w:rFonts w:ascii="Garamond" w:hAnsi="Garamond"/>
                <w:sz w:val="20"/>
                <w:szCs w:val="20"/>
              </w:rPr>
            </w:pPr>
            <w:r w:rsidRPr="000E796D">
              <w:rPr>
                <w:rFonts w:ascii="Garamond" w:hAnsi="Garamond"/>
                <w:sz w:val="20"/>
                <w:szCs w:val="20"/>
              </w:rPr>
              <w:t>12 vjet pas nënshkrimit të Marrëveshjes së Financimit</w:t>
            </w:r>
          </w:p>
          <w:p w14:paraId="0B3F8553" w14:textId="77777777" w:rsidR="000E796D" w:rsidRPr="000E796D" w:rsidRDefault="000E796D" w:rsidP="000E796D">
            <w:pPr>
              <w:spacing w:after="0" w:line="240" w:lineRule="auto"/>
              <w:rPr>
                <w:rFonts w:ascii="Garamond" w:hAnsi="Garamond"/>
                <w:b/>
                <w:sz w:val="20"/>
                <w:szCs w:val="20"/>
              </w:rPr>
            </w:pPr>
          </w:p>
        </w:tc>
      </w:tr>
    </w:tbl>
    <w:p w14:paraId="2443EDC2" w14:textId="77777777" w:rsidR="000E796D" w:rsidRPr="007479C6" w:rsidRDefault="000E796D" w:rsidP="000E796D">
      <w:pPr>
        <w:widowControl w:val="0"/>
        <w:autoSpaceDE w:val="0"/>
        <w:autoSpaceDN w:val="0"/>
        <w:adjustRightInd w:val="0"/>
        <w:spacing w:after="0" w:line="240" w:lineRule="auto"/>
        <w:ind w:firstLine="284"/>
        <w:rPr>
          <w:rFonts w:ascii="Garamond" w:hAnsi="Garamond"/>
          <w:sz w:val="24"/>
          <w:szCs w:val="24"/>
        </w:rPr>
      </w:pPr>
    </w:p>
    <w:p w14:paraId="5D04DF2D" w14:textId="5118E6A6" w:rsidR="000E796D" w:rsidRPr="000E796D" w:rsidRDefault="000E796D" w:rsidP="000E796D">
      <w:pPr>
        <w:pStyle w:val="TEKSTI"/>
        <w:rPr>
          <w:b/>
        </w:rPr>
      </w:pPr>
      <w:r w:rsidRPr="000E796D">
        <w:rPr>
          <w:b/>
        </w:rPr>
        <w:t>2. PËRSHKRIMI I PROGRAMIT TË VEPRIMIT</w:t>
      </w:r>
    </w:p>
    <w:p w14:paraId="5E20FC1F" w14:textId="77777777" w:rsidR="000E796D" w:rsidRPr="007479C6" w:rsidRDefault="000E796D" w:rsidP="000E796D">
      <w:pPr>
        <w:pStyle w:val="TEKSTI"/>
      </w:pPr>
      <w:r w:rsidRPr="007479C6">
        <w:t xml:space="preserve">2.1 PËRMBLEDHJA E PROGRAMIT TË BASHKËPUNIMIT NDËRKUFITAR 2014-2020 </w:t>
      </w:r>
    </w:p>
    <w:p w14:paraId="65A4559D"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 xml:space="preserve">Programi i BNK-së (Bashkëpunimi Ndërkufitar) Mali i Zi-Shqipëri 2014-2020 është miratuar me Vendimin Zbatues të Komisionit C (2014) 9352 të datës 10 dhjetor </w:t>
      </w:r>
      <w:r w:rsidRPr="007479C6">
        <w:rPr>
          <w:rFonts w:ascii="Garamond" w:hAnsi="Garamond"/>
          <w:iCs/>
          <w:sz w:val="24"/>
          <w:szCs w:val="24"/>
        </w:rPr>
        <w:t>2014.</w:t>
      </w:r>
      <w:r w:rsidRPr="007479C6">
        <w:rPr>
          <w:rFonts w:ascii="Garamond" w:hAnsi="Garamond"/>
          <w:iCs/>
          <w:sz w:val="24"/>
          <w:szCs w:val="24"/>
          <w:vertAlign w:val="superscript"/>
        </w:rPr>
        <w:footnoteReference w:id="4"/>
      </w:r>
      <w:r w:rsidRPr="007479C6">
        <w:rPr>
          <w:rFonts w:ascii="Garamond" w:hAnsi="Garamond"/>
          <w:sz w:val="24"/>
          <w:szCs w:val="24"/>
        </w:rPr>
        <w:t xml:space="preserve"> Programi i miratuar 2014-2020 përbën strategjinë e bashkëpunimit të BNK për rajonin e kufitar, duke përcaktuar ndër të tjera edhe listën e zonave gjeografike të pranueshme, kontekstin e zonës, programin tematik prioritar dhe ndarjet orientuese buxhetore për periudhën 7 vjeçare.</w:t>
      </w:r>
    </w:p>
    <w:p w14:paraId="6B52CA30"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Programi BNK 2014-2020 shërben gjithashtu si referencë për miratimin e programeve të veprimit BNK. Programi i veprimit BNK 2018-2020 synon sigurimin e asistencës për bashkëpunim ndërkufitar në fushat tematike, të parashikuar në programin 2014-2020 (siç tregohet në seksionin 2.2).</w:t>
      </w:r>
    </w:p>
    <w:p w14:paraId="08F25731" w14:textId="77777777" w:rsidR="000E796D" w:rsidRPr="007479C6" w:rsidRDefault="000E796D" w:rsidP="000E796D">
      <w:pPr>
        <w:widowControl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Më 6 shkurt 2018, Komisioni Evropian miratoi Komunikatën me temë "Një perspektivë e besueshme e zgjerimit për angazhim të zgjeruar të BE-së me Ballkanin Perëndimor"</w:t>
      </w:r>
      <w:r w:rsidRPr="007479C6">
        <w:rPr>
          <w:rStyle w:val="FootnoteReference"/>
          <w:rFonts w:ascii="Garamond" w:hAnsi="Garamond"/>
          <w:iCs/>
          <w:sz w:val="24"/>
          <w:szCs w:val="24"/>
        </w:rPr>
        <w:footnoteReference w:id="5"/>
      </w:r>
      <w:r w:rsidRPr="007479C6">
        <w:rPr>
          <w:rFonts w:ascii="Garamond" w:hAnsi="Garamond"/>
          <w:sz w:val="24"/>
          <w:szCs w:val="24"/>
        </w:rPr>
        <w:t>. Kjo komunikatë synon të avancojë më tej reformën në Ballkanin Perëndimor dhe të sigurojë një angazhim të dukshëm për zgjerimin e BE-së për të mbështetur më mirë përgatitjet e tyre në rrugën evropiane. Komunikata përcakton orientimet e reja strategjike, veçanërisht në lidhje me zbatimin e gjashtë iniciativave kryesore.</w:t>
      </w:r>
    </w:p>
    <w:p w14:paraId="459F56A9" w14:textId="77777777" w:rsidR="000E796D" w:rsidRPr="007479C6" w:rsidRDefault="000E796D" w:rsidP="000E796D">
      <w:pPr>
        <w:widowControl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Në veçanti, bashkëpunimi ndërkufitar është një mjet kyç për nxitjen e pajtimit dhe trajtimin e trashëgimisë së të kaluarës në Ballkanin Perëndimor, në përputhje me iniciativën kyçe 6 (mbështetje për pajtimin dhe marrëdhëniet e fqinjësisë së mirë) dhe për zhvillimin e qëndrueshëm lokal, në përputhje me iniciativën kyçe 3 (mbështetje e zhvillimit socio-ekonomik).</w:t>
      </w:r>
    </w:p>
    <w:p w14:paraId="1B42F710" w14:textId="6C3F89D8" w:rsidR="000E796D" w:rsidRPr="00E64CF2" w:rsidRDefault="00E64CF2" w:rsidP="00E64CF2">
      <w:pPr>
        <w:pStyle w:val="TEKSTI"/>
        <w:rPr>
          <w:b/>
        </w:rPr>
      </w:pPr>
      <w:r w:rsidRPr="00E64CF2">
        <w:rPr>
          <w:b/>
        </w:rPr>
        <w:t xml:space="preserve">Lista e zonave gjeografike të </w:t>
      </w:r>
      <w:r w:rsidR="000E796D" w:rsidRPr="00E64CF2">
        <w:rPr>
          <w:b/>
        </w:rPr>
        <w:t xml:space="preserve">pranueshme </w:t>
      </w:r>
    </w:p>
    <w:p w14:paraId="515AE879" w14:textId="77777777" w:rsidR="000E796D" w:rsidRPr="007479C6" w:rsidRDefault="000E796D" w:rsidP="000E796D">
      <w:pPr>
        <w:widowControl w:val="0"/>
        <w:overflowPunct w:val="0"/>
        <w:autoSpaceDE w:val="0"/>
        <w:autoSpaceDN w:val="0"/>
        <w:adjustRightInd w:val="0"/>
        <w:spacing w:after="0" w:line="240" w:lineRule="auto"/>
        <w:ind w:left="7" w:right="17" w:firstLine="284"/>
        <w:jc w:val="both"/>
        <w:rPr>
          <w:rFonts w:ascii="Garamond" w:hAnsi="Garamond"/>
          <w:sz w:val="24"/>
          <w:szCs w:val="24"/>
        </w:rPr>
      </w:pPr>
      <w:r w:rsidRPr="007479C6">
        <w:rPr>
          <w:rFonts w:ascii="Garamond" w:hAnsi="Garamond"/>
          <w:sz w:val="24"/>
          <w:szCs w:val="24"/>
        </w:rPr>
        <w:t xml:space="preserve">Në Malin e Zi zonat e lejueshme janë: Andrijevica, Berane, Petnjica, Plavë, Gucia, Rozhajë, Podgoricë, Cetinje, Danilovgrad, Budva, Bar dhe Ulqin. Në Republikën e Shqipërisë zonat e lejueshme janë: Shkodra, Lezha dhe Rrethi i Tropojës </w:t>
      </w:r>
    </w:p>
    <w:p w14:paraId="7D0886F3"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b/>
          <w:sz w:val="24"/>
          <w:szCs w:val="24"/>
        </w:rPr>
      </w:pPr>
      <w:r w:rsidRPr="007479C6">
        <w:rPr>
          <w:rFonts w:ascii="Garamond" w:hAnsi="Garamond"/>
          <w:b/>
          <w:sz w:val="24"/>
          <w:szCs w:val="24"/>
        </w:rPr>
        <w:t xml:space="preserve">Bashkëpunimi ndërkufitar (BNK) në kontekstin e zonës përfituese </w:t>
      </w:r>
    </w:p>
    <w:p w14:paraId="41402616" w14:textId="77777777" w:rsidR="000E796D" w:rsidRPr="007479C6" w:rsidRDefault="000E796D" w:rsidP="000E796D">
      <w:pPr>
        <w:widowControl w:val="0"/>
        <w:overflowPunct w:val="0"/>
        <w:autoSpaceDE w:val="0"/>
        <w:autoSpaceDN w:val="0"/>
        <w:adjustRightInd w:val="0"/>
        <w:spacing w:after="0" w:line="240" w:lineRule="auto"/>
        <w:ind w:left="7" w:firstLine="284"/>
        <w:jc w:val="both"/>
        <w:rPr>
          <w:rFonts w:ascii="Garamond" w:hAnsi="Garamond"/>
          <w:sz w:val="24"/>
          <w:szCs w:val="24"/>
        </w:rPr>
      </w:pPr>
      <w:r w:rsidRPr="007479C6">
        <w:rPr>
          <w:rFonts w:ascii="Garamond" w:hAnsi="Garamond"/>
          <w:sz w:val="24"/>
          <w:szCs w:val="24"/>
        </w:rPr>
        <w:t xml:space="preserve">Zona e Programit është e ndryshme, por ka disa karakteristika të përbashkëta të lidhura për shembull me natyrën, pozitën gjeografike, tendencat demografike, ekonominë dhe kapitalin njerëzor që mund të gjenerojnë sinergji dhe të jenë një mundësi e mirë për zhvillimin dhe zbatimin e iniciativave të BNK-së. </w:t>
      </w:r>
    </w:p>
    <w:p w14:paraId="5501E5AB" w14:textId="77777777" w:rsidR="000E796D" w:rsidRPr="007479C6" w:rsidRDefault="000E796D" w:rsidP="000E796D">
      <w:pPr>
        <w:widowControl w:val="0"/>
        <w:overflowPunct w:val="0"/>
        <w:autoSpaceDE w:val="0"/>
        <w:autoSpaceDN w:val="0"/>
        <w:adjustRightInd w:val="0"/>
        <w:spacing w:after="0" w:line="240" w:lineRule="auto"/>
        <w:ind w:left="7" w:firstLine="284"/>
        <w:jc w:val="both"/>
        <w:rPr>
          <w:rFonts w:ascii="Garamond" w:hAnsi="Garamond"/>
          <w:sz w:val="24"/>
          <w:szCs w:val="24"/>
        </w:rPr>
      </w:pPr>
      <w:r w:rsidRPr="007479C6">
        <w:rPr>
          <w:rFonts w:ascii="Garamond" w:hAnsi="Garamond"/>
          <w:sz w:val="24"/>
          <w:szCs w:val="24"/>
        </w:rPr>
        <w:t>Gjithashtu, Programi duhet të ndërtohet mbi karakteristikat dhe veprimet e sakta, të përcaktuara në kuadër të Strategjisë së BE-së për Rajonin e Adriatikut dhe Jonit (EUSAIR) COM (2014) 357, në të cilën marrin pjesë të dyja vendet përfituese.</w:t>
      </w:r>
    </w:p>
    <w:p w14:paraId="44D4BC7E" w14:textId="77777777" w:rsidR="000E796D" w:rsidRPr="007479C6" w:rsidRDefault="000E796D" w:rsidP="000E796D">
      <w:pPr>
        <w:widowControl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Analiza e situatës së bërë për përgatitjen e programit tregoi disa sfida dhe mundësi kryesore për tu trajtuar dhe mbështetur përmes bashkëpunimit ndërkufitar.</w:t>
      </w:r>
    </w:p>
    <w:p w14:paraId="0AED3071" w14:textId="77777777" w:rsidR="000E796D" w:rsidRPr="007479C6" w:rsidRDefault="000E796D" w:rsidP="00C61F48">
      <w:pPr>
        <w:widowControl w:val="0"/>
        <w:numPr>
          <w:ilvl w:val="0"/>
          <w:numId w:val="1"/>
        </w:numPr>
        <w:overflowPunct w:val="0"/>
        <w:autoSpaceDE w:val="0"/>
        <w:autoSpaceDN w:val="0"/>
        <w:adjustRightInd w:val="0"/>
        <w:spacing w:after="0" w:line="240" w:lineRule="auto"/>
        <w:ind w:left="0" w:firstLine="284"/>
        <w:jc w:val="both"/>
        <w:rPr>
          <w:rFonts w:ascii="Garamond" w:hAnsi="Garamond"/>
          <w:sz w:val="24"/>
          <w:szCs w:val="24"/>
        </w:rPr>
      </w:pPr>
      <w:r w:rsidRPr="007479C6">
        <w:rPr>
          <w:rFonts w:ascii="Garamond" w:hAnsi="Garamond"/>
          <w:i/>
          <w:sz w:val="24"/>
          <w:szCs w:val="24"/>
        </w:rPr>
        <w:t>Karakteristika ekonomike të të dy vendeve tregojnë tendenca të ngjashme</w:t>
      </w:r>
      <w:r w:rsidRPr="007479C6">
        <w:rPr>
          <w:rFonts w:ascii="Garamond" w:hAnsi="Garamond"/>
          <w:sz w:val="24"/>
          <w:szCs w:val="24"/>
        </w:rPr>
        <w:t xml:space="preserve">: të dy vendet janë klasifikuar si ekonomi me të ardhura mesatare-të larta nga Banka Botërore. Struktura e ekonomisë është e ndryshme në të dy anët e kufirit. </w:t>
      </w:r>
    </w:p>
    <w:p w14:paraId="5B81B7E1" w14:textId="6777D8C9" w:rsidR="000E796D" w:rsidRPr="007479C6" w:rsidRDefault="00F92225" w:rsidP="00F92225">
      <w:pPr>
        <w:pStyle w:val="TEKSTI"/>
      </w:pPr>
      <w:r>
        <w:rPr>
          <w:i/>
        </w:rPr>
        <w:t>-</w:t>
      </w:r>
      <w:r w:rsidR="000E796D" w:rsidRPr="007479C6">
        <w:rPr>
          <w:i/>
        </w:rPr>
        <w:t>Konkurrenca është e ulët në të dyja anët e kufirit</w:t>
      </w:r>
      <w:r w:rsidR="000E796D" w:rsidRPr="007479C6">
        <w:t xml:space="preserve">. Produktivitet më i lartë, investime të mëtejshme në njohuritë teknike dhe përdorimi i teknologjive të inovacionit dhe dixhitale janë një parakusht për t'u bërë më konkurruese në nivel kombëtar, rajonal dhe ndërkombëtar. </w:t>
      </w:r>
    </w:p>
    <w:p w14:paraId="0A453E6A" w14:textId="7BC47ECB" w:rsidR="000E796D" w:rsidRPr="007479C6" w:rsidRDefault="00F92225" w:rsidP="00F92225">
      <w:pPr>
        <w:pStyle w:val="TEKSTI"/>
      </w:pPr>
      <w:r>
        <w:rPr>
          <w:i/>
        </w:rPr>
        <w:t>-</w:t>
      </w:r>
      <w:r w:rsidR="000E796D" w:rsidRPr="007479C6">
        <w:rPr>
          <w:i/>
        </w:rPr>
        <w:t>Forcimi i rrjeteve të ndërmarrjeve të vogla dhe të mesme (NVM) dhe lidhjeve të shërbimit (përfshirë dixhitalizimin dhe zgjerimin e aksesit) që ekziston në zonat kufitare, është një potencial që përdoret pak</w:t>
      </w:r>
      <w:r w:rsidR="000E796D" w:rsidRPr="007479C6">
        <w:t xml:space="preserve">. Mbi 97% e NVM të regjistruara kanë më pak se katër persona të punësuar. Niveli i bashkëpunimit përtej kufirit është minimal. </w:t>
      </w:r>
    </w:p>
    <w:p w14:paraId="2679E5D4" w14:textId="3C41218A" w:rsidR="000E796D" w:rsidRPr="007479C6" w:rsidRDefault="00F92225" w:rsidP="00F92225">
      <w:pPr>
        <w:pStyle w:val="TEKSTI"/>
      </w:pPr>
      <w:r>
        <w:rPr>
          <w:i/>
        </w:rPr>
        <w:t>-</w:t>
      </w:r>
      <w:r w:rsidR="000E796D" w:rsidRPr="007479C6">
        <w:rPr>
          <w:i/>
        </w:rPr>
        <w:t>Të dyja anët e zonës së programit po bëhen gjithnjë e më tërheqëse për investitorët e huaj</w:t>
      </w:r>
      <w:r w:rsidR="000E796D" w:rsidRPr="007479C6">
        <w:t xml:space="preserve">, por  kushtet nga të dyja anët duhet të përmirësohen dhe veçanërisht ato të infrastrukturës, për të bërë biznes. </w:t>
      </w:r>
    </w:p>
    <w:p w14:paraId="2724472D" w14:textId="29B08546" w:rsidR="000E796D" w:rsidRPr="007479C6" w:rsidRDefault="00F92225" w:rsidP="00F92225">
      <w:pPr>
        <w:pStyle w:val="TEKSTI"/>
      </w:pPr>
      <w:r>
        <w:rPr>
          <w:i/>
        </w:rPr>
        <w:t>-</w:t>
      </w:r>
      <w:r w:rsidR="000E796D" w:rsidRPr="007479C6">
        <w:rPr>
          <w:i/>
        </w:rPr>
        <w:t>Bujqësia është një potencial i madh ekonomik në zonën e programit, por e nënvlerësuar.</w:t>
      </w:r>
      <w:r w:rsidR="000E796D" w:rsidRPr="007479C6">
        <w:t xml:space="preserve"> Papunësia mbetet një problem madhor për popullatën e zonës së programit, veçanërisht për grupet sensitive sociale siç janë të rinjtë, popullsia rurale, si dhe gratë. </w:t>
      </w:r>
    </w:p>
    <w:p w14:paraId="51425850" w14:textId="73F5959C" w:rsidR="000E796D" w:rsidRPr="007479C6" w:rsidRDefault="00F92225" w:rsidP="00F92225">
      <w:pPr>
        <w:pStyle w:val="TEKSTI"/>
      </w:pPr>
      <w:r>
        <w:rPr>
          <w:i/>
        </w:rPr>
        <w:t>-</w:t>
      </w:r>
      <w:r w:rsidR="000E796D" w:rsidRPr="007479C6">
        <w:rPr>
          <w:i/>
        </w:rPr>
        <w:t>Mbrojtja e mjedisit ka nevojë për vëmendje serioze në planet e ardhshme të zhvillimit të zonës së programit.</w:t>
      </w:r>
      <w:r w:rsidR="000E796D" w:rsidRPr="007479C6">
        <w:t xml:space="preserve"> Me zhvillimin e përgjithshëm të zonës së programit duke u mbështetur kryesisht në burimet natyrore, mbrojtja e mjedisit dhe ruajtja e këtyre burimeve janë vendimtare për zhvillimin e qëndrueshëm të zonës. </w:t>
      </w:r>
    </w:p>
    <w:p w14:paraId="16D0FA03" w14:textId="2F7970F1" w:rsidR="000E796D" w:rsidRPr="007479C6" w:rsidRDefault="00F92225" w:rsidP="00F92225">
      <w:pPr>
        <w:pStyle w:val="TEKSTI"/>
      </w:pPr>
      <w:r>
        <w:rPr>
          <w:i/>
        </w:rPr>
        <w:t>-</w:t>
      </w:r>
      <w:r w:rsidR="000E796D" w:rsidRPr="007479C6">
        <w:rPr>
          <w:i/>
        </w:rPr>
        <w:t>Infrastruktura e dobët është një sfidë e rëndësishme për zhvillimin ekonomik dhe social të zonës së programit.</w:t>
      </w:r>
      <w:r w:rsidR="000E796D" w:rsidRPr="007479C6">
        <w:t xml:space="preserve"> Zhvillimi i qëndrueshëm dhe përmirësimi i transportit dhe infrastrukturës publike mund të kontribuojnë në zhvillimin e qëndrueshëm ekonomik dhe rritjen e përgjithshme të pasurisë në zonën e programit. </w:t>
      </w:r>
    </w:p>
    <w:p w14:paraId="19FD3251" w14:textId="60EE9D59" w:rsidR="000E796D" w:rsidRPr="007479C6" w:rsidRDefault="00F92225" w:rsidP="00F92225">
      <w:pPr>
        <w:pStyle w:val="TEKSTI"/>
      </w:pPr>
      <w:r>
        <w:rPr>
          <w:i/>
        </w:rPr>
        <w:t>-</w:t>
      </w:r>
      <w:r w:rsidR="000E796D" w:rsidRPr="007479C6">
        <w:rPr>
          <w:i/>
        </w:rPr>
        <w:t>Zona e programit ka potencial të lartë turistik</w:t>
      </w:r>
      <w:r w:rsidR="000E796D" w:rsidRPr="007479C6">
        <w:t xml:space="preserve">. Megjithatë, këto mundësi turistike shfrytëzohen kryesisht në anën malazeze, ndërsa turizmi në anën shqiptare ka zhvillim të dobët, pavarësisht potencialit të madh. Gjithashtu, trashëgimia e pasur historike-kulturore-artistike në zonën kufitare duhet të ruhet. </w:t>
      </w:r>
    </w:p>
    <w:p w14:paraId="4A138888" w14:textId="3D174A55" w:rsidR="000E796D" w:rsidRPr="007479C6" w:rsidRDefault="00F92225" w:rsidP="00F92225">
      <w:pPr>
        <w:pStyle w:val="TEKSTI"/>
      </w:pPr>
      <w:r>
        <w:rPr>
          <w:i/>
        </w:rPr>
        <w:t>-</w:t>
      </w:r>
      <w:r w:rsidR="000E796D" w:rsidRPr="007479C6">
        <w:rPr>
          <w:i/>
        </w:rPr>
        <w:t>Përmirësimi i cilësisë së sistemit arsimor dhe infrastrukturës shkollore</w:t>
      </w:r>
      <w:r w:rsidR="000E796D" w:rsidRPr="007479C6">
        <w:t xml:space="preserve"> është një sfidë dhe prioritet për zonën e programit, veçanërisht në zonat rurale. </w:t>
      </w:r>
    </w:p>
    <w:p w14:paraId="74CD5558" w14:textId="418B610A" w:rsidR="000E796D" w:rsidRPr="007479C6" w:rsidRDefault="00F92225" w:rsidP="00F92225">
      <w:pPr>
        <w:pStyle w:val="TEKSTI"/>
      </w:pPr>
      <w:r>
        <w:rPr>
          <w:i/>
        </w:rPr>
        <w:t>-</w:t>
      </w:r>
      <w:r w:rsidR="000E796D" w:rsidRPr="007479C6">
        <w:rPr>
          <w:i/>
        </w:rPr>
        <w:t>Sektori i shëndetësisë është i dobët dhe i zhvilluar në mënyrë të pabarabartë.</w:t>
      </w:r>
      <w:r w:rsidR="000E796D" w:rsidRPr="007479C6">
        <w:t xml:space="preserve"> Gjithashtu, mungesa e një kuadri të duhur ligjor në anën shqiptare të kufirit për sigurim shëndetësor në zonat rurale është ende pengesë në zhvillimin e saj. </w:t>
      </w:r>
    </w:p>
    <w:p w14:paraId="0E2B5CAF" w14:textId="1B16A563" w:rsidR="000E796D" w:rsidRPr="007479C6" w:rsidRDefault="00F92225" w:rsidP="00F92225">
      <w:pPr>
        <w:pStyle w:val="TEKSTI"/>
        <w:rPr>
          <w:i/>
        </w:rPr>
      </w:pPr>
      <w:r>
        <w:t>-</w:t>
      </w:r>
      <w:r w:rsidR="000E796D" w:rsidRPr="007479C6">
        <w:t xml:space="preserve">Ekziston nevoja për inkurajimin e </w:t>
      </w:r>
      <w:r w:rsidR="000E796D" w:rsidRPr="007479C6">
        <w:rPr>
          <w:i/>
        </w:rPr>
        <w:t xml:space="preserve">rrjeteve rajonale të Organizatave të Shoqërisë Civile (OSHC). </w:t>
      </w:r>
    </w:p>
    <w:p w14:paraId="06FBF207" w14:textId="4ED377E4" w:rsidR="000E796D" w:rsidRPr="007479C6" w:rsidRDefault="00F92225" w:rsidP="00F92225">
      <w:pPr>
        <w:pStyle w:val="TEKSTI"/>
      </w:pPr>
      <w:r>
        <w:rPr>
          <w:i/>
        </w:rPr>
        <w:t>-</w:t>
      </w:r>
      <w:r w:rsidR="000E796D" w:rsidRPr="007479C6">
        <w:rPr>
          <w:i/>
        </w:rPr>
        <w:t>Hulumtimi, zhvillimi dhe depërtimi i Teknologjisë Informative dhe Komunikacionit (TIK)</w:t>
      </w:r>
      <w:r w:rsidR="000E796D" w:rsidRPr="007479C6">
        <w:t xml:space="preserve"> është në disproporcion të lartë midis vendeve dhe në veçanti në nivel lokal në zonën e programit. </w:t>
      </w:r>
    </w:p>
    <w:p w14:paraId="0440FC6A" w14:textId="21AB571F" w:rsidR="000E796D" w:rsidRPr="007479C6" w:rsidRDefault="00F92225" w:rsidP="00F92225">
      <w:pPr>
        <w:pStyle w:val="TEKSTI"/>
      </w:pPr>
      <w:r>
        <w:rPr>
          <w:i/>
        </w:rPr>
        <w:t>-</w:t>
      </w:r>
      <w:r w:rsidR="000E796D" w:rsidRPr="007479C6">
        <w:rPr>
          <w:i/>
        </w:rPr>
        <w:t>Qeveritë lokale dhe rajonale janë përgjithësisht të dobëta financiarisht</w:t>
      </w:r>
      <w:r w:rsidR="000E796D" w:rsidRPr="007479C6">
        <w:t xml:space="preserve"> dhe nuk mund ta nxisin zhvillimin lokal. </w:t>
      </w:r>
    </w:p>
    <w:p w14:paraId="0A11D7B6"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b/>
          <w:sz w:val="24"/>
          <w:szCs w:val="24"/>
        </w:rPr>
      </w:pPr>
      <w:r w:rsidRPr="007479C6">
        <w:rPr>
          <w:rFonts w:ascii="Garamond" w:hAnsi="Garamond"/>
          <w:b/>
          <w:sz w:val="24"/>
          <w:szCs w:val="24"/>
        </w:rPr>
        <w:t xml:space="preserve">Përmbledhje e përvojave të kaluara dhe atyre në vazhdim të BNK-së, duke përfshirë mësimet e nxjerra </w:t>
      </w:r>
    </w:p>
    <w:p w14:paraId="642AFF16"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 xml:space="preserve">Në zhvillimin e këtij programi janë marrë parasysh rekomandimet kryesore nga vlerësimet e përkohshme dhe auditimet e programeve të BNK-së në periudhën 2007-2013. Kështu, programet e BNK 2014-2020 janë më të fokusuara për sa i përket numrit të prioriteteve tematike të trajtuara dhe shtrirjes gjeografike, e cila do të ndihmojë për të arritur rezultate më të mira dhe ndikim më të lartë. Përveç kësaj, zbatimi i </w:t>
      </w:r>
      <w:bookmarkStart w:id="3" w:name="page5"/>
      <w:bookmarkEnd w:id="3"/>
      <w:r w:rsidRPr="007479C6">
        <w:rPr>
          <w:rFonts w:ascii="Garamond" w:hAnsi="Garamond"/>
          <w:sz w:val="24"/>
          <w:szCs w:val="24"/>
        </w:rPr>
        <w:t>programeve të BNK-së është thjeshtuar kryesisht duke pasur një autoritet të vetëm kontraktues dhe një alokim të vetëm financiar për programin.</w:t>
      </w:r>
    </w:p>
    <w:p w14:paraId="27C48EA8" w14:textId="77777777" w:rsidR="00817147" w:rsidRDefault="000E796D" w:rsidP="00817147">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Mësimet kryesore të nxjerra u identifikuan edhe nga vlerësimi përfundimtar i Instrumentit për Asistencën e Para-Anëtarësimit (IPA) Programet BNK 2007-2013 që u realizua midis viteve 2016 dhe 2017. Mësimet e nxjerra dhe rekomandimet u diskutuan me palët e interesuara të BNK-së në Ballkanin Perëndimor dhe masat për ndjekje u identifikuan për një afat të shkurtër dhe të mesëm, si për programet BNK 2014-2020 në vijim, ashtu edhe për programet e ardhshme BNK 2021-2027. Rekomandimet kryesore në lidhje me të gjitha programet BNK në nivelin e B</w:t>
      </w:r>
      <w:r w:rsidR="00817147">
        <w:rPr>
          <w:rFonts w:ascii="Garamond" w:hAnsi="Garamond"/>
          <w:sz w:val="24"/>
          <w:szCs w:val="24"/>
        </w:rPr>
        <w:t>allkanit Perëndimor përfshijnë:</w:t>
      </w:r>
    </w:p>
    <w:p w14:paraId="3E1CF985" w14:textId="64FAA975" w:rsidR="000E796D" w:rsidRPr="007479C6" w:rsidRDefault="00817147" w:rsidP="00817147">
      <w:pPr>
        <w:pStyle w:val="TEKSTI"/>
      </w:pPr>
      <w:r>
        <w:t>-</w:t>
      </w:r>
      <w:r w:rsidR="000E796D" w:rsidRPr="007479C6">
        <w:t>Objektivi kryesor për të promovuar marrëdhëniet e fqinjësisë së mirë duhet të reflektohet qartë në projektet e BNK-së.</w:t>
      </w:r>
    </w:p>
    <w:p w14:paraId="789D3476" w14:textId="7F43DF9E" w:rsidR="000E796D" w:rsidRPr="007479C6" w:rsidRDefault="00817147" w:rsidP="00817147">
      <w:pPr>
        <w:pStyle w:val="TEKSTI"/>
      </w:pPr>
      <w:r>
        <w:t>-</w:t>
      </w:r>
      <w:r w:rsidR="000E796D" w:rsidRPr="007479C6">
        <w:t>Thirrjet për propozime duhet të përqendrohen më shumë në pak çështje prioritare që kanë interes të lartë ndërkufitar.</w:t>
      </w:r>
    </w:p>
    <w:p w14:paraId="41F28835" w14:textId="69E6A2BD" w:rsidR="000E796D" w:rsidRPr="007479C6" w:rsidRDefault="00817147" w:rsidP="00817147">
      <w:pPr>
        <w:pStyle w:val="TEKSTI"/>
      </w:pPr>
      <w:r>
        <w:t>-</w:t>
      </w:r>
      <w:r w:rsidR="000E796D" w:rsidRPr="007479C6">
        <w:t>Logjika e ndërhyrjes së programeve dhe sistemet e raportimit dhe monitorimit duhet të përmirësohen pasi nuk janë të strukturuara për të vendosur një bazë të qartë për matjen e rezultateve në nivelin rajonal.</w:t>
      </w:r>
    </w:p>
    <w:p w14:paraId="10601E1E" w14:textId="4FFE0DB1" w:rsidR="000E796D" w:rsidRPr="007479C6" w:rsidRDefault="00817147" w:rsidP="00817147">
      <w:pPr>
        <w:pStyle w:val="TEKSTI"/>
      </w:pPr>
      <w:r>
        <w:t>-</w:t>
      </w:r>
      <w:r w:rsidR="000E796D" w:rsidRPr="007479C6">
        <w:t>Ekziston nevoja për vazhdimin e aktiviteteve për rritjen e kapaciteteve për strukturat operuese dhe sekretaritet e përbashkëta teknike / antenat.</w:t>
      </w:r>
    </w:p>
    <w:p w14:paraId="5270159A" w14:textId="606021C1" w:rsidR="000E796D" w:rsidRPr="007479C6" w:rsidRDefault="00817147" w:rsidP="00817147">
      <w:pPr>
        <w:pStyle w:val="TEKSTI"/>
      </w:pPr>
      <w:r>
        <w:t>-</w:t>
      </w:r>
      <w:r w:rsidR="000E796D" w:rsidRPr="007479C6">
        <w:t>Ekziston nevoja për përmirësimin e sinergjive me politikat dhe donatorët e tjerë, kapitalizimin dhe shkëmbimin e përvojave me instrumentet e tjera të BNK-së (si p.sh. INTERREG (Programi i Bashkëpunimit Ndër-rajonal) dhe Instrumenti Evropian për fshinjësinë (ENI) Programet BNK.</w:t>
      </w:r>
    </w:p>
    <w:p w14:paraId="7149424B"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Për sa i përket këtij programi, bashkëpunimi i ngushtë midis dy vendeve përfituese gjatë secilit hap të zbatimit të programit ka qenë thelbësor dhe do të duhet të sigurohet edhe në periudhën 2018-2020.</w:t>
      </w:r>
    </w:p>
    <w:p w14:paraId="4E67B47F"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Duke ndjekur përvojën e fituar në periudhën prej vitit 2007 deri 2013, Komiteti i Përbashkët i Monitorimit (KPM) do të veprojë si organ vendim-marrës i programit ndërkufitar, për të mbikëqyrur efektivitetin dhe cilësinë e zbatimit të programit. Roli i KPM-së i referohet programimit të përgjithshëm dhe monitorimit të programit të BNK-së, ndërsa përzgjedhja e projekteve do të jetë nën përgjegjësinë e Autoritetit Kontraktues.</w:t>
      </w:r>
    </w:p>
    <w:p w14:paraId="1ABA0DCD"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Përvoja e viteve të mëparshme ka treguar që nga njëra anë numri i aplikantëve të interesuar është në rritje të vazhdueshme, duke arritur kështu një larmi të gjerë të palëve të interesuara, si edhe njësi të vogla - dhe nga ana tjetër që pjesëmarrësit ende kërkojnë mbështetje intensive për ndërtimin e kapaciteteve, në mënyrë që aplikantët e ardhshëm të mundshëm mund të përfshijnë më mirë elemente të praktikës më të mirë dhe veçori të tjera në veprimet e tyre. Më tej, programet e mëparshme promovuan krijimin e partneriteteve ndërkufitare, bashkëpunimi afatgjatë i të cilave duhet të inkurajohet me qëllim nxitjen e zhvillimit lokal. Projektet e bashkëpunimit ndërkufitar kanë treguar se janë një instrument i fuqishëm për proceset e zhvillimit lokal, duke bashkuar njerëzit dhe institucionet, duke trajtuar nevoja tepër konkrete dhe lokale të zhvillimit.</w:t>
      </w:r>
    </w:p>
    <w:p w14:paraId="75B19984"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Strukturat përgjegjëse në nivel kombëtar për zbatimin e këtij programi bashkëpunimi ndërkufitar nën modalitetin e menaxhimit të tërthortë t kanë fituar përvojë gjatë ekzekutimit të katër viteve të para të periudhës aktuale financiare nga viti 2014 deri në 2020. Pritet që ky proces të vazhdojë me rritjen e efikasitetit në menaxhimin e thirrjeve përkatëse për propozime dhe kontratave të granteve nën menaxhim të tërthortët. Gjithashtu, kjo mënyrë e tërthortë e e menaxhimit nën drejtimin e Malit të Zi dhe në partneritet të ngushtë me Republikën e Shqipërisë ka një stimul të fuqishëm për forcimin e bashkëpunimit dhe besimit rajonal.</w:t>
      </w:r>
    </w:p>
    <w:p w14:paraId="395B5AC2" w14:textId="77777777" w:rsidR="000E796D" w:rsidRPr="007479C6" w:rsidRDefault="000E796D" w:rsidP="000E796D">
      <w:pPr>
        <w:widowControl w:val="0"/>
        <w:autoSpaceDE w:val="0"/>
        <w:autoSpaceDN w:val="0"/>
        <w:adjustRightInd w:val="0"/>
        <w:spacing w:after="0" w:line="240" w:lineRule="auto"/>
        <w:ind w:firstLine="284"/>
        <w:jc w:val="both"/>
        <w:rPr>
          <w:rFonts w:ascii="Garamond" w:hAnsi="Garamond"/>
          <w:sz w:val="24"/>
          <w:szCs w:val="24"/>
        </w:rPr>
      </w:pPr>
    </w:p>
    <w:p w14:paraId="00B59D6C" w14:textId="62FBDCE0" w:rsidR="000E796D" w:rsidRPr="00817147" w:rsidRDefault="00817147" w:rsidP="00817147">
      <w:pPr>
        <w:pStyle w:val="TEKSTI"/>
        <w:rPr>
          <w:b/>
        </w:rPr>
      </w:pPr>
      <w:r>
        <w:rPr>
          <w:b/>
        </w:rPr>
        <w:t xml:space="preserve">2.2 </w:t>
      </w:r>
      <w:r w:rsidR="000E796D" w:rsidRPr="00817147">
        <w:rPr>
          <w:b/>
        </w:rPr>
        <w:t xml:space="preserve">PËRSHKRIMI DHE ZBATIMI I PROJEKTEVE </w:t>
      </w:r>
    </w:p>
    <w:p w14:paraId="5264DCA6"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b/>
          <w:bCs/>
          <w:sz w:val="24"/>
          <w:szCs w:val="24"/>
        </w:rPr>
      </w:pPr>
    </w:p>
    <w:tbl>
      <w:tblPr>
        <w:tblW w:w="0" w:type="auto"/>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2183"/>
      </w:tblGrid>
      <w:tr w:rsidR="000E796D" w:rsidRPr="007479C6" w14:paraId="151B3F65" w14:textId="77777777" w:rsidTr="00BA13DB">
        <w:tc>
          <w:tcPr>
            <w:tcW w:w="1384" w:type="dxa"/>
            <w:shd w:val="clear" w:color="auto" w:fill="D9D9D9"/>
          </w:tcPr>
          <w:p w14:paraId="0271B0CA" w14:textId="77777777" w:rsidR="000E796D" w:rsidRPr="007479C6" w:rsidRDefault="000E796D" w:rsidP="00817147">
            <w:pPr>
              <w:autoSpaceDE w:val="0"/>
              <w:autoSpaceDN w:val="0"/>
              <w:adjustRightInd w:val="0"/>
              <w:spacing w:after="0" w:line="240" w:lineRule="auto"/>
              <w:jc w:val="both"/>
              <w:rPr>
                <w:rFonts w:ascii="Garamond" w:hAnsi="Garamond"/>
                <w:b/>
                <w:iCs/>
                <w:sz w:val="24"/>
                <w:szCs w:val="24"/>
              </w:rPr>
            </w:pPr>
            <w:r w:rsidRPr="007479C6">
              <w:rPr>
                <w:rFonts w:ascii="Garamond" w:hAnsi="Garamond"/>
                <w:b/>
                <w:iCs/>
                <w:sz w:val="24"/>
                <w:szCs w:val="24"/>
              </w:rPr>
              <w:t>Veprimi 1</w:t>
            </w:r>
          </w:p>
        </w:tc>
        <w:tc>
          <w:tcPr>
            <w:tcW w:w="4961" w:type="dxa"/>
            <w:shd w:val="clear" w:color="auto" w:fill="D9D9D9"/>
          </w:tcPr>
          <w:p w14:paraId="5E97E436" w14:textId="77777777" w:rsidR="000E796D" w:rsidRPr="007479C6" w:rsidRDefault="000E796D" w:rsidP="00817147">
            <w:pPr>
              <w:autoSpaceDE w:val="0"/>
              <w:autoSpaceDN w:val="0"/>
              <w:adjustRightInd w:val="0"/>
              <w:spacing w:after="0" w:line="240" w:lineRule="auto"/>
              <w:jc w:val="both"/>
              <w:rPr>
                <w:rFonts w:ascii="Garamond" w:hAnsi="Garamond"/>
                <w:b/>
                <w:iCs/>
                <w:sz w:val="24"/>
                <w:szCs w:val="24"/>
              </w:rPr>
            </w:pPr>
            <w:r w:rsidRPr="007479C6">
              <w:rPr>
                <w:rFonts w:ascii="Garamond" w:hAnsi="Garamond"/>
                <w:b/>
                <w:iCs/>
                <w:sz w:val="24"/>
                <w:szCs w:val="24"/>
              </w:rPr>
              <w:t>Projektet e Bashkëpunimit Ndërkufitar</w:t>
            </w:r>
          </w:p>
        </w:tc>
        <w:tc>
          <w:tcPr>
            <w:tcW w:w="2183" w:type="dxa"/>
            <w:shd w:val="clear" w:color="auto" w:fill="D9D9D9"/>
          </w:tcPr>
          <w:p w14:paraId="041AD99E" w14:textId="77777777" w:rsidR="000E796D" w:rsidRPr="007479C6" w:rsidRDefault="000E796D" w:rsidP="00817147">
            <w:pPr>
              <w:autoSpaceDE w:val="0"/>
              <w:autoSpaceDN w:val="0"/>
              <w:adjustRightInd w:val="0"/>
              <w:spacing w:after="0" w:line="240" w:lineRule="auto"/>
              <w:jc w:val="both"/>
              <w:rPr>
                <w:rFonts w:ascii="Garamond" w:hAnsi="Garamond"/>
                <w:b/>
                <w:iCs/>
                <w:sz w:val="24"/>
                <w:szCs w:val="24"/>
              </w:rPr>
            </w:pPr>
            <w:r w:rsidRPr="007479C6">
              <w:rPr>
                <w:rFonts w:ascii="Garamond" w:hAnsi="Garamond"/>
                <w:b/>
                <w:iCs/>
                <w:sz w:val="24"/>
                <w:szCs w:val="24"/>
              </w:rPr>
              <w:t>4,930,000 EURO</w:t>
            </w:r>
          </w:p>
        </w:tc>
      </w:tr>
    </w:tbl>
    <w:p w14:paraId="515BB39F"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b/>
          <w:bCs/>
          <w:sz w:val="24"/>
          <w:szCs w:val="24"/>
        </w:rPr>
      </w:pPr>
    </w:p>
    <w:p w14:paraId="0C4812BB" w14:textId="77777777" w:rsidR="000E796D" w:rsidRPr="007479C6" w:rsidRDefault="000E796D" w:rsidP="000E796D">
      <w:pPr>
        <w:widowControl w:val="0"/>
        <w:overflowPunct w:val="0"/>
        <w:autoSpaceDE w:val="0"/>
        <w:autoSpaceDN w:val="0"/>
        <w:adjustRightInd w:val="0"/>
        <w:spacing w:after="0" w:line="240" w:lineRule="auto"/>
        <w:ind w:left="100" w:firstLine="284"/>
        <w:jc w:val="both"/>
        <w:rPr>
          <w:rFonts w:ascii="Garamond" w:hAnsi="Garamond"/>
          <w:sz w:val="24"/>
          <w:szCs w:val="24"/>
        </w:rPr>
      </w:pPr>
      <w:r w:rsidRPr="007479C6">
        <w:rPr>
          <w:rFonts w:ascii="Garamond" w:hAnsi="Garamond"/>
          <w:sz w:val="24"/>
          <w:szCs w:val="24"/>
        </w:rPr>
        <w:t>Ndihma e parashikuar për Malin e Zi dhe Republikën e Shqipërisë do të ndjekë kushtet dhe procedurat e përcaktuara nga masat kufizuese të miratuara në bazë të nenit 215 TFEU</w:t>
      </w:r>
      <w:r w:rsidRPr="007479C6">
        <w:rPr>
          <w:rFonts w:ascii="Garamond" w:hAnsi="Garamond"/>
          <w:sz w:val="24"/>
          <w:szCs w:val="24"/>
          <w:vertAlign w:val="superscript"/>
        </w:rPr>
        <w:footnoteReference w:id="6"/>
      </w:r>
      <w:r w:rsidRPr="007479C6">
        <w:rPr>
          <w:rFonts w:ascii="Garamond" w:hAnsi="Garamond"/>
          <w:sz w:val="24"/>
          <w:szCs w:val="24"/>
        </w:rPr>
        <w:t>.</w:t>
      </w:r>
    </w:p>
    <w:p w14:paraId="4C18867F" w14:textId="77777777" w:rsidR="000E796D" w:rsidRPr="00817147" w:rsidRDefault="000E796D" w:rsidP="00817147">
      <w:pPr>
        <w:pStyle w:val="TEKSTI"/>
        <w:rPr>
          <w:b/>
        </w:rPr>
      </w:pPr>
      <w:r w:rsidRPr="00817147">
        <w:rPr>
          <w:b/>
        </w:rPr>
        <w:t>(1) Përshkrimi i veprimit, objektivi, rezultatet e pritshme</w:t>
      </w:r>
    </w:p>
    <w:p w14:paraId="07928205" w14:textId="77777777" w:rsidR="000E796D" w:rsidRPr="007479C6" w:rsidRDefault="000E796D" w:rsidP="000E796D">
      <w:pPr>
        <w:widowControl w:val="0"/>
        <w:overflowPunct w:val="0"/>
        <w:autoSpaceDE w:val="0"/>
        <w:autoSpaceDN w:val="0"/>
        <w:adjustRightInd w:val="0"/>
        <w:spacing w:after="0" w:line="240" w:lineRule="auto"/>
        <w:ind w:left="100" w:firstLine="284"/>
        <w:jc w:val="both"/>
        <w:rPr>
          <w:rFonts w:ascii="Garamond" w:hAnsi="Garamond"/>
          <w:sz w:val="24"/>
          <w:szCs w:val="24"/>
        </w:rPr>
      </w:pPr>
      <w:r w:rsidRPr="007479C6">
        <w:rPr>
          <w:rFonts w:ascii="Garamond" w:hAnsi="Garamond"/>
          <w:b/>
          <w:bCs/>
          <w:i/>
          <w:iCs/>
          <w:sz w:val="24"/>
          <w:szCs w:val="24"/>
        </w:rPr>
        <w:t xml:space="preserve">Përshkrimi i veprimit: </w:t>
      </w:r>
      <w:r w:rsidRPr="007479C6">
        <w:rPr>
          <w:rFonts w:ascii="Garamond" w:hAnsi="Garamond"/>
          <w:sz w:val="24"/>
          <w:szCs w:val="24"/>
        </w:rPr>
        <w:t>Projektet e Bashkëpunimit Ndërkufitar në rajonin kufitar, në</w:t>
      </w:r>
      <w:r w:rsidRPr="007479C6">
        <w:rPr>
          <w:rFonts w:ascii="Garamond" w:hAnsi="Garamond"/>
          <w:b/>
          <w:bCs/>
          <w:i/>
          <w:iCs/>
          <w:sz w:val="24"/>
          <w:szCs w:val="24"/>
        </w:rPr>
        <w:t xml:space="preserve"> </w:t>
      </w:r>
      <w:r w:rsidRPr="007479C6">
        <w:rPr>
          <w:rFonts w:ascii="Garamond" w:hAnsi="Garamond"/>
          <w:sz w:val="24"/>
          <w:szCs w:val="24"/>
        </w:rPr>
        <w:t>fushën e punësimit, lëvizshmërisë për punë dhe përfshirjes sociale e kulturore, mjedisit, përshtatjes ndaj ndryshimeve klimatike, si dhe zbutjes, parandalimit të rrezikut dhe menaxhimit të turizmit dhe trashëgimisë kulturore dhe natyrore.</w:t>
      </w:r>
    </w:p>
    <w:p w14:paraId="070F136F" w14:textId="77777777" w:rsidR="000E796D" w:rsidRPr="007479C6" w:rsidRDefault="000E796D" w:rsidP="000E796D">
      <w:pPr>
        <w:widowControl w:val="0"/>
        <w:overflowPunct w:val="0"/>
        <w:autoSpaceDE w:val="0"/>
        <w:autoSpaceDN w:val="0"/>
        <w:adjustRightInd w:val="0"/>
        <w:spacing w:after="0" w:line="240" w:lineRule="auto"/>
        <w:ind w:left="100" w:right="20" w:firstLine="284"/>
        <w:jc w:val="both"/>
        <w:rPr>
          <w:rFonts w:ascii="Garamond" w:hAnsi="Garamond"/>
          <w:sz w:val="24"/>
          <w:szCs w:val="24"/>
        </w:rPr>
      </w:pPr>
      <w:r w:rsidRPr="007479C6">
        <w:rPr>
          <w:rFonts w:ascii="Garamond" w:hAnsi="Garamond"/>
          <w:b/>
          <w:bCs/>
          <w:i/>
          <w:iCs/>
          <w:sz w:val="24"/>
          <w:szCs w:val="24"/>
        </w:rPr>
        <w:t>Objektivi</w:t>
      </w:r>
      <w:r w:rsidRPr="007479C6">
        <w:rPr>
          <w:rFonts w:ascii="Garamond" w:hAnsi="Garamond"/>
          <w:i/>
          <w:iCs/>
          <w:sz w:val="24"/>
          <w:szCs w:val="24"/>
        </w:rPr>
        <w:t>:</w:t>
      </w:r>
      <w:r w:rsidRPr="007479C6">
        <w:rPr>
          <w:rFonts w:ascii="Garamond" w:hAnsi="Garamond"/>
          <w:b/>
          <w:bCs/>
          <w:i/>
          <w:iCs/>
          <w:sz w:val="24"/>
          <w:szCs w:val="24"/>
        </w:rPr>
        <w:t xml:space="preserve"> </w:t>
      </w:r>
      <w:r w:rsidRPr="007479C6">
        <w:rPr>
          <w:rFonts w:ascii="Garamond" w:hAnsi="Garamond"/>
          <w:sz w:val="24"/>
          <w:szCs w:val="24"/>
        </w:rPr>
        <w:t>Zhvillimi socio-ekonomik dhe forcimi i marrëdhënieve të fqinjësisë në zonën</w:t>
      </w:r>
      <w:r w:rsidRPr="007479C6">
        <w:rPr>
          <w:rFonts w:ascii="Garamond" w:hAnsi="Garamond"/>
          <w:b/>
          <w:bCs/>
          <w:i/>
          <w:iCs/>
          <w:sz w:val="24"/>
          <w:szCs w:val="24"/>
        </w:rPr>
        <w:t xml:space="preserve"> </w:t>
      </w:r>
      <w:r w:rsidRPr="007479C6">
        <w:rPr>
          <w:rFonts w:ascii="Garamond" w:hAnsi="Garamond"/>
          <w:sz w:val="24"/>
          <w:szCs w:val="24"/>
        </w:rPr>
        <w:t>ndërkufitare përmes zbatimit të projekteve të bashkëpunimit ndërkufitar që synojnë:</w:t>
      </w:r>
    </w:p>
    <w:p w14:paraId="25B65405" w14:textId="3191062F" w:rsidR="000E796D" w:rsidRPr="007479C6" w:rsidRDefault="00817147" w:rsidP="00817147">
      <w:pPr>
        <w:pStyle w:val="TEKSTI"/>
      </w:pPr>
      <w:r>
        <w:t xml:space="preserve">a) </w:t>
      </w:r>
      <w:r w:rsidR="000E796D" w:rsidRPr="007479C6">
        <w:t xml:space="preserve">promovimin e punësimit, lëvizjen e fuqisë punëtore dhe përfshirjen sociale dhe kulturore përtej kufijve, midis të tjerash: integrimin e tregjeve ndërkufitare të punës, duke përfshirë edhe lëvizshmërinë ndërkufitare; iniciativa të përbashkëta të punësimit lokal; informacion dhe shërbime këshilluese dhe trajnime të përbashkëta (duke përfshirë projekte që trajtojnë mungesën e literaturës dixhitale); barazinë gjinore; mundësi të barabarta; integrimin e komuniteteve të emigrantëve dhe grupeve të cenueshme; investimin në shërbimin e punësimit publik; dhe mbështetjen e investimeve në shëndetin publik dhe shërbimet sociale; </w:t>
      </w:r>
    </w:p>
    <w:p w14:paraId="56D634C4" w14:textId="65972236" w:rsidR="000E796D" w:rsidRPr="007479C6" w:rsidRDefault="00817147" w:rsidP="00817147">
      <w:pPr>
        <w:pStyle w:val="TEKSTI"/>
      </w:pPr>
      <w:r>
        <w:t xml:space="preserve">b) </w:t>
      </w:r>
      <w:r w:rsidR="000E796D" w:rsidRPr="007479C6">
        <w:t xml:space="preserve">mbrojtjen e mjedisit dhe promovimin e përshtatjes ndaj ndryshimeve klimatike dhe zbutjen, parandalimin dhe menaxhimin e rrezikut përmes, ndër të tjera: veprimeve të përbashkëta për mbrojtjen e mjedisit; promovimin e përdorimit të qëndrueshëm të burimeve natyrore, efiçencën e burimeve, burimet e rinovueshme të energjisë dhe ndryshim drejt një ekonomie të ulët të karbonit, të qëndrueshme dhe të sigurt; promovimin e investimeve për rreziqet specifike, duke siguruar aftësinë e përballimit të katastrofave dhe zhvillimin e sistemeve të menaxhimit të fatkeqësive dhe gatishmërisë për emergjenca; </w:t>
      </w:r>
    </w:p>
    <w:p w14:paraId="5B7F6B67" w14:textId="72086BB6" w:rsidR="000E796D" w:rsidRPr="007479C6" w:rsidRDefault="00817147" w:rsidP="00817147">
      <w:pPr>
        <w:pStyle w:val="TEKSTI"/>
      </w:pPr>
      <w:r>
        <w:t xml:space="preserve">c) </w:t>
      </w:r>
      <w:r w:rsidR="000E796D" w:rsidRPr="007479C6">
        <w:t xml:space="preserve">inkurajimin e turizmit dhe trashëgimisë kulturore dhe natyrore, ndër të tjera përmes: mbështetjes për shkëmbimet sociale dhe kulturore; promovimi i turizmit të qëndrueshëm </w:t>
      </w:r>
      <w:bookmarkStart w:id="4" w:name="page6"/>
      <w:bookmarkEnd w:id="4"/>
      <w:r w:rsidR="000E796D" w:rsidRPr="007479C6">
        <w:t>dhe valorizimi i trashëgimisë kulturore të zonës, duke përfshirë përmirësimin e cilësisë së shërbimeve, krijimin e rrjeteve dhe partneriteteve ndërmjet pushtetit vendor dhe palëve të interesuara lokale për të promovuar faqet e përbashkëta turistike; ruajtjen e trashëgimisë kulturore; rritjen e shkëmbimeve kulturore, vlerave historike dhe diversitetit kulturor.</w:t>
      </w:r>
    </w:p>
    <w:p w14:paraId="4C3F07F1" w14:textId="77777777" w:rsidR="000E796D" w:rsidRPr="007479C6" w:rsidRDefault="000E796D" w:rsidP="00817147">
      <w:pPr>
        <w:pStyle w:val="TEKSTI"/>
      </w:pPr>
      <w:r w:rsidRPr="007479C6">
        <w:t xml:space="preserve">Kur është e mundur, veprimet që lidhen me objektivat e lartpërmendura, siç janë zhvilluar në Planin e Veprimit të strategjisë makro-rajonale të Adriatikut dhe Jonit, ku marrin pjesë të dyja vendet, duhet të merren parasysh. </w:t>
      </w:r>
    </w:p>
    <w:p w14:paraId="608758DE" w14:textId="77777777" w:rsidR="000E796D" w:rsidRPr="00817147" w:rsidRDefault="000E796D" w:rsidP="00817147">
      <w:pPr>
        <w:pStyle w:val="TEKSTI"/>
        <w:rPr>
          <w:b/>
        </w:rPr>
      </w:pPr>
      <w:r w:rsidRPr="00817147">
        <w:rPr>
          <w:b/>
        </w:rPr>
        <w:t>Rezultatet e pritshme:</w:t>
      </w:r>
    </w:p>
    <w:p w14:paraId="33FA8F47" w14:textId="48397444" w:rsidR="000E796D" w:rsidRPr="007479C6" w:rsidRDefault="00817147" w:rsidP="00817147">
      <w:pPr>
        <w:pStyle w:val="TEKSTI"/>
      </w:pPr>
      <w:r>
        <w:t>-</w:t>
      </w:r>
      <w:r w:rsidR="000E796D" w:rsidRPr="007479C6">
        <w:t xml:space="preserve">Përmirësimi i cilësisë së shërbimeve dhe produkteve të turizmit. </w:t>
      </w:r>
    </w:p>
    <w:p w14:paraId="2E576C83" w14:textId="5F2E2673" w:rsidR="000E796D" w:rsidRPr="007479C6" w:rsidRDefault="00817147" w:rsidP="00817147">
      <w:pPr>
        <w:pStyle w:val="TEKSTI"/>
      </w:pPr>
      <w:r>
        <w:t>-</w:t>
      </w:r>
      <w:r w:rsidR="000E796D" w:rsidRPr="007479C6">
        <w:t>Bashkëpunimi në fushën e ruajtjes së trashëgimisë kulturore dhe natyrore është rritur.</w:t>
      </w:r>
    </w:p>
    <w:p w14:paraId="6AEAAFA2" w14:textId="0885EA24" w:rsidR="000E796D" w:rsidRPr="007479C6" w:rsidRDefault="00817147" w:rsidP="00817147">
      <w:pPr>
        <w:pStyle w:val="TEKSTI"/>
      </w:pPr>
      <w:r>
        <w:t>-</w:t>
      </w:r>
      <w:r w:rsidR="000E796D" w:rsidRPr="007479C6">
        <w:t xml:space="preserve">Ndërgjegjësimi i përdorimit të qëndrueshëm të burimeve mjedisore në liqen dhe zonat alpine ka avancuar. </w:t>
      </w:r>
    </w:p>
    <w:p w14:paraId="4601C3C3" w14:textId="029C7324" w:rsidR="000E796D" w:rsidRPr="007479C6" w:rsidRDefault="00817147" w:rsidP="00817147">
      <w:pPr>
        <w:pStyle w:val="TEKSTI"/>
      </w:pPr>
      <w:r>
        <w:t>-</w:t>
      </w:r>
      <w:r w:rsidR="000E796D" w:rsidRPr="007479C6">
        <w:t>Qasja në tregun e punës është përmirësuar, veçanërisht për grupet e cenueshme.</w:t>
      </w:r>
      <w:r>
        <w:t xml:space="preserve"> </w:t>
      </w:r>
    </w:p>
    <w:p w14:paraId="79B6A6E8"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Objektivat dhe rezultatet e pritshme do të arrihen gjatë periudhës së zbatimit të këtij programi, nga viti 2014 deri në vitin 2020. Programi i Veprimit BNK 2018-2020 do të kontribuojë në arritjen e objektivave të përgjithshme dhe rezultatet e pritshme të përcaktuara në programin BNK 2014-2020. Për detaje të mëtejshme shihni seksionin 3.2 të programit BNK 2014-2020 (Aneksi 2 i Komisionit zbatues - Vendimi C (2014) 9352 të 10 dhjetor 2014).</w:t>
      </w:r>
      <w:r w:rsidRPr="007479C6">
        <w:rPr>
          <w:rStyle w:val="FooterChar"/>
          <w:rFonts w:ascii="Garamond" w:hAnsi="Garamond"/>
          <w:iCs/>
          <w:sz w:val="24"/>
          <w:szCs w:val="24"/>
        </w:rPr>
        <w:t xml:space="preserve"> </w:t>
      </w:r>
      <w:r w:rsidRPr="007479C6">
        <w:rPr>
          <w:rStyle w:val="FootnoteReference"/>
          <w:rFonts w:ascii="Garamond" w:hAnsi="Garamond"/>
          <w:iCs/>
          <w:sz w:val="24"/>
          <w:szCs w:val="24"/>
        </w:rPr>
        <w:footnoteReference w:id="7"/>
      </w:r>
    </w:p>
    <w:p w14:paraId="52C1F0A9" w14:textId="46F9F01D" w:rsidR="000E796D" w:rsidRPr="00817147" w:rsidRDefault="000E796D" w:rsidP="00817147">
      <w:pPr>
        <w:pStyle w:val="TEKSTI"/>
        <w:rPr>
          <w:b/>
        </w:rPr>
      </w:pPr>
      <w:r w:rsidRPr="00817147">
        <w:rPr>
          <w:b/>
        </w:rPr>
        <w:t>2) Supozimet dhe kushtet</w:t>
      </w:r>
    </w:p>
    <w:p w14:paraId="5E19F5CF"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Si kusht i nevojshëm për menaxhimin efektiv të programit, vendet pjesëmarrëse do të ngrenë një Komitet të Përbashkët Monitorues dhe do të sigurojnë zyrat dhe stafin e duhur për Sekretariatin e Përbashkët Teknik (që do të ngrihet me një vendim të veçantë financimi) dhe antenën në funksion, në rast se kjo e fundit do të ngrihet.</w:t>
      </w:r>
    </w:p>
    <w:p w14:paraId="5585A3DB"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Nën menaxhimin e tërthortë, vendet pjesëmarrëse do të nënshkruajnë një marrëveshjeje dypalëshe për të gjithë kohëzgjatjen e programit, e cila të përcaktojë përgjegjësitë e tyre përkatëse për zbatimin e programit. Kjo marrëveshje bilaterale është lidhur midis dy vendeve pjesëmarrëse dhe do të mbetet e vlefshme për të gjithë zbatimin e programit.</w:t>
      </w:r>
    </w:p>
    <w:p w14:paraId="2D4B00E2"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Deri më tani, përfituesit janë pajtuar me supozimet dhe kushtet e mësipërme, duke përfshirë krijimin e Sekretariatit të Përbashkët Teknik në Podgoricë dhe Zyrën e Antenës në Shkodër. Këto struktura financohen plotësisht nga Masa Mbështetëse për Asistencë Teknike për programet e bashkëpunimit ndërkufitar ndërmjet përfituesve të IPA II në kuadër të Instrumentit për Asistencëm e Para-Aderimit (IPA II) për vitin 2014 C (2014) 37629</w:t>
      </w:r>
      <w:r w:rsidRPr="007479C6">
        <w:rPr>
          <w:rStyle w:val="FootnoteReference"/>
          <w:rFonts w:ascii="Garamond" w:hAnsi="Garamond"/>
          <w:sz w:val="24"/>
          <w:szCs w:val="24"/>
        </w:rPr>
        <w:footnoteReference w:id="8"/>
      </w:r>
      <w:r w:rsidRPr="007479C6">
        <w:rPr>
          <w:rFonts w:ascii="Garamond" w:hAnsi="Garamond"/>
          <w:sz w:val="24"/>
          <w:szCs w:val="24"/>
        </w:rPr>
        <w:t>.</w:t>
      </w:r>
    </w:p>
    <w:p w14:paraId="59B4FB89"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Mbështetja e mëtejshme financiare do të programohet nga Komisioni Evropian për vazhdimin e ofrimit të mbështetjes për Sekretariatin e Përbashkët Teknik dhe Zyrën e Antenës nga viti 2020 e në vazhdim.</w:t>
      </w:r>
    </w:p>
    <w:p w14:paraId="3C37E0AA"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Mosrespektimi i kërkesave të lartpërmendura mund të çojë në kthimin mbrapsht të fondeve në kuadër të këtij programi dhe /ose ri-alokimin e fondeve të ardhshme.</w:t>
      </w:r>
    </w:p>
    <w:p w14:paraId="3B6611DB" w14:textId="7D7D5FAD" w:rsidR="000E796D" w:rsidRPr="00817147" w:rsidRDefault="003F7568" w:rsidP="00817147">
      <w:pPr>
        <w:pStyle w:val="TEKSTI"/>
        <w:rPr>
          <w:b/>
          <w:bCs/>
          <w:iCs/>
        </w:rPr>
      </w:pPr>
      <w:r>
        <w:rPr>
          <w:b/>
          <w:bCs/>
          <w:iCs/>
        </w:rPr>
        <w:t>3)</w:t>
      </w:r>
      <w:r w:rsidR="00C73DFB">
        <w:rPr>
          <w:b/>
          <w:bCs/>
          <w:iCs/>
        </w:rPr>
        <w:t>.</w:t>
      </w:r>
      <w:r w:rsidR="000E796D" w:rsidRPr="00817147">
        <w:rPr>
          <w:b/>
          <w:bCs/>
          <w:iCs/>
        </w:rPr>
        <w:t xml:space="preserve"> Modalitetet e zbatimit</w:t>
      </w:r>
    </w:p>
    <w:p w14:paraId="6CCBA97C" w14:textId="4DCC6A34" w:rsidR="000E796D" w:rsidRPr="00817147" w:rsidRDefault="000E796D" w:rsidP="00817147">
      <w:pPr>
        <w:pStyle w:val="TEKSTI"/>
        <w:rPr>
          <w:b/>
          <w:bCs/>
          <w:iCs/>
        </w:rPr>
      </w:pPr>
      <w:r w:rsidRPr="00817147">
        <w:rPr>
          <w:b/>
          <w:bCs/>
          <w:iCs/>
        </w:rPr>
        <w:t>3) (a) Menaxhimi i tërthortë me Malin e Zi</w:t>
      </w:r>
    </w:p>
    <w:p w14:paraId="03BF01FC" w14:textId="77777777" w:rsidR="000E796D" w:rsidRPr="00817147" w:rsidRDefault="000E796D" w:rsidP="00817147">
      <w:pPr>
        <w:pStyle w:val="TEKSTI"/>
        <w:rPr>
          <w:b/>
          <w:bCs/>
          <w:iCs/>
        </w:rPr>
      </w:pPr>
      <w:r w:rsidRPr="00817147">
        <w:rPr>
          <w:b/>
          <w:bCs/>
          <w:iCs/>
        </w:rPr>
        <w:t>Përshkrimi i shkurtër i detyrave të besuara</w:t>
      </w:r>
    </w:p>
    <w:p w14:paraId="2D969DCB" w14:textId="77777777" w:rsidR="000E796D" w:rsidRPr="007479C6" w:rsidRDefault="000E796D" w:rsidP="000E796D">
      <w:pPr>
        <w:widowControl w:val="0"/>
        <w:overflowPunct w:val="0"/>
        <w:autoSpaceDE w:val="0"/>
        <w:autoSpaceDN w:val="0"/>
        <w:adjustRightInd w:val="0"/>
        <w:spacing w:after="0" w:line="240" w:lineRule="auto"/>
        <w:ind w:right="20" w:firstLine="284"/>
        <w:jc w:val="both"/>
        <w:rPr>
          <w:rFonts w:ascii="Garamond" w:hAnsi="Garamond"/>
          <w:sz w:val="24"/>
          <w:szCs w:val="24"/>
        </w:rPr>
      </w:pPr>
      <w:r w:rsidRPr="007479C6">
        <w:rPr>
          <w:rFonts w:ascii="Garamond" w:hAnsi="Garamond"/>
          <w:sz w:val="24"/>
          <w:szCs w:val="24"/>
        </w:rPr>
        <w:t>Strukturat operuese të Malit të Zi dhe Republikës së Shqipërisë kanë përgatitur bashkarisht programin e bashkëpunimit ndërkufitar 2014-2020 dhe kanë rënë dakord mbi masat e nevojshme për menaxhimin dhe zbatimin e programit, duke përfshirë krijimin e një sistemi për monitorimin e zbatimit.</w:t>
      </w:r>
    </w:p>
    <w:p w14:paraId="03F65CAE"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Struktura operuese e Malit të Zi do të organizojë procedurat e prokurimit dhe dhënies së grantit me prioritetet e përzgjedhura tematike të programit. Për sa i përket thirrjes për propozime, detyrat e besuara përfshijnë hartimin e udhëzimeve për aplikantët, nisjen e aplikimeve, përzgjedhjen e përfituesve të granteve dhe nënshkrimin e kontratave të</w:t>
      </w:r>
      <w:bookmarkStart w:id="5" w:name="page7"/>
      <w:bookmarkEnd w:id="5"/>
      <w:r w:rsidRPr="007479C6">
        <w:rPr>
          <w:rFonts w:ascii="Garamond" w:hAnsi="Garamond"/>
          <w:sz w:val="24"/>
          <w:szCs w:val="24"/>
        </w:rPr>
        <w:t xml:space="preserve"> granteve. Detyrat e besuara përfshijnë edhe aktivitete të lidhura me menaxhimin financiar dhe zbatimin e programit si monitorimi, vlerësimi, pagesat, kthimi i fondeve, verifikimi i shpenzimeve, duke siguruar auditim të brendshëm, raportimi i parregullsive dhe krijimi i masave të duhura kundër mashtrimit.</w:t>
      </w:r>
    </w:p>
    <w:p w14:paraId="5C09BAF6" w14:textId="77777777" w:rsidR="000E796D" w:rsidRPr="00A3470C" w:rsidRDefault="000E796D" w:rsidP="00A3470C">
      <w:pPr>
        <w:pStyle w:val="TEKSTI"/>
        <w:rPr>
          <w:b/>
        </w:rPr>
      </w:pPr>
      <w:r w:rsidRPr="00A3470C">
        <w:rPr>
          <w:b/>
        </w:rPr>
        <w:t>Elementët thelbësorë të veprimit</w:t>
      </w:r>
    </w:p>
    <w:p w14:paraId="17DB4A0E" w14:textId="77777777" w:rsidR="000E796D" w:rsidRPr="00A3470C" w:rsidRDefault="000E796D" w:rsidP="00A3470C">
      <w:pPr>
        <w:pStyle w:val="TEKSTI"/>
        <w:rPr>
          <w:b/>
        </w:rPr>
      </w:pPr>
      <w:r w:rsidRPr="00A3470C">
        <w:rPr>
          <w:b/>
        </w:rPr>
        <w:t xml:space="preserve">Granti – Thirrja për propozim/e: </w:t>
      </w:r>
      <w:r w:rsidRPr="00A3470C">
        <w:rPr>
          <w:b/>
          <w:u w:val="single"/>
        </w:rPr>
        <w:t>4,930,000 EURO</w:t>
      </w:r>
    </w:p>
    <w:p w14:paraId="799C5058" w14:textId="77777777" w:rsidR="000E796D" w:rsidRPr="00A3470C" w:rsidRDefault="000E796D" w:rsidP="00A3470C">
      <w:pPr>
        <w:pStyle w:val="TEKSTI"/>
        <w:rPr>
          <w:b/>
        </w:rPr>
      </w:pPr>
      <w:r w:rsidRPr="00A3470C">
        <w:rPr>
          <w:b/>
        </w:rPr>
        <w:t xml:space="preserve">a)  </w:t>
      </w:r>
      <w:r w:rsidRPr="00A3470C">
        <w:rPr>
          <w:b/>
          <w:u w:val="single"/>
        </w:rPr>
        <w:t>Kriteret thelbësore të pranueshmërisë</w:t>
      </w:r>
      <w:r w:rsidRPr="00A3470C">
        <w:rPr>
          <w:b/>
        </w:rPr>
        <w:t>:</w:t>
      </w:r>
    </w:p>
    <w:p w14:paraId="659956BC"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 xml:space="preserve">Lista e aktiviteteve e pranueshme është përcaktuar në nenin 3.2 të aneksit 2 të Vendimit Zbatues të Komisionit C (2014) 9352, datë 10 dhjetor 2014. Lista e mëposhtme është një përmbledhje që tregon aktivitetet / projektet kryesore të pranueshme: </w:t>
      </w:r>
    </w:p>
    <w:p w14:paraId="46A1596A"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inkurajimi i sipërmarrjes dhe aftësisë konkurruese në sektorin e turizmit; trajnimi i përbashkët profesional lidhur me aftësitë që synohen, lidhur me një ofertë konkurruese turistike dhe kërkesat e tregut;  aktivitetet për të promovuar potencialin kulturor dhe natyror turistik të zonës së programit; aktivitete të përbashkëta për të nxitur, por edhe përtërirë vlerat kulturore dhe trashëgiminë natyrore përmes festivaleve, panaireve, konkurseve; projekte të konceptuara për të parandaluar dhe menaxhuar fatkeqësitë natyrore dhe rreziqet mjedisore të shkaktuara nga njeriu, të cilat ndikojnë në zonën e programit; projekte që synojnë krijimin e mundësive të punësimit dhe aftësive për grupet e disavantazhuara të shoqërisë; partneriteti pushtet vendor–OSHC në përfshirjen sociale.</w:t>
      </w:r>
    </w:p>
    <w:p w14:paraId="34FB5C4E"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Gjithashtu, në kontekstin e zbatimit të programit, përparësi mund t'i jepet projekteve që lidhen me Strategjinë Makro-Rajonale të BE-së për Adriatikun dhe Jonin COM (2014) 357, ku marrin pjesë të dy vendet.</w:t>
      </w:r>
    </w:p>
    <w:p w14:paraId="64B5F111"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Përfituesit duhet të jenë persona juridikë dhe të vendosur në një vend përfitues të IPA II që marrin pjesë në programin BNK.</w:t>
      </w:r>
    </w:p>
    <w:p w14:paraId="6E234B87"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 xml:space="preserve">Përfitues potencialë mund të jenë autoritetet vendore, personat juridikë që menaxhohen nga autoritetet vendore, shoqatat e bashkive, agjencitë e zhvillimit, organizatat mbështetëse të biznesit lokal, faktorët ekonomikë si NVM-të, organizatat turistike dhe kulturore, OJQ-të, dhe organet publike dhe private në mbështetje të fuqisë punëtore, institucionet e formimit profesional dhe teknik, organet dhe organizatat për mbrojtjen e natyrës, organet publike përgjegjëse për menaxhimin e ujit, shërbimet e </w:t>
      </w:r>
      <w:bookmarkStart w:id="6" w:name="page9"/>
      <w:bookmarkEnd w:id="6"/>
      <w:r w:rsidRPr="007479C6">
        <w:rPr>
          <w:rFonts w:ascii="Garamond" w:hAnsi="Garamond"/>
          <w:sz w:val="24"/>
          <w:szCs w:val="24"/>
        </w:rPr>
        <w:t>emergjencës/zjarrit, shkollat, kolegjet, universitetet dhe qendrat kërkimore, duke përfshirë edhe institucionet e trajnimit profesional dhe teknik.</w:t>
      </w:r>
    </w:p>
    <w:p w14:paraId="5F2E1505" w14:textId="77777777" w:rsidR="000E796D" w:rsidRPr="007479C6" w:rsidRDefault="000E796D" w:rsidP="000E796D">
      <w:pPr>
        <w:widowControl w:val="0"/>
        <w:overflowPunct w:val="0"/>
        <w:autoSpaceDE w:val="0"/>
        <w:autoSpaceDN w:val="0"/>
        <w:adjustRightInd w:val="0"/>
        <w:spacing w:after="0" w:line="240" w:lineRule="auto"/>
        <w:ind w:firstLine="284"/>
        <w:jc w:val="both"/>
        <w:rPr>
          <w:rFonts w:ascii="Garamond" w:hAnsi="Garamond"/>
          <w:sz w:val="24"/>
          <w:szCs w:val="24"/>
        </w:rPr>
      </w:pPr>
      <w:r w:rsidRPr="007479C6">
        <w:rPr>
          <w:rFonts w:ascii="Garamond" w:hAnsi="Garamond"/>
          <w:sz w:val="24"/>
          <w:szCs w:val="24"/>
        </w:rPr>
        <w:t>Institucione të tjera mund të shtohen nëse janë në përputhje me programin.</w:t>
      </w:r>
    </w:p>
    <w:p w14:paraId="70B94B83" w14:textId="09674EFE" w:rsidR="000E796D" w:rsidRPr="007479C6" w:rsidRDefault="00A3470C" w:rsidP="00A3470C">
      <w:pPr>
        <w:pStyle w:val="TEKSTI"/>
      </w:pPr>
      <w:r>
        <w:rPr>
          <w:u w:val="single"/>
        </w:rPr>
        <w:t xml:space="preserve">b) </w:t>
      </w:r>
      <w:r w:rsidR="000E796D" w:rsidRPr="007479C6">
        <w:rPr>
          <w:u w:val="single"/>
        </w:rPr>
        <w:t>Kriteret kyçe të përzgjedhjes</w:t>
      </w:r>
      <w:r w:rsidR="000E796D" w:rsidRPr="007479C6">
        <w:t xml:space="preserve">  janë kapaciteti financiar dhe operacional i aplikuesit. </w:t>
      </w:r>
    </w:p>
    <w:p w14:paraId="0DA1C1B5" w14:textId="5B4E128E" w:rsidR="000E796D" w:rsidRPr="007479C6" w:rsidRDefault="00A3470C" w:rsidP="00A3470C">
      <w:pPr>
        <w:pStyle w:val="TEKSTI"/>
      </w:pPr>
      <w:r>
        <w:rPr>
          <w:u w:val="single"/>
        </w:rPr>
        <w:t xml:space="preserve">c) </w:t>
      </w:r>
      <w:r w:rsidR="000E796D" w:rsidRPr="007479C6">
        <w:rPr>
          <w:u w:val="single"/>
        </w:rPr>
        <w:t>Kriteret thelbësore të dhënies së grantit</w:t>
      </w:r>
      <w:r w:rsidR="000E796D" w:rsidRPr="007479C6">
        <w:t xml:space="preserve"> janë relevanca, efektiviteti, fizibilitetit, qëndrueshmëria dhe kostoja e efektivitetit të veprimit. </w:t>
      </w:r>
    </w:p>
    <w:p w14:paraId="01C9E8AF" w14:textId="5D2AB8D6" w:rsidR="000E796D" w:rsidRPr="007479C6" w:rsidRDefault="00A3470C" w:rsidP="00A3470C">
      <w:pPr>
        <w:pStyle w:val="TEKSTI"/>
      </w:pPr>
      <w:r>
        <w:t xml:space="preserve">d) </w:t>
      </w:r>
      <w:r w:rsidR="000E796D" w:rsidRPr="007479C6">
        <w:t xml:space="preserve">Shkalla maksimale e bashkë-financimit të BE-së për grante në bazë të kërkesave është 85% e kostos së pranueshme të projektit. </w:t>
      </w:r>
    </w:p>
    <w:p w14:paraId="512CCE81" w14:textId="4B01CF1F" w:rsidR="000E796D" w:rsidRPr="007479C6" w:rsidRDefault="00A3470C" w:rsidP="00A3470C">
      <w:pPr>
        <w:pStyle w:val="TEKSTI"/>
      </w:pPr>
      <w:r>
        <w:t xml:space="preserve">e) </w:t>
      </w:r>
      <w:r w:rsidR="000E796D" w:rsidRPr="007479C6">
        <w:t>Shuma indikative e thirrjes/ve: 4.930.000 EURO</w:t>
      </w:r>
    </w:p>
    <w:p w14:paraId="423D590A" w14:textId="1F73A8E3" w:rsidR="000E796D" w:rsidRPr="007479C6" w:rsidRDefault="00A3470C" w:rsidP="00A3470C">
      <w:pPr>
        <w:pStyle w:val="TEKSTI"/>
      </w:pPr>
      <w:r>
        <w:t xml:space="preserve">f) </w:t>
      </w:r>
      <w:r w:rsidR="000E796D" w:rsidRPr="007479C6">
        <w:t>Strukturat përgjegjëse mund të vendosin të publikojnë më shumë se një thirrje për propozime. Çdo kërkesë për propozime do të ketë të njëjtat objektiva, rezultate dhe përshtatshmëri, përzgjedhje dhe dhënie kriteresh thelbësore, siç përshkruhet më sipër. Çdo kontratë granti do të financohet nga një angazhim buxhetor. Strukturat përgjegjëse mund të vendosin të bashkojnë alokimet e 2018, 2019 dhe 2020 me alokimet e mëvonshme të buxhetit.</w:t>
      </w:r>
    </w:p>
    <w:p w14:paraId="46C10EBB" w14:textId="3322D106" w:rsidR="000E796D" w:rsidRPr="007479C6" w:rsidRDefault="00A3470C" w:rsidP="00A3470C">
      <w:pPr>
        <w:pStyle w:val="TEKSTI"/>
      </w:pPr>
      <w:r>
        <w:t xml:space="preserve">g) </w:t>
      </w:r>
      <w:r w:rsidR="000E796D" w:rsidRPr="007479C6">
        <w:t xml:space="preserve">Datë indikative për fillimin e thirrjes/ për propozime: gjashtëmujori i dytë i vitit 2020 për alokimet e viteve 2018, 2019 dhe 2020 për tu shpallur në një thirrje për propozime. </w:t>
      </w:r>
    </w:p>
    <w:p w14:paraId="775EE822" w14:textId="77777777" w:rsidR="000E796D" w:rsidRPr="007479C6" w:rsidRDefault="000E796D" w:rsidP="000E796D">
      <w:pPr>
        <w:widowControl w:val="0"/>
        <w:autoSpaceDE w:val="0"/>
        <w:autoSpaceDN w:val="0"/>
        <w:adjustRightInd w:val="0"/>
        <w:spacing w:after="0" w:line="240" w:lineRule="auto"/>
        <w:ind w:firstLine="284"/>
        <w:rPr>
          <w:rFonts w:ascii="Garamond" w:hAnsi="Garamond"/>
          <w:sz w:val="24"/>
          <w:szCs w:val="24"/>
        </w:rPr>
      </w:pPr>
    </w:p>
    <w:p w14:paraId="0EFC5624" w14:textId="77777777" w:rsidR="000E796D" w:rsidRPr="007479C6" w:rsidRDefault="000E796D" w:rsidP="000E796D">
      <w:pPr>
        <w:widowControl w:val="0"/>
        <w:autoSpaceDE w:val="0"/>
        <w:autoSpaceDN w:val="0"/>
        <w:adjustRightInd w:val="0"/>
        <w:spacing w:after="0" w:line="240" w:lineRule="auto"/>
        <w:ind w:firstLine="284"/>
        <w:rPr>
          <w:rFonts w:ascii="Garamond" w:hAnsi="Garamond"/>
          <w:sz w:val="24"/>
          <w:szCs w:val="24"/>
        </w:rPr>
      </w:pPr>
    </w:p>
    <w:p w14:paraId="0C5DD706" w14:textId="77777777" w:rsidR="000E796D" w:rsidRDefault="000E796D" w:rsidP="003F34EA">
      <w:pPr>
        <w:spacing w:after="0" w:line="240" w:lineRule="auto"/>
        <w:jc w:val="both"/>
        <w:rPr>
          <w:rFonts w:ascii="Times New Roman" w:hAnsi="Times New Roman" w:cs="Times New Roman"/>
          <w:bCs/>
          <w:sz w:val="24"/>
          <w:szCs w:val="24"/>
        </w:rPr>
      </w:pPr>
    </w:p>
    <w:p w14:paraId="06D7A55E" w14:textId="77777777" w:rsidR="006850CC" w:rsidRDefault="006850CC" w:rsidP="003F34EA">
      <w:pPr>
        <w:spacing w:after="0" w:line="240" w:lineRule="auto"/>
        <w:jc w:val="both"/>
        <w:rPr>
          <w:rFonts w:ascii="Times New Roman" w:hAnsi="Times New Roman" w:cs="Times New Roman"/>
          <w:bCs/>
          <w:sz w:val="24"/>
          <w:szCs w:val="24"/>
        </w:rPr>
      </w:pPr>
    </w:p>
    <w:p w14:paraId="6D90D068" w14:textId="77777777" w:rsidR="006850CC" w:rsidRDefault="006850CC" w:rsidP="003F34EA">
      <w:pPr>
        <w:spacing w:after="0" w:line="240" w:lineRule="auto"/>
        <w:jc w:val="both"/>
        <w:rPr>
          <w:rFonts w:ascii="Times New Roman" w:hAnsi="Times New Roman" w:cs="Times New Roman"/>
          <w:bCs/>
          <w:sz w:val="24"/>
          <w:szCs w:val="24"/>
        </w:rPr>
        <w:sectPr w:rsidR="006850CC" w:rsidSect="008D0C79">
          <w:pgSz w:w="11906" w:h="16838" w:code="9"/>
          <w:pgMar w:top="1418" w:right="1418" w:bottom="1418" w:left="1418" w:header="1304" w:footer="1134" w:gutter="0"/>
          <w:cols w:space="708"/>
          <w:docGrid w:linePitch="360"/>
        </w:sectPr>
      </w:pPr>
    </w:p>
    <w:p w14:paraId="53AE51F2" w14:textId="1155BD11" w:rsidR="006850CC" w:rsidRPr="006850CC" w:rsidRDefault="006850CC" w:rsidP="006850CC">
      <w:pPr>
        <w:pStyle w:val="TEKSTI"/>
        <w:rPr>
          <w:b/>
        </w:rPr>
      </w:pPr>
      <w:r w:rsidRPr="006850CC">
        <w:rPr>
          <w:b/>
        </w:rPr>
        <w:t>3. BUXHETI</w:t>
      </w:r>
    </w:p>
    <w:p w14:paraId="5D023ED3" w14:textId="3AD4AA56" w:rsidR="006850CC" w:rsidRDefault="006850CC" w:rsidP="006850CC">
      <w:pPr>
        <w:widowControl w:val="0"/>
        <w:autoSpaceDE w:val="0"/>
        <w:autoSpaceDN w:val="0"/>
        <w:adjustRightInd w:val="0"/>
        <w:spacing w:after="0" w:line="200" w:lineRule="exact"/>
        <w:rPr>
          <w:rFonts w:ascii="Times New Roman" w:hAnsi="Times New Roman"/>
          <w:sz w:val="24"/>
          <w:szCs w:val="24"/>
        </w:rPr>
      </w:pPr>
      <w:r>
        <w:rPr>
          <w:rFonts w:ascii="Times New Roman" w:hAnsi="Times New Roman"/>
          <w:noProof/>
          <w:sz w:val="24"/>
          <w:szCs w:val="24"/>
          <w:lang w:eastAsia="sq-AL"/>
        </w:rPr>
        <mc:AlternateContent>
          <mc:Choice Requires="wps">
            <w:drawing>
              <wp:anchor distT="0" distB="0" distL="114300" distR="114300" simplePos="0" relativeHeight="251658240" behindDoc="1" locked="0" layoutInCell="0" allowOverlap="1" wp14:anchorId="67980FBA" wp14:editId="77F6A0D9">
                <wp:simplePos x="0" y="0"/>
                <wp:positionH relativeFrom="column">
                  <wp:posOffset>9093835</wp:posOffset>
                </wp:positionH>
                <wp:positionV relativeFrom="paragraph">
                  <wp:posOffset>559435</wp:posOffset>
                </wp:positionV>
                <wp:extent cx="127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A835A6" id="Rectangle 2" o:spid="_x0000_s1026" style="position:absolute;margin-left:716.05pt;margin-top:44.0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FncwIAAPg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" o:allowincell="f" fillcolor="black" stroked="f"/>
            </w:pict>
          </mc:Fallback>
        </mc:AlternateContent>
      </w:r>
      <w:r>
        <w:rPr>
          <w:rFonts w:ascii="Times New Roman" w:hAnsi="Times New Roman"/>
          <w:noProof/>
          <w:sz w:val="24"/>
          <w:szCs w:val="24"/>
          <w:lang w:eastAsia="sq-AL"/>
        </w:rPr>
        <mc:AlternateContent>
          <mc:Choice Requires="wps">
            <w:drawing>
              <wp:anchor distT="0" distB="0" distL="114300" distR="114300" simplePos="0" relativeHeight="251658241" behindDoc="1" locked="0" layoutInCell="0" allowOverlap="1" wp14:anchorId="4FA04CC7" wp14:editId="064F3846">
                <wp:simplePos x="0" y="0"/>
                <wp:positionH relativeFrom="column">
                  <wp:posOffset>10064750</wp:posOffset>
                </wp:positionH>
                <wp:positionV relativeFrom="paragraph">
                  <wp:posOffset>559435</wp:posOffset>
                </wp:positionV>
                <wp:extent cx="1270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CCA2909" id="Rectangle 1" o:spid="_x0000_s1026" style="position:absolute;margin-left:792.5pt;margin-top:44.05pt;width:1pt;height:.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" o:allowincell="f" fillcolor="black" stroked="f"/>
            </w:pict>
          </mc:Fallback>
        </mc:AlternateContent>
      </w:r>
    </w:p>
    <w:p w14:paraId="0B977379" w14:textId="77777777" w:rsidR="0007044D" w:rsidRPr="0057499A" w:rsidRDefault="0007044D" w:rsidP="006850CC">
      <w:pPr>
        <w:widowControl w:val="0"/>
        <w:autoSpaceDE w:val="0"/>
        <w:autoSpaceDN w:val="0"/>
        <w:adjustRightInd w:val="0"/>
        <w:spacing w:after="0" w:line="200" w:lineRule="exact"/>
        <w:rPr>
          <w:rFonts w:ascii="Times New Roman" w:hAnsi="Times New Roman"/>
          <w:sz w:val="24"/>
          <w:szCs w:val="24"/>
        </w:rPr>
      </w:pPr>
    </w:p>
    <w:tbl>
      <w:tblPr>
        <w:tblpPr w:leftFromText="180" w:rightFromText="180" w:vertAnchor="page" w:horzAnchor="margin" w:tblpXSpec="center" w:tblpY="2221"/>
        <w:tblW w:w="14778" w:type="dxa"/>
        <w:tblLayout w:type="fixed"/>
        <w:tblLook w:val="04A0" w:firstRow="1" w:lastRow="0" w:firstColumn="1" w:lastColumn="0" w:noHBand="0" w:noVBand="1"/>
      </w:tblPr>
      <w:tblGrid>
        <w:gridCol w:w="1080"/>
        <w:gridCol w:w="1170"/>
        <w:gridCol w:w="1260"/>
        <w:gridCol w:w="1170"/>
        <w:gridCol w:w="1098"/>
        <w:gridCol w:w="1170"/>
        <w:gridCol w:w="1080"/>
        <w:gridCol w:w="1170"/>
        <w:gridCol w:w="1080"/>
        <w:gridCol w:w="1170"/>
        <w:gridCol w:w="1134"/>
        <w:gridCol w:w="1026"/>
        <w:gridCol w:w="1170"/>
      </w:tblGrid>
      <w:tr w:rsidR="006850CC" w:rsidRPr="006850CC" w14:paraId="44DE6966" w14:textId="77777777" w:rsidTr="006850CC">
        <w:trPr>
          <w:trHeight w:val="406"/>
        </w:trPr>
        <w:tc>
          <w:tcPr>
            <w:tcW w:w="468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3A3115CB"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2018</w:t>
            </w:r>
          </w:p>
        </w:tc>
        <w:tc>
          <w:tcPr>
            <w:tcW w:w="4518" w:type="dxa"/>
            <w:gridSpan w:val="4"/>
            <w:tcBorders>
              <w:top w:val="single" w:sz="8" w:space="0" w:color="auto"/>
              <w:left w:val="nil"/>
              <w:bottom w:val="single" w:sz="8" w:space="0" w:color="auto"/>
              <w:right w:val="single" w:sz="8" w:space="0" w:color="000000"/>
            </w:tcBorders>
            <w:shd w:val="clear" w:color="auto" w:fill="auto"/>
            <w:vAlign w:val="center"/>
            <w:hideMark/>
          </w:tcPr>
          <w:p w14:paraId="081DF13B"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2019</w:t>
            </w:r>
          </w:p>
        </w:tc>
        <w:tc>
          <w:tcPr>
            <w:tcW w:w="4410" w:type="dxa"/>
            <w:gridSpan w:val="4"/>
            <w:tcBorders>
              <w:top w:val="single" w:sz="8" w:space="0" w:color="auto"/>
              <w:left w:val="nil"/>
              <w:bottom w:val="single" w:sz="8" w:space="0" w:color="auto"/>
              <w:right w:val="single" w:sz="4" w:space="0" w:color="auto"/>
            </w:tcBorders>
            <w:shd w:val="clear" w:color="auto" w:fill="auto"/>
            <w:vAlign w:val="center"/>
            <w:hideMark/>
          </w:tcPr>
          <w:p w14:paraId="7FBC07CC"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2020</w:t>
            </w:r>
          </w:p>
        </w:tc>
        <w:tc>
          <w:tcPr>
            <w:tcW w:w="1170" w:type="dxa"/>
            <w:tcBorders>
              <w:top w:val="single" w:sz="4" w:space="0" w:color="auto"/>
              <w:left w:val="single" w:sz="4" w:space="0" w:color="auto"/>
              <w:bottom w:val="nil"/>
              <w:right w:val="single" w:sz="4" w:space="0" w:color="auto"/>
            </w:tcBorders>
            <w:shd w:val="clear" w:color="auto" w:fill="auto"/>
            <w:vAlign w:val="center"/>
            <w:hideMark/>
          </w:tcPr>
          <w:p w14:paraId="6B84131E" w14:textId="77777777" w:rsidR="006850CC" w:rsidRPr="006850CC" w:rsidRDefault="006850CC" w:rsidP="006850CC">
            <w:pPr>
              <w:spacing w:after="0" w:line="240" w:lineRule="auto"/>
              <w:jc w:val="center"/>
              <w:rPr>
                <w:rFonts w:ascii="Garamond" w:hAnsi="Garamond"/>
                <w:b/>
                <w:bCs/>
                <w:color w:val="000000"/>
                <w:spacing w:val="-4"/>
                <w:sz w:val="14"/>
                <w:szCs w:val="14"/>
              </w:rPr>
            </w:pPr>
          </w:p>
        </w:tc>
      </w:tr>
      <w:tr w:rsidR="006850CC" w:rsidRPr="006850CC" w14:paraId="76F136E1" w14:textId="77777777" w:rsidTr="006850CC">
        <w:trPr>
          <w:trHeight w:val="694"/>
        </w:trPr>
        <w:tc>
          <w:tcPr>
            <w:tcW w:w="1080" w:type="dxa"/>
            <w:tcBorders>
              <w:left w:val="single" w:sz="8" w:space="0" w:color="auto"/>
              <w:bottom w:val="single" w:sz="8" w:space="0" w:color="000000"/>
              <w:right w:val="single" w:sz="8" w:space="0" w:color="auto"/>
            </w:tcBorders>
            <w:shd w:val="clear" w:color="auto" w:fill="auto"/>
            <w:vAlign w:val="center"/>
            <w:hideMark/>
          </w:tcPr>
          <w:p w14:paraId="237E3F81" w14:textId="77777777" w:rsidR="006850CC" w:rsidRPr="006850CC" w:rsidRDefault="006850CC" w:rsidP="006850CC">
            <w:pPr>
              <w:spacing w:after="0" w:line="240" w:lineRule="auto"/>
              <w:rPr>
                <w:rFonts w:ascii="Garamond" w:hAnsi="Garamond"/>
                <w:color w:val="000000"/>
                <w:spacing w:val="-4"/>
                <w:sz w:val="14"/>
                <w:szCs w:val="14"/>
              </w:rPr>
            </w:pPr>
          </w:p>
        </w:tc>
        <w:tc>
          <w:tcPr>
            <w:tcW w:w="1170" w:type="dxa"/>
            <w:tcBorders>
              <w:top w:val="nil"/>
              <w:left w:val="nil"/>
              <w:bottom w:val="single" w:sz="8" w:space="0" w:color="auto"/>
              <w:right w:val="single" w:sz="8" w:space="0" w:color="auto"/>
            </w:tcBorders>
            <w:shd w:val="clear" w:color="auto" w:fill="auto"/>
            <w:vAlign w:val="center"/>
            <w:hideMark/>
          </w:tcPr>
          <w:p w14:paraId="3D56FC59"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Kontributi i Unionit*</w:t>
            </w:r>
          </w:p>
        </w:tc>
        <w:tc>
          <w:tcPr>
            <w:tcW w:w="1260" w:type="dxa"/>
            <w:tcBorders>
              <w:top w:val="nil"/>
              <w:left w:val="nil"/>
              <w:bottom w:val="single" w:sz="8" w:space="0" w:color="auto"/>
              <w:right w:val="single" w:sz="8" w:space="0" w:color="auto"/>
            </w:tcBorders>
            <w:shd w:val="clear" w:color="auto" w:fill="auto"/>
            <w:vAlign w:val="center"/>
            <w:hideMark/>
          </w:tcPr>
          <w:p w14:paraId="4D1BBCEB" w14:textId="77777777" w:rsidR="006850CC" w:rsidRPr="006850CC" w:rsidRDefault="006850CC" w:rsidP="006850CC">
            <w:pPr>
              <w:spacing w:after="0" w:line="240" w:lineRule="auto"/>
              <w:jc w:val="center"/>
              <w:rPr>
                <w:rFonts w:ascii="Garamond" w:hAnsi="Garamond"/>
                <w:spacing w:val="-4"/>
                <w:w w:val="99"/>
                <w:sz w:val="14"/>
                <w:szCs w:val="14"/>
              </w:rPr>
            </w:pPr>
            <w:r w:rsidRPr="006850CC">
              <w:rPr>
                <w:rFonts w:ascii="Garamond" w:hAnsi="Garamond"/>
                <w:spacing w:val="-4"/>
                <w:w w:val="99"/>
                <w:sz w:val="14"/>
                <w:szCs w:val="14"/>
              </w:rPr>
              <w:t>Bashkëfinancimi i përfituesit/ve të Granteve</w:t>
            </w:r>
            <w:r w:rsidRPr="006850CC">
              <w:rPr>
                <w:rFonts w:ascii="Garamond" w:hAnsi="Garamond"/>
                <w:color w:val="000000"/>
                <w:spacing w:val="-4"/>
                <w:sz w:val="14"/>
                <w:szCs w:val="14"/>
              </w:rPr>
              <w:t>**</w:t>
            </w:r>
          </w:p>
        </w:tc>
        <w:tc>
          <w:tcPr>
            <w:tcW w:w="1170" w:type="dxa"/>
            <w:tcBorders>
              <w:top w:val="nil"/>
              <w:left w:val="single" w:sz="8" w:space="0" w:color="auto"/>
              <w:bottom w:val="single" w:sz="8" w:space="0" w:color="000000"/>
              <w:right w:val="single" w:sz="8" w:space="0" w:color="auto"/>
            </w:tcBorders>
            <w:shd w:val="clear" w:color="auto" w:fill="auto"/>
            <w:vAlign w:val="center"/>
            <w:hideMark/>
          </w:tcPr>
          <w:p w14:paraId="3C2B745D"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Totali i shpenzimeve</w:t>
            </w:r>
          </w:p>
        </w:tc>
        <w:tc>
          <w:tcPr>
            <w:tcW w:w="1098" w:type="dxa"/>
            <w:tcBorders>
              <w:top w:val="nil"/>
              <w:left w:val="single" w:sz="8" w:space="0" w:color="auto"/>
              <w:bottom w:val="single" w:sz="8" w:space="0" w:color="000000"/>
              <w:right w:val="single" w:sz="8" w:space="0" w:color="auto"/>
            </w:tcBorders>
            <w:shd w:val="clear" w:color="auto" w:fill="auto"/>
            <w:vAlign w:val="center"/>
            <w:hideMark/>
          </w:tcPr>
          <w:p w14:paraId="6A1BEA53" w14:textId="77777777" w:rsidR="006850CC" w:rsidRPr="006850CC" w:rsidRDefault="006850CC" w:rsidP="006850CC">
            <w:pPr>
              <w:spacing w:after="0" w:line="240" w:lineRule="auto"/>
              <w:jc w:val="center"/>
              <w:rPr>
                <w:rFonts w:ascii="Garamond" w:hAnsi="Garamond"/>
                <w:color w:val="000000"/>
                <w:spacing w:val="-4"/>
                <w:sz w:val="14"/>
                <w:szCs w:val="14"/>
              </w:rPr>
            </w:pPr>
          </w:p>
        </w:tc>
        <w:tc>
          <w:tcPr>
            <w:tcW w:w="1170" w:type="dxa"/>
            <w:tcBorders>
              <w:top w:val="nil"/>
              <w:left w:val="nil"/>
              <w:bottom w:val="single" w:sz="8" w:space="0" w:color="auto"/>
              <w:right w:val="single" w:sz="8" w:space="0" w:color="auto"/>
            </w:tcBorders>
            <w:shd w:val="clear" w:color="auto" w:fill="auto"/>
            <w:vAlign w:val="center"/>
            <w:hideMark/>
          </w:tcPr>
          <w:p w14:paraId="4BF96A7D"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Kontributi i Unionit</w:t>
            </w:r>
          </w:p>
        </w:tc>
        <w:tc>
          <w:tcPr>
            <w:tcW w:w="1080" w:type="dxa"/>
            <w:tcBorders>
              <w:top w:val="nil"/>
              <w:left w:val="nil"/>
              <w:bottom w:val="single" w:sz="8" w:space="0" w:color="auto"/>
              <w:right w:val="single" w:sz="8" w:space="0" w:color="auto"/>
            </w:tcBorders>
            <w:shd w:val="clear" w:color="auto" w:fill="auto"/>
            <w:vAlign w:val="center"/>
            <w:hideMark/>
          </w:tcPr>
          <w:p w14:paraId="3A770C4F"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spacing w:val="-4"/>
                <w:w w:val="99"/>
                <w:sz w:val="14"/>
                <w:szCs w:val="14"/>
              </w:rPr>
              <w:t>Bashkëfinancimi i përfituesit/ve të Granteve</w:t>
            </w:r>
          </w:p>
        </w:tc>
        <w:tc>
          <w:tcPr>
            <w:tcW w:w="1170" w:type="dxa"/>
            <w:tcBorders>
              <w:top w:val="nil"/>
              <w:left w:val="single" w:sz="8" w:space="0" w:color="auto"/>
              <w:bottom w:val="single" w:sz="8" w:space="0" w:color="000000"/>
              <w:right w:val="single" w:sz="8" w:space="0" w:color="auto"/>
            </w:tcBorders>
            <w:shd w:val="clear" w:color="auto" w:fill="auto"/>
            <w:vAlign w:val="center"/>
            <w:hideMark/>
          </w:tcPr>
          <w:p w14:paraId="042016CF"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Totali i shpenzimeve</w:t>
            </w:r>
          </w:p>
        </w:tc>
        <w:tc>
          <w:tcPr>
            <w:tcW w:w="1080" w:type="dxa"/>
            <w:tcBorders>
              <w:top w:val="nil"/>
              <w:left w:val="single" w:sz="8" w:space="0" w:color="auto"/>
              <w:bottom w:val="single" w:sz="8" w:space="0" w:color="000000"/>
              <w:right w:val="single" w:sz="8" w:space="0" w:color="auto"/>
            </w:tcBorders>
            <w:shd w:val="clear" w:color="auto" w:fill="auto"/>
            <w:vAlign w:val="center"/>
            <w:hideMark/>
          </w:tcPr>
          <w:p w14:paraId="5E17AA16" w14:textId="77777777" w:rsidR="006850CC" w:rsidRPr="006850CC" w:rsidRDefault="006850CC" w:rsidP="006850CC">
            <w:pPr>
              <w:spacing w:after="0" w:line="240" w:lineRule="auto"/>
              <w:jc w:val="center"/>
              <w:rPr>
                <w:rFonts w:ascii="Garamond" w:hAnsi="Garamond"/>
                <w:color w:val="000000"/>
                <w:spacing w:val="-4"/>
                <w:sz w:val="14"/>
                <w:szCs w:val="14"/>
              </w:rPr>
            </w:pPr>
          </w:p>
        </w:tc>
        <w:tc>
          <w:tcPr>
            <w:tcW w:w="1170" w:type="dxa"/>
            <w:tcBorders>
              <w:top w:val="nil"/>
              <w:left w:val="nil"/>
              <w:bottom w:val="single" w:sz="8" w:space="0" w:color="auto"/>
              <w:right w:val="single" w:sz="8" w:space="0" w:color="auto"/>
            </w:tcBorders>
            <w:shd w:val="clear" w:color="auto" w:fill="auto"/>
            <w:vAlign w:val="center"/>
            <w:hideMark/>
          </w:tcPr>
          <w:p w14:paraId="4CE4F23F"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Kontributi i Unionit</w:t>
            </w:r>
          </w:p>
        </w:tc>
        <w:tc>
          <w:tcPr>
            <w:tcW w:w="1134" w:type="dxa"/>
            <w:tcBorders>
              <w:top w:val="nil"/>
              <w:left w:val="nil"/>
              <w:bottom w:val="single" w:sz="8" w:space="0" w:color="auto"/>
              <w:right w:val="single" w:sz="8" w:space="0" w:color="auto"/>
            </w:tcBorders>
            <w:shd w:val="clear" w:color="auto" w:fill="auto"/>
            <w:vAlign w:val="center"/>
            <w:hideMark/>
          </w:tcPr>
          <w:p w14:paraId="062E3614" w14:textId="156892C6"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spacing w:val="-4"/>
                <w:w w:val="99"/>
                <w:sz w:val="14"/>
                <w:szCs w:val="14"/>
              </w:rPr>
              <w:t>Bashkëfinancimi i përfituesit</w:t>
            </w:r>
            <w:r>
              <w:rPr>
                <w:rFonts w:ascii="Garamond" w:hAnsi="Garamond"/>
                <w:spacing w:val="-4"/>
                <w:w w:val="99"/>
                <w:sz w:val="14"/>
                <w:szCs w:val="14"/>
              </w:rPr>
              <w:t xml:space="preserve"> </w:t>
            </w:r>
            <w:r w:rsidRPr="006850CC">
              <w:rPr>
                <w:rFonts w:ascii="Garamond" w:hAnsi="Garamond"/>
                <w:spacing w:val="-4"/>
                <w:w w:val="99"/>
                <w:sz w:val="14"/>
                <w:szCs w:val="14"/>
              </w:rPr>
              <w:t>/</w:t>
            </w:r>
            <w:r>
              <w:rPr>
                <w:rFonts w:ascii="Garamond" w:hAnsi="Garamond"/>
                <w:spacing w:val="-4"/>
                <w:w w:val="99"/>
                <w:sz w:val="14"/>
                <w:szCs w:val="14"/>
              </w:rPr>
              <w:t xml:space="preserve"> </w:t>
            </w:r>
            <w:r w:rsidRPr="006850CC">
              <w:rPr>
                <w:rFonts w:ascii="Garamond" w:hAnsi="Garamond"/>
                <w:spacing w:val="-4"/>
                <w:w w:val="99"/>
                <w:sz w:val="14"/>
                <w:szCs w:val="14"/>
              </w:rPr>
              <w:t>ve të Granteve</w:t>
            </w:r>
          </w:p>
        </w:tc>
        <w:tc>
          <w:tcPr>
            <w:tcW w:w="1026" w:type="dxa"/>
            <w:tcBorders>
              <w:top w:val="nil"/>
              <w:left w:val="single" w:sz="8" w:space="0" w:color="auto"/>
              <w:bottom w:val="single" w:sz="8" w:space="0" w:color="000000"/>
              <w:right w:val="single" w:sz="4" w:space="0" w:color="auto"/>
            </w:tcBorders>
            <w:shd w:val="clear" w:color="auto" w:fill="auto"/>
            <w:vAlign w:val="center"/>
            <w:hideMark/>
          </w:tcPr>
          <w:p w14:paraId="35DD52EA"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Totali i shpenzimeve</w:t>
            </w:r>
          </w:p>
        </w:tc>
        <w:tc>
          <w:tcPr>
            <w:tcW w:w="1170" w:type="dxa"/>
            <w:tcBorders>
              <w:left w:val="single" w:sz="4" w:space="0" w:color="auto"/>
              <w:bottom w:val="single" w:sz="8" w:space="0" w:color="auto"/>
              <w:right w:val="single" w:sz="4" w:space="0" w:color="auto"/>
            </w:tcBorders>
            <w:shd w:val="clear" w:color="auto" w:fill="auto"/>
            <w:vAlign w:val="center"/>
            <w:hideMark/>
          </w:tcPr>
          <w:p w14:paraId="06C2B6F3"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Vendimi i përgjithshëm i financimit</w:t>
            </w:r>
          </w:p>
        </w:tc>
      </w:tr>
      <w:tr w:rsidR="006850CC" w:rsidRPr="006850CC" w14:paraId="787AE654" w14:textId="77777777" w:rsidTr="006850CC">
        <w:trPr>
          <w:trHeight w:val="317"/>
        </w:trPr>
        <w:tc>
          <w:tcPr>
            <w:tcW w:w="1080" w:type="dxa"/>
            <w:tcBorders>
              <w:top w:val="nil"/>
              <w:left w:val="single" w:sz="8" w:space="0" w:color="auto"/>
              <w:bottom w:val="single" w:sz="4" w:space="0" w:color="auto"/>
              <w:right w:val="single" w:sz="4" w:space="0" w:color="auto"/>
            </w:tcBorders>
            <w:shd w:val="clear" w:color="auto" w:fill="auto"/>
            <w:vAlign w:val="center"/>
            <w:hideMark/>
          </w:tcPr>
          <w:p w14:paraId="1ED35532" w14:textId="77777777" w:rsidR="006850CC" w:rsidRPr="006850CC" w:rsidRDefault="006850CC" w:rsidP="006850CC">
            <w:pPr>
              <w:spacing w:after="0" w:line="240" w:lineRule="auto"/>
              <w:jc w:val="both"/>
              <w:rPr>
                <w:rFonts w:ascii="Garamond" w:hAnsi="Garamond"/>
                <w:bCs/>
                <w:color w:val="000000"/>
                <w:spacing w:val="-4"/>
                <w:sz w:val="14"/>
                <w:szCs w:val="14"/>
              </w:rPr>
            </w:pPr>
            <w:r w:rsidRPr="006850CC">
              <w:rPr>
                <w:rFonts w:ascii="Garamond" w:hAnsi="Garamond"/>
                <w:spacing w:val="-4"/>
                <w:sz w:val="14"/>
                <w:szCs w:val="14"/>
              </w:rPr>
              <w:t>Projektet BNK</w:t>
            </w:r>
          </w:p>
        </w:tc>
        <w:tc>
          <w:tcPr>
            <w:tcW w:w="1170" w:type="dxa"/>
            <w:tcBorders>
              <w:top w:val="nil"/>
              <w:left w:val="nil"/>
              <w:bottom w:val="single" w:sz="4" w:space="0" w:color="auto"/>
              <w:right w:val="single" w:sz="4" w:space="0" w:color="auto"/>
            </w:tcBorders>
            <w:shd w:val="clear" w:color="auto" w:fill="auto"/>
            <w:noWrap/>
            <w:vAlign w:val="center"/>
            <w:hideMark/>
          </w:tcPr>
          <w:p w14:paraId="2C781198"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 1,700,000</w:t>
            </w:r>
          </w:p>
        </w:tc>
        <w:tc>
          <w:tcPr>
            <w:tcW w:w="1260" w:type="dxa"/>
            <w:tcBorders>
              <w:top w:val="nil"/>
              <w:left w:val="nil"/>
              <w:bottom w:val="single" w:sz="4" w:space="0" w:color="auto"/>
              <w:right w:val="single" w:sz="4" w:space="0" w:color="auto"/>
            </w:tcBorders>
            <w:shd w:val="clear" w:color="auto" w:fill="auto"/>
            <w:noWrap/>
            <w:vAlign w:val="center"/>
            <w:hideMark/>
          </w:tcPr>
          <w:p w14:paraId="1547B110"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300,000 </w:t>
            </w:r>
          </w:p>
        </w:tc>
        <w:tc>
          <w:tcPr>
            <w:tcW w:w="1170" w:type="dxa"/>
            <w:tcBorders>
              <w:top w:val="nil"/>
              <w:left w:val="nil"/>
              <w:bottom w:val="single" w:sz="4" w:space="0" w:color="auto"/>
              <w:right w:val="single" w:sz="8" w:space="0" w:color="auto"/>
            </w:tcBorders>
            <w:shd w:val="clear" w:color="auto" w:fill="auto"/>
            <w:noWrap/>
            <w:vAlign w:val="center"/>
            <w:hideMark/>
          </w:tcPr>
          <w:p w14:paraId="7A60792B"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2,000,000 </w:t>
            </w:r>
          </w:p>
        </w:tc>
        <w:tc>
          <w:tcPr>
            <w:tcW w:w="1098" w:type="dxa"/>
            <w:tcBorders>
              <w:top w:val="nil"/>
              <w:left w:val="nil"/>
              <w:bottom w:val="single" w:sz="4" w:space="0" w:color="auto"/>
              <w:right w:val="single" w:sz="4" w:space="0" w:color="auto"/>
            </w:tcBorders>
            <w:shd w:val="clear" w:color="auto" w:fill="auto"/>
            <w:vAlign w:val="center"/>
            <w:hideMark/>
          </w:tcPr>
          <w:p w14:paraId="621555F6" w14:textId="77777777" w:rsidR="006850CC" w:rsidRPr="006850CC" w:rsidRDefault="006850CC" w:rsidP="006850CC">
            <w:pPr>
              <w:spacing w:after="0" w:line="240" w:lineRule="auto"/>
              <w:jc w:val="both"/>
              <w:rPr>
                <w:rFonts w:ascii="Garamond" w:hAnsi="Garamond"/>
                <w:bCs/>
                <w:color w:val="000000"/>
                <w:spacing w:val="-4"/>
                <w:sz w:val="14"/>
                <w:szCs w:val="14"/>
              </w:rPr>
            </w:pPr>
            <w:r w:rsidRPr="006850CC">
              <w:rPr>
                <w:rFonts w:ascii="Garamond" w:hAnsi="Garamond"/>
                <w:spacing w:val="-4"/>
                <w:sz w:val="14"/>
                <w:szCs w:val="14"/>
              </w:rPr>
              <w:t>Projektet BNK</w:t>
            </w:r>
          </w:p>
        </w:tc>
        <w:tc>
          <w:tcPr>
            <w:tcW w:w="1170" w:type="dxa"/>
            <w:tcBorders>
              <w:top w:val="nil"/>
              <w:left w:val="nil"/>
              <w:bottom w:val="single" w:sz="4" w:space="0" w:color="auto"/>
              <w:right w:val="single" w:sz="4" w:space="0" w:color="auto"/>
            </w:tcBorders>
            <w:shd w:val="clear" w:color="auto" w:fill="auto"/>
            <w:vAlign w:val="center"/>
            <w:hideMark/>
          </w:tcPr>
          <w:p w14:paraId="678FBB92" w14:textId="77777777" w:rsidR="006850CC" w:rsidRPr="006850CC" w:rsidRDefault="006850CC" w:rsidP="006850CC">
            <w:pPr>
              <w:spacing w:after="0" w:line="240" w:lineRule="auto"/>
              <w:rPr>
                <w:rFonts w:ascii="Garamond" w:hAnsi="Garamond"/>
                <w:color w:val="000000"/>
                <w:spacing w:val="-4"/>
                <w:sz w:val="14"/>
                <w:szCs w:val="14"/>
              </w:rPr>
            </w:pPr>
            <w:r w:rsidRPr="006850CC">
              <w:rPr>
                <w:rFonts w:ascii="Garamond" w:hAnsi="Garamond"/>
                <w:color w:val="000000"/>
                <w:spacing w:val="-4"/>
                <w:sz w:val="14"/>
                <w:szCs w:val="14"/>
              </w:rPr>
              <w:t>1,700,000</w:t>
            </w:r>
          </w:p>
        </w:tc>
        <w:tc>
          <w:tcPr>
            <w:tcW w:w="1080" w:type="dxa"/>
            <w:tcBorders>
              <w:top w:val="nil"/>
              <w:left w:val="nil"/>
              <w:bottom w:val="single" w:sz="4" w:space="0" w:color="auto"/>
              <w:right w:val="single" w:sz="4" w:space="0" w:color="auto"/>
            </w:tcBorders>
            <w:shd w:val="clear" w:color="auto" w:fill="auto"/>
            <w:vAlign w:val="center"/>
            <w:hideMark/>
          </w:tcPr>
          <w:p w14:paraId="101BBDE3"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300,000 </w:t>
            </w:r>
          </w:p>
        </w:tc>
        <w:tc>
          <w:tcPr>
            <w:tcW w:w="1170" w:type="dxa"/>
            <w:tcBorders>
              <w:top w:val="nil"/>
              <w:left w:val="nil"/>
              <w:bottom w:val="single" w:sz="4" w:space="0" w:color="auto"/>
              <w:right w:val="single" w:sz="8" w:space="0" w:color="auto"/>
            </w:tcBorders>
            <w:shd w:val="clear" w:color="auto" w:fill="auto"/>
            <w:vAlign w:val="center"/>
            <w:hideMark/>
          </w:tcPr>
          <w:p w14:paraId="13506BE2"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2,000,000 </w:t>
            </w:r>
          </w:p>
        </w:tc>
        <w:tc>
          <w:tcPr>
            <w:tcW w:w="1080" w:type="dxa"/>
            <w:tcBorders>
              <w:top w:val="nil"/>
              <w:left w:val="nil"/>
              <w:bottom w:val="single" w:sz="4" w:space="0" w:color="auto"/>
              <w:right w:val="single" w:sz="4" w:space="0" w:color="auto"/>
            </w:tcBorders>
            <w:shd w:val="clear" w:color="auto" w:fill="auto"/>
            <w:vAlign w:val="center"/>
            <w:hideMark/>
          </w:tcPr>
          <w:p w14:paraId="0F477C58" w14:textId="77777777" w:rsidR="006850CC" w:rsidRPr="006850CC" w:rsidRDefault="006850CC" w:rsidP="006850CC">
            <w:pPr>
              <w:spacing w:after="0" w:line="240" w:lineRule="auto"/>
              <w:jc w:val="both"/>
              <w:rPr>
                <w:rFonts w:ascii="Garamond" w:hAnsi="Garamond"/>
                <w:bCs/>
                <w:color w:val="000000"/>
                <w:spacing w:val="-4"/>
                <w:sz w:val="14"/>
                <w:szCs w:val="14"/>
              </w:rPr>
            </w:pPr>
            <w:r w:rsidRPr="006850CC">
              <w:rPr>
                <w:rFonts w:ascii="Garamond" w:hAnsi="Garamond"/>
                <w:spacing w:val="-4"/>
                <w:sz w:val="14"/>
                <w:szCs w:val="14"/>
              </w:rPr>
              <w:t>Projektet BNK</w:t>
            </w:r>
          </w:p>
        </w:tc>
        <w:tc>
          <w:tcPr>
            <w:tcW w:w="1170" w:type="dxa"/>
            <w:tcBorders>
              <w:top w:val="nil"/>
              <w:left w:val="nil"/>
              <w:bottom w:val="single" w:sz="4" w:space="0" w:color="auto"/>
              <w:right w:val="single" w:sz="4" w:space="0" w:color="auto"/>
            </w:tcBorders>
            <w:shd w:val="clear" w:color="auto" w:fill="auto"/>
            <w:vAlign w:val="center"/>
            <w:hideMark/>
          </w:tcPr>
          <w:p w14:paraId="4479FB22"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 1,530,000</w:t>
            </w:r>
          </w:p>
        </w:tc>
        <w:tc>
          <w:tcPr>
            <w:tcW w:w="1134" w:type="dxa"/>
            <w:tcBorders>
              <w:top w:val="nil"/>
              <w:left w:val="nil"/>
              <w:bottom w:val="single" w:sz="4" w:space="0" w:color="auto"/>
              <w:right w:val="single" w:sz="4" w:space="0" w:color="auto"/>
            </w:tcBorders>
            <w:shd w:val="clear" w:color="auto" w:fill="auto"/>
            <w:vAlign w:val="center"/>
            <w:hideMark/>
          </w:tcPr>
          <w:p w14:paraId="16A425EA"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270,000</w:t>
            </w:r>
          </w:p>
        </w:tc>
        <w:tc>
          <w:tcPr>
            <w:tcW w:w="1026" w:type="dxa"/>
            <w:tcBorders>
              <w:top w:val="nil"/>
              <w:left w:val="nil"/>
              <w:bottom w:val="single" w:sz="4" w:space="0" w:color="auto"/>
              <w:right w:val="single" w:sz="4" w:space="0" w:color="auto"/>
            </w:tcBorders>
            <w:shd w:val="clear" w:color="auto" w:fill="auto"/>
            <w:vAlign w:val="center"/>
            <w:hideMark/>
          </w:tcPr>
          <w:p w14:paraId="324F3E54"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1,800,000 </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14:paraId="2516D876"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4,930,000</w:t>
            </w:r>
          </w:p>
        </w:tc>
      </w:tr>
      <w:tr w:rsidR="006850CC" w:rsidRPr="006850CC" w14:paraId="58C6CED1" w14:textId="77777777" w:rsidTr="006850CC">
        <w:trPr>
          <w:trHeight w:val="317"/>
        </w:trPr>
        <w:tc>
          <w:tcPr>
            <w:tcW w:w="1080" w:type="dxa"/>
            <w:tcBorders>
              <w:top w:val="nil"/>
              <w:left w:val="single" w:sz="8" w:space="0" w:color="auto"/>
              <w:bottom w:val="single" w:sz="8" w:space="0" w:color="auto"/>
              <w:right w:val="single" w:sz="4" w:space="0" w:color="auto"/>
            </w:tcBorders>
            <w:shd w:val="clear" w:color="auto" w:fill="auto"/>
            <w:vAlign w:val="center"/>
          </w:tcPr>
          <w:p w14:paraId="1DE31EF3" w14:textId="77777777" w:rsidR="006850CC" w:rsidRPr="006850CC" w:rsidRDefault="006850CC" w:rsidP="006850CC">
            <w:pPr>
              <w:spacing w:after="0" w:line="240" w:lineRule="auto"/>
              <w:jc w:val="right"/>
              <w:rPr>
                <w:rFonts w:ascii="Garamond" w:hAnsi="Garamond"/>
                <w:b/>
                <w:bCs/>
                <w:color w:val="000000"/>
                <w:spacing w:val="-4"/>
                <w:sz w:val="14"/>
                <w:szCs w:val="14"/>
              </w:rPr>
            </w:pPr>
            <w:r w:rsidRPr="006850CC">
              <w:rPr>
                <w:rFonts w:ascii="Garamond" w:hAnsi="Garamond"/>
                <w:b/>
                <w:bCs/>
                <w:spacing w:val="-4"/>
                <w:sz w:val="14"/>
                <w:szCs w:val="14"/>
              </w:rPr>
              <w:t>në</w:t>
            </w:r>
            <w:r w:rsidRPr="006850CC">
              <w:rPr>
                <w:rFonts w:ascii="Garamond" w:hAnsi="Garamond"/>
                <w:b/>
                <w:bCs/>
                <w:color w:val="000000"/>
                <w:spacing w:val="-4"/>
                <w:sz w:val="14"/>
                <w:szCs w:val="14"/>
              </w:rPr>
              <w:t xml:space="preserve"> %</w:t>
            </w:r>
          </w:p>
        </w:tc>
        <w:tc>
          <w:tcPr>
            <w:tcW w:w="1170" w:type="dxa"/>
            <w:tcBorders>
              <w:top w:val="nil"/>
              <w:left w:val="nil"/>
              <w:bottom w:val="single" w:sz="8" w:space="0" w:color="auto"/>
              <w:right w:val="single" w:sz="4" w:space="0" w:color="auto"/>
            </w:tcBorders>
            <w:shd w:val="clear" w:color="auto" w:fill="auto"/>
            <w:noWrap/>
            <w:vAlign w:val="center"/>
          </w:tcPr>
          <w:p w14:paraId="2D2722A0"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85</w:t>
            </w:r>
          </w:p>
        </w:tc>
        <w:tc>
          <w:tcPr>
            <w:tcW w:w="1260" w:type="dxa"/>
            <w:tcBorders>
              <w:top w:val="nil"/>
              <w:left w:val="nil"/>
              <w:bottom w:val="single" w:sz="8" w:space="0" w:color="auto"/>
              <w:right w:val="single" w:sz="4" w:space="0" w:color="auto"/>
            </w:tcBorders>
            <w:shd w:val="clear" w:color="auto" w:fill="auto"/>
            <w:noWrap/>
            <w:vAlign w:val="center"/>
          </w:tcPr>
          <w:p w14:paraId="51681F81"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15</w:t>
            </w:r>
          </w:p>
        </w:tc>
        <w:tc>
          <w:tcPr>
            <w:tcW w:w="1170" w:type="dxa"/>
            <w:tcBorders>
              <w:top w:val="nil"/>
              <w:left w:val="nil"/>
              <w:bottom w:val="single" w:sz="8" w:space="0" w:color="auto"/>
              <w:right w:val="single" w:sz="8" w:space="0" w:color="auto"/>
            </w:tcBorders>
            <w:shd w:val="clear" w:color="auto" w:fill="auto"/>
            <w:noWrap/>
            <w:vAlign w:val="center"/>
          </w:tcPr>
          <w:p w14:paraId="228D675D"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100</w:t>
            </w:r>
          </w:p>
        </w:tc>
        <w:tc>
          <w:tcPr>
            <w:tcW w:w="1098" w:type="dxa"/>
            <w:tcBorders>
              <w:top w:val="nil"/>
              <w:left w:val="nil"/>
              <w:bottom w:val="single" w:sz="8" w:space="0" w:color="auto"/>
              <w:right w:val="single" w:sz="4" w:space="0" w:color="auto"/>
            </w:tcBorders>
            <w:shd w:val="clear" w:color="auto" w:fill="auto"/>
            <w:vAlign w:val="center"/>
          </w:tcPr>
          <w:p w14:paraId="25C329E9" w14:textId="77777777" w:rsidR="006850CC" w:rsidRPr="006850CC" w:rsidRDefault="006850CC" w:rsidP="006850CC">
            <w:pPr>
              <w:spacing w:after="0" w:line="240" w:lineRule="auto"/>
              <w:jc w:val="both"/>
              <w:rPr>
                <w:rFonts w:ascii="Garamond" w:hAnsi="Garamond"/>
                <w:b/>
                <w:bCs/>
                <w:color w:val="000000"/>
                <w:spacing w:val="-4"/>
                <w:sz w:val="14"/>
                <w:szCs w:val="14"/>
              </w:rPr>
            </w:pPr>
          </w:p>
        </w:tc>
        <w:tc>
          <w:tcPr>
            <w:tcW w:w="1170" w:type="dxa"/>
            <w:tcBorders>
              <w:top w:val="nil"/>
              <w:left w:val="nil"/>
              <w:bottom w:val="single" w:sz="8" w:space="0" w:color="auto"/>
              <w:right w:val="single" w:sz="4" w:space="0" w:color="auto"/>
            </w:tcBorders>
            <w:shd w:val="clear" w:color="auto" w:fill="auto"/>
            <w:vAlign w:val="center"/>
          </w:tcPr>
          <w:p w14:paraId="4B2BA24A"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85</w:t>
            </w:r>
          </w:p>
        </w:tc>
        <w:tc>
          <w:tcPr>
            <w:tcW w:w="1080" w:type="dxa"/>
            <w:tcBorders>
              <w:top w:val="nil"/>
              <w:left w:val="nil"/>
              <w:bottom w:val="single" w:sz="8" w:space="0" w:color="auto"/>
              <w:right w:val="single" w:sz="4" w:space="0" w:color="auto"/>
            </w:tcBorders>
            <w:shd w:val="clear" w:color="auto" w:fill="auto"/>
            <w:vAlign w:val="center"/>
          </w:tcPr>
          <w:p w14:paraId="63FDD822"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15</w:t>
            </w:r>
          </w:p>
        </w:tc>
        <w:tc>
          <w:tcPr>
            <w:tcW w:w="1170" w:type="dxa"/>
            <w:tcBorders>
              <w:top w:val="nil"/>
              <w:left w:val="nil"/>
              <w:bottom w:val="single" w:sz="8" w:space="0" w:color="auto"/>
              <w:right w:val="single" w:sz="8" w:space="0" w:color="auto"/>
            </w:tcBorders>
            <w:shd w:val="clear" w:color="auto" w:fill="auto"/>
            <w:vAlign w:val="center"/>
          </w:tcPr>
          <w:p w14:paraId="1C5975BB"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100</w:t>
            </w:r>
          </w:p>
        </w:tc>
        <w:tc>
          <w:tcPr>
            <w:tcW w:w="1080" w:type="dxa"/>
            <w:tcBorders>
              <w:top w:val="nil"/>
              <w:left w:val="nil"/>
              <w:bottom w:val="single" w:sz="8" w:space="0" w:color="auto"/>
              <w:right w:val="single" w:sz="4" w:space="0" w:color="auto"/>
            </w:tcBorders>
            <w:shd w:val="clear" w:color="auto" w:fill="auto"/>
            <w:vAlign w:val="center"/>
          </w:tcPr>
          <w:p w14:paraId="2F06578F" w14:textId="77777777" w:rsidR="006850CC" w:rsidRPr="006850CC" w:rsidRDefault="006850CC" w:rsidP="006850CC">
            <w:pPr>
              <w:spacing w:after="0" w:line="240" w:lineRule="auto"/>
              <w:jc w:val="both"/>
              <w:rPr>
                <w:rFonts w:ascii="Garamond" w:hAnsi="Garamond"/>
                <w:b/>
                <w:bCs/>
                <w:color w:val="000000"/>
                <w:spacing w:val="-4"/>
                <w:sz w:val="14"/>
                <w:szCs w:val="14"/>
              </w:rPr>
            </w:pPr>
          </w:p>
        </w:tc>
        <w:tc>
          <w:tcPr>
            <w:tcW w:w="1170" w:type="dxa"/>
            <w:tcBorders>
              <w:top w:val="nil"/>
              <w:left w:val="nil"/>
              <w:bottom w:val="single" w:sz="8" w:space="0" w:color="auto"/>
              <w:right w:val="single" w:sz="4" w:space="0" w:color="auto"/>
            </w:tcBorders>
            <w:shd w:val="clear" w:color="auto" w:fill="auto"/>
            <w:vAlign w:val="center"/>
          </w:tcPr>
          <w:p w14:paraId="2159CD83"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85</w:t>
            </w:r>
          </w:p>
        </w:tc>
        <w:tc>
          <w:tcPr>
            <w:tcW w:w="1134" w:type="dxa"/>
            <w:tcBorders>
              <w:top w:val="nil"/>
              <w:left w:val="nil"/>
              <w:bottom w:val="single" w:sz="8" w:space="0" w:color="auto"/>
              <w:right w:val="single" w:sz="4" w:space="0" w:color="auto"/>
            </w:tcBorders>
            <w:shd w:val="clear" w:color="auto" w:fill="auto"/>
            <w:vAlign w:val="center"/>
          </w:tcPr>
          <w:p w14:paraId="0D2DD5C9"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15</w:t>
            </w:r>
          </w:p>
        </w:tc>
        <w:tc>
          <w:tcPr>
            <w:tcW w:w="1026" w:type="dxa"/>
            <w:tcBorders>
              <w:top w:val="nil"/>
              <w:left w:val="nil"/>
              <w:bottom w:val="single" w:sz="8" w:space="0" w:color="auto"/>
              <w:right w:val="single" w:sz="4" w:space="0" w:color="auto"/>
            </w:tcBorders>
            <w:shd w:val="clear" w:color="auto" w:fill="auto"/>
            <w:vAlign w:val="center"/>
          </w:tcPr>
          <w:p w14:paraId="326F4687" w14:textId="77777777" w:rsidR="006850CC" w:rsidRPr="006850CC" w:rsidRDefault="006850CC" w:rsidP="006850CC">
            <w:pPr>
              <w:spacing w:after="0" w:line="240" w:lineRule="auto"/>
              <w:jc w:val="center"/>
              <w:rPr>
                <w:rFonts w:ascii="Garamond" w:hAnsi="Garamond"/>
                <w:color w:val="000000"/>
                <w:spacing w:val="-4"/>
                <w:sz w:val="14"/>
                <w:szCs w:val="14"/>
              </w:rPr>
            </w:pPr>
            <w:r w:rsidRPr="006850CC">
              <w:rPr>
                <w:rFonts w:ascii="Garamond" w:hAnsi="Garamond"/>
                <w:color w:val="000000"/>
                <w:spacing w:val="-4"/>
                <w:sz w:val="14"/>
                <w:szCs w:val="14"/>
              </w:rPr>
              <w:t>100</w:t>
            </w:r>
          </w:p>
        </w:tc>
        <w:tc>
          <w:tcPr>
            <w:tcW w:w="1170" w:type="dxa"/>
            <w:tcBorders>
              <w:top w:val="nil"/>
              <w:left w:val="single" w:sz="4" w:space="0" w:color="auto"/>
              <w:bottom w:val="single" w:sz="4" w:space="0" w:color="auto"/>
              <w:right w:val="single" w:sz="4" w:space="0" w:color="auto"/>
            </w:tcBorders>
            <w:shd w:val="clear" w:color="auto" w:fill="auto"/>
            <w:vAlign w:val="center"/>
          </w:tcPr>
          <w:p w14:paraId="71F17FF5" w14:textId="77777777" w:rsidR="006850CC" w:rsidRPr="006850CC" w:rsidRDefault="006850CC" w:rsidP="006850CC">
            <w:pPr>
              <w:spacing w:after="0" w:line="240" w:lineRule="auto"/>
              <w:jc w:val="both"/>
              <w:rPr>
                <w:rFonts w:ascii="Garamond" w:hAnsi="Garamond"/>
                <w:b/>
                <w:bCs/>
                <w:color w:val="000000"/>
                <w:spacing w:val="-4"/>
                <w:sz w:val="14"/>
                <w:szCs w:val="14"/>
              </w:rPr>
            </w:pPr>
          </w:p>
        </w:tc>
      </w:tr>
      <w:tr w:rsidR="006850CC" w:rsidRPr="006850CC" w14:paraId="7C550118" w14:textId="77777777" w:rsidTr="006850CC">
        <w:trPr>
          <w:trHeight w:val="317"/>
        </w:trPr>
        <w:tc>
          <w:tcPr>
            <w:tcW w:w="1080" w:type="dxa"/>
            <w:tcBorders>
              <w:top w:val="nil"/>
              <w:left w:val="single" w:sz="8" w:space="0" w:color="auto"/>
              <w:bottom w:val="single" w:sz="8" w:space="0" w:color="auto"/>
              <w:right w:val="single" w:sz="4" w:space="0" w:color="auto"/>
            </w:tcBorders>
            <w:shd w:val="clear" w:color="auto" w:fill="auto"/>
            <w:vAlign w:val="center"/>
            <w:hideMark/>
          </w:tcPr>
          <w:p w14:paraId="5DF908A8" w14:textId="77777777" w:rsidR="006850CC" w:rsidRPr="006850CC" w:rsidRDefault="006850CC" w:rsidP="006850CC">
            <w:pPr>
              <w:spacing w:after="0" w:line="240" w:lineRule="auto"/>
              <w:jc w:val="both"/>
              <w:rPr>
                <w:rFonts w:ascii="Garamond" w:hAnsi="Garamond"/>
                <w:b/>
                <w:bCs/>
                <w:color w:val="000000"/>
                <w:spacing w:val="-4"/>
                <w:sz w:val="14"/>
                <w:szCs w:val="14"/>
              </w:rPr>
            </w:pPr>
            <w:r w:rsidRPr="006850CC">
              <w:rPr>
                <w:rFonts w:ascii="Garamond" w:hAnsi="Garamond"/>
                <w:b/>
                <w:bCs/>
                <w:color w:val="000000"/>
                <w:spacing w:val="-4"/>
                <w:sz w:val="14"/>
                <w:szCs w:val="14"/>
              </w:rPr>
              <w:t>TOTALI 2018</w:t>
            </w:r>
          </w:p>
        </w:tc>
        <w:tc>
          <w:tcPr>
            <w:tcW w:w="1170" w:type="dxa"/>
            <w:tcBorders>
              <w:top w:val="nil"/>
              <w:left w:val="nil"/>
              <w:bottom w:val="single" w:sz="8" w:space="0" w:color="auto"/>
              <w:right w:val="single" w:sz="4" w:space="0" w:color="auto"/>
            </w:tcBorders>
            <w:shd w:val="clear" w:color="auto" w:fill="auto"/>
            <w:noWrap/>
            <w:vAlign w:val="center"/>
            <w:hideMark/>
          </w:tcPr>
          <w:p w14:paraId="35CE01FA" w14:textId="77777777" w:rsidR="006850CC" w:rsidRPr="006850CC" w:rsidRDefault="006850CC" w:rsidP="006850CC">
            <w:pPr>
              <w:spacing w:after="0" w:line="240" w:lineRule="auto"/>
              <w:rPr>
                <w:rFonts w:ascii="Garamond" w:hAnsi="Garamond"/>
                <w:b/>
                <w:color w:val="000000"/>
                <w:spacing w:val="-4"/>
                <w:sz w:val="14"/>
                <w:szCs w:val="14"/>
              </w:rPr>
            </w:pPr>
            <w:r w:rsidRPr="006850CC">
              <w:rPr>
                <w:rFonts w:ascii="Garamond" w:hAnsi="Garamond"/>
                <w:b/>
                <w:color w:val="000000"/>
                <w:spacing w:val="-4"/>
                <w:sz w:val="14"/>
                <w:szCs w:val="14"/>
              </w:rPr>
              <w:t>1,700,000</w:t>
            </w:r>
          </w:p>
        </w:tc>
        <w:tc>
          <w:tcPr>
            <w:tcW w:w="1260" w:type="dxa"/>
            <w:tcBorders>
              <w:top w:val="nil"/>
              <w:left w:val="nil"/>
              <w:bottom w:val="single" w:sz="8" w:space="0" w:color="auto"/>
              <w:right w:val="single" w:sz="4" w:space="0" w:color="auto"/>
            </w:tcBorders>
            <w:shd w:val="clear" w:color="auto" w:fill="auto"/>
            <w:noWrap/>
            <w:vAlign w:val="center"/>
            <w:hideMark/>
          </w:tcPr>
          <w:p w14:paraId="3B2EB1B5"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300,000</w:t>
            </w:r>
          </w:p>
        </w:tc>
        <w:tc>
          <w:tcPr>
            <w:tcW w:w="1170" w:type="dxa"/>
            <w:tcBorders>
              <w:top w:val="nil"/>
              <w:left w:val="nil"/>
              <w:bottom w:val="single" w:sz="8" w:space="0" w:color="auto"/>
              <w:right w:val="single" w:sz="8" w:space="0" w:color="auto"/>
            </w:tcBorders>
            <w:shd w:val="clear" w:color="auto" w:fill="auto"/>
            <w:noWrap/>
            <w:vAlign w:val="center"/>
            <w:hideMark/>
          </w:tcPr>
          <w:p w14:paraId="09643716"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2,000,000</w:t>
            </w:r>
          </w:p>
        </w:tc>
        <w:tc>
          <w:tcPr>
            <w:tcW w:w="1098" w:type="dxa"/>
            <w:tcBorders>
              <w:top w:val="nil"/>
              <w:left w:val="nil"/>
              <w:bottom w:val="single" w:sz="8" w:space="0" w:color="auto"/>
              <w:right w:val="single" w:sz="4" w:space="0" w:color="auto"/>
            </w:tcBorders>
            <w:shd w:val="clear" w:color="auto" w:fill="auto"/>
            <w:vAlign w:val="center"/>
            <w:hideMark/>
          </w:tcPr>
          <w:p w14:paraId="64A201A9" w14:textId="77777777" w:rsidR="006850CC" w:rsidRPr="006850CC" w:rsidRDefault="006850CC" w:rsidP="006850CC">
            <w:pPr>
              <w:spacing w:after="0" w:line="240" w:lineRule="auto"/>
              <w:jc w:val="both"/>
              <w:rPr>
                <w:rFonts w:ascii="Garamond" w:hAnsi="Garamond"/>
                <w:b/>
                <w:bCs/>
                <w:color w:val="000000"/>
                <w:spacing w:val="-4"/>
                <w:sz w:val="14"/>
                <w:szCs w:val="14"/>
              </w:rPr>
            </w:pPr>
            <w:r w:rsidRPr="006850CC">
              <w:rPr>
                <w:rFonts w:ascii="Garamond" w:hAnsi="Garamond"/>
                <w:b/>
                <w:bCs/>
                <w:color w:val="000000"/>
                <w:spacing w:val="-4"/>
                <w:sz w:val="14"/>
                <w:szCs w:val="14"/>
              </w:rPr>
              <w:t>TOTALI 2019</w:t>
            </w:r>
          </w:p>
        </w:tc>
        <w:tc>
          <w:tcPr>
            <w:tcW w:w="1170" w:type="dxa"/>
            <w:tcBorders>
              <w:top w:val="nil"/>
              <w:left w:val="nil"/>
              <w:bottom w:val="single" w:sz="8" w:space="0" w:color="auto"/>
              <w:right w:val="single" w:sz="4" w:space="0" w:color="auto"/>
            </w:tcBorders>
            <w:shd w:val="clear" w:color="auto" w:fill="auto"/>
            <w:vAlign w:val="center"/>
            <w:hideMark/>
          </w:tcPr>
          <w:p w14:paraId="362692DA" w14:textId="77777777" w:rsidR="006850CC" w:rsidRPr="006850CC" w:rsidRDefault="006850CC" w:rsidP="006850CC">
            <w:pPr>
              <w:spacing w:after="0" w:line="240" w:lineRule="auto"/>
              <w:rPr>
                <w:rFonts w:ascii="Garamond" w:hAnsi="Garamond"/>
                <w:b/>
                <w:color w:val="000000"/>
                <w:spacing w:val="-4"/>
                <w:sz w:val="14"/>
                <w:szCs w:val="14"/>
              </w:rPr>
            </w:pPr>
            <w:r w:rsidRPr="006850CC">
              <w:rPr>
                <w:rFonts w:ascii="Garamond" w:hAnsi="Garamond"/>
                <w:b/>
                <w:color w:val="000000"/>
                <w:spacing w:val="-4"/>
                <w:sz w:val="14"/>
                <w:szCs w:val="14"/>
              </w:rPr>
              <w:t>1,700,000</w:t>
            </w:r>
          </w:p>
        </w:tc>
        <w:tc>
          <w:tcPr>
            <w:tcW w:w="1080" w:type="dxa"/>
            <w:tcBorders>
              <w:top w:val="nil"/>
              <w:left w:val="nil"/>
              <w:bottom w:val="single" w:sz="8" w:space="0" w:color="auto"/>
              <w:right w:val="single" w:sz="4" w:space="0" w:color="auto"/>
            </w:tcBorders>
            <w:shd w:val="clear" w:color="auto" w:fill="auto"/>
            <w:vAlign w:val="center"/>
            <w:hideMark/>
          </w:tcPr>
          <w:p w14:paraId="00DC829A"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300,000</w:t>
            </w:r>
          </w:p>
        </w:tc>
        <w:tc>
          <w:tcPr>
            <w:tcW w:w="1170" w:type="dxa"/>
            <w:tcBorders>
              <w:top w:val="nil"/>
              <w:left w:val="nil"/>
              <w:bottom w:val="single" w:sz="8" w:space="0" w:color="auto"/>
              <w:right w:val="single" w:sz="8" w:space="0" w:color="auto"/>
            </w:tcBorders>
            <w:shd w:val="clear" w:color="auto" w:fill="auto"/>
            <w:vAlign w:val="center"/>
            <w:hideMark/>
          </w:tcPr>
          <w:p w14:paraId="268AF369"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2,000,000</w:t>
            </w:r>
          </w:p>
        </w:tc>
        <w:tc>
          <w:tcPr>
            <w:tcW w:w="1080" w:type="dxa"/>
            <w:tcBorders>
              <w:top w:val="nil"/>
              <w:left w:val="nil"/>
              <w:bottom w:val="single" w:sz="8" w:space="0" w:color="auto"/>
              <w:right w:val="single" w:sz="4" w:space="0" w:color="auto"/>
            </w:tcBorders>
            <w:shd w:val="clear" w:color="auto" w:fill="auto"/>
            <w:vAlign w:val="center"/>
            <w:hideMark/>
          </w:tcPr>
          <w:p w14:paraId="3BA8D618" w14:textId="77777777" w:rsidR="006850CC" w:rsidRPr="006850CC" w:rsidRDefault="006850CC" w:rsidP="006850CC">
            <w:pPr>
              <w:spacing w:after="0" w:line="240" w:lineRule="auto"/>
              <w:jc w:val="both"/>
              <w:rPr>
                <w:rFonts w:ascii="Garamond" w:hAnsi="Garamond"/>
                <w:b/>
                <w:bCs/>
                <w:color w:val="000000"/>
                <w:spacing w:val="-4"/>
                <w:sz w:val="14"/>
                <w:szCs w:val="14"/>
              </w:rPr>
            </w:pPr>
            <w:r w:rsidRPr="006850CC">
              <w:rPr>
                <w:rFonts w:ascii="Garamond" w:hAnsi="Garamond"/>
                <w:b/>
                <w:bCs/>
                <w:color w:val="000000"/>
                <w:spacing w:val="-4"/>
                <w:sz w:val="14"/>
                <w:szCs w:val="14"/>
              </w:rPr>
              <w:t>TOTALI</w:t>
            </w:r>
          </w:p>
          <w:p w14:paraId="572A189E" w14:textId="77777777" w:rsidR="006850CC" w:rsidRPr="006850CC" w:rsidRDefault="006850CC" w:rsidP="006850CC">
            <w:pPr>
              <w:spacing w:after="0" w:line="240" w:lineRule="auto"/>
              <w:jc w:val="both"/>
              <w:rPr>
                <w:rFonts w:ascii="Garamond" w:hAnsi="Garamond"/>
                <w:b/>
                <w:bCs/>
                <w:color w:val="000000"/>
                <w:spacing w:val="-4"/>
                <w:sz w:val="14"/>
                <w:szCs w:val="14"/>
              </w:rPr>
            </w:pPr>
            <w:r w:rsidRPr="006850CC">
              <w:rPr>
                <w:rFonts w:ascii="Garamond" w:hAnsi="Garamond"/>
                <w:b/>
                <w:bCs/>
                <w:color w:val="000000"/>
                <w:spacing w:val="-4"/>
                <w:sz w:val="14"/>
                <w:szCs w:val="14"/>
              </w:rPr>
              <w:t>2020</w:t>
            </w:r>
          </w:p>
        </w:tc>
        <w:tc>
          <w:tcPr>
            <w:tcW w:w="1170" w:type="dxa"/>
            <w:tcBorders>
              <w:top w:val="nil"/>
              <w:left w:val="nil"/>
              <w:bottom w:val="single" w:sz="8" w:space="0" w:color="auto"/>
              <w:right w:val="single" w:sz="4" w:space="0" w:color="auto"/>
            </w:tcBorders>
            <w:shd w:val="clear" w:color="auto" w:fill="auto"/>
            <w:vAlign w:val="center"/>
            <w:hideMark/>
          </w:tcPr>
          <w:p w14:paraId="04FF48E8" w14:textId="77777777" w:rsidR="006850CC" w:rsidRPr="006850CC" w:rsidRDefault="006850CC" w:rsidP="006850CC">
            <w:pPr>
              <w:spacing w:after="0" w:line="240" w:lineRule="auto"/>
              <w:rPr>
                <w:rFonts w:ascii="Garamond" w:hAnsi="Garamond"/>
                <w:b/>
                <w:color w:val="000000"/>
                <w:spacing w:val="-4"/>
                <w:sz w:val="14"/>
                <w:szCs w:val="14"/>
              </w:rPr>
            </w:pPr>
            <w:r w:rsidRPr="006850CC">
              <w:rPr>
                <w:rFonts w:ascii="Garamond" w:hAnsi="Garamond"/>
                <w:b/>
                <w:color w:val="000000"/>
                <w:spacing w:val="-4"/>
                <w:sz w:val="14"/>
                <w:szCs w:val="14"/>
              </w:rPr>
              <w:t> 1,530,000</w:t>
            </w:r>
          </w:p>
        </w:tc>
        <w:tc>
          <w:tcPr>
            <w:tcW w:w="1134" w:type="dxa"/>
            <w:tcBorders>
              <w:top w:val="nil"/>
              <w:left w:val="nil"/>
              <w:bottom w:val="single" w:sz="8" w:space="0" w:color="auto"/>
              <w:right w:val="single" w:sz="4" w:space="0" w:color="auto"/>
            </w:tcBorders>
            <w:shd w:val="clear" w:color="auto" w:fill="auto"/>
            <w:vAlign w:val="center"/>
            <w:hideMark/>
          </w:tcPr>
          <w:p w14:paraId="509CA826"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270,000</w:t>
            </w:r>
          </w:p>
        </w:tc>
        <w:tc>
          <w:tcPr>
            <w:tcW w:w="1026" w:type="dxa"/>
            <w:tcBorders>
              <w:top w:val="nil"/>
              <w:left w:val="nil"/>
              <w:bottom w:val="single" w:sz="8" w:space="0" w:color="auto"/>
              <w:right w:val="single" w:sz="4" w:space="0" w:color="auto"/>
            </w:tcBorders>
            <w:shd w:val="clear" w:color="auto" w:fill="auto"/>
            <w:vAlign w:val="center"/>
            <w:hideMark/>
          </w:tcPr>
          <w:p w14:paraId="24EB98AA" w14:textId="77777777" w:rsidR="006850CC" w:rsidRPr="006850CC" w:rsidRDefault="006850CC" w:rsidP="006850CC">
            <w:pPr>
              <w:spacing w:after="0" w:line="240" w:lineRule="auto"/>
              <w:jc w:val="center"/>
              <w:rPr>
                <w:rFonts w:ascii="Garamond" w:hAnsi="Garamond"/>
                <w:b/>
                <w:color w:val="000000"/>
                <w:spacing w:val="-4"/>
                <w:sz w:val="14"/>
                <w:szCs w:val="14"/>
              </w:rPr>
            </w:pPr>
            <w:r w:rsidRPr="006850CC">
              <w:rPr>
                <w:rFonts w:ascii="Garamond" w:hAnsi="Garamond"/>
                <w:b/>
                <w:color w:val="000000"/>
                <w:spacing w:val="-4"/>
                <w:sz w:val="14"/>
                <w:szCs w:val="14"/>
              </w:rPr>
              <w:t>1,800,000</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14:paraId="7D4C89F2" w14:textId="77777777" w:rsidR="006850CC" w:rsidRPr="006850CC" w:rsidRDefault="006850CC" w:rsidP="006850CC">
            <w:pPr>
              <w:spacing w:after="0" w:line="240" w:lineRule="auto"/>
              <w:jc w:val="center"/>
              <w:rPr>
                <w:rFonts w:ascii="Garamond" w:hAnsi="Garamond"/>
                <w:b/>
                <w:bCs/>
                <w:color w:val="000000"/>
                <w:spacing w:val="-4"/>
                <w:sz w:val="14"/>
                <w:szCs w:val="14"/>
              </w:rPr>
            </w:pPr>
            <w:r w:rsidRPr="006850CC">
              <w:rPr>
                <w:rFonts w:ascii="Garamond" w:hAnsi="Garamond"/>
                <w:b/>
                <w:bCs/>
                <w:color w:val="000000"/>
                <w:spacing w:val="-4"/>
                <w:sz w:val="14"/>
                <w:szCs w:val="14"/>
              </w:rPr>
              <w:t>4,930,000</w:t>
            </w:r>
          </w:p>
        </w:tc>
      </w:tr>
    </w:tbl>
    <w:p w14:paraId="64180368" w14:textId="77777777" w:rsidR="006850CC" w:rsidRPr="0057499A" w:rsidRDefault="006850CC" w:rsidP="006850CC">
      <w:pPr>
        <w:widowControl w:val="0"/>
        <w:autoSpaceDE w:val="0"/>
        <w:autoSpaceDN w:val="0"/>
        <w:adjustRightInd w:val="0"/>
        <w:spacing w:after="0" w:line="200" w:lineRule="exact"/>
        <w:rPr>
          <w:rFonts w:ascii="Times New Roman" w:hAnsi="Times New Roman"/>
          <w:sz w:val="24"/>
          <w:szCs w:val="24"/>
        </w:rPr>
      </w:pPr>
    </w:p>
    <w:p w14:paraId="08479935" w14:textId="77777777" w:rsidR="006850CC" w:rsidRPr="0057499A" w:rsidRDefault="006850CC" w:rsidP="006850CC">
      <w:pPr>
        <w:widowControl w:val="0"/>
        <w:autoSpaceDE w:val="0"/>
        <w:autoSpaceDN w:val="0"/>
        <w:adjustRightInd w:val="0"/>
        <w:spacing w:after="0" w:line="43" w:lineRule="exact"/>
        <w:rPr>
          <w:rFonts w:ascii="Times New Roman" w:hAnsi="Times New Roman"/>
          <w:sz w:val="24"/>
          <w:szCs w:val="24"/>
        </w:rPr>
      </w:pPr>
    </w:p>
    <w:p w14:paraId="3DCD335C" w14:textId="77777777" w:rsidR="006850CC" w:rsidRPr="006850CC" w:rsidRDefault="006850CC" w:rsidP="006850CC">
      <w:pPr>
        <w:pStyle w:val="TEKSTI"/>
        <w:rPr>
          <w:i/>
        </w:rPr>
      </w:pPr>
      <w:r w:rsidRPr="006850CC">
        <w:rPr>
          <w:i/>
        </w:rPr>
        <w:t>Kontributi i Unionit është llogaritur në raport me shpenzimet e pranueshme, që janë bazuar në totalin e shpenzimeve të pranueshme, duke përfshirë shpenzimet publike dhe private. Shkalla e bashkë-financimit të Unionit në nivel të çdo prioriteti tematik nuk duhet të jetë më pak se 20% dhe jo më e lartë se 85% e shpenzimeve të pranueshme.</w:t>
      </w:r>
    </w:p>
    <w:p w14:paraId="19EFC02C" w14:textId="7BB9C6FD" w:rsidR="006850CC" w:rsidRDefault="006850CC" w:rsidP="006850CC">
      <w:pPr>
        <w:pStyle w:val="TEKSTI"/>
        <w:rPr>
          <w:i/>
        </w:rPr>
      </w:pPr>
      <w:r w:rsidRPr="006850CC">
        <w:rPr>
          <w:i/>
        </w:rPr>
        <w:t>** Bashkë-financimi i prioriteteve tematike do të sigurohet nga përfituesit e granteve. Përfituesit e grantit duhet të kontribuojnë me një nivel minimal prej 15% të kostos totale të pranueshme të projektit.</w:t>
      </w:r>
    </w:p>
    <w:p w14:paraId="4C358E59" w14:textId="77777777" w:rsidR="0007044D" w:rsidRDefault="0007044D" w:rsidP="006850CC">
      <w:pPr>
        <w:pStyle w:val="TEKSTI"/>
        <w:rPr>
          <w:i/>
        </w:rPr>
      </w:pPr>
    </w:p>
    <w:p w14:paraId="3DA2B84F" w14:textId="77777777" w:rsidR="0007044D" w:rsidRDefault="0007044D" w:rsidP="006850CC">
      <w:pPr>
        <w:pStyle w:val="TEKSTI"/>
        <w:rPr>
          <w:i/>
        </w:rPr>
      </w:pPr>
    </w:p>
    <w:p w14:paraId="26858F95" w14:textId="77777777" w:rsidR="0007044D" w:rsidRDefault="0007044D" w:rsidP="006850CC">
      <w:pPr>
        <w:pStyle w:val="TEKSTI"/>
        <w:rPr>
          <w:i/>
        </w:rPr>
      </w:pPr>
    </w:p>
    <w:p w14:paraId="6CE21BA5" w14:textId="77777777" w:rsidR="0007044D" w:rsidRDefault="0007044D" w:rsidP="006850CC">
      <w:pPr>
        <w:pStyle w:val="TEKSTI"/>
        <w:rPr>
          <w:i/>
        </w:rPr>
      </w:pPr>
    </w:p>
    <w:p w14:paraId="394B84F3" w14:textId="77777777" w:rsidR="0007044D" w:rsidRDefault="0007044D" w:rsidP="006850CC">
      <w:pPr>
        <w:pStyle w:val="TEKSTI"/>
        <w:rPr>
          <w:i/>
        </w:rPr>
      </w:pPr>
    </w:p>
    <w:p w14:paraId="72DFAFDB" w14:textId="77777777" w:rsidR="0007044D" w:rsidRDefault="0007044D" w:rsidP="006850CC">
      <w:pPr>
        <w:pStyle w:val="TEKSTI"/>
        <w:rPr>
          <w:rFonts w:cs="Times New Roman"/>
          <w:bCs/>
          <w:i/>
        </w:rPr>
        <w:sectPr w:rsidR="0007044D" w:rsidSect="006850CC">
          <w:pgSz w:w="16838" w:h="11906" w:orient="landscape" w:code="9"/>
          <w:pgMar w:top="1418" w:right="1418" w:bottom="1418" w:left="1418" w:header="1304" w:footer="1134" w:gutter="0"/>
          <w:cols w:space="708"/>
          <w:docGrid w:linePitch="360"/>
        </w:sectPr>
      </w:pPr>
    </w:p>
    <w:p w14:paraId="7E5F612A" w14:textId="43E53870" w:rsidR="00807884" w:rsidRPr="0057499A" w:rsidRDefault="00807884" w:rsidP="00807884">
      <w:pPr>
        <w:pStyle w:val="TEKSTI"/>
      </w:pPr>
      <w:r w:rsidRPr="0057499A">
        <w:t>4</w:t>
      </w:r>
      <w:r>
        <w:t xml:space="preserve">. </w:t>
      </w:r>
      <w:r w:rsidRPr="0057499A">
        <w:t>MARRËVESHJET E MONITORIMIT TË PERFORMANCËS</w:t>
      </w:r>
    </w:p>
    <w:p w14:paraId="21945BA4" w14:textId="77777777" w:rsidR="00807884" w:rsidRPr="0057499A" w:rsidRDefault="00807884" w:rsidP="00807884">
      <w:pPr>
        <w:pStyle w:val="TEKSTI"/>
      </w:pPr>
      <w:r w:rsidRPr="0057499A">
        <w:t>Si pjesë e k</w:t>
      </w:r>
      <w:r>
        <w:t>uadrit t</w:t>
      </w:r>
      <w:r w:rsidRPr="0057499A">
        <w:t xml:space="preserve">ë matjes së performancës së </w:t>
      </w:r>
      <w:r>
        <w:t>ti</w:t>
      </w:r>
      <w:r w:rsidRPr="0057499A">
        <w:t>j, Komisioni do të monitorojë dhe vlerësojë progresin drejt arritjes së objektivave specifike të përcaktuara në Rregulloren e IPA II në bazë të treguesve të paracaktuar qartë, të matshëm dhe transparent</w:t>
      </w:r>
      <w:r>
        <w:t>ë</w:t>
      </w:r>
      <w:r w:rsidRPr="0057499A">
        <w:t>. Raportet e progresit të përmendura në nenin 4 të Rregullores së IPA II do të merren si pikë referimi në vlerësimin e rezultateve të asistencës IPA II.</w:t>
      </w:r>
    </w:p>
    <w:p w14:paraId="4CA847E9" w14:textId="77777777" w:rsidR="00807884" w:rsidRPr="0057499A" w:rsidRDefault="00807884" w:rsidP="00807884">
      <w:pPr>
        <w:pStyle w:val="TEKSTI"/>
      </w:pPr>
      <w:r w:rsidRPr="0057499A">
        <w:t>Komisioni do të mbledhë të dhënat të performancës (t</w:t>
      </w:r>
      <w:r>
        <w:t>r</w:t>
      </w:r>
      <w:r w:rsidRPr="0057499A">
        <w:t>eguesit e procesit, treguesit e rezultave dhe produkteve) nga të gjitha burimet, të cilat do të mblidhen dhe analizohen në aspektin e ndjekjes së progresit kundrejt objektivave dhe synimeve të përcaktuara për secilin nga veprimet e këtij programi, si dhe Dokumenteve Strategjike Indikative.</w:t>
      </w:r>
    </w:p>
    <w:p w14:paraId="76676D60" w14:textId="77777777" w:rsidR="00807884" w:rsidRPr="0057499A" w:rsidRDefault="00807884" w:rsidP="00807884">
      <w:pPr>
        <w:pStyle w:val="TEKSTI"/>
      </w:pPr>
      <w:r w:rsidRPr="0057499A">
        <w:t>Koordinatorët Kombëtarë të IPA</w:t>
      </w:r>
      <w:r>
        <w:t>-s</w:t>
      </w:r>
      <w:r w:rsidRPr="0057499A">
        <w:t xml:space="preserve"> do të mbledhin informacion mbi perfomancën e projekteve dhe programit (treguesit e procesit, treguesit e rezultave dhe produkteve) dhe do të koordinojnë mbledhjen dhe paraqitjen e treguesve që vijnë nga burimet kombëtare.</w:t>
      </w:r>
    </w:p>
    <w:p w14:paraId="267A0A05" w14:textId="77777777" w:rsidR="00807884" w:rsidRPr="0057499A" w:rsidRDefault="00807884" w:rsidP="00807884">
      <w:pPr>
        <w:pStyle w:val="TEKSTI"/>
      </w:pPr>
      <w:r w:rsidRPr="0057499A">
        <w:t xml:space="preserve">Progresi i përgjithshëm do të monitorohet nëpërmjet mënyrave të mëposhtme: a) Sistemi i monitorimit të Orientuar drejt Rezultateve (ROM); b) Vetë-monitorimi i përfituesit të IPA II; c) </w:t>
      </w:r>
      <w:r>
        <w:t>V</w:t>
      </w:r>
      <w:r w:rsidRPr="0057499A">
        <w:t xml:space="preserve">etë-monitorimi i kryer nga delegacionet e BE-së; d) </w:t>
      </w:r>
      <w:r>
        <w:t>M</w:t>
      </w:r>
      <w:r w:rsidRPr="0057499A">
        <w:t xml:space="preserve">onitorimi i përbashkët nga DG Fqinje dhe </w:t>
      </w:r>
      <w:r>
        <w:t>Negociatat e Z</w:t>
      </w:r>
      <w:r w:rsidRPr="0057499A">
        <w:t>gjerimit (</w:t>
      </w:r>
      <w:r>
        <w:t>DG-</w:t>
      </w:r>
      <w:r w:rsidRPr="0057499A">
        <w:t xml:space="preserve">NEAR) dhe përfituesit e IPA II, ku përputhshmëria, koherenca, efektiviteti, efikasiteti dhe koordinimi për zbatimin e asistencës financiare do të monitorohet rregullisht nga një Komiteti i Monitorimit të IPA II, </w:t>
      </w:r>
      <w:r>
        <w:t xml:space="preserve">i </w:t>
      </w:r>
      <w:r w:rsidRPr="0057499A">
        <w:t>mbështetur nga Komiteti Përbashkët i Monitorimit, i cili do të sigurojë një proces monitorimi në nivel programi.</w:t>
      </w:r>
    </w:p>
    <w:p w14:paraId="29C71CB6" w14:textId="77777777" w:rsidR="00807884" w:rsidRPr="00580F52" w:rsidRDefault="00807884" w:rsidP="00807884">
      <w:pPr>
        <w:pStyle w:val="TEKSTI"/>
      </w:pPr>
      <w:r w:rsidRPr="00580F52">
        <w:t>Progresi i përgjithshëm do t</w:t>
      </w:r>
      <w:r>
        <w:t>ë jetë objekt i</w:t>
      </w:r>
      <w:r w:rsidRPr="00580F52">
        <w:t xml:space="preserve"> vlerësimit</w:t>
      </w:r>
      <w:r>
        <w:t>,</w:t>
      </w:r>
      <w:r w:rsidRPr="00580F52">
        <w:t xml:space="preserve"> i cili do të </w:t>
      </w:r>
      <w:r>
        <w:t>kry</w:t>
      </w:r>
      <w:r w:rsidRPr="00580F52">
        <w:t>het pas zbatimit të aktiviteteve.</w:t>
      </w:r>
    </w:p>
    <w:p w14:paraId="56A537A6" w14:textId="77777777" w:rsidR="00807884" w:rsidRPr="00A35237" w:rsidRDefault="00807884" w:rsidP="00A35237">
      <w:pPr>
        <w:widowControl w:val="0"/>
        <w:overflowPunct w:val="0"/>
        <w:autoSpaceDE w:val="0"/>
        <w:autoSpaceDN w:val="0"/>
        <w:adjustRightInd w:val="0"/>
        <w:spacing w:after="0" w:line="234" w:lineRule="auto"/>
        <w:jc w:val="center"/>
        <w:rPr>
          <w:rFonts w:ascii="Times New Roman" w:hAnsi="Times New Roman"/>
          <w:b/>
          <w:sz w:val="24"/>
          <w:szCs w:val="24"/>
        </w:rPr>
      </w:pPr>
    </w:p>
    <w:p w14:paraId="1B54CABA" w14:textId="1A7CA3A1" w:rsidR="00807884" w:rsidRPr="00A35237" w:rsidRDefault="00A35237" w:rsidP="00A35237">
      <w:pPr>
        <w:widowControl w:val="0"/>
        <w:overflowPunct w:val="0"/>
        <w:autoSpaceDE w:val="0"/>
        <w:autoSpaceDN w:val="0"/>
        <w:adjustRightInd w:val="0"/>
        <w:spacing w:after="0" w:line="234" w:lineRule="auto"/>
        <w:jc w:val="center"/>
        <w:rPr>
          <w:rFonts w:ascii="Times New Roman" w:hAnsi="Times New Roman"/>
          <w:b/>
          <w:sz w:val="24"/>
          <w:szCs w:val="24"/>
        </w:rPr>
      </w:pPr>
      <w:r w:rsidRPr="00A35237">
        <w:rPr>
          <w:rFonts w:ascii="Times New Roman" w:hAnsi="Times New Roman"/>
          <w:b/>
          <w:sz w:val="24"/>
          <w:szCs w:val="24"/>
        </w:rPr>
        <w:t>INSTRUMENTI I NDIHMËS SË PARA- ANËTARËSIMIT 2014-2020</w:t>
      </w:r>
    </w:p>
    <w:p w14:paraId="15049F0F" w14:textId="77777777" w:rsidR="0099790E" w:rsidRPr="0099790E" w:rsidRDefault="0099790E" w:rsidP="0099790E">
      <w:pPr>
        <w:pStyle w:val="TEKSTI"/>
        <w:jc w:val="center"/>
        <w:rPr>
          <w:b/>
        </w:rPr>
      </w:pPr>
      <w:r w:rsidRPr="0099790E">
        <w:rPr>
          <w:b/>
        </w:rPr>
        <w:t>PROGRAMI IPA BNK</w:t>
      </w:r>
    </w:p>
    <w:p w14:paraId="2138296F" w14:textId="6D56B972" w:rsidR="0007044D" w:rsidRDefault="0099790E" w:rsidP="0099790E">
      <w:pPr>
        <w:pStyle w:val="TEKSTI"/>
        <w:jc w:val="center"/>
        <w:rPr>
          <w:b/>
        </w:rPr>
      </w:pPr>
      <w:r w:rsidRPr="0099790E">
        <w:rPr>
          <w:b/>
        </w:rPr>
        <w:t>MAL I ZI – SHQIPËRI</w:t>
      </w:r>
    </w:p>
    <w:p w14:paraId="593F246B" w14:textId="1B0A474B" w:rsidR="0099790E" w:rsidRDefault="0099790E" w:rsidP="0099790E">
      <w:pPr>
        <w:pStyle w:val="TEKSTI"/>
        <w:jc w:val="center"/>
        <w:rPr>
          <w:b/>
        </w:rPr>
      </w:pPr>
      <w:r w:rsidRPr="0099790E">
        <w:rPr>
          <w:b/>
        </w:rPr>
        <w:t>MIRATUAR MË 10/12/2014</w:t>
      </w:r>
    </w:p>
    <w:p w14:paraId="21B2FC03" w14:textId="77777777" w:rsidR="0099790E" w:rsidRDefault="0099790E" w:rsidP="0099790E">
      <w:pPr>
        <w:pStyle w:val="TEKSTI"/>
        <w:jc w:val="center"/>
        <w:rPr>
          <w:b/>
        </w:rPr>
      </w:pPr>
    </w:p>
    <w:p w14:paraId="1726B0C1" w14:textId="77777777" w:rsidR="0099790E" w:rsidRDefault="0099790E" w:rsidP="0099790E">
      <w:pPr>
        <w:pStyle w:val="TEKSTI"/>
      </w:pPr>
      <w:r>
        <w:t>TABELA E PËRMBAJTJES</w:t>
      </w:r>
    </w:p>
    <w:p w14:paraId="263DF353" w14:textId="77777777" w:rsidR="005561E4" w:rsidRDefault="005561E4" w:rsidP="0099790E">
      <w:pPr>
        <w:pStyle w:val="TEKSTI"/>
      </w:pPr>
    </w:p>
    <w:p w14:paraId="1222D6D6" w14:textId="5B3FECD2" w:rsidR="0099790E" w:rsidRDefault="0099790E" w:rsidP="0099790E">
      <w:pPr>
        <w:pStyle w:val="TEKSTI"/>
      </w:pPr>
      <w:r>
        <w:t>INSTRUMENTI I NDIHMËS SË PARA- ANËTARËSIMIT</w:t>
      </w:r>
      <w:r w:rsidR="00C073A9">
        <w:t xml:space="preserve"> </w:t>
      </w:r>
      <w:r>
        <w:t>1</w:t>
      </w:r>
    </w:p>
    <w:p w14:paraId="5D987F2C" w14:textId="38A47E20" w:rsidR="0099790E" w:rsidRDefault="0099790E" w:rsidP="0099790E">
      <w:pPr>
        <w:pStyle w:val="TEKSTI"/>
      </w:pPr>
      <w:r>
        <w:t>2014-2020</w:t>
      </w:r>
    </w:p>
    <w:p w14:paraId="7F7CBA4F" w14:textId="16EE7B08" w:rsidR="0099790E" w:rsidRDefault="0099790E" w:rsidP="0099790E">
      <w:pPr>
        <w:pStyle w:val="TEKSTI"/>
      </w:pPr>
      <w:r>
        <w:t xml:space="preserve">Përmbledhje </w:t>
      </w:r>
    </w:p>
    <w:p w14:paraId="3E539400" w14:textId="6F0466F3" w:rsidR="0099790E" w:rsidRDefault="0099790E" w:rsidP="0099790E">
      <w:pPr>
        <w:pStyle w:val="TEKSTI"/>
      </w:pPr>
      <w:r>
        <w:t>Seksioni 1: Përmbledhje e Programit</w:t>
      </w:r>
    </w:p>
    <w:p w14:paraId="276195C0" w14:textId="02B26A16" w:rsidR="0099790E" w:rsidRDefault="0099790E" w:rsidP="0099790E">
      <w:pPr>
        <w:pStyle w:val="TEKSTI"/>
      </w:pPr>
      <w:r>
        <w:t>1.1</w:t>
      </w:r>
      <w:r w:rsidR="00C073A9">
        <w:t xml:space="preserve"> </w:t>
      </w:r>
      <w:r>
        <w:t>Përmbledhje e Programit</w:t>
      </w:r>
      <w:r w:rsidR="00C073A9">
        <w:t xml:space="preserve"> </w:t>
      </w:r>
    </w:p>
    <w:p w14:paraId="55F29408" w14:textId="3BA9CF92" w:rsidR="0099790E" w:rsidRDefault="0099790E" w:rsidP="0099790E">
      <w:pPr>
        <w:pStyle w:val="TEKSTI"/>
      </w:pPr>
      <w:r>
        <w:t>1.2</w:t>
      </w:r>
      <w:r w:rsidR="00C073A9">
        <w:t xml:space="preserve"> </w:t>
      </w:r>
      <w:r>
        <w:t>Përgatitja e programit dhe përfshirja e partnerëve</w:t>
      </w:r>
    </w:p>
    <w:p w14:paraId="65BAA0BE" w14:textId="458322ED" w:rsidR="0099790E" w:rsidRDefault="00C073A9" w:rsidP="00C073A9">
      <w:pPr>
        <w:pStyle w:val="TEKSTI"/>
      </w:pPr>
      <w:r>
        <w:t xml:space="preserve">Seksioni 2: </w:t>
      </w:r>
      <w:r w:rsidR="0099790E">
        <w:t>Zona e Programit</w:t>
      </w:r>
      <w:r>
        <w:t xml:space="preserve"> </w:t>
      </w:r>
    </w:p>
    <w:p w14:paraId="06BFBECB" w14:textId="5F72FF29" w:rsidR="0099790E" w:rsidRDefault="0099790E" w:rsidP="0099790E">
      <w:pPr>
        <w:pStyle w:val="TEKSTI"/>
      </w:pPr>
      <w:r>
        <w:t>2.1</w:t>
      </w:r>
      <w:r w:rsidR="00C073A9">
        <w:t xml:space="preserve"> </w:t>
      </w:r>
      <w:r>
        <w:t>Analiza e Situatës</w:t>
      </w:r>
      <w:r w:rsidR="00C073A9">
        <w:t xml:space="preserve"> </w:t>
      </w:r>
    </w:p>
    <w:p w14:paraId="726E1524" w14:textId="5B3C5BDF" w:rsidR="00C073A9" w:rsidRDefault="0099790E" w:rsidP="0099790E">
      <w:pPr>
        <w:pStyle w:val="TEKSTI"/>
      </w:pPr>
      <w:r>
        <w:t>Gjeografia</w:t>
      </w:r>
      <w:r w:rsidR="00C073A9">
        <w:t xml:space="preserve"> </w:t>
      </w:r>
    </w:p>
    <w:p w14:paraId="7390108F" w14:textId="77777777" w:rsidR="00C073A9" w:rsidRDefault="0099790E" w:rsidP="0099790E">
      <w:pPr>
        <w:pStyle w:val="TEKSTI"/>
      </w:pPr>
      <w:r>
        <w:t>Demografia</w:t>
      </w:r>
    </w:p>
    <w:p w14:paraId="1F032E52" w14:textId="77777777" w:rsidR="00C073A9" w:rsidRDefault="0099790E" w:rsidP="0099790E">
      <w:pPr>
        <w:pStyle w:val="TEKSTI"/>
      </w:pPr>
      <w:r>
        <w:t>Varfëria</w:t>
      </w:r>
    </w:p>
    <w:p w14:paraId="10FFED72" w14:textId="77777777" w:rsidR="00C073A9" w:rsidRDefault="0099790E" w:rsidP="0099790E">
      <w:pPr>
        <w:pStyle w:val="TEKSTI"/>
      </w:pPr>
      <w:r>
        <w:t>Ekonomia</w:t>
      </w:r>
    </w:p>
    <w:p w14:paraId="518074B5" w14:textId="77777777" w:rsidR="00C073A9" w:rsidRDefault="0099790E" w:rsidP="0099790E">
      <w:pPr>
        <w:pStyle w:val="TEKSTI"/>
      </w:pPr>
      <w:r>
        <w:t>Sektori Privat</w:t>
      </w:r>
    </w:p>
    <w:p w14:paraId="5E431A67" w14:textId="77777777" w:rsidR="00C073A9" w:rsidRDefault="0099790E" w:rsidP="0099790E">
      <w:pPr>
        <w:pStyle w:val="TEKSTI"/>
      </w:pPr>
      <w:r>
        <w:t>Bujqësia dhe Zhvillimi Rural</w:t>
      </w:r>
    </w:p>
    <w:p w14:paraId="4F8F95BD" w14:textId="77777777" w:rsidR="00C073A9" w:rsidRDefault="0099790E" w:rsidP="0099790E">
      <w:pPr>
        <w:pStyle w:val="TEKSTI"/>
      </w:pPr>
      <w:r>
        <w:t>Turizmi</w:t>
      </w:r>
    </w:p>
    <w:p w14:paraId="3576D97F" w14:textId="77777777" w:rsidR="00C073A9" w:rsidRDefault="0099790E" w:rsidP="0099790E">
      <w:pPr>
        <w:pStyle w:val="TEKSTI"/>
      </w:pPr>
      <w:r>
        <w:t>Infrastruktura</w:t>
      </w:r>
    </w:p>
    <w:p w14:paraId="0CAB13AA" w14:textId="77777777" w:rsidR="00C073A9" w:rsidRDefault="0099790E" w:rsidP="0099790E">
      <w:pPr>
        <w:pStyle w:val="TEKSTI"/>
      </w:pPr>
      <w:r>
        <w:t>Sociale</w:t>
      </w:r>
    </w:p>
    <w:p w14:paraId="5551DB6E" w14:textId="77777777" w:rsidR="00C073A9" w:rsidRDefault="0099790E" w:rsidP="0099790E">
      <w:pPr>
        <w:pStyle w:val="TEKSTI"/>
      </w:pPr>
      <w:r>
        <w:t>Tregu i punës</w:t>
      </w:r>
    </w:p>
    <w:p w14:paraId="55B69B0F" w14:textId="77777777" w:rsidR="00C073A9" w:rsidRDefault="0099790E" w:rsidP="0099790E">
      <w:pPr>
        <w:pStyle w:val="TEKSTI"/>
      </w:pPr>
      <w:r>
        <w:t>Arsimi</w:t>
      </w:r>
    </w:p>
    <w:p w14:paraId="5441B506" w14:textId="77777777" w:rsidR="00C073A9" w:rsidRDefault="0099790E" w:rsidP="0099790E">
      <w:pPr>
        <w:pStyle w:val="TEKSTI"/>
      </w:pPr>
      <w:r>
        <w:t>Shëndetësia</w:t>
      </w:r>
    </w:p>
    <w:p w14:paraId="7B53A225" w14:textId="73E812DA" w:rsidR="00C073A9" w:rsidRDefault="0099790E" w:rsidP="0099790E">
      <w:pPr>
        <w:pStyle w:val="TEKSTI"/>
      </w:pPr>
      <w:r>
        <w:t>Kultura</w:t>
      </w:r>
      <w:r w:rsidR="00C073A9">
        <w:t xml:space="preserve"> </w:t>
      </w:r>
    </w:p>
    <w:p w14:paraId="4F6FDAB6" w14:textId="026AEBB6" w:rsidR="00C073A9" w:rsidRDefault="0099790E" w:rsidP="0099790E">
      <w:pPr>
        <w:pStyle w:val="TEKSTI"/>
      </w:pPr>
      <w:r>
        <w:t>Shoqëria Civile</w:t>
      </w:r>
      <w:r w:rsidR="00C073A9">
        <w:t xml:space="preserve"> </w:t>
      </w:r>
    </w:p>
    <w:p w14:paraId="43B5897E" w14:textId="08A118F8" w:rsidR="0099790E" w:rsidRDefault="0099790E" w:rsidP="0099790E">
      <w:pPr>
        <w:pStyle w:val="TEKSTI"/>
      </w:pPr>
      <w:r>
        <w:t>Mjedisi dhe Natyra</w:t>
      </w:r>
    </w:p>
    <w:p w14:paraId="0110CA67" w14:textId="1127BB5F" w:rsidR="00C073A9" w:rsidRDefault="0099790E" w:rsidP="0099790E">
      <w:pPr>
        <w:pStyle w:val="TEKSTI"/>
      </w:pPr>
      <w:r>
        <w:t>2.2</w:t>
      </w:r>
      <w:r w:rsidR="00C073A9">
        <w:t xml:space="preserve"> </w:t>
      </w:r>
      <w:r>
        <w:t>Gjetjet Kryesore</w:t>
      </w:r>
    </w:p>
    <w:p w14:paraId="266872E7" w14:textId="1439C60E" w:rsidR="0099790E" w:rsidRDefault="0099790E" w:rsidP="0099790E">
      <w:pPr>
        <w:pStyle w:val="TEKSTI"/>
      </w:pPr>
      <w:r>
        <w:t>Seksioni 3: Strategjia e Programit</w:t>
      </w:r>
    </w:p>
    <w:p w14:paraId="100CD060" w14:textId="475FCE71" w:rsidR="0099790E" w:rsidRDefault="0099790E" w:rsidP="0099790E">
      <w:pPr>
        <w:pStyle w:val="TEKSTI"/>
      </w:pPr>
      <w:r>
        <w:t>3.1</w:t>
      </w:r>
      <w:r w:rsidR="00C073A9">
        <w:t xml:space="preserve"> </w:t>
      </w:r>
      <w:r>
        <w:t>Arsyetim - Arsyetimi për strategjinë e zgjedhur të ndërhyrjes</w:t>
      </w:r>
    </w:p>
    <w:p w14:paraId="312A7E7A" w14:textId="58839C8D" w:rsidR="0099790E" w:rsidRDefault="0099790E" w:rsidP="0099790E">
      <w:pPr>
        <w:pStyle w:val="TEKSTI"/>
      </w:pPr>
      <w:r>
        <w:t xml:space="preserve"> 3.2</w:t>
      </w:r>
      <w:r w:rsidR="00C073A9">
        <w:t xml:space="preserve"> </w:t>
      </w:r>
      <w:r>
        <w:t>Përshkrimi i prioriteteve të programit</w:t>
      </w:r>
    </w:p>
    <w:p w14:paraId="017D8C75" w14:textId="1E8983C8" w:rsidR="00C073A9" w:rsidRDefault="0099790E" w:rsidP="0099790E">
      <w:pPr>
        <w:pStyle w:val="TEKSTI"/>
      </w:pPr>
      <w:r>
        <w:t>3.3</w:t>
      </w:r>
      <w:r w:rsidR="00C073A9">
        <w:t xml:space="preserve"> </w:t>
      </w:r>
      <w:r>
        <w:t>Çështjet horizontale dhe të ndërthurura</w:t>
      </w:r>
      <w:r w:rsidR="00C073A9">
        <w:t xml:space="preserve"> </w:t>
      </w:r>
    </w:p>
    <w:p w14:paraId="5BC71056" w14:textId="77777777" w:rsidR="00C073A9" w:rsidRDefault="0099790E" w:rsidP="0099790E">
      <w:pPr>
        <w:pStyle w:val="TEKSTI"/>
      </w:pPr>
      <w:r>
        <w:t>Seksioni 4: Plani Financiar</w:t>
      </w:r>
    </w:p>
    <w:p w14:paraId="4642CB50" w14:textId="3D4AFC84" w:rsidR="0099790E" w:rsidRDefault="0099790E" w:rsidP="0099790E">
      <w:pPr>
        <w:pStyle w:val="TEKSTI"/>
      </w:pPr>
      <w:r>
        <w:t>Seksioni 5: Dispozitat Zbatuese</w:t>
      </w:r>
    </w:p>
    <w:p w14:paraId="0B7E905C" w14:textId="002C55CD" w:rsidR="0099790E" w:rsidRDefault="00C073A9" w:rsidP="0099790E">
      <w:pPr>
        <w:pStyle w:val="TEKSTI"/>
      </w:pPr>
      <w:r>
        <w:t xml:space="preserve">1. </w:t>
      </w:r>
      <w:r w:rsidR="0099790E">
        <w:t>HYRJE</w:t>
      </w:r>
    </w:p>
    <w:p w14:paraId="1174DA2A" w14:textId="0E41A493" w:rsidR="0099790E" w:rsidRDefault="0099790E" w:rsidP="0099790E">
      <w:pPr>
        <w:pStyle w:val="TEKSTI"/>
      </w:pPr>
      <w:r>
        <w:t>2.</w:t>
      </w:r>
      <w:r w:rsidR="00C073A9">
        <w:t xml:space="preserve"> </w:t>
      </w:r>
      <w:r>
        <w:t>ANALIZA PESTLE</w:t>
      </w:r>
    </w:p>
    <w:p w14:paraId="4AE22E56" w14:textId="241107E0" w:rsidR="0099790E" w:rsidRDefault="0099790E" w:rsidP="0099790E">
      <w:pPr>
        <w:pStyle w:val="TEKSTI"/>
      </w:pPr>
      <w:r>
        <w:t>2.1</w:t>
      </w:r>
      <w:r w:rsidR="00C073A9">
        <w:t xml:space="preserve"> </w:t>
      </w:r>
      <w:r>
        <w:t>Reformat politike</w:t>
      </w:r>
      <w:r w:rsidR="00C073A9">
        <w:t xml:space="preserve"> dhe procesi i integrimit në BE</w:t>
      </w:r>
    </w:p>
    <w:p w14:paraId="6218721B" w14:textId="782192E5" w:rsidR="0099790E" w:rsidRDefault="0099790E" w:rsidP="0099790E">
      <w:pPr>
        <w:pStyle w:val="TEKSTI"/>
      </w:pPr>
      <w:r>
        <w:t>Konteksti Ekonomik i Vendit</w:t>
      </w:r>
      <w:r w:rsidR="00C073A9">
        <w:t xml:space="preserve"> </w:t>
      </w:r>
    </w:p>
    <w:p w14:paraId="5EDE5FFB" w14:textId="0A0AC85B" w:rsidR="0099790E" w:rsidRDefault="0099790E" w:rsidP="0099790E">
      <w:pPr>
        <w:pStyle w:val="TEKSTI"/>
      </w:pPr>
      <w:r>
        <w:t>2.2</w:t>
      </w:r>
      <w:r w:rsidR="00C073A9">
        <w:t xml:space="preserve"> </w:t>
      </w:r>
      <w:r>
        <w:t>KARAKTERISTIKAT EKONOMIKE TË ZONËS SË PROGRAMIT</w:t>
      </w:r>
    </w:p>
    <w:p w14:paraId="141508C9" w14:textId="62F0A695" w:rsidR="0099790E" w:rsidRDefault="0099790E" w:rsidP="0099790E">
      <w:pPr>
        <w:pStyle w:val="TEKSTI"/>
      </w:pPr>
      <w:r>
        <w:t>2.2.1</w:t>
      </w:r>
      <w:r w:rsidR="00C073A9">
        <w:t xml:space="preserve"> </w:t>
      </w:r>
      <w:r>
        <w:t>Sektori Privat</w:t>
      </w:r>
      <w:r w:rsidR="00C073A9">
        <w:t xml:space="preserve"> </w:t>
      </w:r>
    </w:p>
    <w:p w14:paraId="05FED061" w14:textId="3AFD2777" w:rsidR="0099790E" w:rsidRDefault="0099790E" w:rsidP="0099790E">
      <w:pPr>
        <w:pStyle w:val="TEKSTI"/>
      </w:pPr>
      <w:r>
        <w:t>2.2.2</w:t>
      </w:r>
      <w:r w:rsidR="00C073A9">
        <w:t xml:space="preserve"> </w:t>
      </w:r>
      <w:r>
        <w:t>Tregu i punës</w:t>
      </w:r>
      <w:r w:rsidR="00C073A9">
        <w:t xml:space="preserve"> </w:t>
      </w:r>
    </w:p>
    <w:p w14:paraId="1B8CC60C" w14:textId="4F2E7F35" w:rsidR="0099790E" w:rsidRDefault="0099790E" w:rsidP="0099790E">
      <w:pPr>
        <w:pStyle w:val="TEKSTI"/>
      </w:pPr>
      <w:r>
        <w:t>2.2.3</w:t>
      </w:r>
      <w:r w:rsidR="00C073A9">
        <w:t xml:space="preserve"> </w:t>
      </w:r>
      <w:r>
        <w:t>Bujqësia dhe Zhvillimi rural</w:t>
      </w:r>
    </w:p>
    <w:p w14:paraId="029685AB" w14:textId="48413DAD" w:rsidR="0099790E" w:rsidRDefault="0099790E" w:rsidP="0099790E">
      <w:pPr>
        <w:pStyle w:val="TEKSTI"/>
      </w:pPr>
      <w:r>
        <w:t>2.2.4</w:t>
      </w:r>
      <w:r w:rsidR="00C073A9">
        <w:t xml:space="preserve"> </w:t>
      </w:r>
      <w:r>
        <w:t>Turizmi</w:t>
      </w:r>
    </w:p>
    <w:p w14:paraId="63929349" w14:textId="452F7E42" w:rsidR="0099790E" w:rsidRDefault="0099790E" w:rsidP="0099790E">
      <w:pPr>
        <w:pStyle w:val="TEKSTI"/>
      </w:pPr>
      <w:r>
        <w:t>2.3</w:t>
      </w:r>
      <w:r w:rsidR="00C073A9">
        <w:t xml:space="preserve"> </w:t>
      </w:r>
      <w:r>
        <w:t>SOCIALE</w:t>
      </w:r>
      <w:r w:rsidR="00C073A9">
        <w:t xml:space="preserve"> </w:t>
      </w:r>
    </w:p>
    <w:p w14:paraId="7E5D640C" w14:textId="38004CC3" w:rsidR="00C073A9" w:rsidRDefault="0099790E" w:rsidP="0099790E">
      <w:pPr>
        <w:pStyle w:val="TEKSTI"/>
      </w:pPr>
      <w:r>
        <w:t>2.3.1</w:t>
      </w:r>
      <w:r w:rsidR="00C073A9">
        <w:t xml:space="preserve"> </w:t>
      </w:r>
      <w:r>
        <w:t>Demografia</w:t>
      </w:r>
    </w:p>
    <w:p w14:paraId="276C2197" w14:textId="198A9C61" w:rsidR="00C073A9" w:rsidRDefault="0099790E" w:rsidP="0099790E">
      <w:pPr>
        <w:pStyle w:val="TEKSTI"/>
      </w:pPr>
      <w:r>
        <w:t>Dendësia</w:t>
      </w:r>
      <w:r w:rsidR="00C073A9">
        <w:t xml:space="preserve"> </w:t>
      </w:r>
    </w:p>
    <w:p w14:paraId="25F537A7" w14:textId="4AA1505A" w:rsidR="00C073A9" w:rsidRDefault="0099790E" w:rsidP="0099790E">
      <w:pPr>
        <w:pStyle w:val="TEKSTI"/>
      </w:pPr>
      <w:r>
        <w:t>Minoritetet</w:t>
      </w:r>
      <w:r w:rsidR="00C073A9">
        <w:t xml:space="preserve"> </w:t>
      </w:r>
    </w:p>
    <w:p w14:paraId="09295122" w14:textId="3B8DE87A" w:rsidR="0099790E" w:rsidRDefault="0099790E" w:rsidP="0099790E">
      <w:pPr>
        <w:pStyle w:val="TEKSTI"/>
      </w:pPr>
      <w:r>
        <w:t>Varfëria</w:t>
      </w:r>
    </w:p>
    <w:p w14:paraId="111A4844" w14:textId="1EFF688D" w:rsidR="0099790E" w:rsidRDefault="0099790E" w:rsidP="0099790E">
      <w:pPr>
        <w:pStyle w:val="TEKSTI"/>
      </w:pPr>
      <w:r>
        <w:t>2.3.2</w:t>
      </w:r>
      <w:r w:rsidR="00C073A9">
        <w:t xml:space="preserve"> </w:t>
      </w:r>
      <w:r>
        <w:t>Arsimi</w:t>
      </w:r>
      <w:r w:rsidR="00C073A9">
        <w:t xml:space="preserve"> </w:t>
      </w:r>
    </w:p>
    <w:p w14:paraId="3853140C" w14:textId="7D849931" w:rsidR="0099790E" w:rsidRDefault="0099790E" w:rsidP="0099790E">
      <w:pPr>
        <w:pStyle w:val="TEKSTI"/>
      </w:pPr>
      <w:r>
        <w:t>2.3.3</w:t>
      </w:r>
      <w:r w:rsidR="00C073A9">
        <w:t xml:space="preserve"> </w:t>
      </w:r>
      <w:r>
        <w:t>Shëndetësia</w:t>
      </w:r>
    </w:p>
    <w:p w14:paraId="6634E4CD" w14:textId="0C0E59AB" w:rsidR="0099790E" w:rsidRDefault="0099790E" w:rsidP="0099790E">
      <w:pPr>
        <w:pStyle w:val="TEKSTI"/>
      </w:pPr>
      <w:r>
        <w:t>2.3.4</w:t>
      </w:r>
      <w:r w:rsidR="00C073A9">
        <w:t xml:space="preserve"> </w:t>
      </w:r>
      <w:r>
        <w:t>Kultura</w:t>
      </w:r>
    </w:p>
    <w:p w14:paraId="163A8183" w14:textId="1E3568F0" w:rsidR="0099790E" w:rsidRDefault="00C073A9" w:rsidP="0099790E">
      <w:pPr>
        <w:pStyle w:val="TEKSTI"/>
      </w:pPr>
      <w:r>
        <w:t>2.3.5 Shoqëria Civile</w:t>
      </w:r>
    </w:p>
    <w:p w14:paraId="5D874DCA" w14:textId="74FCFBF3" w:rsidR="0099790E" w:rsidRDefault="0099790E" w:rsidP="0099790E">
      <w:pPr>
        <w:pStyle w:val="TEKSTI"/>
      </w:pPr>
      <w:r>
        <w:t>2.4</w:t>
      </w:r>
      <w:r w:rsidR="00C073A9">
        <w:t xml:space="preserve"> </w:t>
      </w:r>
      <w:r>
        <w:t>INFRASTRUKTURA</w:t>
      </w:r>
    </w:p>
    <w:p w14:paraId="2AC01800" w14:textId="336AD748" w:rsidR="0099790E" w:rsidRDefault="0099790E" w:rsidP="0099790E">
      <w:pPr>
        <w:pStyle w:val="TEKSTI"/>
      </w:pPr>
      <w:r>
        <w:t>2.5</w:t>
      </w:r>
      <w:r w:rsidR="00C073A9">
        <w:t xml:space="preserve"> </w:t>
      </w:r>
      <w:r>
        <w:t>MJEDISI</w:t>
      </w:r>
      <w:r w:rsidR="00C073A9">
        <w:t xml:space="preserve"> </w:t>
      </w:r>
    </w:p>
    <w:p w14:paraId="266574C5" w14:textId="1C851ABA" w:rsidR="0099790E" w:rsidRDefault="0099790E" w:rsidP="0099790E">
      <w:pPr>
        <w:pStyle w:val="TEKSTI"/>
      </w:pPr>
      <w:r>
        <w:t>2.6</w:t>
      </w:r>
      <w:r w:rsidR="00C073A9">
        <w:t xml:space="preserve"> </w:t>
      </w:r>
      <w:r>
        <w:t>MARRËVESHJET LIGJORE DHE INSTITUCIONALE</w:t>
      </w:r>
    </w:p>
    <w:p w14:paraId="1D3D68F5" w14:textId="0F0C1B1E" w:rsidR="0099790E" w:rsidRDefault="0099790E" w:rsidP="0099790E">
      <w:pPr>
        <w:pStyle w:val="TEKSTI"/>
      </w:pPr>
      <w:r>
        <w:t>3.7.</w:t>
      </w:r>
      <w:r w:rsidR="00C073A9">
        <w:t xml:space="preserve"> </w:t>
      </w:r>
      <w:r>
        <w:t>KONKLUZIONE</w:t>
      </w:r>
    </w:p>
    <w:p w14:paraId="6A7ABFAD" w14:textId="68AB03F9" w:rsidR="0099790E" w:rsidRDefault="0099790E" w:rsidP="0099790E">
      <w:pPr>
        <w:pStyle w:val="TEKSTI"/>
      </w:pPr>
      <w:r>
        <w:t>4. ANALIZA SWOT</w:t>
      </w:r>
    </w:p>
    <w:p w14:paraId="31AC71E6" w14:textId="77777777" w:rsidR="005561E4" w:rsidRDefault="005561E4" w:rsidP="0099790E">
      <w:pPr>
        <w:pStyle w:val="TEKSTI"/>
      </w:pPr>
    </w:p>
    <w:p w14:paraId="1CBA41AE" w14:textId="77777777" w:rsidR="005561E4" w:rsidRPr="00E62F5F" w:rsidRDefault="005561E4" w:rsidP="005561E4">
      <w:pPr>
        <w:pStyle w:val="Heading1"/>
        <w:spacing w:before="0"/>
        <w:ind w:left="0"/>
        <w:jc w:val="left"/>
        <w:rPr>
          <w:rFonts w:ascii="Garamond" w:hAnsi="Garamond"/>
          <w:sz w:val="20"/>
          <w:szCs w:val="20"/>
        </w:rPr>
      </w:pPr>
      <w:r w:rsidRPr="00E62F5F">
        <w:rPr>
          <w:rFonts w:ascii="Garamond" w:hAnsi="Garamond"/>
          <w:sz w:val="20"/>
          <w:szCs w:val="20"/>
        </w:rPr>
        <w:t>Përmbledhje</w:t>
      </w:r>
    </w:p>
    <w:p w14:paraId="4C8FBDEE" w14:textId="77777777" w:rsidR="005561E4" w:rsidRPr="00E62F5F" w:rsidRDefault="005561E4" w:rsidP="005561E4">
      <w:pPr>
        <w:pStyle w:val="BodyText"/>
        <w:rPr>
          <w:rFonts w:ascii="Garamond" w:hAnsi="Garamond"/>
          <w:b/>
          <w:sz w:val="20"/>
          <w:szCs w:val="20"/>
        </w:rPr>
      </w:pPr>
    </w:p>
    <w:tbl>
      <w:tblPr>
        <w:tblW w:w="9213" w:type="dxa"/>
        <w:tblInd w:w="11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088"/>
        <w:gridCol w:w="7125"/>
      </w:tblGrid>
      <w:tr w:rsidR="005561E4" w:rsidRPr="00E62F5F" w14:paraId="2C6D2128" w14:textId="77777777" w:rsidTr="005561E4">
        <w:trPr>
          <w:trHeight w:hRule="exact" w:val="538"/>
        </w:trPr>
        <w:tc>
          <w:tcPr>
            <w:tcW w:w="2088" w:type="dxa"/>
            <w:tcBorders>
              <w:top w:val="double" w:sz="6" w:space="0" w:color="A6A6A6"/>
              <w:left w:val="double" w:sz="6" w:space="0" w:color="A6A6A6"/>
            </w:tcBorders>
          </w:tcPr>
          <w:p w14:paraId="417641FB"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Titulli i programit</w:t>
            </w:r>
          </w:p>
        </w:tc>
        <w:tc>
          <w:tcPr>
            <w:tcW w:w="7125" w:type="dxa"/>
            <w:tcBorders>
              <w:top w:val="double" w:sz="6" w:space="0" w:color="A6A6A6"/>
              <w:right w:val="double" w:sz="6" w:space="0" w:color="A6A6A6"/>
            </w:tcBorders>
          </w:tcPr>
          <w:p w14:paraId="70CE10F3"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Programi BNK Mal i Zi - Shqipëri 2014-2020</w:t>
            </w:r>
          </w:p>
        </w:tc>
      </w:tr>
      <w:tr w:rsidR="005561E4" w:rsidRPr="00E62F5F" w14:paraId="3CE1B7B7" w14:textId="77777777" w:rsidTr="005561E4">
        <w:trPr>
          <w:trHeight w:hRule="exact" w:val="1874"/>
        </w:trPr>
        <w:tc>
          <w:tcPr>
            <w:tcW w:w="2088" w:type="dxa"/>
            <w:tcBorders>
              <w:left w:val="double" w:sz="6" w:space="0" w:color="A6A6A6"/>
            </w:tcBorders>
          </w:tcPr>
          <w:p w14:paraId="719DBE24"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Zona e programit</w:t>
            </w:r>
          </w:p>
        </w:tc>
        <w:tc>
          <w:tcPr>
            <w:tcW w:w="7125" w:type="dxa"/>
            <w:tcBorders>
              <w:right w:val="double" w:sz="6" w:space="0" w:color="A6A6A6"/>
            </w:tcBorders>
          </w:tcPr>
          <w:p w14:paraId="4B945746"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u w:val="single"/>
              </w:rPr>
              <w:t>Mal i Zi</w:t>
            </w:r>
            <w:r w:rsidRPr="00E62F5F">
              <w:rPr>
                <w:rFonts w:ascii="Garamond" w:hAnsi="Garamond"/>
                <w:sz w:val="20"/>
                <w:szCs w:val="20"/>
              </w:rPr>
              <w:t>:</w:t>
            </w:r>
          </w:p>
          <w:p w14:paraId="14E4FD5C" w14:textId="30511D17"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Andrijevica, Beranë, Petnjica, Plavë, Gucia, Rozhajë, Podgoricë, Cetinjë, Danilovgrad, Budva, Tivar dhe</w:t>
            </w:r>
            <w:r w:rsidRPr="00E62F5F">
              <w:rPr>
                <w:rFonts w:ascii="Garamond" w:hAnsi="Garamond"/>
                <w:spacing w:val="-12"/>
                <w:sz w:val="20"/>
                <w:szCs w:val="20"/>
              </w:rPr>
              <w:t xml:space="preserve"> </w:t>
            </w:r>
            <w:r w:rsidRPr="00E62F5F">
              <w:rPr>
                <w:rFonts w:ascii="Garamond" w:hAnsi="Garamond"/>
                <w:sz w:val="20"/>
                <w:szCs w:val="20"/>
              </w:rPr>
              <w:t>Ulqin</w:t>
            </w:r>
          </w:p>
          <w:p w14:paraId="2FD87F99" w14:textId="77777777" w:rsidR="005561E4" w:rsidRPr="00E62F5F" w:rsidRDefault="005561E4" w:rsidP="00BA13DB">
            <w:pPr>
              <w:pStyle w:val="TableParagraph"/>
              <w:rPr>
                <w:rFonts w:ascii="Garamond" w:hAnsi="Garamond"/>
                <w:b/>
                <w:sz w:val="20"/>
                <w:szCs w:val="20"/>
              </w:rPr>
            </w:pPr>
          </w:p>
          <w:p w14:paraId="1FA3EDDF"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u w:val="single"/>
              </w:rPr>
              <w:t>Shqipëri</w:t>
            </w:r>
            <w:r w:rsidRPr="00E62F5F">
              <w:rPr>
                <w:rFonts w:ascii="Garamond" w:hAnsi="Garamond"/>
                <w:sz w:val="20"/>
                <w:szCs w:val="20"/>
              </w:rPr>
              <w:t>:</w:t>
            </w:r>
          </w:p>
          <w:p w14:paraId="6EE93CF4" w14:textId="62A17EA3"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Rajoni i</w:t>
            </w:r>
            <w:r w:rsidRPr="00E62F5F">
              <w:rPr>
                <w:rFonts w:ascii="Garamond" w:hAnsi="Garamond"/>
                <w:spacing w:val="-1"/>
                <w:sz w:val="20"/>
                <w:szCs w:val="20"/>
              </w:rPr>
              <w:t xml:space="preserve"> </w:t>
            </w:r>
            <w:r w:rsidRPr="00E62F5F">
              <w:rPr>
                <w:rFonts w:ascii="Garamond" w:hAnsi="Garamond"/>
                <w:sz w:val="20"/>
                <w:szCs w:val="20"/>
              </w:rPr>
              <w:t>Shkodrës</w:t>
            </w:r>
          </w:p>
          <w:p w14:paraId="04D45EA5" w14:textId="68842375"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Rajoni i Lezhës</w:t>
            </w:r>
          </w:p>
          <w:p w14:paraId="623F991C" w14:textId="77777777" w:rsidR="005561E4" w:rsidRPr="00E62F5F" w:rsidRDefault="005561E4" w:rsidP="005561E4">
            <w:pPr>
              <w:pStyle w:val="TableParagraph"/>
              <w:tabs>
                <w:tab w:val="left" w:pos="823"/>
                <w:tab w:val="left" w:pos="824"/>
              </w:tabs>
              <w:rPr>
                <w:rFonts w:ascii="Garamond" w:hAnsi="Garamond"/>
                <w:sz w:val="20"/>
                <w:szCs w:val="20"/>
              </w:rPr>
            </w:pPr>
            <w:r w:rsidRPr="00E62F5F">
              <w:rPr>
                <w:rFonts w:ascii="Garamond" w:hAnsi="Garamond"/>
                <w:sz w:val="20"/>
                <w:szCs w:val="20"/>
              </w:rPr>
              <w:t>* Rrethi i</w:t>
            </w:r>
            <w:r w:rsidRPr="00E62F5F">
              <w:rPr>
                <w:rFonts w:ascii="Garamond" w:hAnsi="Garamond"/>
                <w:spacing w:val="-3"/>
                <w:sz w:val="20"/>
                <w:szCs w:val="20"/>
              </w:rPr>
              <w:t xml:space="preserve"> </w:t>
            </w:r>
            <w:r w:rsidRPr="00E62F5F">
              <w:rPr>
                <w:rFonts w:ascii="Garamond" w:hAnsi="Garamond"/>
                <w:sz w:val="20"/>
                <w:szCs w:val="20"/>
              </w:rPr>
              <w:t>Tropojës</w:t>
            </w:r>
          </w:p>
        </w:tc>
      </w:tr>
      <w:tr w:rsidR="005561E4" w:rsidRPr="00E62F5F" w14:paraId="0D2BA61A" w14:textId="77777777" w:rsidTr="005561E4">
        <w:trPr>
          <w:trHeight w:hRule="exact" w:val="994"/>
        </w:trPr>
        <w:tc>
          <w:tcPr>
            <w:tcW w:w="2088" w:type="dxa"/>
            <w:tcBorders>
              <w:left w:val="double" w:sz="6" w:space="0" w:color="A6A6A6"/>
            </w:tcBorders>
          </w:tcPr>
          <w:p w14:paraId="3A51BA94"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Objektivi i përgjithshëm i programit</w:t>
            </w:r>
          </w:p>
        </w:tc>
        <w:tc>
          <w:tcPr>
            <w:tcW w:w="7125" w:type="dxa"/>
            <w:tcBorders>
              <w:right w:val="double" w:sz="6" w:space="0" w:color="A6A6A6"/>
            </w:tcBorders>
          </w:tcPr>
          <w:p w14:paraId="6C6F8419"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Të promovojë/ forcojë marrëdhënie të mira fqinjësore dhe zhvillimin social- ekonomik të rajoneve kufitare, nëpërmjet vlerësimit të potencialeve të tyre turistike, zhvillimit ekonomik ekologjikisht të qëndrueshëm dhe gjithëpërfshirës, me respektin për trashëgiminë e përbashkët kulturore dhe natyrore.</w:t>
            </w:r>
          </w:p>
        </w:tc>
      </w:tr>
      <w:tr w:rsidR="005561E4" w:rsidRPr="00E62F5F" w14:paraId="71D20218" w14:textId="77777777" w:rsidTr="005561E4">
        <w:trPr>
          <w:trHeight w:hRule="exact" w:val="1422"/>
        </w:trPr>
        <w:tc>
          <w:tcPr>
            <w:tcW w:w="2088" w:type="dxa"/>
            <w:tcBorders>
              <w:left w:val="double" w:sz="6" w:space="0" w:color="A6A6A6"/>
            </w:tcBorders>
          </w:tcPr>
          <w:p w14:paraId="5E8FE007"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Prioritetet tematike të programit</w:t>
            </w:r>
          </w:p>
        </w:tc>
        <w:tc>
          <w:tcPr>
            <w:tcW w:w="7125" w:type="dxa"/>
            <w:tcBorders>
              <w:right w:val="double" w:sz="6" w:space="0" w:color="A6A6A6"/>
            </w:tcBorders>
          </w:tcPr>
          <w:p w14:paraId="5092494E"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PT1</w:t>
            </w:r>
            <w:r w:rsidRPr="00E62F5F">
              <w:rPr>
                <w:rFonts w:ascii="Garamond" w:hAnsi="Garamond"/>
                <w:sz w:val="20"/>
                <w:szCs w:val="20"/>
              </w:rPr>
              <w:t>: Nxitja e turizmit dhe e trashëgimisë kulturore dhe natyrore;</w:t>
            </w:r>
          </w:p>
          <w:p w14:paraId="17130A3C"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PT2</w:t>
            </w:r>
            <w:r w:rsidRPr="00E62F5F">
              <w:rPr>
                <w:rFonts w:ascii="Garamond" w:hAnsi="Garamond"/>
                <w:sz w:val="20"/>
                <w:szCs w:val="20"/>
              </w:rPr>
              <w:t>: Mbrojtja e mjedisit, nxitja e përshtatjes dhe lehtësimit ndaj ndryshimeve klimatike, parandalimi dhe menaxhimi i rrezikut;</w:t>
            </w:r>
          </w:p>
          <w:p w14:paraId="507C4B8E"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 xml:space="preserve">PT3: </w:t>
            </w:r>
            <w:r w:rsidRPr="00E62F5F">
              <w:rPr>
                <w:rFonts w:ascii="Garamond" w:hAnsi="Garamond"/>
                <w:sz w:val="20"/>
                <w:szCs w:val="20"/>
              </w:rPr>
              <w:t>Nxitja e punësimit, lëvizjes gjeografike të punonjësve, dhe përfshirjes sociale dhe kulturore përtej kufirit;</w:t>
            </w:r>
          </w:p>
          <w:p w14:paraId="4B6B636C"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 xml:space="preserve">PT4: </w:t>
            </w:r>
            <w:r w:rsidRPr="00E62F5F">
              <w:rPr>
                <w:rFonts w:ascii="Garamond" w:hAnsi="Garamond"/>
                <w:sz w:val="20"/>
                <w:szCs w:val="20"/>
              </w:rPr>
              <w:t>Asistenca teknike.</w:t>
            </w:r>
          </w:p>
        </w:tc>
      </w:tr>
      <w:tr w:rsidR="005561E4" w:rsidRPr="00E62F5F" w14:paraId="3406D5A2" w14:textId="77777777" w:rsidTr="005561E4">
        <w:trPr>
          <w:trHeight w:hRule="exact" w:val="1428"/>
        </w:trPr>
        <w:tc>
          <w:tcPr>
            <w:tcW w:w="2088" w:type="dxa"/>
            <w:tcBorders>
              <w:left w:val="double" w:sz="6" w:space="0" w:color="A6A6A6"/>
            </w:tcBorders>
          </w:tcPr>
          <w:p w14:paraId="20A74716"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Objektivat Specifike të Programit</w:t>
            </w:r>
          </w:p>
        </w:tc>
        <w:tc>
          <w:tcPr>
            <w:tcW w:w="7125" w:type="dxa"/>
            <w:tcBorders>
              <w:right w:val="double" w:sz="6" w:space="0" w:color="A6A6A6"/>
            </w:tcBorders>
          </w:tcPr>
          <w:p w14:paraId="4C5ECDEA" w14:textId="32D5D02D"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Konkurrenca e sektorit të turizmit rritet nga vlerësimi ekonomik i trashëgimisë kulturore dhe</w:t>
            </w:r>
            <w:r w:rsidRPr="00E62F5F">
              <w:rPr>
                <w:rFonts w:ascii="Garamond" w:hAnsi="Garamond"/>
                <w:spacing w:val="-9"/>
                <w:sz w:val="20"/>
                <w:szCs w:val="20"/>
              </w:rPr>
              <w:t xml:space="preserve"> </w:t>
            </w:r>
            <w:r w:rsidRPr="00E62F5F">
              <w:rPr>
                <w:rFonts w:ascii="Garamond" w:hAnsi="Garamond"/>
                <w:sz w:val="20"/>
                <w:szCs w:val="20"/>
              </w:rPr>
              <w:t>natyrore</w:t>
            </w:r>
          </w:p>
          <w:p w14:paraId="6C0E6950" w14:textId="4FA01980"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Avancimi i mbrojtjes së burimeve mjedisore tek liqeni dhe zonat alpine</w:t>
            </w:r>
          </w:p>
          <w:p w14:paraId="7FEB240F" w14:textId="4BFF2475"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Nxitja e punësimit dhe përfshirjes</w:t>
            </w:r>
            <w:r w:rsidRPr="00E62F5F">
              <w:rPr>
                <w:rFonts w:ascii="Garamond" w:hAnsi="Garamond"/>
                <w:spacing w:val="-15"/>
                <w:sz w:val="20"/>
                <w:szCs w:val="20"/>
              </w:rPr>
              <w:t xml:space="preserve"> </w:t>
            </w:r>
            <w:r w:rsidRPr="00E62F5F">
              <w:rPr>
                <w:rFonts w:ascii="Garamond" w:hAnsi="Garamond"/>
                <w:sz w:val="20"/>
                <w:szCs w:val="20"/>
              </w:rPr>
              <w:t>sociale</w:t>
            </w:r>
          </w:p>
          <w:p w14:paraId="19177597" w14:textId="162677FF" w:rsidR="005561E4" w:rsidRPr="00E62F5F" w:rsidRDefault="005561E4" w:rsidP="005561E4">
            <w:pPr>
              <w:pStyle w:val="TableParagraph"/>
              <w:tabs>
                <w:tab w:val="left" w:pos="823"/>
                <w:tab w:val="left" w:pos="824"/>
              </w:tabs>
              <w:rPr>
                <w:rFonts w:ascii="Garamond" w:hAnsi="Garamond"/>
                <w:sz w:val="20"/>
                <w:szCs w:val="20"/>
              </w:rPr>
            </w:pPr>
            <w:r>
              <w:rPr>
                <w:rFonts w:ascii="Garamond" w:hAnsi="Garamond"/>
                <w:sz w:val="20"/>
                <w:szCs w:val="20"/>
              </w:rPr>
              <w:t>-</w:t>
            </w:r>
            <w:r w:rsidRPr="00E62F5F">
              <w:rPr>
                <w:rFonts w:ascii="Garamond" w:hAnsi="Garamond"/>
                <w:sz w:val="20"/>
                <w:szCs w:val="20"/>
              </w:rPr>
              <w:t>Garantimi i zbatimi efektiv, efikas, transparent dhe në kohë i programit, si dhe rritja e</w:t>
            </w:r>
            <w:r w:rsidRPr="00E62F5F">
              <w:rPr>
                <w:rFonts w:ascii="Garamond" w:hAnsi="Garamond"/>
                <w:spacing w:val="-14"/>
                <w:sz w:val="20"/>
                <w:szCs w:val="20"/>
              </w:rPr>
              <w:t xml:space="preserve"> </w:t>
            </w:r>
            <w:r w:rsidRPr="00E62F5F">
              <w:rPr>
                <w:rFonts w:ascii="Garamond" w:hAnsi="Garamond"/>
                <w:sz w:val="20"/>
                <w:szCs w:val="20"/>
              </w:rPr>
              <w:t>ndërgjegjësimit</w:t>
            </w:r>
          </w:p>
        </w:tc>
      </w:tr>
      <w:tr w:rsidR="005561E4" w:rsidRPr="00E62F5F" w14:paraId="0F3A0F13" w14:textId="77777777" w:rsidTr="005561E4">
        <w:trPr>
          <w:trHeight w:hRule="exact" w:val="568"/>
        </w:trPr>
        <w:tc>
          <w:tcPr>
            <w:tcW w:w="2088" w:type="dxa"/>
            <w:tcBorders>
              <w:left w:val="double" w:sz="6" w:space="0" w:color="A6A6A6"/>
              <w:bottom w:val="double" w:sz="6" w:space="0" w:color="A6A6A6"/>
            </w:tcBorders>
          </w:tcPr>
          <w:p w14:paraId="053E6F0A"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Alokimi financiar 2014-2020</w:t>
            </w:r>
          </w:p>
        </w:tc>
        <w:tc>
          <w:tcPr>
            <w:tcW w:w="7125" w:type="dxa"/>
            <w:tcBorders>
              <w:bottom w:val="double" w:sz="6" w:space="0" w:color="A6A6A6"/>
              <w:right w:val="double" w:sz="6" w:space="0" w:color="A6A6A6"/>
            </w:tcBorders>
          </w:tcPr>
          <w:p w14:paraId="4736752D"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11,900,000.00 EURO</w:t>
            </w:r>
          </w:p>
        </w:tc>
      </w:tr>
      <w:tr w:rsidR="005561E4" w:rsidRPr="00E62F5F" w14:paraId="4AF52915" w14:textId="77777777" w:rsidTr="005561E4">
        <w:trPr>
          <w:trHeight w:hRule="exact" w:val="456"/>
        </w:trPr>
        <w:tc>
          <w:tcPr>
            <w:tcW w:w="2088" w:type="dxa"/>
            <w:tcBorders>
              <w:top w:val="double" w:sz="6" w:space="0" w:color="A6A6A6"/>
              <w:left w:val="double" w:sz="6" w:space="0" w:color="A6A6A6"/>
            </w:tcBorders>
          </w:tcPr>
          <w:p w14:paraId="2E139C13"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Metoda e Zbatimit</w:t>
            </w:r>
          </w:p>
        </w:tc>
        <w:tc>
          <w:tcPr>
            <w:tcW w:w="7125" w:type="dxa"/>
            <w:tcBorders>
              <w:top w:val="double" w:sz="6" w:space="0" w:color="A6A6A6"/>
              <w:right w:val="double" w:sz="6" w:space="0" w:color="A6A6A6"/>
            </w:tcBorders>
          </w:tcPr>
          <w:p w14:paraId="41573E13"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Menaxhim indirekt (në bazë të besimit tek detyrat e zbatimit të buxhetit)</w:t>
            </w:r>
          </w:p>
        </w:tc>
      </w:tr>
      <w:tr w:rsidR="005561E4" w:rsidRPr="00E62F5F" w14:paraId="31C44A10" w14:textId="77777777" w:rsidTr="005561E4">
        <w:trPr>
          <w:trHeight w:hRule="exact" w:val="1250"/>
        </w:trPr>
        <w:tc>
          <w:tcPr>
            <w:tcW w:w="2088" w:type="dxa"/>
            <w:tcBorders>
              <w:left w:val="double" w:sz="6" w:space="0" w:color="A6A6A6"/>
            </w:tcBorders>
          </w:tcPr>
          <w:p w14:paraId="3A35DDBA"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Autoriteti Kontraktues</w:t>
            </w:r>
          </w:p>
        </w:tc>
        <w:tc>
          <w:tcPr>
            <w:tcW w:w="7125" w:type="dxa"/>
            <w:tcBorders>
              <w:right w:val="double" w:sz="6" w:space="0" w:color="A6A6A6"/>
            </w:tcBorders>
          </w:tcPr>
          <w:p w14:paraId="3F87ECE8"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Mal i Zi</w:t>
            </w:r>
            <w:r w:rsidRPr="00E62F5F">
              <w:rPr>
                <w:rFonts w:ascii="Garamond" w:hAnsi="Garamond"/>
                <w:sz w:val="20"/>
                <w:szCs w:val="20"/>
              </w:rPr>
              <w:t>:</w:t>
            </w:r>
          </w:p>
          <w:p w14:paraId="5C984CEE"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Ministria e Financave</w:t>
            </w:r>
          </w:p>
          <w:p w14:paraId="59CC3FB2"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Njësia Qendrore e Financave dhe Kontraktimit (CFCU) Jola Piletica bb,  81 000 Podgoricë</w:t>
            </w:r>
          </w:p>
          <w:p w14:paraId="0BB46576"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Tel:   + 382 (0) 20 230 630</w:t>
            </w:r>
          </w:p>
          <w:p w14:paraId="22A51285"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Faks: + 382 (0) 20 230 657</w:t>
            </w:r>
          </w:p>
        </w:tc>
      </w:tr>
      <w:tr w:rsidR="005561E4" w:rsidRPr="00E62F5F" w14:paraId="28553025" w14:textId="77777777" w:rsidTr="005561E4">
        <w:trPr>
          <w:trHeight w:hRule="exact" w:val="2401"/>
        </w:trPr>
        <w:tc>
          <w:tcPr>
            <w:tcW w:w="2088" w:type="dxa"/>
            <w:tcBorders>
              <w:left w:val="double" w:sz="6" w:space="0" w:color="A6A6A6"/>
            </w:tcBorders>
          </w:tcPr>
          <w:p w14:paraId="525A282B"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Autoritetet përkatëse nga pjesëmarrësit, përfitues të IPA II [Strukturat Operative]</w:t>
            </w:r>
          </w:p>
        </w:tc>
        <w:tc>
          <w:tcPr>
            <w:tcW w:w="7125" w:type="dxa"/>
            <w:tcBorders>
              <w:right w:val="double" w:sz="6" w:space="0" w:color="A6A6A6"/>
            </w:tcBorders>
          </w:tcPr>
          <w:p w14:paraId="67C3EA16" w14:textId="77777777" w:rsidR="005561E4" w:rsidRPr="00E62F5F" w:rsidRDefault="005561E4" w:rsidP="00BA13DB">
            <w:pPr>
              <w:pStyle w:val="TableParagraph"/>
              <w:rPr>
                <w:rFonts w:ascii="Garamond" w:hAnsi="Garamond"/>
                <w:sz w:val="20"/>
                <w:szCs w:val="20"/>
              </w:rPr>
            </w:pPr>
            <w:r w:rsidRPr="00E62F5F">
              <w:rPr>
                <w:rFonts w:ascii="Garamond" w:hAnsi="Garamond"/>
                <w:b/>
                <w:sz w:val="20"/>
                <w:szCs w:val="20"/>
              </w:rPr>
              <w:t>Mal i Zi</w:t>
            </w:r>
            <w:r w:rsidRPr="00E62F5F">
              <w:rPr>
                <w:rFonts w:ascii="Garamond" w:hAnsi="Garamond"/>
                <w:sz w:val="20"/>
                <w:szCs w:val="20"/>
              </w:rPr>
              <w:t>:</w:t>
            </w:r>
          </w:p>
          <w:p w14:paraId="61F8407B"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Ministria e Punëve të Jashtme dhe Integrimit Europian Stanka Dragojevića 2</w:t>
            </w:r>
          </w:p>
          <w:p w14:paraId="0BCE9D82"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81000 Podgoricë</w:t>
            </w:r>
          </w:p>
          <w:p w14:paraId="107D2A25"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Tel: (+382 20)  224 439</w:t>
            </w:r>
          </w:p>
          <w:p w14:paraId="2CC67D79"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Faks:(+382 20) - 224 449</w:t>
            </w:r>
          </w:p>
          <w:p w14:paraId="55C84EFE" w14:textId="77777777" w:rsidR="005561E4" w:rsidRPr="00E62F5F" w:rsidRDefault="005561E4" w:rsidP="00BA13DB">
            <w:pPr>
              <w:pStyle w:val="TableParagraph"/>
              <w:rPr>
                <w:rFonts w:ascii="Garamond" w:hAnsi="Garamond"/>
                <w:b/>
                <w:sz w:val="20"/>
                <w:szCs w:val="20"/>
              </w:rPr>
            </w:pPr>
          </w:p>
          <w:p w14:paraId="78BFEEDC"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Shqipëri:</w:t>
            </w:r>
          </w:p>
          <w:p w14:paraId="763B6894"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Ministria e Integrimit Evropian</w:t>
            </w:r>
          </w:p>
          <w:p w14:paraId="6027E87B"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Rr. “Papa Gjon Pali II”, Tiranë, Shqipëri Tel:  +355 4 22 286 45</w:t>
            </w:r>
          </w:p>
          <w:p w14:paraId="760E941E"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Faks: + 355 4 22 562 67</w:t>
            </w:r>
          </w:p>
        </w:tc>
      </w:tr>
      <w:tr w:rsidR="005561E4" w:rsidRPr="00E62F5F" w14:paraId="5CD36B97" w14:textId="77777777" w:rsidTr="005561E4">
        <w:trPr>
          <w:trHeight w:hRule="exact" w:val="564"/>
        </w:trPr>
        <w:tc>
          <w:tcPr>
            <w:tcW w:w="2088" w:type="dxa"/>
            <w:tcBorders>
              <w:left w:val="double" w:sz="6" w:space="0" w:color="A6A6A6"/>
              <w:bottom w:val="double" w:sz="6" w:space="0" w:color="A6A6A6"/>
            </w:tcBorders>
          </w:tcPr>
          <w:p w14:paraId="6724CEFC" w14:textId="77777777" w:rsidR="005561E4" w:rsidRPr="00E62F5F" w:rsidRDefault="005561E4" w:rsidP="00BA13DB">
            <w:pPr>
              <w:pStyle w:val="TableParagraph"/>
              <w:rPr>
                <w:rFonts w:ascii="Garamond" w:hAnsi="Garamond"/>
                <w:b/>
                <w:sz w:val="20"/>
                <w:szCs w:val="20"/>
              </w:rPr>
            </w:pPr>
            <w:r w:rsidRPr="00E62F5F">
              <w:rPr>
                <w:rFonts w:ascii="Garamond" w:hAnsi="Garamond"/>
                <w:b/>
                <w:sz w:val="20"/>
                <w:szCs w:val="20"/>
              </w:rPr>
              <w:t>SPT/Antena</w:t>
            </w:r>
          </w:p>
        </w:tc>
        <w:tc>
          <w:tcPr>
            <w:tcW w:w="7125" w:type="dxa"/>
            <w:tcBorders>
              <w:bottom w:val="double" w:sz="6" w:space="0" w:color="A6A6A6"/>
              <w:right w:val="double" w:sz="6" w:space="0" w:color="A6A6A6"/>
            </w:tcBorders>
          </w:tcPr>
          <w:p w14:paraId="0A2587B2" w14:textId="77777777" w:rsidR="005561E4" w:rsidRPr="00E62F5F" w:rsidRDefault="005561E4" w:rsidP="00BA13DB">
            <w:pPr>
              <w:pStyle w:val="TableParagraph"/>
              <w:rPr>
                <w:rFonts w:ascii="Garamond" w:hAnsi="Garamond"/>
                <w:sz w:val="20"/>
                <w:szCs w:val="20"/>
              </w:rPr>
            </w:pPr>
            <w:r w:rsidRPr="00E62F5F">
              <w:rPr>
                <w:rFonts w:ascii="Garamond" w:hAnsi="Garamond"/>
                <w:sz w:val="20"/>
                <w:szCs w:val="20"/>
              </w:rPr>
              <w:t>SPT do të jetë e vendosur në Podgoricë, Mali i Zi. Antena do të jetë e vendosur në Shkodër, Shqipëri.</w:t>
            </w:r>
          </w:p>
        </w:tc>
      </w:tr>
    </w:tbl>
    <w:p w14:paraId="5CD61CCB" w14:textId="77777777" w:rsidR="005561E4" w:rsidRDefault="005561E4" w:rsidP="0099790E">
      <w:pPr>
        <w:pStyle w:val="TEKSTI"/>
        <w:rPr>
          <w:sz w:val="20"/>
          <w:szCs w:val="20"/>
        </w:rPr>
      </w:pPr>
    </w:p>
    <w:p w14:paraId="3F9A479E" w14:textId="433A2F00" w:rsidR="005561E4" w:rsidRDefault="001D74D3" w:rsidP="0099790E">
      <w:pPr>
        <w:pStyle w:val="TEKSTI"/>
        <w:rPr>
          <w:i/>
          <w:sz w:val="20"/>
          <w:szCs w:val="20"/>
        </w:rPr>
      </w:pPr>
      <w:r>
        <w:rPr>
          <w:i/>
          <w:sz w:val="20"/>
          <w:szCs w:val="20"/>
        </w:rPr>
        <w:t>*</w:t>
      </w:r>
      <w:r w:rsidR="005561E4" w:rsidRPr="005561E4">
        <w:rPr>
          <w:i/>
          <w:sz w:val="20"/>
          <w:szCs w:val="20"/>
        </w:rPr>
        <w:t>Kudo që është përmendur termi “Qarku i Tropojës” në tekst, ai i referohet ndarjes territoriale të mëparshme në Shqipëri, e cila përfshin Bashkinë Bajram Curri, Komunën Margegaj, Komunën Tropojë, Komunën Bujan, Komunën Bytyç, Komunën Fierzë, Komunën Lekbibaj, dhe Komunën</w:t>
      </w:r>
      <w:r w:rsidR="005561E4" w:rsidRPr="005561E4">
        <w:rPr>
          <w:i/>
          <w:spacing w:val="-1"/>
          <w:sz w:val="20"/>
          <w:szCs w:val="20"/>
        </w:rPr>
        <w:t xml:space="preserve"> </w:t>
      </w:r>
      <w:r w:rsidR="005561E4" w:rsidRPr="005561E4">
        <w:rPr>
          <w:i/>
          <w:sz w:val="20"/>
          <w:szCs w:val="20"/>
        </w:rPr>
        <w:t>Lugajë.</w:t>
      </w:r>
    </w:p>
    <w:p w14:paraId="4A491880" w14:textId="77777777" w:rsidR="00C61F48" w:rsidRDefault="00C61F48" w:rsidP="0099790E">
      <w:pPr>
        <w:pStyle w:val="TEKSTI"/>
        <w:rPr>
          <w:i/>
          <w:sz w:val="20"/>
          <w:szCs w:val="20"/>
        </w:rPr>
      </w:pPr>
    </w:p>
    <w:p w14:paraId="50967DA0" w14:textId="77777777" w:rsidR="00C61F48" w:rsidRPr="00C61F48" w:rsidRDefault="00C61F48" w:rsidP="00C61F48">
      <w:pPr>
        <w:pStyle w:val="TEKSTI"/>
        <w:rPr>
          <w:b/>
        </w:rPr>
      </w:pPr>
      <w:r w:rsidRPr="00C61F48">
        <w:rPr>
          <w:b/>
        </w:rPr>
        <w:t>Seksioni 1: Përmbledhje e Programit</w:t>
      </w:r>
    </w:p>
    <w:p w14:paraId="385E42A9" w14:textId="77777777" w:rsidR="00C61F48" w:rsidRDefault="00C61F48" w:rsidP="00C61F48">
      <w:pPr>
        <w:pStyle w:val="TEKSTI"/>
      </w:pPr>
      <w:r>
        <w:t>Programi për bashkëpunim ndërkufitar mes Malit të Zi (MZ) dhe Shqipërisë (AL) do të zbatohet në kuadrin e Instrumentit të Asistencës së Para-Anëtarësimit (IPA II). IPA II mbështet bashkëpunimin ndërkufitar me qëllim promovimin e marrëdhënieve të mira fqinjësore, nxitjen e integrimit në Bashkimin Evropian dhe promovimin e zhvillimit social ekonomik. Dispozitat ligjore për zbatimin e tij janë të përcaktuara në pjesët e mëposhtme të legjislacionit:</w:t>
      </w:r>
    </w:p>
    <w:p w14:paraId="13301794" w14:textId="4E26FA7B" w:rsidR="00C61F48" w:rsidRDefault="004B006C" w:rsidP="00C61F48">
      <w:pPr>
        <w:pStyle w:val="TEKSTI"/>
      </w:pPr>
      <w:r>
        <w:t>-</w:t>
      </w:r>
      <w:r w:rsidR="00C61F48">
        <w:t>Rregullorja (BE) Nr. 231/2014 e Parlamentit Evropian dhe e Këshillit e datës 11 mars 2014, për themelimin e Instrumentit për Asistencën e Para-Anëtarësimit (IPA</w:t>
      </w:r>
      <w:r w:rsidR="00C61F48">
        <w:rPr>
          <w:spacing w:val="-21"/>
        </w:rPr>
        <w:t xml:space="preserve"> </w:t>
      </w:r>
      <w:r w:rsidR="00C61F48">
        <w:t>II)</w:t>
      </w:r>
    </w:p>
    <w:p w14:paraId="37053580" w14:textId="48642A2F" w:rsidR="00C61F48" w:rsidRDefault="004B006C" w:rsidP="00C61F48">
      <w:pPr>
        <w:pStyle w:val="TEKSTI"/>
      </w:pPr>
      <w:r>
        <w:t>-</w:t>
      </w:r>
      <w:r w:rsidR="00C61F48">
        <w:t>Rregullorja (BE) Nr. 236/2014 e Parlamentit Evropian dhe e Këshillit e datës 11 mars 2014, që përcakton rregullat dhe procedurat e përbashkëta për zbatimin e instrumenteve te Bashkimit Evropian për financimin e veprimit të</w:t>
      </w:r>
      <w:r w:rsidR="00C61F48">
        <w:rPr>
          <w:spacing w:val="-18"/>
        </w:rPr>
        <w:t xml:space="preserve"> </w:t>
      </w:r>
      <w:r w:rsidR="00C61F48">
        <w:t>jashtëm</w:t>
      </w:r>
    </w:p>
    <w:p w14:paraId="5DE233D5" w14:textId="45B328C9" w:rsidR="00C61F48" w:rsidRDefault="004B006C" w:rsidP="00C61F48">
      <w:pPr>
        <w:pStyle w:val="TEKSTI"/>
      </w:pPr>
      <w:r>
        <w:t>-</w:t>
      </w:r>
      <w:r w:rsidR="00C61F48">
        <w:t>Rregullorja Zbatuese e Komisionit të BE-së Nr. 447/2014 e datës 2 maj 2014, mbi rregullat specifike për zbatimin e rregullores IPA</w:t>
      </w:r>
      <w:r w:rsidR="00C61F48">
        <w:rPr>
          <w:spacing w:val="-15"/>
        </w:rPr>
        <w:t xml:space="preserve"> </w:t>
      </w:r>
      <w:r w:rsidR="00C61F48">
        <w:t>II</w:t>
      </w:r>
    </w:p>
    <w:p w14:paraId="49EB6565" w14:textId="32AF33DE" w:rsidR="00C61F48" w:rsidRDefault="004B006C" w:rsidP="00C61F48">
      <w:pPr>
        <w:pStyle w:val="TEKSTI"/>
      </w:pPr>
      <w:bookmarkStart w:id="7" w:name="_bookmark4"/>
      <w:bookmarkEnd w:id="7"/>
      <w:r w:rsidRPr="004B006C">
        <w:rPr>
          <w:b/>
        </w:rPr>
        <w:t xml:space="preserve">1.1 </w:t>
      </w:r>
      <w:r w:rsidR="00C61F48" w:rsidRPr="004B006C">
        <w:rPr>
          <w:b/>
        </w:rPr>
        <w:t>Përmbledhje e</w:t>
      </w:r>
      <w:r w:rsidR="00C61F48" w:rsidRPr="004B006C">
        <w:rPr>
          <w:b/>
          <w:spacing w:val="-14"/>
        </w:rPr>
        <w:t xml:space="preserve"> </w:t>
      </w:r>
      <w:r w:rsidR="00C61F48" w:rsidRPr="004B006C">
        <w:rPr>
          <w:b/>
        </w:rPr>
        <w:t>Program</w:t>
      </w:r>
      <w:r w:rsidR="00C61F48">
        <w:t>it</w:t>
      </w:r>
    </w:p>
    <w:p w14:paraId="669DA68F" w14:textId="77777777" w:rsidR="00C61F48" w:rsidRDefault="00C61F48" w:rsidP="00C61F48">
      <w:pPr>
        <w:pStyle w:val="TEKSTI"/>
      </w:pPr>
      <w:r>
        <w:t>Programi mbulon një territor prej 11,970 km</w:t>
      </w:r>
      <w:r>
        <w:rPr>
          <w:position w:val="10"/>
          <w:sz w:val="14"/>
        </w:rPr>
        <w:t xml:space="preserve">2 </w:t>
      </w:r>
      <w:r>
        <w:t>me një popullsi prej rreth 749.257 banorë. Territori në Mal të Zi që përbën 52.1% të sipërfaqes së programit, mbulon 12 komuna të shtrira në tre rajone  gjeografike. Pjesa shqiptare është e përbërë nga tri njësi administrative, rajonet e Lezhës dhe Shkodrës dhe rrethi i Tropojës, duke zënë 47.9% të sipërfaqes së programit. Gjatësia e vijës kufitare është 244 km, nga të cilat 38 km janë kufi ujor. Gjithsej, zona e programit ka 23 komuna dhe një total prej 1,144 vendbanimeve - qytete dhe fshatra. Zona e programit karakterizohet nga një profil i ndryshëm gjeografik dhe klimatik. Ajo paraqet kontraste të mprehta, pasi në të alternohen malet, kodrat, lumenjtë, liqenet dhe bregu i detit shumë afër me njëri-tjetrin. Zona e programit ka disa parqe kombëtare, zona të mbrojtura dhe peizazhe që pasqyrojnë biodiversitetin e pasur dhe dallimet mjedisore. Popullsia që jeton në zonën e programit llogaritet të përbëjë rreth 61% të popullsisë së përgjithshme të Malit të Zi, dhe 13.5% të popullsisë së përgjithshme të Shqipërisë. Popullsia në zonën e programit është e balancuar, e përbërë nga popullsi e Malit të Zi rreth 50.63%, dhe popullsi shqiptare me rreth 49.37%. Përbërja e popullsisë në zonën e programit tregon se 50% e popullsisë i takon segmentit moshor 15-49</w:t>
      </w:r>
      <w:r>
        <w:rPr>
          <w:spacing w:val="-31"/>
        </w:rPr>
        <w:t xml:space="preserve"> </w:t>
      </w:r>
      <w:r>
        <w:t>vjeç.</w:t>
      </w:r>
    </w:p>
    <w:p w14:paraId="490BB81B" w14:textId="77777777" w:rsidR="00C61F48" w:rsidRDefault="00C61F48" w:rsidP="00C61F48">
      <w:pPr>
        <w:pStyle w:val="TEKSTI"/>
        <w:rPr>
          <w:sz w:val="16"/>
        </w:rPr>
      </w:pPr>
    </w:p>
    <w:p w14:paraId="61A2BCD2" w14:textId="77777777" w:rsidR="00C61F48" w:rsidRPr="004B006C" w:rsidRDefault="00C61F48" w:rsidP="00C61F48">
      <w:pPr>
        <w:pStyle w:val="TEKSTI"/>
        <w:rPr>
          <w:b/>
        </w:rPr>
      </w:pPr>
      <w:r w:rsidRPr="004B006C">
        <w:rPr>
          <w:b/>
        </w:rPr>
        <w:t>Gjetjet kryesore</w:t>
      </w:r>
    </w:p>
    <w:p w14:paraId="3B32BC66" w14:textId="77777777" w:rsidR="00C61F48" w:rsidRDefault="00C61F48" w:rsidP="00C61F48">
      <w:pPr>
        <w:pStyle w:val="TEKSTI"/>
      </w:pPr>
      <w:r>
        <w:t>Gjetjet kryesore të analizës, të pasqyruara në përgatitjen e dokumentit, janë përmbledhur më poshtë:</w:t>
      </w:r>
    </w:p>
    <w:p w14:paraId="2472756A" w14:textId="5D90A56F" w:rsidR="00C61F48" w:rsidRDefault="00C61F48" w:rsidP="00C61F48">
      <w:pPr>
        <w:pStyle w:val="TEKSTI"/>
      </w:pPr>
      <w:r>
        <w:t xml:space="preserve">Zona e programit </w:t>
      </w:r>
      <w:r>
        <w:rPr>
          <w:b/>
        </w:rPr>
        <w:t xml:space="preserve">përmban pabarazi rajonale </w:t>
      </w:r>
      <w:r>
        <w:t>në aspektin e zhvillimeve social-ekonomike dhe struktura  e ekonomisë është e ndryshme në të dy anët e kufirit. Ndërkohë që rajonet shqiptare mbështeten në bujqësi, shërbime, tregje me shumicë dhe pakicë, rajonet malazeze shfaqin një industri më të zhvilluar,</w:t>
      </w:r>
    </w:p>
    <w:p w14:paraId="74282BC1" w14:textId="77777777" w:rsidR="00C61F48" w:rsidRDefault="00C61F48" w:rsidP="00C61F48">
      <w:pPr>
        <w:pStyle w:val="TEKSTI"/>
      </w:pPr>
      <w:r>
        <w:t>si dhe niveli i turizmit është shumë më i zhvilluar. Të dy rajone janë nën potencialin e tyre të zhvillimit, pasi ata ende duhet të gjejnë mënyra dhe mundësi për të përfituar nga avantazhet e tyre krahasuese.</w:t>
      </w:r>
    </w:p>
    <w:p w14:paraId="442387DE" w14:textId="77777777" w:rsidR="00C61F48" w:rsidRDefault="00C61F48" w:rsidP="00C61F48">
      <w:pPr>
        <w:pStyle w:val="TEKSTI"/>
      </w:pPr>
      <w:r>
        <w:rPr>
          <w:b/>
        </w:rPr>
        <w:t xml:space="preserve">Konkurrenca e biznesit është e ulët </w:t>
      </w:r>
      <w:r>
        <w:t>në të dyja anët e kufirit. Struktura e operatorëve ekonomikë në zonën e programit është e dominuar nga ndërmarrjet e vogla dhe të mesme. Produktiviteti më i lartë dhe investimet e mëtejshme në ekspertizën dhe përdorimin e teknologjive të inovacionit, janë një parakusht për t'u bërë më konkurrues në nivel kombëtar dhe ndërkombëtar. Shumica e ndërmarrjeve të vogla dhe të mesme (NVM) në të dyja anët operojnë në sektorin e shërbimeve. Forcimi i mekanizmave mbështetëse të biznesit mbetet një</w:t>
      </w:r>
      <w:r>
        <w:rPr>
          <w:spacing w:val="-11"/>
        </w:rPr>
        <w:t xml:space="preserve"> </w:t>
      </w:r>
      <w:r>
        <w:t>sfidë.</w:t>
      </w:r>
    </w:p>
    <w:p w14:paraId="22203A20" w14:textId="77777777" w:rsidR="00C61F48" w:rsidRDefault="00C61F48" w:rsidP="00C61F48">
      <w:pPr>
        <w:pStyle w:val="TEKSTI"/>
      </w:pPr>
      <w:r>
        <w:rPr>
          <w:b/>
        </w:rPr>
        <w:t xml:space="preserve">Bujqësia është një potencial i madh ekonomik </w:t>
      </w:r>
      <w:r>
        <w:t xml:space="preserve">në të dy vendet, por vazhdon të jetë e pashfrytëzuar, me </w:t>
      </w:r>
      <w:r>
        <w:rPr>
          <w:b/>
        </w:rPr>
        <w:t>produktivitet dhe konkurrencë të ulët</w:t>
      </w:r>
      <w:r>
        <w:t>. Në përgjithësi, ekonomia rurale është e fragmentuar, në një shkallë më të lartë në zonën shqiptare të programit. Por, pronarët e vegjël bujqësorë përballen me vështirësinë për të hyrë në tregjet e vendit dhe ato rajonale. Përmirësimi i aksesit në treg dhe forcimi i sistemit ushqimor dhe organeve përkatës të inspektimit do të jenë të rëndësishëm për rritjen e konkurrencës në sektorin e bujqësisë.</w:t>
      </w:r>
    </w:p>
    <w:p w14:paraId="4962955F" w14:textId="77777777" w:rsidR="00C61F48" w:rsidRDefault="00C61F48" w:rsidP="00C61F48">
      <w:pPr>
        <w:pStyle w:val="TEKSTI"/>
      </w:pPr>
      <w:r>
        <w:rPr>
          <w:b/>
        </w:rPr>
        <w:t xml:space="preserve">Turizmi </w:t>
      </w:r>
      <w:r>
        <w:t xml:space="preserve">është një potencial i madh për të dy vendet, por është i zhvilluar në mënyrë të pabarabartë.  Mali i Zi është tashmë një destinacion turistik i admiruar, ndërsa Shqipëria ka ende punë për tu bërë i tillë, pasi sektori i turizmit në pjesën shqiptare të zonës së programit është zhvilluar pak, pavarësisht potencialit të madh që ekziston. Sinergji të dukshme, me mundësi që të mbështeten nga bashkëpunimi ndërkufitar (programi BNK), mund të ndërtohen midis rajoneve në Shqipëri dhe zonave bregdetare në Mal të Zi. Ekziston një </w:t>
      </w:r>
      <w:r>
        <w:rPr>
          <w:b/>
        </w:rPr>
        <w:t xml:space="preserve">trashëgimi e pasur historike-kulturore </w:t>
      </w:r>
      <w:r>
        <w:t>në zonën kufitare, e cila duhet të ruhet. Vleftësimi i mëtejshëm i trashëgimisë historike dhe kulturore mund të kontribuojë në forcimin e identitetit të zonës, por edhe si një pasuri për zhvillimin ekonomik të</w:t>
      </w:r>
      <w:r>
        <w:rPr>
          <w:spacing w:val="-29"/>
        </w:rPr>
        <w:t xml:space="preserve"> </w:t>
      </w:r>
      <w:r>
        <w:t>saj.</w:t>
      </w:r>
    </w:p>
    <w:p w14:paraId="66093CBE" w14:textId="77777777" w:rsidR="00C61F48" w:rsidRDefault="00C61F48" w:rsidP="004B006C">
      <w:pPr>
        <w:pStyle w:val="TEKSTI"/>
      </w:pPr>
      <w:r>
        <w:rPr>
          <w:b/>
        </w:rPr>
        <w:t xml:space="preserve">Papunësia është relativisht e lartë </w:t>
      </w:r>
      <w:r>
        <w:t xml:space="preserve">si në Mal të Zi ashtu edhe Shqipëri, dhe vazhdon të jetë një problem i madh ekonomik. Papunësia mbetet një problem i mprehtë veçanërisht për grupet e ndjeshme sociale siç janë të rinjtë, gratë dhe popullsia rurale. Varfëria është bërë një shqetësim urban, duke treguar një ecuri të ngadaltë të ekonomisë gjatë viteve të fundit, ndërkohë që ripërtëritja e potencialit urban tashmë të përdorur është bërë e domosdoshme për të udhëhequr rritjen ekonomike. Niveli i pabarabartë </w:t>
      </w:r>
      <w:r>
        <w:rPr>
          <w:b/>
        </w:rPr>
        <w:t xml:space="preserve">arsimor </w:t>
      </w:r>
      <w:r>
        <w:t xml:space="preserve">është i pranishëm në zonën e programit, me një rritje të analfabetizmit në zonat e thella. Të rinjtë me arsim të lartë kanë tendencë për tu larguar drejt rajoneve që ofrojnë më shumë mundësi apo jashtë vendit. Sistemi i arsimit të mesëm është më pak tërheqës dhe i aksesueshëm, veçanërisht për popullsinë e re në zonat rurale të programit. Depërtimi i </w:t>
      </w:r>
      <w:r>
        <w:rPr>
          <w:b/>
        </w:rPr>
        <w:t xml:space="preserve">kërkimit shkencor &amp; zhvillimit </w:t>
      </w:r>
      <w:r>
        <w:t xml:space="preserve">dhe teknologjisë së informacionit dhe komunikimit (TIK) është në një nivel të ulët në Shqipëri, ndërsa në Mal të Zi ndjek trendin e rritjes së vazhdueshme dhe aktualisht është në nivel të mjaftueshëm. Në zonën e programit investimet janë të pamjaftueshme, si dhe mungojnë aktiviteteve mbështetëse në nivel qeveritar, rajonal ose lokal për kërkimin shkencor dhe zhvillimin. Në përgjithësi, shërbimet </w:t>
      </w:r>
      <w:r>
        <w:rPr>
          <w:b/>
        </w:rPr>
        <w:t xml:space="preserve">shëndetësore </w:t>
      </w:r>
      <w:r>
        <w:t>në zonën e programit janë duke u përmirësuar, por duhet të bëhet akoma më shumë për të siguruar akses universal në shërbime të tilla edhe nga familjet e varfra.</w:t>
      </w:r>
    </w:p>
    <w:p w14:paraId="089C47BF" w14:textId="082B621B" w:rsidR="00C61F48" w:rsidRPr="004B006C" w:rsidRDefault="004B006C" w:rsidP="004B006C">
      <w:pPr>
        <w:pStyle w:val="TEKSTI"/>
      </w:pPr>
      <w:r w:rsidRPr="004B006C">
        <w:rPr>
          <w:b/>
        </w:rPr>
        <w:t xml:space="preserve">Mbrojtja </w:t>
      </w:r>
      <w:r w:rsidR="00C61F48" w:rsidRPr="004B006C">
        <w:rPr>
          <w:b/>
        </w:rPr>
        <w:t>e mjedisit</w:t>
      </w:r>
      <w:r w:rsidR="00C61F48" w:rsidRPr="004B006C">
        <w:t xml:space="preserve"> ka nevojë për vëmendje serioze në planet e ardhshëm të zhvillimit të zonës së programit. Me zhvillimin e përgjithshëm të zonës së programit që mbështetet kryesisht në burimet natyrore, mbrojtja dhe ruajtja mjedisore e tyre është vendimtare për zhvillimin e qëndrueshëm të zonës. Përmirësimi i menaxhimit të mbeturinave, i kontrollit të ndotjes, dhe përmirësimi i menaxhimit të  tokave janë ndër prioritetet kryesore për t'u adresuar. Vleftësimi i mëtejshëm i burimeve natyrore në funksion të zhvillimit ekonomik është një çështje kyçe për zhvillimin e zonës.</w:t>
      </w:r>
    </w:p>
    <w:p w14:paraId="6E791C96" w14:textId="77777777" w:rsidR="00C61F48" w:rsidRPr="004B006C" w:rsidRDefault="00C61F48" w:rsidP="004B006C">
      <w:pPr>
        <w:pStyle w:val="TEKSTI"/>
        <w:rPr>
          <w:b/>
        </w:rPr>
      </w:pPr>
      <w:r w:rsidRPr="004B006C">
        <w:rPr>
          <w:b/>
        </w:rPr>
        <w:t>Fushat kryesore të ndërhyrjeve</w:t>
      </w:r>
    </w:p>
    <w:p w14:paraId="374A9B28" w14:textId="77777777" w:rsidR="00C61F48" w:rsidRPr="004B006C" w:rsidRDefault="00C61F48" w:rsidP="004B006C">
      <w:pPr>
        <w:pStyle w:val="TEKSTI"/>
      </w:pPr>
      <w:r w:rsidRPr="004B006C">
        <w:rPr>
          <w:b/>
        </w:rPr>
        <w:t>Objektivi i përgjithshëm</w:t>
      </w:r>
      <w:r w:rsidRPr="004B006C">
        <w:t xml:space="preserve"> i këtij programi ndërkufitar është të promovojë/ forcojë marrëdhënie të mira fqinjësore dhe zhvillimin social-ekonomik të rajoneve kufitare, nëpërmjet vlerësimit të potencialeve të tyre turistike, zhvillimit ekonomik ekologjikisht të qëndrueshëm dhe gjithëpërfshirës, me respektin për trashëgiminë e përbashkët kulturore dhe natyrore.</w:t>
      </w:r>
    </w:p>
    <w:p w14:paraId="442F2054" w14:textId="77777777" w:rsidR="00C61F48" w:rsidRPr="004B006C" w:rsidRDefault="00C61F48" w:rsidP="004B006C">
      <w:pPr>
        <w:pStyle w:val="TEKSTI"/>
      </w:pPr>
      <w:r w:rsidRPr="004B006C">
        <w:t>Bazuar në analizën e situatës, analizën e faktorëve politikë, ekonomikë, socialë, teknologjikë, ligjorë, dhe Mjedisor (PESTLE), dhe analizën e pikave të forta, pikave të dobëta, mundësive dhe kërcënimeve (SWOT), prioritetet e mëposhtme tematike dhe objektivat specifike janë cilësuar si të rëndësishëm për tu mbështetur nëpërmjet iniciativave të bashkëpunimit ndërkufitar (BNK):</w:t>
      </w:r>
    </w:p>
    <w:p w14:paraId="5EF80557" w14:textId="0FF7A4DB" w:rsidR="00C61F48" w:rsidRPr="004B006C" w:rsidRDefault="00BA13DB" w:rsidP="004B006C">
      <w:pPr>
        <w:pStyle w:val="TEKSTI"/>
      </w:pPr>
      <w:r>
        <w:t xml:space="preserve">1. </w:t>
      </w:r>
      <w:r w:rsidR="00C61F48" w:rsidRPr="004B006C">
        <w:t>Nxitja e turizmit dhe e trashëgimisë kulturore dhe natyrore:</w:t>
      </w:r>
    </w:p>
    <w:p w14:paraId="6BF1B7BD" w14:textId="3722BED4" w:rsidR="00C61F48" w:rsidRDefault="00BA13DB" w:rsidP="00BA13DB">
      <w:pPr>
        <w:pStyle w:val="TEKSTI"/>
      </w:pPr>
      <w:r>
        <w:t>-</w:t>
      </w:r>
      <w:r w:rsidR="00C61F48">
        <w:t>Konkurrenca e sektorit të turizmit rritet nga vlerësimi ekonomik i trashëgimisë kulturore</w:t>
      </w:r>
      <w:r w:rsidR="00C61F48">
        <w:rPr>
          <w:spacing w:val="-28"/>
        </w:rPr>
        <w:t xml:space="preserve"> </w:t>
      </w:r>
      <w:r w:rsidR="00C61F48">
        <w:t>dhe natyrore</w:t>
      </w:r>
    </w:p>
    <w:p w14:paraId="3322C566" w14:textId="4AFFABAC" w:rsidR="00C61F48" w:rsidRDefault="00BA13DB" w:rsidP="00BA13DB">
      <w:pPr>
        <w:pStyle w:val="TEKSTI"/>
      </w:pPr>
      <w:r>
        <w:t xml:space="preserve">2. </w:t>
      </w:r>
      <w:r w:rsidR="00C61F48">
        <w:t>Mbrojtja e mjedisit, nxitja e përshtatjes dhe lehtësimit ndaj ndryshimeve klimatike, parandalimi dhe menaxhimi i</w:t>
      </w:r>
      <w:r w:rsidR="00C61F48">
        <w:rPr>
          <w:spacing w:val="-15"/>
        </w:rPr>
        <w:t xml:space="preserve"> </w:t>
      </w:r>
      <w:r w:rsidR="00C61F48">
        <w:t>rrezikut:</w:t>
      </w:r>
    </w:p>
    <w:p w14:paraId="57FB97B8" w14:textId="6EAF4FDF" w:rsidR="00C61F48" w:rsidRDefault="00BA13DB" w:rsidP="00BA13DB">
      <w:pPr>
        <w:pStyle w:val="TEKSTI"/>
      </w:pPr>
      <w:r>
        <w:t xml:space="preserve">- </w:t>
      </w:r>
      <w:r w:rsidR="00C61F48">
        <w:t>Mbrojtja e burimeve mjedisore tek liqeni dhe zonat alpine, çohet më</w:t>
      </w:r>
      <w:r w:rsidR="00C61F48">
        <w:rPr>
          <w:spacing w:val="-19"/>
        </w:rPr>
        <w:t xml:space="preserve"> </w:t>
      </w:r>
      <w:r w:rsidR="00C61F48">
        <w:t>tej</w:t>
      </w:r>
    </w:p>
    <w:p w14:paraId="77B455C8" w14:textId="226A9125" w:rsidR="00C61F48" w:rsidRDefault="00BA13DB" w:rsidP="00BA13DB">
      <w:pPr>
        <w:pStyle w:val="TEKSTI"/>
      </w:pPr>
      <w:r>
        <w:t xml:space="preserve">3. </w:t>
      </w:r>
      <w:r w:rsidR="00C61F48">
        <w:t>Nxitja e punësimit, lëvizjes gjeografike të punonjësve, dhe përfshirjes sociale dhe kulturore përtej</w:t>
      </w:r>
      <w:r w:rsidR="00C61F48">
        <w:rPr>
          <w:spacing w:val="-1"/>
        </w:rPr>
        <w:t xml:space="preserve"> </w:t>
      </w:r>
      <w:r w:rsidR="00C61F48">
        <w:t>kufirit:</w:t>
      </w:r>
    </w:p>
    <w:p w14:paraId="5C4BDAD5" w14:textId="6D4F101B" w:rsidR="00C61F48" w:rsidRDefault="00BA13DB" w:rsidP="00BA13DB">
      <w:pPr>
        <w:pStyle w:val="TEKSTI"/>
      </w:pPr>
      <w:r>
        <w:t xml:space="preserve">- </w:t>
      </w:r>
      <w:r w:rsidR="00C61F48">
        <w:t>Punësimi dhe përfshirja sociale</w:t>
      </w:r>
      <w:r w:rsidR="00C61F48">
        <w:rPr>
          <w:spacing w:val="-17"/>
        </w:rPr>
        <w:t xml:space="preserve"> </w:t>
      </w:r>
      <w:r w:rsidR="00C61F48">
        <w:t>nxitet</w:t>
      </w:r>
    </w:p>
    <w:p w14:paraId="3DF16730" w14:textId="77777777" w:rsidR="00C61F48" w:rsidRDefault="00C61F48" w:rsidP="00BA13DB">
      <w:pPr>
        <w:pStyle w:val="TEKSTI"/>
      </w:pPr>
      <w:r>
        <w:t xml:space="preserve">Përveç tre prioriteteve tematike të përmendura më lart, programet do të përfshijnë një prioritet  specifik, </w:t>
      </w:r>
      <w:r>
        <w:rPr>
          <w:b/>
        </w:rPr>
        <w:t>Asistencë Teknike</w:t>
      </w:r>
      <w:r>
        <w:t xml:space="preserve">, i cili ndër të tjera, synon sigurimin e menaxhimit dhe administrimit efektiv </w:t>
      </w:r>
      <w:r>
        <w:rPr>
          <w:spacing w:val="2"/>
        </w:rPr>
        <w:t xml:space="preserve">të </w:t>
      </w:r>
      <w:r>
        <w:t>programit</w:t>
      </w:r>
      <w:r>
        <w:rPr>
          <w:spacing w:val="-1"/>
        </w:rPr>
        <w:t xml:space="preserve"> </w:t>
      </w:r>
      <w:r>
        <w:t>ndërkufitar.</w:t>
      </w:r>
    </w:p>
    <w:p w14:paraId="1E939F1B" w14:textId="25A37D94" w:rsidR="00C61F48" w:rsidRPr="00BA13DB" w:rsidRDefault="00BA13DB" w:rsidP="00BA13DB">
      <w:pPr>
        <w:pStyle w:val="TEKSTI"/>
        <w:rPr>
          <w:b/>
        </w:rPr>
      </w:pPr>
      <w:bookmarkStart w:id="8" w:name="_bookmark5"/>
      <w:bookmarkEnd w:id="8"/>
      <w:r>
        <w:rPr>
          <w:b/>
        </w:rPr>
        <w:t xml:space="preserve">1.2 </w:t>
      </w:r>
      <w:r w:rsidR="00C61F48" w:rsidRPr="00BA13DB">
        <w:rPr>
          <w:b/>
        </w:rPr>
        <w:t>Përgatitja e programit dhe përfshirja e</w:t>
      </w:r>
      <w:r w:rsidR="00C61F48" w:rsidRPr="00BA13DB">
        <w:rPr>
          <w:b/>
          <w:spacing w:val="-17"/>
        </w:rPr>
        <w:t xml:space="preserve"> </w:t>
      </w:r>
      <w:r w:rsidR="00C61F48" w:rsidRPr="00BA13DB">
        <w:rPr>
          <w:b/>
        </w:rPr>
        <w:t>partnerëve</w:t>
      </w:r>
    </w:p>
    <w:p w14:paraId="581FB747" w14:textId="094B37AC" w:rsidR="00C61F48" w:rsidRDefault="00C61F48" w:rsidP="00BA13DB">
      <w:pPr>
        <w:pStyle w:val="TEKSTI"/>
      </w:pPr>
      <w:r>
        <w:t>Programi IPA BNK 2014-2020 midis Malit të Zi dhe Shqipërisë është rezultat i një pune të përbashkët programuese, e realizuar nga përfaqësuesit e vendeve pjesëmarrëse, duke përfshirë palët e interesuara nga institucionet qendrore, institucionet e nivelit lokal të zonës së programit, Dhomat e Tregtisë dhe Industrisë , sipërmarrësit, dhe organizatat lokale. Një Task Forcë e Përbashkët është krijuar për të përgatitur dhe zbatuar dokumentin e programit nën udhëheqjen e Strukturave Operative    (SO). Kështu,</w:t>
      </w:r>
      <w:r w:rsidR="00BA13DB">
        <w:t xml:space="preserve"> </w:t>
      </w:r>
      <w:r>
        <w:t>programi menaxhohet nga Strukturat Operative - për Malin e Zi në Ministrinë e Punëve të Jashtme dhe Integrimit Evropian, dhe për Shqipërinë, në Ministrinë e Integrimit Evropian.</w:t>
      </w:r>
    </w:p>
    <w:p w14:paraId="53C6FF26" w14:textId="77777777" w:rsidR="00C61F48" w:rsidRDefault="00C61F48" w:rsidP="00BA13DB">
      <w:pPr>
        <w:pStyle w:val="TEKSTI"/>
      </w:pPr>
      <w:r>
        <w:t>Procesi i programimit ka filluar në fillim të muajit Korrik të vitit 2013 dhe vazhdoi deri në fund të muajit Maj 2014. Programi është hartuar nëpërmjet një procesi konsultimi, duke përfshirë palët e interesuara lokale dhe përfituesit potencialë nga të dyja anët e kufirit. Pyetësorë janë hartuar nga CBIB+ dhe shpërndarë nga SO me mbështetjen e SPT, tek institucionet në nivel qendror dhe lokal dhe Organizatat e Shoqërisë Civile (OSHC), për të mbështetur analizat PESTLE dhe SWOT për programin dhe për të siguruar një nga treguesit për identifikimin e prioriteteve të përbashkëta për zonën ndërkufitare. Nga 140 pyetësorë të dërguar (70 në Shqipëri dhe 70 në Mal të Zi), 91 u kthyen të plotësuar. Shkalla e përgjithshme e përgjigjeve në anketë ishte rreth 65%. Gjithashtu, janë zhvilluar edhe intervista - 34 në Shqipëri dhe 9 në Mal të Zi. Drafti i parë i Dokumentit të Programit u dorëzua tek Komisioni më datë 15 nëntor 2013.</w:t>
      </w:r>
    </w:p>
    <w:p w14:paraId="14374546" w14:textId="77777777" w:rsidR="00C61F48" w:rsidRDefault="00C61F48" w:rsidP="00BA13DB">
      <w:pPr>
        <w:pStyle w:val="TEKSTI"/>
      </w:pPr>
      <w:r>
        <w:t>Gjatë muajit dhjetor 2013, janë mbajtur dy takime prezantuese me përfaqësuesit e pushtetit vendor në kuadër të procesit të konsultimit publik nga pala shqiptare, në Shkodër dhe Lezhë, me 15 pjesëmarrës. Nga ana tjetër, konsultimet publike janë mbajtur në tetor 2013, në Bijelo Polje me rreth 15 pjesëmarrës të pranishëm.</w:t>
      </w:r>
    </w:p>
    <w:p w14:paraId="27695A8F" w14:textId="77777777" w:rsidR="00C61F48" w:rsidRDefault="00C61F48" w:rsidP="00BA13DB">
      <w:pPr>
        <w:pStyle w:val="TEKSTI"/>
      </w:pPr>
      <w:r>
        <w:t>Gjatë periudhës mars-prill 2014, një proces i dytë konsultimi publik me një rreth më të gjerë u organizua nga OS shqiptar në koordinim me Projektin e Ndërtimit të Institucioneve Ndërkufitare (CBIB +) për të prezantuar tek organizatat e shoqërisë civile, universitetet, aktivistët qytetarë, draft dokumentin e dytë të programit midis Shqipërisë dhe Malit të Zi në rajonet e pranueshme nga Shqipëria. Aktorët e shoqërisë civile dhe përfaqësues të pushtetit vendor mbështetën fuqimisht prioritetet tematike të përzgjedhura për këtë program, dhe gjithashtu dhanë detaje për sa i përket nevojave që lidhen me rajonet e tyre përkatëse, të cilat janë pasqyruar në mënyrën e duhur në dokumentin e</w:t>
      </w:r>
      <w:r>
        <w:rPr>
          <w:spacing w:val="-28"/>
        </w:rPr>
        <w:t xml:space="preserve"> </w:t>
      </w:r>
      <w:r>
        <w:t>programit.</w:t>
      </w:r>
    </w:p>
    <w:p w14:paraId="0FC3E868" w14:textId="77777777" w:rsidR="00C61F48" w:rsidRDefault="00C61F48" w:rsidP="00BA13DB">
      <w:pPr>
        <w:pStyle w:val="TEKSTI"/>
      </w:pPr>
      <w:r>
        <w:t>Përveç kësaj, për të koordinuar procesin në nivel kombëtar, një takim konsultativ u organizua edhe me përfaqësues nga ministritë e linjës në Shqipëri, mbi prioritetet tematike dhe aktivitetet e propozuara në program.</w:t>
      </w:r>
    </w:p>
    <w:p w14:paraId="69B7AA0E" w14:textId="77777777" w:rsidR="00C61F48" w:rsidRDefault="00C61F48" w:rsidP="00BA13DB">
      <w:pPr>
        <w:pStyle w:val="TEKSTI"/>
      </w:pPr>
      <w:r>
        <w:t>Tabela në vijim përmbledh procesin e përgatitjes së këtij programi.</w:t>
      </w:r>
    </w:p>
    <w:p w14:paraId="4603D7D7" w14:textId="77777777" w:rsidR="00C61F48" w:rsidRDefault="00C61F48" w:rsidP="00BA13DB">
      <w:pPr>
        <w:pStyle w:val="TEKSTI"/>
      </w:pPr>
      <w:r>
        <w:t>Tabela 1 –Takimet dhe konsultimet</w:t>
      </w:r>
    </w:p>
    <w:p w14:paraId="1C7C3D82" w14:textId="77777777" w:rsidR="00C61F48" w:rsidRDefault="00C61F48" w:rsidP="00C61F48">
      <w:pPr>
        <w:pStyle w:val="BodyText"/>
        <w:spacing w:before="3"/>
        <w:rPr>
          <w:b/>
          <w:sz w:val="13"/>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6015"/>
      </w:tblGrid>
      <w:tr w:rsidR="00C61F48" w:rsidRPr="00D85099" w14:paraId="240E6924" w14:textId="77777777" w:rsidTr="00BA13DB">
        <w:trPr>
          <w:trHeight w:hRule="exact" w:val="519"/>
        </w:trPr>
        <w:tc>
          <w:tcPr>
            <w:tcW w:w="3229" w:type="dxa"/>
            <w:tcBorders>
              <w:left w:val="single" w:sz="4" w:space="0" w:color="000000"/>
              <w:bottom w:val="single" w:sz="4" w:space="0" w:color="000000"/>
              <w:right w:val="single" w:sz="4" w:space="0" w:color="000000"/>
            </w:tcBorders>
            <w:shd w:val="clear" w:color="auto" w:fill="800080"/>
          </w:tcPr>
          <w:p w14:paraId="65505501" w14:textId="77777777" w:rsidR="00C61F48" w:rsidRPr="00D85099" w:rsidRDefault="00C61F48" w:rsidP="00BA13DB">
            <w:pPr>
              <w:pStyle w:val="TableParagraph"/>
              <w:spacing w:line="268" w:lineRule="exact"/>
              <w:ind w:left="887" w:right="160"/>
              <w:rPr>
                <w:rFonts w:ascii="Garamond" w:hAnsi="Garamond"/>
                <w:b/>
                <w:sz w:val="20"/>
                <w:szCs w:val="20"/>
              </w:rPr>
            </w:pPr>
            <w:r w:rsidRPr="00D85099">
              <w:rPr>
                <w:rFonts w:ascii="Garamond" w:hAnsi="Garamond"/>
                <w:b/>
                <w:color w:val="FFFFFF"/>
                <w:sz w:val="20"/>
                <w:szCs w:val="20"/>
              </w:rPr>
              <w:t>Koha dhe Vendi</w:t>
            </w:r>
          </w:p>
        </w:tc>
        <w:tc>
          <w:tcPr>
            <w:tcW w:w="6015" w:type="dxa"/>
            <w:tcBorders>
              <w:left w:val="single" w:sz="4" w:space="0" w:color="000000"/>
              <w:bottom w:val="single" w:sz="4" w:space="0" w:color="000000"/>
              <w:right w:val="single" w:sz="4" w:space="0" w:color="000000"/>
            </w:tcBorders>
            <w:shd w:val="clear" w:color="auto" w:fill="800080"/>
          </w:tcPr>
          <w:p w14:paraId="55D9EAB8" w14:textId="77777777" w:rsidR="00C61F48" w:rsidRPr="00D85099" w:rsidRDefault="00C61F48" w:rsidP="00BA13DB">
            <w:pPr>
              <w:pStyle w:val="TableParagraph"/>
              <w:spacing w:line="268" w:lineRule="exact"/>
              <w:ind w:left="1963" w:right="278"/>
              <w:rPr>
                <w:rFonts w:ascii="Garamond" w:hAnsi="Garamond"/>
                <w:b/>
                <w:sz w:val="20"/>
                <w:szCs w:val="20"/>
              </w:rPr>
            </w:pPr>
            <w:r w:rsidRPr="00D85099">
              <w:rPr>
                <w:rFonts w:ascii="Garamond" w:hAnsi="Garamond"/>
                <w:b/>
                <w:color w:val="FFFFFF"/>
                <w:sz w:val="20"/>
                <w:szCs w:val="20"/>
              </w:rPr>
              <w:t>Aktivitetet dhe Qëllimi</w:t>
            </w:r>
          </w:p>
        </w:tc>
      </w:tr>
      <w:tr w:rsidR="00C61F48" w:rsidRPr="00D85099" w14:paraId="4B1BEE03" w14:textId="77777777" w:rsidTr="00BA13DB">
        <w:trPr>
          <w:trHeight w:hRule="exact" w:val="574"/>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57E44AD1" w14:textId="77777777" w:rsidR="00C61F48" w:rsidRPr="00D85099" w:rsidRDefault="00C61F48" w:rsidP="00BA13DB">
            <w:pPr>
              <w:pStyle w:val="TableParagraph"/>
              <w:spacing w:before="1" w:line="276" w:lineRule="auto"/>
              <w:ind w:left="103" w:right="160"/>
              <w:rPr>
                <w:rFonts w:ascii="Garamond" w:hAnsi="Garamond"/>
                <w:sz w:val="20"/>
                <w:szCs w:val="20"/>
              </w:rPr>
            </w:pPr>
            <w:r w:rsidRPr="00D85099">
              <w:rPr>
                <w:rFonts w:ascii="Garamond" w:hAnsi="Garamond"/>
                <w:sz w:val="20"/>
                <w:szCs w:val="20"/>
              </w:rPr>
              <w:t>20-21 Qershor 2013, Becici, Budva, në Mal të Zi</w:t>
            </w:r>
          </w:p>
        </w:tc>
        <w:tc>
          <w:tcPr>
            <w:tcW w:w="6015" w:type="dxa"/>
            <w:tcBorders>
              <w:top w:val="single" w:sz="4" w:space="0" w:color="000000"/>
              <w:left w:val="single" w:sz="4" w:space="0" w:color="000000"/>
              <w:bottom w:val="single" w:sz="4" w:space="0" w:color="000000"/>
              <w:right w:val="single" w:sz="4" w:space="0" w:color="000000"/>
            </w:tcBorders>
          </w:tcPr>
          <w:p w14:paraId="6C170B5D" w14:textId="77777777" w:rsidR="00C61F48" w:rsidRPr="00D85099" w:rsidRDefault="00C61F48" w:rsidP="00BA13DB">
            <w:pPr>
              <w:pStyle w:val="TableParagraph"/>
              <w:spacing w:before="1"/>
              <w:ind w:left="103" w:right="278"/>
              <w:rPr>
                <w:rFonts w:ascii="Garamond" w:hAnsi="Garamond"/>
                <w:sz w:val="20"/>
                <w:szCs w:val="20"/>
              </w:rPr>
            </w:pPr>
            <w:r w:rsidRPr="00D85099">
              <w:rPr>
                <w:rFonts w:ascii="Garamond" w:hAnsi="Garamond"/>
                <w:sz w:val="20"/>
                <w:szCs w:val="20"/>
              </w:rPr>
              <w:t>Takim programues për 2014-20 për Ballkanin Perëndimor.</w:t>
            </w:r>
          </w:p>
        </w:tc>
      </w:tr>
      <w:tr w:rsidR="00C61F48" w:rsidRPr="00D85099" w14:paraId="28A24FB0" w14:textId="77777777" w:rsidTr="00BA13DB">
        <w:trPr>
          <w:trHeight w:hRule="exact" w:val="571"/>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0986D36B" w14:textId="62D926DA"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9 k</w:t>
            </w:r>
            <w:r w:rsidR="00C61F48" w:rsidRPr="00D85099">
              <w:rPr>
                <w:rFonts w:ascii="Garamond" w:hAnsi="Garamond"/>
                <w:sz w:val="20"/>
                <w:szCs w:val="20"/>
              </w:rPr>
              <w:t>orrik 2013, Podgoricë</w:t>
            </w:r>
          </w:p>
        </w:tc>
        <w:tc>
          <w:tcPr>
            <w:tcW w:w="6015" w:type="dxa"/>
            <w:tcBorders>
              <w:top w:val="single" w:sz="4" w:space="0" w:color="000000"/>
              <w:left w:val="single" w:sz="4" w:space="0" w:color="000000"/>
              <w:bottom w:val="single" w:sz="4" w:space="0" w:color="000000"/>
              <w:right w:val="single" w:sz="4" w:space="0" w:color="000000"/>
            </w:tcBorders>
          </w:tcPr>
          <w:p w14:paraId="146959AF" w14:textId="77777777" w:rsidR="00C61F48" w:rsidRPr="00D85099" w:rsidRDefault="00C61F48" w:rsidP="00BA13DB">
            <w:pPr>
              <w:pStyle w:val="TableParagraph"/>
              <w:spacing w:line="276" w:lineRule="auto"/>
              <w:ind w:left="103" w:right="278"/>
              <w:rPr>
                <w:rFonts w:ascii="Garamond" w:hAnsi="Garamond"/>
                <w:sz w:val="20"/>
                <w:szCs w:val="20"/>
              </w:rPr>
            </w:pPr>
            <w:r w:rsidRPr="00D85099">
              <w:rPr>
                <w:rFonts w:ascii="Garamond" w:hAnsi="Garamond"/>
                <w:sz w:val="20"/>
                <w:szCs w:val="20"/>
              </w:rPr>
              <w:t>Hapat e programimit dhe kërkesat për analizat SWOT dhe PESTLE me SO të Malit të Zi.</w:t>
            </w:r>
          </w:p>
        </w:tc>
      </w:tr>
      <w:tr w:rsidR="00C61F48" w:rsidRPr="00D85099" w14:paraId="49EAB2D5" w14:textId="77777777" w:rsidTr="00BA13DB">
        <w:trPr>
          <w:trHeight w:hRule="exact" w:val="290"/>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75D7E6DB" w14:textId="77777777" w:rsidR="00C61F48" w:rsidRPr="00D85099" w:rsidRDefault="00C61F48" w:rsidP="00BA13DB">
            <w:pPr>
              <w:rPr>
                <w:rFonts w:ascii="Garamond" w:hAnsi="Garamond"/>
                <w:sz w:val="20"/>
                <w:szCs w:val="20"/>
              </w:rPr>
            </w:pPr>
          </w:p>
        </w:tc>
        <w:tc>
          <w:tcPr>
            <w:tcW w:w="6015" w:type="dxa"/>
            <w:tcBorders>
              <w:top w:val="single" w:sz="4" w:space="0" w:color="000000"/>
              <w:left w:val="single" w:sz="4" w:space="0" w:color="000000"/>
              <w:bottom w:val="single" w:sz="4" w:space="0" w:color="000000"/>
              <w:right w:val="single" w:sz="4" w:space="0" w:color="000000"/>
            </w:tcBorders>
          </w:tcPr>
          <w:p w14:paraId="76C04A2E" w14:textId="77777777" w:rsidR="00C61F48" w:rsidRPr="00D85099" w:rsidRDefault="00C61F48" w:rsidP="00BA13DB">
            <w:pPr>
              <w:rPr>
                <w:rFonts w:ascii="Garamond" w:hAnsi="Garamond"/>
                <w:sz w:val="20"/>
                <w:szCs w:val="20"/>
              </w:rPr>
            </w:pPr>
          </w:p>
        </w:tc>
      </w:tr>
      <w:tr w:rsidR="00C61F48" w:rsidRPr="00D85099" w14:paraId="186A61B9" w14:textId="77777777" w:rsidTr="00BA13DB">
        <w:trPr>
          <w:trHeight w:hRule="exact" w:val="290"/>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4BDB736A" w14:textId="3D3F5015" w:rsidR="00C61F48" w:rsidRPr="00D85099" w:rsidRDefault="00FE12FF" w:rsidP="00FE12FF">
            <w:pPr>
              <w:pStyle w:val="TableParagraph"/>
              <w:spacing w:line="243" w:lineRule="exact"/>
              <w:ind w:left="103" w:right="160"/>
              <w:rPr>
                <w:rFonts w:ascii="Garamond" w:hAnsi="Garamond"/>
                <w:sz w:val="20"/>
                <w:szCs w:val="20"/>
              </w:rPr>
            </w:pPr>
            <w:r>
              <w:rPr>
                <w:rFonts w:ascii="Garamond" w:hAnsi="Garamond"/>
                <w:sz w:val="20"/>
                <w:szCs w:val="20"/>
              </w:rPr>
              <w:t>gusht – mes sh</w:t>
            </w:r>
            <w:r w:rsidR="00C61F48" w:rsidRPr="00D85099">
              <w:rPr>
                <w:rFonts w:ascii="Garamond" w:hAnsi="Garamond"/>
                <w:sz w:val="20"/>
                <w:szCs w:val="20"/>
              </w:rPr>
              <w:t>tatori 2013</w:t>
            </w:r>
          </w:p>
        </w:tc>
        <w:tc>
          <w:tcPr>
            <w:tcW w:w="6015" w:type="dxa"/>
            <w:tcBorders>
              <w:top w:val="single" w:sz="4" w:space="0" w:color="000000"/>
              <w:left w:val="single" w:sz="4" w:space="0" w:color="000000"/>
              <w:bottom w:val="single" w:sz="4" w:space="0" w:color="000000"/>
              <w:right w:val="single" w:sz="4" w:space="0" w:color="000000"/>
            </w:tcBorders>
          </w:tcPr>
          <w:p w14:paraId="3CE781C6" w14:textId="612CEA59" w:rsidR="00C61F48" w:rsidRPr="00D85099" w:rsidRDefault="00C61F48" w:rsidP="00BA13DB">
            <w:pPr>
              <w:pStyle w:val="TableParagraph"/>
              <w:spacing w:line="243" w:lineRule="exact"/>
              <w:ind w:left="103" w:right="278"/>
              <w:rPr>
                <w:rFonts w:ascii="Garamond" w:hAnsi="Garamond"/>
                <w:sz w:val="20"/>
                <w:szCs w:val="20"/>
              </w:rPr>
            </w:pPr>
            <w:r w:rsidRPr="00D85099">
              <w:rPr>
                <w:rFonts w:ascii="Garamond" w:hAnsi="Garamond"/>
                <w:sz w:val="20"/>
                <w:szCs w:val="20"/>
              </w:rPr>
              <w:t>Shpërndarja e pyetësorëve p</w:t>
            </w:r>
            <w:r w:rsidR="00FE12FF">
              <w:rPr>
                <w:rFonts w:ascii="Garamond" w:hAnsi="Garamond"/>
                <w:sz w:val="20"/>
                <w:szCs w:val="20"/>
              </w:rPr>
              <w:t xml:space="preserve">ër mbledhjen </w:t>
            </w:r>
            <w:r w:rsidRPr="00D85099">
              <w:rPr>
                <w:rFonts w:ascii="Garamond" w:hAnsi="Garamond"/>
                <w:sz w:val="20"/>
                <w:szCs w:val="20"/>
              </w:rPr>
              <w:t>e të dhënave.</w:t>
            </w:r>
          </w:p>
        </w:tc>
      </w:tr>
      <w:tr w:rsidR="00C61F48" w:rsidRPr="00D85099" w14:paraId="639DAE9B" w14:textId="77777777" w:rsidTr="00BA13DB">
        <w:trPr>
          <w:trHeight w:hRule="exact" w:val="571"/>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4433B30D" w14:textId="53520E7E"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16 s</w:t>
            </w:r>
            <w:r w:rsidR="00C61F48" w:rsidRPr="00D85099">
              <w:rPr>
                <w:rFonts w:ascii="Garamond" w:hAnsi="Garamond"/>
                <w:sz w:val="20"/>
                <w:szCs w:val="20"/>
              </w:rPr>
              <w:t>htator 2013, Tiranë</w:t>
            </w:r>
          </w:p>
        </w:tc>
        <w:tc>
          <w:tcPr>
            <w:tcW w:w="6015" w:type="dxa"/>
            <w:tcBorders>
              <w:top w:val="single" w:sz="4" w:space="0" w:color="000000"/>
              <w:left w:val="single" w:sz="4" w:space="0" w:color="000000"/>
              <w:bottom w:val="single" w:sz="4" w:space="0" w:color="000000"/>
              <w:right w:val="single" w:sz="4" w:space="0" w:color="000000"/>
            </w:tcBorders>
          </w:tcPr>
          <w:p w14:paraId="0E68C015" w14:textId="77777777" w:rsidR="00C61F48" w:rsidRPr="00D85099" w:rsidRDefault="00C61F48" w:rsidP="00BA13DB">
            <w:pPr>
              <w:pStyle w:val="TableParagraph"/>
              <w:spacing w:line="276" w:lineRule="auto"/>
              <w:ind w:left="103" w:right="530"/>
              <w:rPr>
                <w:rFonts w:ascii="Garamond" w:hAnsi="Garamond"/>
                <w:sz w:val="20"/>
                <w:szCs w:val="20"/>
              </w:rPr>
            </w:pPr>
            <w:r w:rsidRPr="00D85099">
              <w:rPr>
                <w:rFonts w:ascii="Garamond" w:hAnsi="Garamond"/>
                <w:sz w:val="20"/>
                <w:szCs w:val="20"/>
              </w:rPr>
              <w:t>Takimi i parë me ekipin dhe Koordinimin e CBIB+ për përgatitjen e Programit IPA BNK 2014-2020.</w:t>
            </w:r>
          </w:p>
        </w:tc>
      </w:tr>
      <w:tr w:rsidR="00C61F48" w:rsidRPr="00D85099" w14:paraId="7DE75835" w14:textId="77777777" w:rsidTr="00BA13DB">
        <w:trPr>
          <w:trHeight w:hRule="exact" w:val="572"/>
        </w:trPr>
        <w:tc>
          <w:tcPr>
            <w:tcW w:w="3229" w:type="dxa"/>
            <w:shd w:val="clear" w:color="auto" w:fill="C0C0C0"/>
          </w:tcPr>
          <w:p w14:paraId="03C99DA6" w14:textId="1C10D2A4" w:rsidR="00C61F48" w:rsidRPr="00D85099" w:rsidRDefault="00FE12FF" w:rsidP="00BA13DB">
            <w:pPr>
              <w:pStyle w:val="TableParagraph"/>
              <w:spacing w:line="244" w:lineRule="exact"/>
              <w:ind w:left="103" w:right="160"/>
              <w:rPr>
                <w:rFonts w:ascii="Garamond" w:hAnsi="Garamond"/>
                <w:sz w:val="20"/>
                <w:szCs w:val="20"/>
              </w:rPr>
            </w:pPr>
            <w:r>
              <w:rPr>
                <w:rFonts w:ascii="Garamond" w:hAnsi="Garamond"/>
                <w:sz w:val="20"/>
                <w:szCs w:val="20"/>
              </w:rPr>
              <w:t>25 s</w:t>
            </w:r>
            <w:r w:rsidR="00C61F48" w:rsidRPr="00D85099">
              <w:rPr>
                <w:rFonts w:ascii="Garamond" w:hAnsi="Garamond"/>
                <w:sz w:val="20"/>
                <w:szCs w:val="20"/>
              </w:rPr>
              <w:t>htator 2013, Podgoricë</w:t>
            </w:r>
          </w:p>
        </w:tc>
        <w:tc>
          <w:tcPr>
            <w:tcW w:w="6015" w:type="dxa"/>
          </w:tcPr>
          <w:p w14:paraId="68B18926" w14:textId="77777777" w:rsidR="00C61F48" w:rsidRPr="00D85099" w:rsidRDefault="00C61F48" w:rsidP="00BA13DB">
            <w:pPr>
              <w:pStyle w:val="TableParagraph"/>
              <w:spacing w:line="276" w:lineRule="auto"/>
              <w:ind w:left="103" w:right="260"/>
              <w:rPr>
                <w:rFonts w:ascii="Garamond" w:hAnsi="Garamond"/>
                <w:sz w:val="20"/>
                <w:szCs w:val="20"/>
              </w:rPr>
            </w:pPr>
            <w:r w:rsidRPr="00D85099">
              <w:rPr>
                <w:rFonts w:ascii="Garamond" w:hAnsi="Garamond"/>
                <w:sz w:val="20"/>
                <w:szCs w:val="20"/>
              </w:rPr>
              <w:t>Trajnim i CBIB+ mbi Zhvillimin dhe Formulimin e Strategjisë (SO, DEU, SPT/A).</w:t>
            </w:r>
          </w:p>
        </w:tc>
      </w:tr>
      <w:tr w:rsidR="00C61F48" w:rsidRPr="00D85099" w14:paraId="03D03B2D" w14:textId="77777777" w:rsidTr="00BA13DB">
        <w:trPr>
          <w:trHeight w:hRule="exact" w:val="571"/>
        </w:trPr>
        <w:tc>
          <w:tcPr>
            <w:tcW w:w="3229" w:type="dxa"/>
            <w:shd w:val="clear" w:color="auto" w:fill="C0C0C0"/>
          </w:tcPr>
          <w:p w14:paraId="2F2FEE8D" w14:textId="2695A764" w:rsidR="00C61F48" w:rsidRPr="00D85099" w:rsidRDefault="00C61F48" w:rsidP="00BA13DB">
            <w:pPr>
              <w:pStyle w:val="TableParagraph"/>
              <w:spacing w:line="243" w:lineRule="exact"/>
              <w:ind w:left="103" w:right="160"/>
              <w:rPr>
                <w:rFonts w:ascii="Garamond" w:hAnsi="Garamond"/>
                <w:sz w:val="20"/>
                <w:szCs w:val="20"/>
              </w:rPr>
            </w:pPr>
            <w:r w:rsidRPr="00D85099">
              <w:rPr>
                <w:rFonts w:ascii="Garamond" w:hAnsi="Garamond"/>
                <w:sz w:val="20"/>
                <w:szCs w:val="20"/>
              </w:rPr>
              <w:t>2</w:t>
            </w:r>
            <w:r w:rsidR="00FE12FF">
              <w:rPr>
                <w:rFonts w:ascii="Garamond" w:hAnsi="Garamond"/>
                <w:sz w:val="20"/>
                <w:szCs w:val="20"/>
              </w:rPr>
              <w:t>7 s</w:t>
            </w:r>
            <w:r w:rsidRPr="00D85099">
              <w:rPr>
                <w:rFonts w:ascii="Garamond" w:hAnsi="Garamond"/>
                <w:sz w:val="20"/>
                <w:szCs w:val="20"/>
              </w:rPr>
              <w:t>htator 2013, Tiranë</w:t>
            </w:r>
          </w:p>
        </w:tc>
        <w:tc>
          <w:tcPr>
            <w:tcW w:w="6015" w:type="dxa"/>
          </w:tcPr>
          <w:p w14:paraId="5CDF7675" w14:textId="77777777" w:rsidR="00C61F48" w:rsidRPr="00D85099" w:rsidRDefault="00C61F48" w:rsidP="00BA13DB">
            <w:pPr>
              <w:pStyle w:val="TableParagraph"/>
              <w:spacing w:line="276" w:lineRule="auto"/>
              <w:ind w:left="103" w:right="260"/>
              <w:rPr>
                <w:rFonts w:ascii="Garamond" w:hAnsi="Garamond"/>
                <w:sz w:val="20"/>
                <w:szCs w:val="20"/>
              </w:rPr>
            </w:pPr>
            <w:r w:rsidRPr="00D85099">
              <w:rPr>
                <w:rFonts w:ascii="Garamond" w:hAnsi="Garamond"/>
                <w:sz w:val="20"/>
                <w:szCs w:val="20"/>
              </w:rPr>
              <w:t>Trajnim i CBIB+ mbi Zhvillimin dhe Formulimin e Strategjisë (SO, DEU, SPT/A).</w:t>
            </w:r>
          </w:p>
        </w:tc>
      </w:tr>
      <w:tr w:rsidR="00C61F48" w:rsidRPr="00D85099" w14:paraId="60799F54" w14:textId="77777777" w:rsidTr="00BA13DB">
        <w:trPr>
          <w:trHeight w:hRule="exact" w:val="852"/>
        </w:trPr>
        <w:tc>
          <w:tcPr>
            <w:tcW w:w="3229" w:type="dxa"/>
            <w:shd w:val="clear" w:color="auto" w:fill="C0C0C0"/>
          </w:tcPr>
          <w:p w14:paraId="667AEA90" w14:textId="42DF0122"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2 t</w:t>
            </w:r>
            <w:r w:rsidR="00C61F48" w:rsidRPr="00D85099">
              <w:rPr>
                <w:rFonts w:ascii="Garamond" w:hAnsi="Garamond"/>
                <w:sz w:val="20"/>
                <w:szCs w:val="20"/>
              </w:rPr>
              <w:t>etor 2013, Podgoricë</w:t>
            </w:r>
          </w:p>
        </w:tc>
        <w:tc>
          <w:tcPr>
            <w:tcW w:w="6015" w:type="dxa"/>
          </w:tcPr>
          <w:p w14:paraId="14857F84" w14:textId="77777777" w:rsidR="00C61F48" w:rsidRPr="00D85099" w:rsidRDefault="00C61F48" w:rsidP="00BA13DB">
            <w:pPr>
              <w:pStyle w:val="TableParagraph"/>
              <w:spacing w:line="276" w:lineRule="auto"/>
              <w:ind w:left="103" w:right="879"/>
              <w:rPr>
                <w:rFonts w:ascii="Garamond" w:hAnsi="Garamond"/>
                <w:sz w:val="20"/>
                <w:szCs w:val="20"/>
              </w:rPr>
            </w:pPr>
            <w:r w:rsidRPr="00D85099">
              <w:rPr>
                <w:rFonts w:ascii="Garamond" w:hAnsi="Garamond"/>
                <w:sz w:val="20"/>
                <w:szCs w:val="20"/>
              </w:rPr>
              <w:t>Takim me Strukturën Operative të Malit të Zi - Koordinimi për realizimin e programit IPA BNK 2014 - 2020, marrëveshja për kalendarin e programit.</w:t>
            </w:r>
          </w:p>
        </w:tc>
      </w:tr>
      <w:tr w:rsidR="00C61F48" w:rsidRPr="00D85099" w14:paraId="2091062F" w14:textId="77777777" w:rsidTr="00BA13DB">
        <w:trPr>
          <w:trHeight w:hRule="exact" w:val="571"/>
        </w:trPr>
        <w:tc>
          <w:tcPr>
            <w:tcW w:w="3229" w:type="dxa"/>
            <w:shd w:val="clear" w:color="auto" w:fill="C0C0C0"/>
          </w:tcPr>
          <w:p w14:paraId="34E23215" w14:textId="4ADD70B0"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8 t</w:t>
            </w:r>
            <w:r w:rsidR="00C61F48" w:rsidRPr="00D85099">
              <w:rPr>
                <w:rFonts w:ascii="Garamond" w:hAnsi="Garamond"/>
                <w:sz w:val="20"/>
                <w:szCs w:val="20"/>
              </w:rPr>
              <w:t>etor 2013, Podgoricë</w:t>
            </w:r>
          </w:p>
        </w:tc>
        <w:tc>
          <w:tcPr>
            <w:tcW w:w="6015" w:type="dxa"/>
          </w:tcPr>
          <w:p w14:paraId="64A81DED" w14:textId="77777777" w:rsidR="00C61F48" w:rsidRPr="00D85099" w:rsidRDefault="00C61F48" w:rsidP="00BA13DB">
            <w:pPr>
              <w:pStyle w:val="TableParagraph"/>
              <w:spacing w:line="276" w:lineRule="auto"/>
              <w:ind w:left="103" w:right="403"/>
              <w:rPr>
                <w:rFonts w:ascii="Garamond" w:hAnsi="Garamond"/>
                <w:sz w:val="20"/>
                <w:szCs w:val="20"/>
              </w:rPr>
            </w:pPr>
            <w:r w:rsidRPr="00D85099">
              <w:rPr>
                <w:rFonts w:ascii="Garamond" w:hAnsi="Garamond"/>
                <w:sz w:val="20"/>
                <w:szCs w:val="20"/>
              </w:rPr>
              <w:t>Takim me autoritetet e ndryshme të Malit të Zi (ministritë e linjës) - diskutim mbi gjendjen dhe perspektivat zhvillimore strategjike.</w:t>
            </w:r>
          </w:p>
        </w:tc>
      </w:tr>
      <w:tr w:rsidR="00C61F48" w:rsidRPr="00D85099" w14:paraId="248BE2FE" w14:textId="77777777" w:rsidTr="00BA13DB">
        <w:trPr>
          <w:trHeight w:hRule="exact" w:val="1133"/>
        </w:trPr>
        <w:tc>
          <w:tcPr>
            <w:tcW w:w="3229" w:type="dxa"/>
            <w:shd w:val="clear" w:color="auto" w:fill="C0C0C0"/>
          </w:tcPr>
          <w:p w14:paraId="76A700ED" w14:textId="1DC0D0BA" w:rsidR="00C61F48" w:rsidRPr="00D85099" w:rsidRDefault="00FE12FF" w:rsidP="00BA13DB">
            <w:pPr>
              <w:pStyle w:val="TableParagraph"/>
              <w:spacing w:before="1"/>
              <w:ind w:left="103" w:right="160"/>
              <w:rPr>
                <w:rFonts w:ascii="Garamond" w:hAnsi="Garamond"/>
                <w:sz w:val="20"/>
                <w:szCs w:val="20"/>
              </w:rPr>
            </w:pPr>
            <w:r>
              <w:rPr>
                <w:rFonts w:ascii="Garamond" w:hAnsi="Garamond"/>
                <w:sz w:val="20"/>
                <w:szCs w:val="20"/>
              </w:rPr>
              <w:t>14 t</w:t>
            </w:r>
            <w:r w:rsidR="00C61F48" w:rsidRPr="00D85099">
              <w:rPr>
                <w:rFonts w:ascii="Garamond" w:hAnsi="Garamond"/>
                <w:sz w:val="20"/>
                <w:szCs w:val="20"/>
              </w:rPr>
              <w:t>etor 2013, Tiranë</w:t>
            </w:r>
          </w:p>
        </w:tc>
        <w:tc>
          <w:tcPr>
            <w:tcW w:w="6015" w:type="dxa"/>
          </w:tcPr>
          <w:p w14:paraId="7FDB8BB7" w14:textId="77777777" w:rsidR="00C61F48" w:rsidRPr="00D85099" w:rsidRDefault="00C61F48" w:rsidP="00BA13DB">
            <w:pPr>
              <w:pStyle w:val="TableParagraph"/>
              <w:spacing w:before="1" w:line="276" w:lineRule="auto"/>
              <w:ind w:left="103" w:right="278"/>
              <w:rPr>
                <w:rFonts w:ascii="Garamond" w:hAnsi="Garamond"/>
                <w:sz w:val="20"/>
                <w:szCs w:val="20"/>
              </w:rPr>
            </w:pPr>
            <w:r w:rsidRPr="00D85099">
              <w:rPr>
                <w:rFonts w:ascii="Garamond" w:hAnsi="Garamond"/>
                <w:sz w:val="20"/>
                <w:szCs w:val="20"/>
              </w:rPr>
              <w:t>Takim me Strukturën Operative të Shqipërisë - Koordinimi për realizimin e programit IPA BNK 2014 - 2020, marrëveshja për kalendarin e programit, diskutim mbi gjendjen dhe perspektivat zhvillimore strategjike.</w:t>
            </w:r>
          </w:p>
        </w:tc>
      </w:tr>
      <w:tr w:rsidR="00C61F48" w:rsidRPr="00D85099" w14:paraId="41F8A063" w14:textId="77777777" w:rsidTr="00BA13DB">
        <w:trPr>
          <w:trHeight w:hRule="exact" w:val="574"/>
        </w:trPr>
        <w:tc>
          <w:tcPr>
            <w:tcW w:w="3229" w:type="dxa"/>
            <w:shd w:val="clear" w:color="auto" w:fill="C0C0C0"/>
          </w:tcPr>
          <w:p w14:paraId="258FF953" w14:textId="0E04D7DA" w:rsidR="00C61F48" w:rsidRPr="00D85099" w:rsidRDefault="00FE12FF" w:rsidP="00BA13DB">
            <w:pPr>
              <w:pStyle w:val="TableParagraph"/>
              <w:spacing w:before="1" w:line="276" w:lineRule="auto"/>
              <w:ind w:left="103" w:right="259"/>
              <w:rPr>
                <w:rFonts w:ascii="Garamond" w:hAnsi="Garamond"/>
                <w:sz w:val="20"/>
                <w:szCs w:val="20"/>
              </w:rPr>
            </w:pPr>
            <w:r>
              <w:rPr>
                <w:rFonts w:ascii="Garamond" w:hAnsi="Garamond"/>
                <w:sz w:val="20"/>
                <w:szCs w:val="20"/>
              </w:rPr>
              <w:t>17 shtator – 24 t</w:t>
            </w:r>
            <w:r w:rsidR="00C61F48" w:rsidRPr="00D85099">
              <w:rPr>
                <w:rFonts w:ascii="Garamond" w:hAnsi="Garamond"/>
                <w:sz w:val="20"/>
                <w:szCs w:val="20"/>
              </w:rPr>
              <w:t>etor 2013, Tiranë, Podgoricë</w:t>
            </w:r>
          </w:p>
        </w:tc>
        <w:tc>
          <w:tcPr>
            <w:tcW w:w="6015" w:type="dxa"/>
          </w:tcPr>
          <w:p w14:paraId="1F5CB0D5" w14:textId="77777777" w:rsidR="00C61F48" w:rsidRPr="00D85099" w:rsidRDefault="00C61F48" w:rsidP="00BA13DB">
            <w:pPr>
              <w:pStyle w:val="TableParagraph"/>
              <w:spacing w:before="1" w:line="276" w:lineRule="auto"/>
              <w:ind w:left="103" w:right="123"/>
              <w:rPr>
                <w:rFonts w:ascii="Garamond" w:hAnsi="Garamond"/>
                <w:sz w:val="20"/>
                <w:szCs w:val="20"/>
              </w:rPr>
            </w:pPr>
            <w:r w:rsidRPr="00D85099">
              <w:rPr>
                <w:rFonts w:ascii="Garamond" w:hAnsi="Garamond"/>
                <w:sz w:val="20"/>
                <w:szCs w:val="20"/>
              </w:rPr>
              <w:t>Mbledhja dhe përpunimi i të dhënave, përgatitja e PESTLE, finalizimi i Analizës së Situatës dhe Analizës SWOT.</w:t>
            </w:r>
          </w:p>
        </w:tc>
      </w:tr>
      <w:tr w:rsidR="00C61F48" w:rsidRPr="00D85099" w14:paraId="55E56D66" w14:textId="77777777" w:rsidTr="00BA13DB">
        <w:trPr>
          <w:trHeight w:hRule="exact" w:val="571"/>
        </w:trPr>
        <w:tc>
          <w:tcPr>
            <w:tcW w:w="3229" w:type="dxa"/>
            <w:shd w:val="clear" w:color="auto" w:fill="C0C0C0"/>
          </w:tcPr>
          <w:p w14:paraId="7A2DDAF7" w14:textId="35933C58"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25 t</w:t>
            </w:r>
            <w:r w:rsidR="00C61F48" w:rsidRPr="00D85099">
              <w:rPr>
                <w:rFonts w:ascii="Garamond" w:hAnsi="Garamond"/>
                <w:sz w:val="20"/>
                <w:szCs w:val="20"/>
              </w:rPr>
              <w:t>etor 2013, Tiranë</w:t>
            </w:r>
          </w:p>
        </w:tc>
        <w:tc>
          <w:tcPr>
            <w:tcW w:w="6015" w:type="dxa"/>
          </w:tcPr>
          <w:p w14:paraId="4C36303D" w14:textId="77777777" w:rsidR="00C61F48" w:rsidRPr="00D85099" w:rsidRDefault="00C61F48" w:rsidP="00BA13DB">
            <w:pPr>
              <w:pStyle w:val="TableParagraph"/>
              <w:spacing w:line="276" w:lineRule="auto"/>
              <w:ind w:left="103" w:right="278"/>
              <w:rPr>
                <w:rFonts w:ascii="Garamond" w:hAnsi="Garamond"/>
                <w:sz w:val="20"/>
                <w:szCs w:val="20"/>
              </w:rPr>
            </w:pPr>
            <w:r w:rsidRPr="00D85099">
              <w:rPr>
                <w:rFonts w:ascii="Garamond" w:hAnsi="Garamond"/>
                <w:sz w:val="20"/>
                <w:szCs w:val="20"/>
              </w:rPr>
              <w:t>Takimi i Task Forcës së Parë të Përbashkët, prezantimi i Analizës së Situatës dhe Analizës SWOT.</w:t>
            </w:r>
          </w:p>
        </w:tc>
      </w:tr>
      <w:tr w:rsidR="00C61F48" w:rsidRPr="00D85099" w14:paraId="5135DFFA" w14:textId="77777777" w:rsidTr="00BA13DB">
        <w:trPr>
          <w:trHeight w:hRule="exact" w:val="571"/>
        </w:trPr>
        <w:tc>
          <w:tcPr>
            <w:tcW w:w="3229" w:type="dxa"/>
            <w:shd w:val="clear" w:color="auto" w:fill="C0C0C0"/>
          </w:tcPr>
          <w:p w14:paraId="5DA2C8B4" w14:textId="58FFB651"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30 t</w:t>
            </w:r>
            <w:r w:rsidR="00C61F48" w:rsidRPr="00D85099">
              <w:rPr>
                <w:rFonts w:ascii="Garamond" w:hAnsi="Garamond"/>
                <w:sz w:val="20"/>
                <w:szCs w:val="20"/>
              </w:rPr>
              <w:t>etor 2013, Bijelo Polje, Mal i Zi</w:t>
            </w:r>
          </w:p>
        </w:tc>
        <w:tc>
          <w:tcPr>
            <w:tcW w:w="6015" w:type="dxa"/>
          </w:tcPr>
          <w:p w14:paraId="48FA9BC0" w14:textId="77777777" w:rsidR="00C61F48" w:rsidRPr="00D85099" w:rsidRDefault="00C61F48" w:rsidP="00BA13DB">
            <w:pPr>
              <w:pStyle w:val="TableParagraph"/>
              <w:spacing w:line="276" w:lineRule="auto"/>
              <w:ind w:left="103" w:right="271"/>
              <w:rPr>
                <w:rFonts w:ascii="Garamond" w:hAnsi="Garamond"/>
                <w:sz w:val="20"/>
                <w:szCs w:val="20"/>
              </w:rPr>
            </w:pPr>
            <w:r w:rsidRPr="00D85099">
              <w:rPr>
                <w:rFonts w:ascii="Garamond" w:hAnsi="Garamond"/>
                <w:sz w:val="20"/>
                <w:szCs w:val="20"/>
              </w:rPr>
              <w:t>Takim konsultativ publik me më shumë se 15 pjesëmarrës nga zona e programit.</w:t>
            </w:r>
          </w:p>
        </w:tc>
      </w:tr>
      <w:tr w:rsidR="00C61F48" w:rsidRPr="00D85099" w14:paraId="45F4C503" w14:textId="77777777" w:rsidTr="00BA13DB">
        <w:trPr>
          <w:trHeight w:hRule="exact" w:val="290"/>
        </w:trPr>
        <w:tc>
          <w:tcPr>
            <w:tcW w:w="3229" w:type="dxa"/>
            <w:shd w:val="clear" w:color="auto" w:fill="C0C0C0"/>
          </w:tcPr>
          <w:p w14:paraId="1ADE61C0" w14:textId="20E7A2D2"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15 n</w:t>
            </w:r>
            <w:r w:rsidR="00C61F48" w:rsidRPr="00D85099">
              <w:rPr>
                <w:rFonts w:ascii="Garamond" w:hAnsi="Garamond"/>
                <w:sz w:val="20"/>
                <w:szCs w:val="20"/>
              </w:rPr>
              <w:t>ëntor 2013</w:t>
            </w:r>
          </w:p>
        </w:tc>
        <w:tc>
          <w:tcPr>
            <w:tcW w:w="6015" w:type="dxa"/>
          </w:tcPr>
          <w:p w14:paraId="6058B3C0" w14:textId="77777777" w:rsidR="00C61F48" w:rsidRPr="00D85099" w:rsidRDefault="00C61F48" w:rsidP="00BA13DB">
            <w:pPr>
              <w:pStyle w:val="TableParagraph"/>
              <w:spacing w:line="243" w:lineRule="exact"/>
              <w:ind w:left="103" w:right="278"/>
              <w:rPr>
                <w:rFonts w:ascii="Garamond" w:hAnsi="Garamond"/>
                <w:sz w:val="20"/>
                <w:szCs w:val="20"/>
              </w:rPr>
            </w:pPr>
            <w:r w:rsidRPr="00D85099">
              <w:rPr>
                <w:rFonts w:ascii="Garamond" w:hAnsi="Garamond"/>
                <w:sz w:val="20"/>
                <w:szCs w:val="20"/>
              </w:rPr>
              <w:t>Dorëzimi i draftit të parë të Dokumentit të Programit tek DG ELARG.</w:t>
            </w:r>
          </w:p>
        </w:tc>
      </w:tr>
      <w:tr w:rsidR="00C61F48" w:rsidRPr="00D85099" w14:paraId="7396A6DF" w14:textId="77777777" w:rsidTr="00BA13DB">
        <w:trPr>
          <w:trHeight w:hRule="exact" w:val="291"/>
        </w:trPr>
        <w:tc>
          <w:tcPr>
            <w:tcW w:w="3229" w:type="dxa"/>
            <w:tcBorders>
              <w:bottom w:val="single" w:sz="4" w:space="0" w:color="000000"/>
            </w:tcBorders>
            <w:shd w:val="clear" w:color="auto" w:fill="C0C0C0"/>
          </w:tcPr>
          <w:p w14:paraId="5A36CC05" w14:textId="40E1ACED"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21-22 n</w:t>
            </w:r>
            <w:r w:rsidR="00C61F48" w:rsidRPr="00D85099">
              <w:rPr>
                <w:rFonts w:ascii="Garamond" w:hAnsi="Garamond"/>
                <w:sz w:val="20"/>
                <w:szCs w:val="20"/>
              </w:rPr>
              <w:t>ëntor 2013 , Beograd, Serbi</w:t>
            </w:r>
          </w:p>
        </w:tc>
        <w:tc>
          <w:tcPr>
            <w:tcW w:w="6015" w:type="dxa"/>
            <w:tcBorders>
              <w:bottom w:val="single" w:sz="4" w:space="0" w:color="000000"/>
            </w:tcBorders>
          </w:tcPr>
          <w:p w14:paraId="033DC40C" w14:textId="77777777" w:rsidR="00C61F48" w:rsidRPr="00D85099" w:rsidRDefault="00C61F48" w:rsidP="00BA13DB">
            <w:pPr>
              <w:pStyle w:val="TableParagraph"/>
              <w:spacing w:line="243" w:lineRule="exact"/>
              <w:ind w:left="103" w:right="278"/>
              <w:rPr>
                <w:rFonts w:ascii="Garamond" w:hAnsi="Garamond"/>
                <w:sz w:val="20"/>
                <w:szCs w:val="20"/>
              </w:rPr>
            </w:pPr>
            <w:r w:rsidRPr="00D85099">
              <w:rPr>
                <w:rFonts w:ascii="Garamond" w:hAnsi="Garamond"/>
                <w:sz w:val="20"/>
                <w:szCs w:val="20"/>
              </w:rPr>
              <w:t>Forumi Rajonal Konsultativ BNK.</w:t>
            </w:r>
          </w:p>
        </w:tc>
      </w:tr>
      <w:tr w:rsidR="00C61F48" w:rsidRPr="00D85099" w14:paraId="5EE03412" w14:textId="77777777" w:rsidTr="00BA13DB">
        <w:trPr>
          <w:trHeight w:hRule="exact" w:val="1133"/>
        </w:trPr>
        <w:tc>
          <w:tcPr>
            <w:tcW w:w="3229" w:type="dxa"/>
            <w:tcBorders>
              <w:top w:val="single" w:sz="4" w:space="0" w:color="000000"/>
            </w:tcBorders>
            <w:shd w:val="clear" w:color="auto" w:fill="C0C0C0"/>
          </w:tcPr>
          <w:p w14:paraId="758CA0C9" w14:textId="085B3948"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12 d</w:t>
            </w:r>
            <w:r w:rsidR="00C61F48" w:rsidRPr="00D85099">
              <w:rPr>
                <w:rFonts w:ascii="Garamond" w:hAnsi="Garamond"/>
                <w:sz w:val="20"/>
                <w:szCs w:val="20"/>
              </w:rPr>
              <w:t>hjetor 2013 , Tiranë, Shqipëri</w:t>
            </w:r>
          </w:p>
        </w:tc>
        <w:tc>
          <w:tcPr>
            <w:tcW w:w="6015" w:type="dxa"/>
            <w:tcBorders>
              <w:top w:val="single" w:sz="4" w:space="0" w:color="000000"/>
            </w:tcBorders>
          </w:tcPr>
          <w:p w14:paraId="2F0145D1" w14:textId="77777777" w:rsidR="00C61F48" w:rsidRPr="00D85099" w:rsidRDefault="00C61F48" w:rsidP="00BA13DB">
            <w:pPr>
              <w:pStyle w:val="TableParagraph"/>
              <w:spacing w:line="276" w:lineRule="auto"/>
              <w:ind w:left="103" w:right="123"/>
              <w:rPr>
                <w:rFonts w:ascii="Garamond" w:hAnsi="Garamond"/>
                <w:sz w:val="20"/>
                <w:szCs w:val="20"/>
              </w:rPr>
            </w:pPr>
            <w:r w:rsidRPr="00D85099">
              <w:rPr>
                <w:rFonts w:ascii="Garamond" w:hAnsi="Garamond"/>
                <w:sz w:val="20"/>
                <w:szCs w:val="20"/>
              </w:rPr>
              <w:t>Takim teknik i procesit të programimit midis SO, Komisionit, Delegacionit të BE dhe CBIB +; U bë diskutimi mbi strategjitë programore për tri programet. U dhanë disa sugjerime nga KE në lidhje me formulimin e objektivave, indikatorëve dhe zonave përfituese.</w:t>
            </w:r>
          </w:p>
        </w:tc>
      </w:tr>
      <w:tr w:rsidR="00C61F48" w:rsidRPr="00D85099" w14:paraId="26FF33E9" w14:textId="77777777" w:rsidTr="00BA13DB">
        <w:trPr>
          <w:trHeight w:hRule="exact" w:val="1414"/>
        </w:trPr>
        <w:tc>
          <w:tcPr>
            <w:tcW w:w="3229" w:type="dxa"/>
            <w:shd w:val="clear" w:color="auto" w:fill="C0C0C0"/>
          </w:tcPr>
          <w:p w14:paraId="5A3A8BE0" w14:textId="5D91924D" w:rsidR="00C61F48" w:rsidRPr="00D85099" w:rsidRDefault="00FE12FF" w:rsidP="00BA13DB">
            <w:pPr>
              <w:pStyle w:val="TableParagraph"/>
              <w:spacing w:line="276" w:lineRule="auto"/>
              <w:ind w:left="103" w:right="280"/>
              <w:rPr>
                <w:rFonts w:ascii="Garamond" w:hAnsi="Garamond"/>
                <w:sz w:val="20"/>
                <w:szCs w:val="20"/>
              </w:rPr>
            </w:pPr>
            <w:r>
              <w:rPr>
                <w:rFonts w:ascii="Garamond" w:hAnsi="Garamond"/>
                <w:sz w:val="20"/>
                <w:szCs w:val="20"/>
              </w:rPr>
              <w:t>19 d</w:t>
            </w:r>
            <w:r w:rsidR="00C61F48" w:rsidRPr="00D85099">
              <w:rPr>
                <w:rFonts w:ascii="Garamond" w:hAnsi="Garamond"/>
                <w:sz w:val="20"/>
                <w:szCs w:val="20"/>
              </w:rPr>
              <w:t>hjetor 2013, Konsultimi Publik Paraprak, Lezhë, Shkodër, Shqipëri</w:t>
            </w:r>
          </w:p>
        </w:tc>
        <w:tc>
          <w:tcPr>
            <w:tcW w:w="6015" w:type="dxa"/>
          </w:tcPr>
          <w:p w14:paraId="1314FB73" w14:textId="77777777" w:rsidR="00C61F48" w:rsidRPr="00D85099" w:rsidRDefault="00C61F48" w:rsidP="00BA13DB">
            <w:pPr>
              <w:pStyle w:val="TableParagraph"/>
              <w:spacing w:line="276" w:lineRule="auto"/>
              <w:ind w:left="103" w:right="127"/>
              <w:rPr>
                <w:rFonts w:ascii="Garamond" w:hAnsi="Garamond"/>
                <w:sz w:val="20"/>
                <w:szCs w:val="20"/>
              </w:rPr>
            </w:pPr>
            <w:r w:rsidRPr="00D85099">
              <w:rPr>
                <w:rFonts w:ascii="Garamond" w:hAnsi="Garamond"/>
                <w:sz w:val="20"/>
                <w:szCs w:val="20"/>
              </w:rPr>
              <w:t>U prezantua dokumenti i programit, si dhe procesi i programimit dhe arsyetimi për zgjedhjen e strategjisë së ndërhyrjes, me 15 përfaqësues nga qeverisja lokale. Strategjia e ndërhyrjes dhe prioritetet tematike të përzgjedhura rezultuan të jenë në përputhje me pikëpamjen e tyre ndaj nevojave të BNK.</w:t>
            </w:r>
          </w:p>
        </w:tc>
      </w:tr>
      <w:tr w:rsidR="00C61F48" w:rsidRPr="00D85099" w14:paraId="1D852579" w14:textId="77777777" w:rsidTr="00BA13DB">
        <w:trPr>
          <w:trHeight w:hRule="exact" w:val="574"/>
        </w:trPr>
        <w:tc>
          <w:tcPr>
            <w:tcW w:w="3229" w:type="dxa"/>
            <w:shd w:val="clear" w:color="auto" w:fill="C0C0C0"/>
          </w:tcPr>
          <w:p w14:paraId="27772FE9" w14:textId="70599006" w:rsidR="00C61F48" w:rsidRPr="00D85099" w:rsidRDefault="00FE12FF" w:rsidP="00BA13DB">
            <w:pPr>
              <w:pStyle w:val="TableParagraph"/>
              <w:spacing w:before="1"/>
              <w:ind w:left="103" w:right="160"/>
              <w:rPr>
                <w:rFonts w:ascii="Garamond" w:hAnsi="Garamond"/>
                <w:sz w:val="20"/>
                <w:szCs w:val="20"/>
              </w:rPr>
            </w:pPr>
            <w:r>
              <w:rPr>
                <w:rFonts w:ascii="Garamond" w:hAnsi="Garamond"/>
                <w:sz w:val="20"/>
                <w:szCs w:val="20"/>
              </w:rPr>
              <w:t>j</w:t>
            </w:r>
            <w:r w:rsidR="00C61F48" w:rsidRPr="00D85099">
              <w:rPr>
                <w:rFonts w:ascii="Garamond" w:hAnsi="Garamond"/>
                <w:sz w:val="20"/>
                <w:szCs w:val="20"/>
              </w:rPr>
              <w:t>anar 2014</w:t>
            </w:r>
          </w:p>
        </w:tc>
        <w:tc>
          <w:tcPr>
            <w:tcW w:w="6015" w:type="dxa"/>
          </w:tcPr>
          <w:p w14:paraId="2275D550" w14:textId="77777777" w:rsidR="00C61F48" w:rsidRPr="00D85099" w:rsidRDefault="00C61F48" w:rsidP="00BA13DB">
            <w:pPr>
              <w:pStyle w:val="TableParagraph"/>
              <w:spacing w:before="1" w:line="276" w:lineRule="auto"/>
              <w:ind w:left="103" w:right="278"/>
              <w:rPr>
                <w:rFonts w:ascii="Garamond" w:hAnsi="Garamond"/>
                <w:sz w:val="20"/>
                <w:szCs w:val="20"/>
              </w:rPr>
            </w:pPr>
            <w:r w:rsidRPr="00D85099">
              <w:rPr>
                <w:rFonts w:ascii="Garamond" w:hAnsi="Garamond"/>
                <w:sz w:val="20"/>
                <w:szCs w:val="20"/>
              </w:rPr>
              <w:t>Rishikimi i Dokumentit të Programit bazuar në rekomandimet e Komisionit.</w:t>
            </w:r>
          </w:p>
        </w:tc>
      </w:tr>
      <w:tr w:rsidR="00C61F48" w:rsidRPr="00D85099" w14:paraId="3983B93B" w14:textId="77777777" w:rsidTr="00BA13DB">
        <w:trPr>
          <w:trHeight w:hRule="exact" w:val="290"/>
        </w:trPr>
        <w:tc>
          <w:tcPr>
            <w:tcW w:w="3229" w:type="dxa"/>
            <w:shd w:val="clear" w:color="auto" w:fill="C0C0C0"/>
          </w:tcPr>
          <w:p w14:paraId="17FB4A68" w14:textId="43F6EA78"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7 s</w:t>
            </w:r>
            <w:r w:rsidR="00C61F48" w:rsidRPr="00D85099">
              <w:rPr>
                <w:rFonts w:ascii="Garamond" w:hAnsi="Garamond"/>
                <w:sz w:val="20"/>
                <w:szCs w:val="20"/>
              </w:rPr>
              <w:t>hkurt 2014</w:t>
            </w:r>
          </w:p>
        </w:tc>
        <w:tc>
          <w:tcPr>
            <w:tcW w:w="6015" w:type="dxa"/>
          </w:tcPr>
          <w:p w14:paraId="1E623B25" w14:textId="77777777" w:rsidR="00C61F48" w:rsidRPr="00D85099" w:rsidRDefault="00C61F48" w:rsidP="00BA13DB">
            <w:pPr>
              <w:pStyle w:val="TableParagraph"/>
              <w:spacing w:line="243" w:lineRule="exact"/>
              <w:ind w:left="103" w:right="278"/>
              <w:rPr>
                <w:rFonts w:ascii="Garamond" w:hAnsi="Garamond"/>
                <w:sz w:val="20"/>
                <w:szCs w:val="20"/>
              </w:rPr>
            </w:pPr>
            <w:r w:rsidRPr="00D85099">
              <w:rPr>
                <w:rFonts w:ascii="Garamond" w:hAnsi="Garamond"/>
                <w:sz w:val="20"/>
                <w:szCs w:val="20"/>
              </w:rPr>
              <w:t>Dorëzimi tek Komisioni i draftit të dytë të dokumentit të programit.</w:t>
            </w:r>
          </w:p>
        </w:tc>
      </w:tr>
      <w:tr w:rsidR="00C61F48" w:rsidRPr="00D85099" w14:paraId="245387CF" w14:textId="77777777" w:rsidTr="00BA13DB">
        <w:trPr>
          <w:trHeight w:hRule="exact" w:val="1694"/>
        </w:trPr>
        <w:tc>
          <w:tcPr>
            <w:tcW w:w="3229" w:type="dxa"/>
            <w:shd w:val="clear" w:color="auto" w:fill="C0C0C0"/>
          </w:tcPr>
          <w:p w14:paraId="0D65EE85" w14:textId="48E753F7" w:rsidR="00C61F48" w:rsidRPr="00D85099" w:rsidRDefault="00C61F48" w:rsidP="00BA13DB">
            <w:pPr>
              <w:pStyle w:val="TableParagraph"/>
              <w:spacing w:line="264" w:lineRule="auto"/>
              <w:ind w:left="103" w:right="160"/>
              <w:rPr>
                <w:rFonts w:ascii="Garamond" w:hAnsi="Garamond"/>
                <w:sz w:val="20"/>
                <w:szCs w:val="20"/>
              </w:rPr>
            </w:pPr>
            <w:r w:rsidRPr="00D85099">
              <w:rPr>
                <w:rFonts w:ascii="Garamond" w:hAnsi="Garamond"/>
                <w:sz w:val="20"/>
                <w:szCs w:val="20"/>
              </w:rPr>
              <w:t>2</w:t>
            </w:r>
            <w:r w:rsidR="00FE12FF">
              <w:rPr>
                <w:rFonts w:ascii="Garamond" w:hAnsi="Garamond"/>
                <w:sz w:val="20"/>
                <w:szCs w:val="20"/>
              </w:rPr>
              <w:t>7 m</w:t>
            </w:r>
            <w:r w:rsidRPr="00D85099">
              <w:rPr>
                <w:rFonts w:ascii="Garamond" w:hAnsi="Garamond"/>
                <w:sz w:val="20"/>
                <w:szCs w:val="20"/>
              </w:rPr>
              <w:t>ars 2014, rajoni Lezhë, AL Takim Konsultues me Publikun e gjerë, shoqërinë civile dhe aktorët lokal, me 27 pjesëmarrës</w:t>
            </w:r>
          </w:p>
        </w:tc>
        <w:tc>
          <w:tcPr>
            <w:tcW w:w="6015" w:type="dxa"/>
          </w:tcPr>
          <w:p w14:paraId="1A7C0EE1" w14:textId="77777777" w:rsidR="00C61F48" w:rsidRPr="00D85099" w:rsidRDefault="00C61F48" w:rsidP="00BA13DB">
            <w:pPr>
              <w:pStyle w:val="TableParagraph"/>
              <w:spacing w:line="276" w:lineRule="auto"/>
              <w:ind w:left="103" w:right="192"/>
              <w:rPr>
                <w:rFonts w:ascii="Garamond" w:hAnsi="Garamond"/>
                <w:sz w:val="20"/>
                <w:szCs w:val="20"/>
              </w:rPr>
            </w:pPr>
            <w:r w:rsidRPr="00D85099">
              <w:rPr>
                <w:rFonts w:ascii="Garamond" w:hAnsi="Garamond"/>
                <w:sz w:val="20"/>
                <w:szCs w:val="20"/>
              </w:rPr>
              <w:t>Procesi i programimit së bashku me prioritetet e programit u prezantuan tek 27 organizata të shoqërisë civile dhe përfaqësues të qeverisjes vendore në qarkun e Lezhës, duke u ndjekur nga diskutime aktive me rekomandime dhe sugjerime nga pjesëmarrësit. Prioritetet rezultuan të jenë në përputhje me pikëpamjen e tyre ndaj nevojave të BNK.</w:t>
            </w:r>
          </w:p>
        </w:tc>
      </w:tr>
      <w:tr w:rsidR="00C61F48" w:rsidRPr="00D85099" w14:paraId="7F524B84" w14:textId="77777777" w:rsidTr="00BA13DB">
        <w:trPr>
          <w:trHeight w:hRule="exact" w:val="852"/>
        </w:trPr>
        <w:tc>
          <w:tcPr>
            <w:tcW w:w="3229" w:type="dxa"/>
            <w:shd w:val="clear" w:color="auto" w:fill="C0C0C0"/>
          </w:tcPr>
          <w:p w14:paraId="338DE146" w14:textId="590E8304" w:rsidR="00C61F48" w:rsidRPr="00D85099" w:rsidRDefault="00FE12FF" w:rsidP="00BA13DB">
            <w:pPr>
              <w:pStyle w:val="TableParagraph"/>
              <w:spacing w:line="276" w:lineRule="auto"/>
              <w:ind w:left="103" w:right="160"/>
              <w:rPr>
                <w:rFonts w:ascii="Garamond" w:hAnsi="Garamond"/>
                <w:sz w:val="20"/>
                <w:szCs w:val="20"/>
              </w:rPr>
            </w:pPr>
            <w:r>
              <w:rPr>
                <w:rFonts w:ascii="Garamond" w:hAnsi="Garamond"/>
                <w:sz w:val="20"/>
                <w:szCs w:val="20"/>
              </w:rPr>
              <w:t>28 m</w:t>
            </w:r>
            <w:r w:rsidR="00C61F48" w:rsidRPr="00D85099">
              <w:rPr>
                <w:rFonts w:ascii="Garamond" w:hAnsi="Garamond"/>
                <w:sz w:val="20"/>
                <w:szCs w:val="20"/>
              </w:rPr>
              <w:t>ars 2014, rajoni Shkodër, AL, Takim Konsultues me Publikun e gjerë, shoqërinë civile dhe aktorët</w:t>
            </w:r>
          </w:p>
        </w:tc>
        <w:tc>
          <w:tcPr>
            <w:tcW w:w="6015" w:type="dxa"/>
          </w:tcPr>
          <w:p w14:paraId="6508026F" w14:textId="77777777" w:rsidR="00C61F48" w:rsidRPr="00D85099" w:rsidRDefault="00C61F48" w:rsidP="00BA13DB">
            <w:pPr>
              <w:pStyle w:val="TableParagraph"/>
              <w:spacing w:line="276" w:lineRule="auto"/>
              <w:ind w:left="103" w:right="278"/>
              <w:rPr>
                <w:rFonts w:ascii="Garamond" w:hAnsi="Garamond"/>
                <w:sz w:val="20"/>
                <w:szCs w:val="20"/>
              </w:rPr>
            </w:pPr>
            <w:r w:rsidRPr="00D85099">
              <w:rPr>
                <w:rFonts w:ascii="Garamond" w:hAnsi="Garamond"/>
                <w:sz w:val="20"/>
                <w:szCs w:val="20"/>
              </w:rPr>
              <w:t>Procesi i programimit së bashku me prioritetet e programit u prezantuan tek më shumë se 32 organizata të shoqërisë civile dhe përfaqësues të qeverisjes vendore në qarkun e Shkodrës, duke u</w:t>
            </w:r>
          </w:p>
        </w:tc>
      </w:tr>
      <w:tr w:rsidR="00C61F48" w:rsidRPr="00D85099" w14:paraId="6BF60984" w14:textId="77777777" w:rsidTr="00BA13DB">
        <w:trPr>
          <w:trHeight w:hRule="exact" w:val="852"/>
        </w:trPr>
        <w:tc>
          <w:tcPr>
            <w:tcW w:w="3229" w:type="dxa"/>
            <w:shd w:val="clear" w:color="auto" w:fill="C0C0C0"/>
          </w:tcPr>
          <w:p w14:paraId="3FD39B31" w14:textId="77777777" w:rsidR="00C61F48" w:rsidRPr="00D85099" w:rsidRDefault="00C61F48" w:rsidP="00BA13DB">
            <w:pPr>
              <w:pStyle w:val="TableParagraph"/>
              <w:spacing w:line="244" w:lineRule="exact"/>
              <w:ind w:left="103" w:right="160"/>
              <w:rPr>
                <w:rFonts w:ascii="Garamond" w:hAnsi="Garamond"/>
                <w:sz w:val="20"/>
                <w:szCs w:val="20"/>
              </w:rPr>
            </w:pPr>
            <w:r w:rsidRPr="00D85099">
              <w:rPr>
                <w:rFonts w:ascii="Garamond" w:hAnsi="Garamond"/>
                <w:sz w:val="20"/>
                <w:szCs w:val="20"/>
              </w:rPr>
              <w:t>lokal</w:t>
            </w:r>
          </w:p>
        </w:tc>
        <w:tc>
          <w:tcPr>
            <w:tcW w:w="6015" w:type="dxa"/>
          </w:tcPr>
          <w:p w14:paraId="33F57E2B" w14:textId="77777777" w:rsidR="00C61F48" w:rsidRPr="00D85099" w:rsidRDefault="00C61F48" w:rsidP="00BA13DB">
            <w:pPr>
              <w:pStyle w:val="TableParagraph"/>
              <w:spacing w:line="276" w:lineRule="auto"/>
              <w:ind w:left="103" w:right="278"/>
              <w:rPr>
                <w:rFonts w:ascii="Garamond" w:hAnsi="Garamond"/>
                <w:sz w:val="20"/>
                <w:szCs w:val="20"/>
              </w:rPr>
            </w:pPr>
            <w:r w:rsidRPr="00D85099">
              <w:rPr>
                <w:rFonts w:ascii="Garamond" w:hAnsi="Garamond"/>
                <w:sz w:val="20"/>
                <w:szCs w:val="20"/>
              </w:rPr>
              <w:t>ndjekur nga diskutime aktive me rekomandime dhe sugjerime nga pjesëmarrësit. Prioritetet rezultuan të jenë në përputhje me pikëpamjen e tyre ndaj nevojave të BNK.</w:t>
            </w:r>
          </w:p>
        </w:tc>
      </w:tr>
      <w:tr w:rsidR="00C61F48" w:rsidRPr="00D85099" w14:paraId="3E488D69" w14:textId="77777777" w:rsidTr="00BA13DB">
        <w:trPr>
          <w:trHeight w:hRule="exact" w:val="290"/>
        </w:trPr>
        <w:tc>
          <w:tcPr>
            <w:tcW w:w="3229" w:type="dxa"/>
            <w:shd w:val="clear" w:color="auto" w:fill="C0C0C0"/>
          </w:tcPr>
          <w:p w14:paraId="58D7FB3F" w14:textId="50229A28"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30 m</w:t>
            </w:r>
            <w:r w:rsidR="00C61F48" w:rsidRPr="00D85099">
              <w:rPr>
                <w:rFonts w:ascii="Garamond" w:hAnsi="Garamond"/>
                <w:sz w:val="20"/>
                <w:szCs w:val="20"/>
              </w:rPr>
              <w:t>ars 2014</w:t>
            </w:r>
          </w:p>
        </w:tc>
        <w:tc>
          <w:tcPr>
            <w:tcW w:w="6015" w:type="dxa"/>
          </w:tcPr>
          <w:p w14:paraId="70CE881C" w14:textId="77777777" w:rsidR="00C61F48" w:rsidRPr="00D85099" w:rsidRDefault="00C61F48" w:rsidP="00BA13DB">
            <w:pPr>
              <w:pStyle w:val="TableParagraph"/>
              <w:spacing w:line="243" w:lineRule="exact"/>
              <w:ind w:left="103" w:right="278"/>
              <w:rPr>
                <w:rFonts w:ascii="Garamond" w:hAnsi="Garamond"/>
                <w:sz w:val="20"/>
                <w:szCs w:val="20"/>
              </w:rPr>
            </w:pPr>
            <w:r w:rsidRPr="00D85099">
              <w:rPr>
                <w:rFonts w:ascii="Garamond" w:hAnsi="Garamond"/>
                <w:sz w:val="20"/>
                <w:szCs w:val="20"/>
              </w:rPr>
              <w:t>Komisioni komenton mbi draftin e dytë të dokumentit.</w:t>
            </w:r>
          </w:p>
        </w:tc>
      </w:tr>
      <w:tr w:rsidR="00C61F48" w:rsidRPr="00D85099" w14:paraId="254DE02E" w14:textId="77777777" w:rsidTr="00BA13DB">
        <w:trPr>
          <w:trHeight w:hRule="exact" w:val="2257"/>
        </w:trPr>
        <w:tc>
          <w:tcPr>
            <w:tcW w:w="3229" w:type="dxa"/>
            <w:shd w:val="clear" w:color="auto" w:fill="C0C0C0"/>
          </w:tcPr>
          <w:p w14:paraId="0065DD13" w14:textId="77777777" w:rsidR="00C61F48" w:rsidRPr="00D85099" w:rsidRDefault="00C61F48" w:rsidP="00BA13DB">
            <w:pPr>
              <w:pStyle w:val="TableParagraph"/>
              <w:spacing w:line="276" w:lineRule="auto"/>
              <w:ind w:left="103" w:right="406"/>
              <w:rPr>
                <w:rFonts w:ascii="Garamond" w:hAnsi="Garamond"/>
                <w:sz w:val="20"/>
                <w:szCs w:val="20"/>
              </w:rPr>
            </w:pPr>
            <w:r w:rsidRPr="00D85099">
              <w:rPr>
                <w:rFonts w:ascii="Garamond" w:hAnsi="Garamond"/>
                <w:sz w:val="20"/>
                <w:szCs w:val="20"/>
              </w:rPr>
              <w:t>16 Prill 2014, Tiranë, AL, Takim Konsultues me Ministritë e Linjës</w:t>
            </w:r>
          </w:p>
        </w:tc>
        <w:tc>
          <w:tcPr>
            <w:tcW w:w="6015" w:type="dxa"/>
          </w:tcPr>
          <w:p w14:paraId="5EDED2E7" w14:textId="77777777" w:rsidR="00C61F48" w:rsidRPr="00D85099" w:rsidRDefault="00C61F48" w:rsidP="00BA13DB">
            <w:pPr>
              <w:pStyle w:val="TableParagraph"/>
              <w:spacing w:line="276" w:lineRule="auto"/>
              <w:ind w:left="103" w:right="259"/>
              <w:rPr>
                <w:rFonts w:ascii="Garamond" w:hAnsi="Garamond"/>
                <w:sz w:val="20"/>
                <w:szCs w:val="20"/>
              </w:rPr>
            </w:pPr>
            <w:r w:rsidRPr="00D85099">
              <w:rPr>
                <w:rFonts w:ascii="Garamond" w:hAnsi="Garamond"/>
                <w:sz w:val="20"/>
                <w:szCs w:val="20"/>
              </w:rPr>
              <w:t>Procesi i programimit dhe prioritetet e programit për të 3 kufijtë, AL- KSV, MZ-AL, MK-AL u prezantuan në ministritë e linjës që mbulojnë prioritetet dhe aktivitetet në dokumente. Qëllimi ishte konsultimi me programet aktuale kombëtare në fushat përkatëse të veprimit dhe shmangia e mbivendosjeve, përfshirë sinergjitë e mundshme. Draft- dokumentet rezultuan të jenë në përputhje edhe me strategjitë kombëtare dhe u konceptuan nga pjesëmarrësit si shumë të rëndësishme për zhvillimin e rajoneve.</w:t>
            </w:r>
          </w:p>
        </w:tc>
      </w:tr>
      <w:tr w:rsidR="00C61F48" w:rsidRPr="00D85099" w14:paraId="0ACE31B9" w14:textId="77777777" w:rsidTr="00BA13DB">
        <w:trPr>
          <w:trHeight w:hRule="exact" w:val="571"/>
        </w:trPr>
        <w:tc>
          <w:tcPr>
            <w:tcW w:w="3229" w:type="dxa"/>
            <w:shd w:val="clear" w:color="auto" w:fill="C0C0C0"/>
          </w:tcPr>
          <w:p w14:paraId="379E1B07" w14:textId="039D8FFA"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17 prill – 1 m</w:t>
            </w:r>
            <w:r w:rsidR="00C61F48" w:rsidRPr="00D85099">
              <w:rPr>
                <w:rFonts w:ascii="Garamond" w:hAnsi="Garamond"/>
                <w:sz w:val="20"/>
                <w:szCs w:val="20"/>
              </w:rPr>
              <w:t>aj 2014</w:t>
            </w:r>
          </w:p>
        </w:tc>
        <w:tc>
          <w:tcPr>
            <w:tcW w:w="6015" w:type="dxa"/>
          </w:tcPr>
          <w:p w14:paraId="477FBEF9" w14:textId="77777777" w:rsidR="00C61F48" w:rsidRPr="00D85099" w:rsidRDefault="00C61F48" w:rsidP="00BA13DB">
            <w:pPr>
              <w:pStyle w:val="TableParagraph"/>
              <w:spacing w:line="276" w:lineRule="auto"/>
              <w:ind w:left="103" w:right="278"/>
              <w:rPr>
                <w:rFonts w:ascii="Garamond" w:hAnsi="Garamond"/>
                <w:sz w:val="20"/>
                <w:szCs w:val="20"/>
              </w:rPr>
            </w:pPr>
            <w:r w:rsidRPr="00D85099">
              <w:rPr>
                <w:rFonts w:ascii="Garamond" w:hAnsi="Garamond"/>
                <w:sz w:val="20"/>
                <w:szCs w:val="20"/>
              </w:rPr>
              <w:t>Reflektimi mbi komentet e marra nga Komisioni dhe nga takimet e konsultimeve publike.</w:t>
            </w:r>
          </w:p>
        </w:tc>
      </w:tr>
      <w:tr w:rsidR="00C61F48" w:rsidRPr="00D85099" w14:paraId="3F3D80F0" w14:textId="77777777" w:rsidTr="00BA13DB">
        <w:trPr>
          <w:trHeight w:hRule="exact" w:val="574"/>
        </w:trPr>
        <w:tc>
          <w:tcPr>
            <w:tcW w:w="3229" w:type="dxa"/>
            <w:shd w:val="clear" w:color="auto" w:fill="C0C0C0"/>
          </w:tcPr>
          <w:p w14:paraId="235642D3" w14:textId="478E0D06" w:rsidR="00C61F48" w:rsidRPr="00D85099" w:rsidRDefault="00FE12FF" w:rsidP="00BA13DB">
            <w:pPr>
              <w:pStyle w:val="TableParagraph"/>
              <w:spacing w:line="243" w:lineRule="exact"/>
              <w:ind w:left="103" w:right="160"/>
              <w:rPr>
                <w:rFonts w:ascii="Garamond" w:hAnsi="Garamond"/>
                <w:sz w:val="20"/>
                <w:szCs w:val="20"/>
              </w:rPr>
            </w:pPr>
            <w:r>
              <w:rPr>
                <w:rFonts w:ascii="Garamond" w:hAnsi="Garamond"/>
                <w:sz w:val="20"/>
                <w:szCs w:val="20"/>
              </w:rPr>
              <w:t>30 m</w:t>
            </w:r>
            <w:r w:rsidR="00C61F48" w:rsidRPr="00D85099">
              <w:rPr>
                <w:rFonts w:ascii="Garamond" w:hAnsi="Garamond"/>
                <w:sz w:val="20"/>
                <w:szCs w:val="20"/>
              </w:rPr>
              <w:t>aj 2014</w:t>
            </w:r>
          </w:p>
        </w:tc>
        <w:tc>
          <w:tcPr>
            <w:tcW w:w="6015" w:type="dxa"/>
          </w:tcPr>
          <w:p w14:paraId="3F4E7078" w14:textId="77777777" w:rsidR="00C61F48" w:rsidRPr="00D85099" w:rsidRDefault="00C61F48" w:rsidP="00BA13DB">
            <w:pPr>
              <w:pStyle w:val="TableParagraph"/>
              <w:spacing w:line="276" w:lineRule="auto"/>
              <w:ind w:left="103" w:right="560"/>
              <w:rPr>
                <w:rFonts w:ascii="Garamond" w:hAnsi="Garamond"/>
                <w:sz w:val="20"/>
                <w:szCs w:val="20"/>
              </w:rPr>
            </w:pPr>
            <w:r w:rsidRPr="00D85099">
              <w:rPr>
                <w:rFonts w:ascii="Garamond" w:hAnsi="Garamond"/>
                <w:sz w:val="20"/>
                <w:szCs w:val="20"/>
              </w:rPr>
              <w:t>Dorëzimi i versionin përfundimtar të dokumentit të Programit tek Komisioni.</w:t>
            </w:r>
          </w:p>
        </w:tc>
      </w:tr>
    </w:tbl>
    <w:p w14:paraId="35884CC2" w14:textId="77777777" w:rsidR="00C61F48" w:rsidRDefault="00C61F48" w:rsidP="00C61F48">
      <w:pPr>
        <w:pStyle w:val="BodyText"/>
        <w:rPr>
          <w:rFonts w:ascii="Times New Roman"/>
          <w:sz w:val="20"/>
        </w:rPr>
      </w:pPr>
    </w:p>
    <w:p w14:paraId="0B39C29B" w14:textId="61E88215" w:rsidR="00C61F48" w:rsidRPr="00BA13DB" w:rsidRDefault="00C61F48" w:rsidP="00BA13DB">
      <w:pPr>
        <w:pStyle w:val="TEKSTI"/>
        <w:rPr>
          <w:b/>
          <w:sz w:val="16"/>
        </w:rPr>
      </w:pPr>
      <w:bookmarkStart w:id="9" w:name="_bookmark6"/>
      <w:bookmarkEnd w:id="9"/>
      <w:r w:rsidRPr="00BA13DB">
        <w:rPr>
          <w:b/>
        </w:rPr>
        <w:t>Seksioni 2: Zona e Programit</w:t>
      </w:r>
      <w:r w:rsidR="00977D53">
        <w:rPr>
          <w:rStyle w:val="FootnoteReference"/>
          <w:b/>
        </w:rPr>
        <w:footnoteReference w:id="9"/>
      </w:r>
    </w:p>
    <w:p w14:paraId="41EB6D2E" w14:textId="3DF1A608" w:rsidR="00C61F48" w:rsidRPr="00BA13DB" w:rsidRDefault="00BA13DB" w:rsidP="00BA13DB">
      <w:pPr>
        <w:pStyle w:val="TEKSTI"/>
        <w:rPr>
          <w:b/>
          <w:sz w:val="26"/>
        </w:rPr>
      </w:pPr>
      <w:bookmarkStart w:id="10" w:name="_bookmark7"/>
      <w:bookmarkEnd w:id="10"/>
      <w:r>
        <w:rPr>
          <w:b/>
          <w:sz w:val="26"/>
        </w:rPr>
        <w:t xml:space="preserve">2.1 </w:t>
      </w:r>
      <w:r w:rsidR="00C61F48" w:rsidRPr="00BA13DB">
        <w:rPr>
          <w:b/>
          <w:sz w:val="26"/>
        </w:rPr>
        <w:t>Analiza e</w:t>
      </w:r>
      <w:r w:rsidR="00C61F48" w:rsidRPr="00BA13DB">
        <w:rPr>
          <w:b/>
          <w:spacing w:val="-10"/>
          <w:sz w:val="26"/>
        </w:rPr>
        <w:t xml:space="preserve"> </w:t>
      </w:r>
      <w:r w:rsidR="00C61F48" w:rsidRPr="00BA13DB">
        <w:rPr>
          <w:b/>
          <w:sz w:val="26"/>
        </w:rPr>
        <w:t>Situatës</w:t>
      </w:r>
    </w:p>
    <w:p w14:paraId="7FC85260" w14:textId="1CF925BA" w:rsidR="00C61F48" w:rsidRDefault="00C61F48" w:rsidP="00BA13DB">
      <w:pPr>
        <w:pStyle w:val="TEKSTI"/>
      </w:pPr>
      <w:r>
        <w:t>Zona e programit për Programin Ndërkufitar midis Malit të Zi dhe Shqipërisë mbulon një territor prej 11,970 km</w:t>
      </w:r>
      <w:r>
        <w:rPr>
          <w:position w:val="10"/>
          <w:sz w:val="14"/>
        </w:rPr>
        <w:t xml:space="preserve">2 </w:t>
      </w:r>
      <w:r>
        <w:t>me një popullsi prej rreth 749.257 banorë. Territori në Mal të Zi përbën 52.1% kundrejt 47.9% në Shqipëri. Vija kufitare është 244 km, nga të cilat 38 km janë kufi ujor. Ka tre pika funksionale të kalimit kufitar ndërmjet Shqipërisë dhe Malit të Zi përgjatë kësaj vije kufitare. Zona e Programi në Mal të Zi mbulon komunat: Andrijevica, Berane, Plavë, Guci</w:t>
      </w:r>
      <w:r w:rsidR="00977D53">
        <w:rPr>
          <w:rStyle w:val="FootnoteReference"/>
        </w:rPr>
        <w:footnoteReference w:id="10"/>
      </w:r>
      <w:r>
        <w:t>, Petnjica</w:t>
      </w:r>
      <w:r w:rsidR="00977D53">
        <w:rPr>
          <w:rStyle w:val="FootnoteReference"/>
        </w:rPr>
        <w:footnoteReference w:id="11"/>
      </w:r>
      <w:r>
        <w:rPr>
          <w:position w:val="6"/>
          <w:sz w:val="16"/>
        </w:rPr>
        <w:t xml:space="preserve"> </w:t>
      </w:r>
      <w:r>
        <w:t>dhe Rozaje; Podgorica, kryeqyteti i Malit të Zi dhe Cetinjë, Danilovgrad, Budva, Tivar dhe Ulqin. Zona e Programit në Shqipëri përfshin rajonet e Shkodrës dhe të Lezhës, dhe rrethin e Tropojës</w:t>
      </w:r>
      <w:r w:rsidR="00977D53">
        <w:rPr>
          <w:rStyle w:val="FootnoteReference"/>
        </w:rPr>
        <w:footnoteReference w:id="12"/>
      </w:r>
      <w:r>
        <w:t>. Në përgjithësi, zona e programit përfshin 23 komuna dhe një total prej 1,144 vendbanimeve - qytete dhe</w:t>
      </w:r>
      <w:r>
        <w:rPr>
          <w:spacing w:val="-15"/>
        </w:rPr>
        <w:t xml:space="preserve"> </w:t>
      </w:r>
      <w:r>
        <w:t>fshatra.</w:t>
      </w:r>
    </w:p>
    <w:p w14:paraId="430D36D1" w14:textId="77777777" w:rsidR="00C61F48" w:rsidRDefault="00C61F48" w:rsidP="00BA13DB">
      <w:pPr>
        <w:pStyle w:val="TEKSTI"/>
        <w:rPr>
          <w:sz w:val="20"/>
        </w:rPr>
      </w:pPr>
    </w:p>
    <w:p w14:paraId="0162E488" w14:textId="77777777" w:rsidR="00C61F48" w:rsidRDefault="00C61F48" w:rsidP="00C61F48">
      <w:pPr>
        <w:pStyle w:val="BodyText"/>
        <w:spacing w:before="1"/>
        <w:rPr>
          <w:sz w:val="20"/>
        </w:rPr>
      </w:pPr>
    </w:p>
    <w:p w14:paraId="49E5EA4E" w14:textId="0B86F100" w:rsidR="00C61F48" w:rsidRDefault="00C61F48" w:rsidP="00977D53">
      <w:pPr>
        <w:pStyle w:val="BodyText"/>
        <w:ind w:left="140"/>
        <w:jc w:val="center"/>
        <w:rPr>
          <w:sz w:val="20"/>
        </w:rPr>
      </w:pPr>
      <w:r>
        <w:rPr>
          <w:noProof/>
          <w:sz w:val="20"/>
          <w:lang w:val="sq-AL" w:eastAsia="sq-AL"/>
        </w:rPr>
        <w:drawing>
          <wp:inline distT="0" distB="0" distL="0" distR="0" wp14:anchorId="037A9664" wp14:editId="7C27381D">
            <wp:extent cx="3630304" cy="4046117"/>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0392" cy="4046215"/>
                    </a:xfrm>
                    <a:prstGeom prst="rect">
                      <a:avLst/>
                    </a:prstGeom>
                    <a:noFill/>
                    <a:ln>
                      <a:noFill/>
                    </a:ln>
                  </pic:spPr>
                </pic:pic>
              </a:graphicData>
            </a:graphic>
          </wp:inline>
        </w:drawing>
      </w:r>
    </w:p>
    <w:p w14:paraId="145A9552" w14:textId="77777777" w:rsidR="00C61F48" w:rsidRDefault="00C61F48" w:rsidP="00C61F48">
      <w:pPr>
        <w:pStyle w:val="BodyText"/>
        <w:spacing w:before="7"/>
        <w:rPr>
          <w:sz w:val="15"/>
        </w:rPr>
      </w:pPr>
    </w:p>
    <w:p w14:paraId="721F27B4" w14:textId="77777777" w:rsidR="00C61F48" w:rsidRPr="00977D53" w:rsidRDefault="00C61F48" w:rsidP="00977D53">
      <w:pPr>
        <w:pStyle w:val="TEKSTI"/>
        <w:rPr>
          <w:b/>
        </w:rPr>
      </w:pPr>
      <w:bookmarkStart w:id="11" w:name="_bookmark8"/>
      <w:bookmarkEnd w:id="11"/>
      <w:r w:rsidRPr="00977D53">
        <w:rPr>
          <w:b/>
        </w:rPr>
        <w:t>Gjeografia</w:t>
      </w:r>
    </w:p>
    <w:p w14:paraId="16FED05A" w14:textId="3E94A537" w:rsidR="00C61F48" w:rsidRDefault="00C61F48" w:rsidP="00977D53">
      <w:pPr>
        <w:pStyle w:val="TEKSTI"/>
      </w:pPr>
      <w:r>
        <w:t xml:space="preserve">Zona e programit përmban disa parqe kombëtare, zona të mbrojtura dhe peizazhe që pasqyrojnë biodiversitet të pasur dhe dallimet mjedisore. Territori në Mal të Zi është i karakterizuar nga një profil gjeografik dhe klimatik i ndryshëm, i mbushur me vargje malore, fusha, lugina, lumenj, laguna dhe </w:t>
      </w:r>
      <w:r w:rsidR="004D5083">
        <w:t>liqene.</w:t>
      </w:r>
      <w:r w:rsidR="001D74D3">
        <w:t xml:space="preserve"> Pjesa </w:t>
      </w:r>
      <w:r>
        <w:t>kontinentale ose ve</w:t>
      </w:r>
      <w:r w:rsidR="001D74D3">
        <w:t xml:space="preserve">riore e rajonit është një </w:t>
      </w:r>
      <w:r>
        <w:t>zon</w:t>
      </w:r>
      <w:r w:rsidR="001D74D3">
        <w:t>ë malore. Majat malore</w:t>
      </w:r>
      <w:r w:rsidR="00977D53">
        <w:t xml:space="preserve"> arrijnë deri në </w:t>
      </w:r>
      <w:r>
        <w:t>2.500 m lartësi, dhe territori përshkohet nga lumenj, si l</w:t>
      </w:r>
      <w:r w:rsidR="001D74D3">
        <w:t xml:space="preserve">umi Lim, Morava dhe Tara, duke </w:t>
      </w:r>
      <w:r>
        <w:t xml:space="preserve">formuar kanione dhe lugina mbresëlënëse. Territori në </w:t>
      </w:r>
      <w:r>
        <w:rPr>
          <w:b/>
        </w:rPr>
        <w:t xml:space="preserve">Shqipëri </w:t>
      </w:r>
      <w:r>
        <w:t xml:space="preserve">paraqet kontraste të mprehta, pasi alternon male, kodra, lumenj, liqene dhe bregdet, shumë afër me njëri-tjetrin. Në këtë zonë ka lumenj të shumtë që kalojnë nëpër territor, të cilët shpesh shkaktojnë përmbytje gjatë stinëve me reshje. Zona shtrihet  nga malet e larta (Alpet Shqiptare) në pjesën veriore të saj në kufi me Malin e Zi, deri </w:t>
      </w:r>
      <w:r>
        <w:rPr>
          <w:spacing w:val="3"/>
        </w:rPr>
        <w:t xml:space="preserve">në </w:t>
      </w:r>
      <w:r>
        <w:t>bregdet (Velipojë dhe Shëngjin), në pjesën veri-perëndimore të Shqipërisë. Maja më e lartë është Jezerca me 2,694 m lartësi, në rajonin e Shkodrës, dhe ajo më e ulëta (-6m) ndodhet në rajonin e Lezhës. Zona e Programit ka klimë mesdhetare në zonën e saj bregdetare, me verë dhe vjeshtë të nxehtë dhe të thatë, dhe klimë kontinentale në zonën veriore malore të Shkodrës dhe Tropojës, me dimër  relativisht  të ftohtë dhe me reshje dëbore të rënda në brendësi. Elemente të tilla gjeografike me kontrast të lartë pasurojë</w:t>
      </w:r>
      <w:r>
        <w:rPr>
          <w:spacing w:val="13"/>
        </w:rPr>
        <w:t xml:space="preserve"> </w:t>
      </w:r>
      <w:r>
        <w:t>mjedisin,</w:t>
      </w:r>
      <w:r>
        <w:rPr>
          <w:spacing w:val="15"/>
        </w:rPr>
        <w:t xml:space="preserve"> </w:t>
      </w:r>
      <w:r>
        <w:t>florën</w:t>
      </w:r>
      <w:r>
        <w:rPr>
          <w:spacing w:val="14"/>
        </w:rPr>
        <w:t xml:space="preserve"> </w:t>
      </w:r>
      <w:r>
        <w:t>dhe</w:t>
      </w:r>
      <w:r>
        <w:rPr>
          <w:spacing w:val="15"/>
        </w:rPr>
        <w:t xml:space="preserve"> </w:t>
      </w:r>
      <w:r>
        <w:t>faunën</w:t>
      </w:r>
      <w:r>
        <w:rPr>
          <w:spacing w:val="14"/>
        </w:rPr>
        <w:t xml:space="preserve"> </w:t>
      </w:r>
      <w:r>
        <w:t>e</w:t>
      </w:r>
      <w:r>
        <w:rPr>
          <w:spacing w:val="13"/>
        </w:rPr>
        <w:t xml:space="preserve"> </w:t>
      </w:r>
      <w:r>
        <w:t>zonës</w:t>
      </w:r>
      <w:r>
        <w:rPr>
          <w:spacing w:val="15"/>
        </w:rPr>
        <w:t xml:space="preserve"> </w:t>
      </w:r>
      <w:r>
        <w:t>së</w:t>
      </w:r>
      <w:r>
        <w:rPr>
          <w:spacing w:val="15"/>
        </w:rPr>
        <w:t xml:space="preserve"> </w:t>
      </w:r>
      <w:r>
        <w:t>programit.</w:t>
      </w:r>
      <w:r>
        <w:rPr>
          <w:spacing w:val="12"/>
        </w:rPr>
        <w:t xml:space="preserve"> </w:t>
      </w:r>
      <w:r>
        <w:t>Burimet</w:t>
      </w:r>
      <w:r>
        <w:rPr>
          <w:spacing w:val="13"/>
        </w:rPr>
        <w:t xml:space="preserve"> </w:t>
      </w:r>
      <w:r>
        <w:t>e</w:t>
      </w:r>
      <w:r>
        <w:rPr>
          <w:spacing w:val="15"/>
        </w:rPr>
        <w:t xml:space="preserve"> </w:t>
      </w:r>
      <w:r>
        <w:t>saj</w:t>
      </w:r>
      <w:r>
        <w:rPr>
          <w:spacing w:val="12"/>
        </w:rPr>
        <w:t xml:space="preserve"> </w:t>
      </w:r>
      <w:r>
        <w:t>natyrore</w:t>
      </w:r>
      <w:r>
        <w:rPr>
          <w:spacing w:val="12"/>
        </w:rPr>
        <w:t xml:space="preserve"> </w:t>
      </w:r>
      <w:r>
        <w:t>janë</w:t>
      </w:r>
      <w:r>
        <w:rPr>
          <w:spacing w:val="15"/>
        </w:rPr>
        <w:t xml:space="preserve"> </w:t>
      </w:r>
      <w:r>
        <w:t>stimuluese</w:t>
      </w:r>
      <w:r>
        <w:rPr>
          <w:spacing w:val="15"/>
        </w:rPr>
        <w:t xml:space="preserve"> </w:t>
      </w:r>
      <w:r>
        <w:t>për</w:t>
      </w:r>
      <w:r w:rsidR="00977D53">
        <w:t xml:space="preserve"> </w:t>
      </w:r>
      <w:r>
        <w:t>zhvillimin e turizmit dhe agrobiznesit, si stimujt kryesorë ekonomikë për të rritur mundësitë për mirëqenien dhe prosperitetin e banorëve në zonën e programit.</w:t>
      </w:r>
    </w:p>
    <w:p w14:paraId="348347B8" w14:textId="77777777" w:rsidR="00C61F48" w:rsidRPr="00977D53" w:rsidRDefault="00C61F48" w:rsidP="00977D53">
      <w:pPr>
        <w:pStyle w:val="TEKSTI"/>
        <w:rPr>
          <w:b/>
        </w:rPr>
      </w:pPr>
      <w:bookmarkStart w:id="12" w:name="_bookmark9"/>
      <w:bookmarkEnd w:id="12"/>
      <w:r w:rsidRPr="00977D53">
        <w:rPr>
          <w:b/>
        </w:rPr>
        <w:t>Demografia</w:t>
      </w:r>
    </w:p>
    <w:p w14:paraId="2B631FC8" w14:textId="0DB64A9D" w:rsidR="00C61F48" w:rsidRDefault="00C61F48" w:rsidP="00977D53">
      <w:pPr>
        <w:pStyle w:val="TEKSTI"/>
      </w:pPr>
      <w: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 km</w:t>
      </w:r>
      <w:r>
        <w:rPr>
          <w:position w:val="10"/>
          <w:sz w:val="14"/>
        </w:rPr>
        <w:t xml:space="preserve">2 </w:t>
      </w:r>
      <w:r>
        <w:t>është më e lartë se mesatarja kombëtare prej 45 banorë/ km</w:t>
      </w:r>
      <w:r>
        <w:rPr>
          <w:position w:val="10"/>
          <w:sz w:val="14"/>
        </w:rPr>
        <w:t>2</w:t>
      </w:r>
      <w:r>
        <w:t>, ndërsa në Shqipëri është 59 banorë/ km</w:t>
      </w:r>
      <w:r>
        <w:rPr>
          <w:position w:val="10"/>
          <w:sz w:val="14"/>
        </w:rPr>
        <w:t>2</w:t>
      </w:r>
      <w:r>
        <w:t>, më e ulët në krahasim me mesataren kombëtare prej 97 banorë/ km</w:t>
      </w:r>
      <w:r>
        <w:rPr>
          <w:position w:val="10"/>
          <w:sz w:val="14"/>
        </w:rPr>
        <w:t>2</w:t>
      </w:r>
      <w:r>
        <w:t xml:space="preserve">. Zona e programit ka një normë natyrore rritje prej 1.87%, që është nën mesataren kombëtare prej 2.2%; Shkalla e vdekshmërisë qëndron në 9.4% e barabartë me mesataren kombëtare. Zona e programit në </w:t>
      </w:r>
      <w:r>
        <w:rPr>
          <w:b/>
        </w:rPr>
        <w:t xml:space="preserve">Mal të Zi </w:t>
      </w:r>
      <w:r>
        <w:t xml:space="preserve">ka një popullsi kryesisht urbane, duke zënë rreth 52% të popullsisë së saj, e cila është më e ulët, në krahasim me 62%  që jetojnë në zonat urbane në nivel kombëtar. Rreth 49% e popullsisë në zonën e programit është e përqendruar në Podgoricë. Në </w:t>
      </w:r>
      <w:r>
        <w:rPr>
          <w:b/>
        </w:rPr>
        <w:t xml:space="preserve">Shqipëri </w:t>
      </w:r>
      <w:r>
        <w:t>numri i përgjithshëm i popullsisë që jeton në zonën e programit është 369,891</w:t>
      </w:r>
      <w:r w:rsidR="001D74D3">
        <w:rPr>
          <w:rStyle w:val="FootnoteReference"/>
        </w:rPr>
        <w:footnoteReference w:id="13"/>
      </w:r>
      <w:r>
        <w:rPr>
          <w:rFonts w:ascii="Cambria" w:hAnsi="Cambria"/>
          <w:position w:val="6"/>
          <w:sz w:val="16"/>
        </w:rPr>
        <w:t xml:space="preserve"> </w:t>
      </w:r>
      <w:r>
        <w:t>banorë, ose rreth 13.2% e popullsisë së përgjithshme të vendit. Rajoni i Shkodrës është rajoni i gjashtë më i madh i vendit me një popullsi prej 215,347 banorë, ose rreth 7.6% e popullsisë së përgjithshme, e ndjekur nga Lezha e cila renditet e dhjeta mes rajoneve të vendit, që numëron një total prej 134,027 banorë apo 4.7% të popullsisë së përgjithshme të Shqipërisë. Rrethi i Tropojës regjistron  një popullsi totale prej 20,517 banorë, e cila përbën 0.07% të popullsisë së përgjithshme të Shqipërisë. Popullsia është kryesisht rurale, me një mesatare prej 53.2%. Këtë mesatare e përcakton rajoni i Shkodrës, pasi popullsia rurale është 55.6% e 119,794 banorëve të tij. Në të kundërt, rajoni i Lezhës ka një dominim të popullsisë urbane, me rreth 53.8% të popullsisë. Rrethi i Tropojës ka një popullsi kryesisht rurale, e cila përbën rreth 74% të popullsisë së tij. Përbërja e popullsisë në zonën e  programimit të të dyja vendeve tregon se 50% e popullsisë i takon segmentit moshor 15-49</w:t>
      </w:r>
      <w:r>
        <w:rPr>
          <w:spacing w:val="-33"/>
        </w:rPr>
        <w:t xml:space="preserve"> </w:t>
      </w:r>
      <w:r>
        <w:t>vjeç.</w:t>
      </w:r>
    </w:p>
    <w:p w14:paraId="33AA8528" w14:textId="77777777" w:rsidR="00C61F48" w:rsidRPr="00977D53" w:rsidRDefault="00C61F48" w:rsidP="00977D53">
      <w:pPr>
        <w:pStyle w:val="TEKSTI"/>
        <w:rPr>
          <w:b/>
        </w:rPr>
      </w:pPr>
      <w:bookmarkStart w:id="13" w:name="_bookmark10"/>
      <w:bookmarkEnd w:id="13"/>
      <w:r w:rsidRPr="00977D53">
        <w:rPr>
          <w:b/>
        </w:rPr>
        <w:t>Varfëria</w:t>
      </w:r>
    </w:p>
    <w:p w14:paraId="2FC31956" w14:textId="4BAE0AE8" w:rsidR="00C61F48" w:rsidRDefault="00C61F48" w:rsidP="00977D53">
      <w:pPr>
        <w:pStyle w:val="TEKSTI"/>
      </w:pPr>
      <w:r>
        <w:t xml:space="preserve">Vulnerabiliteti i popullsisë së </w:t>
      </w:r>
      <w:r>
        <w:rPr>
          <w:b/>
        </w:rPr>
        <w:t xml:space="preserve">Malit të Zi </w:t>
      </w:r>
      <w:r>
        <w:t>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 2011</w:t>
      </w:r>
      <w:r w:rsidR="001D74D3">
        <w:rPr>
          <w:rStyle w:val="FootnoteReference"/>
        </w:rPr>
        <w:footnoteReference w:id="14"/>
      </w:r>
      <w:r>
        <w:t xml:space="preserve">. Vulnerabiliteti i popullsisë së </w:t>
      </w:r>
      <w:r>
        <w:rPr>
          <w:b/>
        </w:rPr>
        <w:t xml:space="preserve">Shqipërisë </w:t>
      </w:r>
      <w:r>
        <w:t>u rrit në vitin 2012; numri i regjistruar i personave nën vijën e varfërisë u rrit me 8.4%. Varfëria ekstreme ka arritur në 2.2% në vitin 2012, kundrejt 1.2% të regjistruar në vitin 2008. Rajonet në zonën e programit janë më të varfër në krahasim me mesataren kombëtare të shkallës së varfërisë prej 14.3%. Qarku i Lezhës regjistron një normë varfërie 17.5%, ndërsa qarku i Shkodrës është pak më mirë, me një normë varfërie 15.7%. Rrethi i Tropojës i përket rajonit më të varfër të Shqipërisë, Kukësit, me një normë varfërie 21.8%. Varfëria është bërë një shqetësim urban, duke treguar një ecuri të ngadaltë të ekonomisë gjatë viteve të fundit, ndërsa ripërtëritja e potencialit urban tashmë të ezauruar, është bërë e domosdoshme për të sjellë rritjen ekonomike.</w:t>
      </w:r>
    </w:p>
    <w:p w14:paraId="2CB4F610" w14:textId="77777777" w:rsidR="00C61F48" w:rsidRPr="001D74D3" w:rsidRDefault="00C61F48" w:rsidP="001D74D3">
      <w:pPr>
        <w:pStyle w:val="TEKSTI"/>
        <w:rPr>
          <w:b/>
        </w:rPr>
      </w:pPr>
      <w:bookmarkStart w:id="14" w:name="_bookmark11"/>
      <w:bookmarkEnd w:id="14"/>
      <w:r w:rsidRPr="001D74D3">
        <w:rPr>
          <w:b/>
        </w:rPr>
        <w:t>Ekonomia</w:t>
      </w:r>
    </w:p>
    <w:p w14:paraId="3550872D" w14:textId="77777777" w:rsidR="00C61F48" w:rsidRDefault="00C61F48" w:rsidP="001D74D3">
      <w:pPr>
        <w:pStyle w:val="TEKSTI"/>
      </w:pPr>
      <w:r>
        <w:t xml:space="preserve">Zona e programit përmban të gjitha pabarazitë rajonale </w:t>
      </w:r>
      <w:r>
        <w:rPr>
          <w:spacing w:val="2"/>
        </w:rPr>
        <w:t xml:space="preserve">të </w:t>
      </w:r>
      <w:r>
        <w:t xml:space="preserve">hasura në </w:t>
      </w:r>
      <w:r>
        <w:rPr>
          <w:b/>
        </w:rPr>
        <w:t>Mal të Zi</w:t>
      </w:r>
      <w:r>
        <w:t>, në aspektin e zhvillimeve social-ekonomike. Ashtu si në nivel kombëtar, ajo është e dominuar nga Podgorica, e cila është motori ekonomik i vendit. Çdo bashki e zonës së programit është nën mesataren kombëtare, me bashkinë e Plavës në krye, e cila është më pak e zhvilluara në vend. Ndryshe nga Budva, e cila ka indeksin më të  lartë të zhvillimit në Mal të Zi me 362.4, dy bashkitë e tjera bregdetare të zonës së programit Tivari dhe Ulqini, janë nën mesataren</w:t>
      </w:r>
      <w:r>
        <w:rPr>
          <w:spacing w:val="-9"/>
        </w:rPr>
        <w:t xml:space="preserve"> </w:t>
      </w:r>
      <w:r>
        <w:t>kombëtare.</w:t>
      </w:r>
    </w:p>
    <w:p w14:paraId="6D5E8823" w14:textId="2C1451E3" w:rsidR="00C61F48" w:rsidRDefault="00C61F48" w:rsidP="001D74D3">
      <w:pPr>
        <w:pStyle w:val="TEKSTI"/>
      </w:pPr>
      <w:r>
        <w:t xml:space="preserve">Edhe në </w:t>
      </w:r>
      <w:r>
        <w:rPr>
          <w:b/>
        </w:rPr>
        <w:t>Shqipëri</w:t>
      </w:r>
      <w:r>
        <w:t>, pabarazitë rajonale janë shumë të dukshme. Zhvillimi social-ekonomik i vendit anon rëndë në favor të rajonit qendror. Shkodra është rajoni më i zhvilluar në zonën e programit të Shqipërisë. Kontributi i Qarkut të Shkodrës në GDP arriti në 555 milion Euro në vitin 2011</w:t>
      </w:r>
      <w:r>
        <w:rPr>
          <w:position w:val="6"/>
          <w:sz w:val="16"/>
        </w:rPr>
        <w:t>7</w:t>
      </w:r>
      <w:r>
        <w:t>, e barabartë me 6.1% të GDP totale të shtetit, duke u radhitur e shtata ndër 12 qarqet e Shqipërisë. Kontribuuesi kryesor në aktivitetin ekonomik të rajonit është bujqësia, e cila përbën rreth 26% të kontributit të GDP- së, e pasuar nga tregtia, hotelet, transporti dhe komunikacioni me 23%, sektori financiar dhe ai  i pasurive të patundshme me 19%, industria me 11%, dhe ndërtimi me 8%. GDP e rajonit të Lezhës për vitin 2011 arrin 3.7% të GDP-së së vendit</w:t>
      </w:r>
      <w:r w:rsidR="008F0849">
        <w:rPr>
          <w:rStyle w:val="FootnoteReference"/>
        </w:rPr>
        <w:footnoteReference w:id="15"/>
      </w:r>
      <w:r>
        <w:t>. Kontribuuesit kryesorë në GDP-në e rajonit të Lezhës janë tregtia, hotelet, transporti dhe komunikacioni me 26%, sektori i bujqësisë me 25%, sektorët financiarë dhe të pasurive të patundshme me 19%, ndërtimi me 10%, ndërkohë që industria është kontribuuesi më i vogël me 8%. Kontributi i rajonit të Kukësit në GDP-në e Shqipërisë, ku Tropoja përbën rreth 24% të popullsisë, është më i ulëti në vend, me vetëm 2.4%; sektorët më të rëndësishëm janë bujqësia, e cila është përgjegjëse për 34%, dhe tregtia, hotelet dhe turizmi me</w:t>
      </w:r>
      <w:r>
        <w:rPr>
          <w:spacing w:val="-16"/>
        </w:rPr>
        <w:t xml:space="preserve"> </w:t>
      </w:r>
      <w:r>
        <w:t>20%.</w:t>
      </w:r>
    </w:p>
    <w:p w14:paraId="4321CB1B" w14:textId="77777777" w:rsidR="00C61F48" w:rsidRPr="001D74D3" w:rsidRDefault="00C61F48" w:rsidP="001D74D3">
      <w:pPr>
        <w:pStyle w:val="TEKSTI"/>
        <w:rPr>
          <w:b/>
        </w:rPr>
      </w:pPr>
      <w:bookmarkStart w:id="15" w:name="_bookmark12"/>
      <w:bookmarkEnd w:id="15"/>
      <w:r w:rsidRPr="001D74D3">
        <w:rPr>
          <w:b/>
        </w:rPr>
        <w:t>Sektori Privat</w:t>
      </w:r>
    </w:p>
    <w:p w14:paraId="0279B237" w14:textId="77777777" w:rsidR="00C61F48" w:rsidRDefault="00C61F48" w:rsidP="001D74D3">
      <w:pPr>
        <w:pStyle w:val="TEKSTI"/>
      </w:pPr>
      <w:r>
        <w:t xml:space="preserve">Struktura e operatorëve ekonomikë në zonën e programimit është e dominuar nga ndërmarrjet e vogla dhe të mesme (NVM). NVM-të në Mal të Zi përbëjnë 98.6% të numrit të përgjithshëm të operatorëve ekonomikë, ndërsa në Shqipëri ato përbëjnë 95.4% të totalit. Shumica e NVM-ve në të dyja anët e kufirit operojnë në sektorin e shërbimeve. Shumica e operatorëve ekonomik të </w:t>
      </w:r>
      <w:r>
        <w:rPr>
          <w:b/>
        </w:rPr>
        <w:t xml:space="preserve">Malit të Zi </w:t>
      </w:r>
      <w:r>
        <w:t>janë të përqendruar në zonën e programit, duke përbërë 67.3% të numrit të përgjithshëm të ndërmarrjeve në nivel kombëtar. Rreth 49.2% e këtyre NVM-ve janë të vendosura në Podgoricë, duke treguar kështu pabarazitë e zhvillimit</w:t>
      </w:r>
      <w:r>
        <w:rPr>
          <w:spacing w:val="-11"/>
        </w:rPr>
        <w:t xml:space="preserve"> </w:t>
      </w:r>
      <w:r>
        <w:t>rajonal.</w:t>
      </w:r>
    </w:p>
    <w:p w14:paraId="4C90823A" w14:textId="77777777" w:rsidR="001D74D3" w:rsidRDefault="00C61F48" w:rsidP="001D74D3">
      <w:pPr>
        <w:pStyle w:val="TEKSTI"/>
      </w:pPr>
      <w:r>
        <w:t xml:space="preserve">Grafiku 1. NVM-të sipas sektorëve kryesorë ekonomikë në zonën e programit </w:t>
      </w:r>
    </w:p>
    <w:p w14:paraId="11B68E92" w14:textId="05029FCB" w:rsidR="00C61F48" w:rsidRDefault="00C61F48" w:rsidP="001D74D3">
      <w:pPr>
        <w:pStyle w:val="TEKSTI"/>
      </w:pPr>
      <w:r>
        <w:tab/>
      </w:r>
    </w:p>
    <w:p w14:paraId="23883F6D" w14:textId="77777777" w:rsidR="00C61F48" w:rsidRDefault="00C61F48" w:rsidP="00F77BDC">
      <w:pPr>
        <w:pStyle w:val="TEKSTI"/>
      </w:pPr>
    </w:p>
    <w:p w14:paraId="3CF5EE8C" w14:textId="77777777" w:rsidR="00C61F48" w:rsidRDefault="00C61F48" w:rsidP="00F77BDC">
      <w:pPr>
        <w:pStyle w:val="TEKSTI"/>
      </w:pPr>
    </w:p>
    <w:p w14:paraId="41CD424F" w14:textId="77777777" w:rsidR="00C61F48" w:rsidRDefault="00C61F48" w:rsidP="00F77BDC">
      <w:pPr>
        <w:pStyle w:val="TEKSTI"/>
      </w:pPr>
    </w:p>
    <w:p w14:paraId="7A75952E" w14:textId="77777777" w:rsidR="00C61F48" w:rsidRDefault="00C61F48" w:rsidP="00F77BDC">
      <w:pPr>
        <w:pStyle w:val="TEKSTI"/>
      </w:pPr>
    </w:p>
    <w:tbl>
      <w:tblPr>
        <w:tblStyle w:val="TableGrid"/>
        <w:tblW w:w="0" w:type="auto"/>
        <w:tblLook w:val="04A0" w:firstRow="1" w:lastRow="0" w:firstColumn="1" w:lastColumn="0" w:noHBand="0" w:noVBand="1"/>
      </w:tblPr>
      <w:tblGrid>
        <w:gridCol w:w="4705"/>
        <w:gridCol w:w="4582"/>
      </w:tblGrid>
      <w:tr w:rsidR="00F77BDC" w14:paraId="6F47CF60" w14:textId="77777777" w:rsidTr="00F77BDC">
        <w:trPr>
          <w:trHeight w:val="3395"/>
        </w:trPr>
        <w:tc>
          <w:tcPr>
            <w:tcW w:w="4928" w:type="dxa"/>
          </w:tcPr>
          <w:p w14:paraId="3366F278" w14:textId="7C22E7D6" w:rsidR="00F77BDC" w:rsidRDefault="00F77BDC" w:rsidP="00F77BDC">
            <w:pPr>
              <w:pStyle w:val="TEKSTI"/>
              <w:ind w:firstLine="0"/>
              <w:rPr>
                <w:rFonts w:ascii="Arial Narrow"/>
                <w:noProof/>
                <w:sz w:val="20"/>
                <w:lang w:eastAsia="sq-AL"/>
              </w:rPr>
            </w:pPr>
            <w:r>
              <w:t>Mal</w:t>
            </w:r>
            <w:r>
              <w:rPr>
                <w:spacing w:val="-2"/>
              </w:rPr>
              <w:t xml:space="preserve"> </w:t>
            </w:r>
            <w:r>
              <w:t>i</w:t>
            </w:r>
            <w:r>
              <w:rPr>
                <w:spacing w:val="-2"/>
              </w:rPr>
              <w:t xml:space="preserve"> </w:t>
            </w:r>
            <w:r>
              <w:t>Zi</w:t>
            </w:r>
          </w:p>
          <w:p w14:paraId="4BAA23C7" w14:textId="0F70ACB4" w:rsidR="00F77BDC" w:rsidRDefault="00F77BDC" w:rsidP="00F77BDC">
            <w:pPr>
              <w:pStyle w:val="TEKSTI"/>
              <w:ind w:firstLine="0"/>
            </w:pPr>
            <w:r>
              <w:rPr>
                <w:rFonts w:ascii="Arial Narrow"/>
                <w:noProof/>
                <w:sz w:val="20"/>
                <w:lang w:eastAsia="sq-AL"/>
              </w:rPr>
              <w:drawing>
                <wp:inline distT="0" distB="0" distL="0" distR="0" wp14:anchorId="709E3753" wp14:editId="67FB6E56">
                  <wp:extent cx="2918764" cy="189463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rotWithShape="1">
                          <a:blip r:embed="rId16">
                            <a:extLst>
                              <a:ext uri="{28A0092B-C50C-407E-A947-70E740481C1C}">
                                <a14:useLocalDpi xmlns:a14="http://schemas.microsoft.com/office/drawing/2010/main" val="0"/>
                              </a:ext>
                            </a:extLst>
                          </a:blip>
                          <a:srcRect t="-3867" b="3735"/>
                          <a:stretch/>
                        </pic:blipFill>
                        <pic:spPr bwMode="auto">
                          <a:xfrm>
                            <a:off x="0" y="0"/>
                            <a:ext cx="2929755" cy="19017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8" w:type="dxa"/>
          </w:tcPr>
          <w:p w14:paraId="50B8E046" w14:textId="77777777" w:rsidR="00F77BDC" w:rsidRDefault="00F77BDC" w:rsidP="00F77BDC">
            <w:pPr>
              <w:pStyle w:val="TEKSTI"/>
            </w:pPr>
            <w:r>
              <w:t>Shqipëri</w:t>
            </w:r>
          </w:p>
          <w:p w14:paraId="3DABA9A6" w14:textId="77777777" w:rsidR="00F77BDC" w:rsidRDefault="00F77BDC" w:rsidP="00F77BDC">
            <w:pPr>
              <w:pStyle w:val="TEKSTI"/>
              <w:ind w:firstLine="0"/>
              <w:rPr>
                <w:rFonts w:ascii="Arial Narrow"/>
                <w:noProof/>
                <w:sz w:val="20"/>
                <w:lang w:eastAsia="sq-AL"/>
              </w:rPr>
            </w:pPr>
          </w:p>
          <w:p w14:paraId="592B5AD0" w14:textId="7D9829EE" w:rsidR="00F77BDC" w:rsidRDefault="00F77BDC" w:rsidP="00F77BDC">
            <w:pPr>
              <w:pStyle w:val="TEKSTI"/>
              <w:ind w:firstLine="0"/>
            </w:pPr>
            <w:r>
              <w:rPr>
                <w:rFonts w:ascii="Arial Narrow"/>
                <w:noProof/>
                <w:sz w:val="20"/>
                <w:lang w:eastAsia="sq-AL"/>
              </w:rPr>
              <w:drawing>
                <wp:inline distT="0" distB="0" distL="0" distR="0" wp14:anchorId="518D8D7D" wp14:editId="4492CB87">
                  <wp:extent cx="2830983" cy="1748333"/>
                  <wp:effectExtent l="0" t="0" r="762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8638" cy="1746885"/>
                          </a:xfrm>
                          <a:prstGeom prst="rect">
                            <a:avLst/>
                          </a:prstGeom>
                          <a:noFill/>
                          <a:ln>
                            <a:noFill/>
                          </a:ln>
                        </pic:spPr>
                      </pic:pic>
                    </a:graphicData>
                  </a:graphic>
                </wp:inline>
              </w:drawing>
            </w:r>
          </w:p>
        </w:tc>
      </w:tr>
    </w:tbl>
    <w:p w14:paraId="0BE906AB" w14:textId="77777777" w:rsidR="00C61F48" w:rsidRDefault="00C61F48" w:rsidP="00F77BDC">
      <w:pPr>
        <w:pStyle w:val="TEKSTI"/>
      </w:pPr>
    </w:p>
    <w:p w14:paraId="307A32CA" w14:textId="1A484CD3" w:rsidR="00C61F48" w:rsidRDefault="00C61F48" w:rsidP="00125348">
      <w:pPr>
        <w:pStyle w:val="TEKSTI"/>
      </w:pPr>
      <w:r>
        <w:t xml:space="preserve">Në </w:t>
      </w:r>
      <w:r>
        <w:rPr>
          <w:b/>
        </w:rPr>
        <w:t xml:space="preserve">Shqipëri, </w:t>
      </w:r>
      <w:r>
        <w:t>zona e programit regjistron një total prej 10,174 ndërmarrjesh</w:t>
      </w:r>
      <w:r w:rsidR="00125348">
        <w:rPr>
          <w:rStyle w:val="FootnoteReference"/>
        </w:rPr>
        <w:footnoteReference w:id="16"/>
      </w:r>
      <w:r>
        <w:rPr>
          <w:position w:val="6"/>
          <w:sz w:val="16"/>
        </w:rPr>
        <w:t xml:space="preserve"> </w:t>
      </w:r>
      <w:r>
        <w:t>në fund të vitit 2012, ose rreth 9.7% të numrit të përgjithshëm të ndërmarrjeve të vendit. Ajo ka një shkallë lindje</w:t>
      </w:r>
      <w:r w:rsidR="00125348">
        <w:rPr>
          <w:rStyle w:val="FootnoteReference"/>
        </w:rPr>
        <w:footnoteReference w:id="17"/>
      </w:r>
      <w:r>
        <w:rPr>
          <w:position w:val="6"/>
          <w:sz w:val="16"/>
        </w:rPr>
        <w:t xml:space="preserve"> </w:t>
      </w:r>
      <w:r>
        <w:t>prej 13%, më  e lartë në krahasim me mesataren kombëtare prej 12.2%, ndikuar kryesisht nga Shkodra, e cila me  14.4% tregon një zhvillim relativisht më të lartë të aktivitetit ekonomik, në të kundërt me rajonin e Lezhës dhe rrethin e Tropojës me 10.8%. Struktura e ndërmarrjeve është e dominuar nga ndërmarrjet shumë të vogla, me 1-4 persona të punësuar, të cilat përbëjnë 85.7% të totalit të ndërmarrjeve në fushën e programit. Përveç madhësisë së vogël të ndërmarrjeve, një faktor i rëndësishëm, i cili është një pengesë për zhvillimin ekonomik në zonën e programit në të dy anët e kufirit, është mungesa e njohurive teknologjike dhe aftësive të punës. Kjo mbetet një sfidë kryesore, pasi kërkesave të tregut për shërbime dhe produkte të cilësisë së lartë, nuk mund t’iu përgjigjen aftësitë joadekuate të punës. Një tjetër sfidë kryesore është aksesi i ulët i NVM-ve në financim; politikat tepër të kujdesshme të kreditimit të miratuara nga institucionet financiare në të dyja vendet, janë një pengesë serioze në rritjen e ndërmarrjeve në fushën e</w:t>
      </w:r>
      <w:r>
        <w:rPr>
          <w:spacing w:val="-11"/>
        </w:rPr>
        <w:t xml:space="preserve"> </w:t>
      </w:r>
      <w:r>
        <w:t>programit.</w:t>
      </w:r>
    </w:p>
    <w:p w14:paraId="755D1F91" w14:textId="77777777" w:rsidR="00C61F48" w:rsidRPr="00125348" w:rsidRDefault="00C61F48" w:rsidP="00125348">
      <w:pPr>
        <w:pStyle w:val="TEKSTI"/>
        <w:rPr>
          <w:b/>
        </w:rPr>
      </w:pPr>
      <w:bookmarkStart w:id="16" w:name="_bookmark13"/>
      <w:bookmarkEnd w:id="16"/>
      <w:r w:rsidRPr="00125348">
        <w:rPr>
          <w:b/>
        </w:rPr>
        <w:t>Bujqësia dhe Zhvillimi Rural</w:t>
      </w:r>
    </w:p>
    <w:p w14:paraId="1090EA1A" w14:textId="77777777" w:rsidR="00C61F48" w:rsidRDefault="00C61F48" w:rsidP="00125348">
      <w:pPr>
        <w:pStyle w:val="TEKSTI"/>
      </w:pPr>
      <w:r>
        <w:t xml:space="preserve">Pjesa Malazeze e zonës së programit është më e pasur në burime bujqësore dhe ka më shumë potencial në këtë sektor në krahasim me pjesën e Shqipërisë. Megjithatë, sektori i bujqësisë dhe zhvillimi i tij  është po aq i rëndësishëm për të gjithë zonën e programit, veçanërisht për shkak të pjesës së madhe të popullsisë që jeton në zonën rurale, ku bujqësia është aktiviteti kryesor ekonomik. Një tipar i përbashkët në zonën e programit është produktiviteti dhe konkurrenca e ulët në fushën e bujqësisë. Ai vjen si  pasojë e: fermave të vogla të cilat kanë prodhim dhe fitim të kufizuar; prodhimit kryesisht për të mbuluar nevojat e jetesës, sesa për shitje direkte në tregjet e gjelbra; nivelit </w:t>
      </w:r>
      <w:r>
        <w:rPr>
          <w:spacing w:val="2"/>
        </w:rPr>
        <w:t xml:space="preserve">të </w:t>
      </w:r>
      <w:r>
        <w:t>ulët të finalizimit të produkteve bujqësore dhe industrisë ushqimore të</w:t>
      </w:r>
      <w:r>
        <w:rPr>
          <w:spacing w:val="-22"/>
        </w:rPr>
        <w:t xml:space="preserve"> </w:t>
      </w:r>
      <w:r>
        <w:t>pazhvilluar.</w:t>
      </w:r>
    </w:p>
    <w:p w14:paraId="638CD097" w14:textId="48DD7D7D" w:rsidR="00C61F48" w:rsidRDefault="00C61F48" w:rsidP="00B6550F">
      <w:pPr>
        <w:pStyle w:val="TEKSTI"/>
      </w:pPr>
      <w:r>
        <w:t xml:space="preserve">Zona e programit mbulon rreth 38% të totalit të tokës bujqësore të </w:t>
      </w:r>
      <w:r>
        <w:rPr>
          <w:b/>
        </w:rPr>
        <w:t xml:space="preserve">Malit të Zi. </w:t>
      </w:r>
      <w:r>
        <w:t>Punësimi në bujqësi është raportuar të jetë rreth 2.5% e totalit të të punësuarve</w:t>
      </w:r>
      <w:r w:rsidR="00B6550F">
        <w:rPr>
          <w:rStyle w:val="FootnoteReference"/>
        </w:rPr>
        <w:footnoteReference w:id="18"/>
      </w:r>
      <w:r>
        <w:t>, Podgorica është rajoni kryesor fushor në Mal të Zi - vetëm ajo zë rreth 31.5% të tokës bujqësore në zonën e programit. Ajo ofron kushte</w:t>
      </w:r>
      <w:r>
        <w:rPr>
          <w:spacing w:val="27"/>
        </w:rPr>
        <w:t xml:space="preserve"> </w:t>
      </w:r>
      <w:r w:rsidR="00B6550F">
        <w:t xml:space="preserve">optimale </w:t>
      </w:r>
      <w:r>
        <w:t>për prodhim të larmishëm: perime, prodhimin e drithërave, blegtori, fruta dhe verë. Vera, e cila është produkti kryesor Malazez i orientuar drejt eksportit, prodhohet në Podgoricë - rreth 80% e prodhimit të përgjithshëm të verës në vend.</w:t>
      </w:r>
    </w:p>
    <w:p w14:paraId="2C2B2EBD" w14:textId="7A18800E" w:rsidR="00C61F48" w:rsidRDefault="00C61F48" w:rsidP="00B6550F">
      <w:pPr>
        <w:pStyle w:val="TEKSTI"/>
      </w:pPr>
      <w:r>
        <w:t xml:space="preserve">Zona e programit në </w:t>
      </w:r>
      <w:r>
        <w:rPr>
          <w:b/>
        </w:rPr>
        <w:t xml:space="preserve">Shqipëri </w:t>
      </w:r>
      <w:r>
        <w:t>mbulon rreth 13.3% të totalit të tokës bujqësore të vendit</w:t>
      </w:r>
      <w:r w:rsidR="00A13DF7">
        <w:rPr>
          <w:rStyle w:val="FootnoteReference"/>
        </w:rPr>
        <w:footnoteReference w:id="19"/>
      </w:r>
      <w:r>
        <w:t>. Shumica e territorit të saj është e dominuar nga pyjet, kullotat (85.2%),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ndërsa bujqësia në  rrethin  e Tropojës është e orientuar kryesisht drejt prodhimit të thekrës.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14:paraId="71A0520A" w14:textId="77777777" w:rsidR="00C61F48" w:rsidRPr="00B6550F" w:rsidRDefault="00C61F48" w:rsidP="00B6550F">
      <w:pPr>
        <w:pStyle w:val="TEKSTI"/>
        <w:rPr>
          <w:b/>
        </w:rPr>
      </w:pPr>
      <w:bookmarkStart w:id="17" w:name="_bookmark14"/>
      <w:bookmarkEnd w:id="17"/>
      <w:r w:rsidRPr="00B6550F">
        <w:rPr>
          <w:b/>
        </w:rPr>
        <w:t>Turizmi</w:t>
      </w:r>
    </w:p>
    <w:p w14:paraId="2E78329C" w14:textId="6673AB6E" w:rsidR="00C61F48" w:rsidRDefault="00C61F48" w:rsidP="00B6550F">
      <w:pPr>
        <w:pStyle w:val="TEKSTI"/>
      </w:pPr>
      <w:r>
        <w:t xml:space="preserve">Rëndësia e turizmit është e ndryshme për ekonomitë e Malit të Zi dhe Shqipërisë. Mali i Zi është tashmë një destinacion i popullarizuar turistik, ndërsa Shqipëria ka ende shumë për të bërë, për tu bërë një destinacion i tillë. Në </w:t>
      </w:r>
      <w:r>
        <w:rPr>
          <w:b/>
        </w:rPr>
        <w:t>Mal të Zi</w:t>
      </w:r>
      <w:r>
        <w:t>, turizmi është një sektor kryesor i ekonomisë, i cili përbën rreth 9.9% të GDP-së së vendit në vitin 2012, ose rreth 336 milion Euro, që është 20.7% më i lartë se në vitin 2011</w:t>
      </w:r>
      <w:r w:rsidR="00A13DF7">
        <w:rPr>
          <w:rStyle w:val="FootnoteReference"/>
        </w:rPr>
        <w:footnoteReference w:id="20"/>
      </w:r>
      <w:r>
        <w:t>. Rajoni bregdetar në zonën e programit përbën më shumë se 69% të totalit të qëndrimeve me fjetje në vend në vitin 2012</w:t>
      </w:r>
      <w:r w:rsidR="00A13DF7">
        <w:rPr>
          <w:rStyle w:val="FootnoteReference"/>
        </w:rPr>
        <w:footnoteReference w:id="21"/>
      </w:r>
      <w:r>
        <w:t>, kryesisht në periudhën e pushimeve Korrik-Gusht. Bregdeti i zonës së programit tërhoqi rreth 67.5% të totalit prej 1,44 milionë turistë që hynë në Malin e Zi në vitin 2012. 160 objekte akomoduese bregdetare që gjenden në zonën e programit përbëjnë rreth 49% të totalit të mjediseve akomoduese në Mal të Zi, ndërsa në zonën e programit ndodhen edhe rreth 30% e objekteve akomoduese të zonave jo-bregdetare të vendit. Pavarësisht nivelit aktual të ulët të vizitave turistike, rajoni kontinental ka përparësi të shumta për zhvillimin e të gjitha llojeve të turizmit të lidhura me sportet malore (ski, ecje, çiklizëm, rafting etj.), duke përmendur natyrën e paprekur dhe biodiversitetin e pasur (dy parqe kombëtare, liqene, kanione, etj.), jetën autentike rurale, dhe prodhimin tradicional dhe cilësor të ushqimit.</w:t>
      </w:r>
    </w:p>
    <w:p w14:paraId="5C3229A9" w14:textId="77777777" w:rsidR="00C61F48" w:rsidRDefault="00C61F48" w:rsidP="00A13DF7">
      <w:pPr>
        <w:pStyle w:val="TEKSTI"/>
      </w:pPr>
      <w:r>
        <w:t>Sektori i turizmit është më pak i rëndësishëm në pjesën shqiptare të zonës së programit (edhe pse ai ka një potencial të madh), në krahasim me anën malazeze. Specifikisht, rajonet e Shkodrës dhe Lezhës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 etj.); agro-turizmi, vendet me interes historik dhe kulturor, të tilla si vendet parahistorike</w:t>
      </w:r>
    </w:p>
    <w:p w14:paraId="6D6C61EE" w14:textId="77777777" w:rsidR="00C61F48" w:rsidRDefault="00C61F48" w:rsidP="00A13DF7">
      <w:pPr>
        <w:pStyle w:val="TEKSTI"/>
      </w:pPr>
      <w:r>
        <w:t>të banuara, qendrat arkeologjike, objektet e kultit, duhet të promovohen më mirë për një zhvillim më të shpejtë të turizmit në bregdetin e Shkodrës (Velipojë), dhe kryesisht në Lezhë (Shëngjin).</w:t>
      </w:r>
    </w:p>
    <w:p w14:paraId="015ADB5E" w14:textId="77777777" w:rsidR="00C61F48" w:rsidRPr="00A13DF7" w:rsidRDefault="00C61F48" w:rsidP="00A13DF7">
      <w:pPr>
        <w:pStyle w:val="TEKSTI"/>
        <w:rPr>
          <w:b/>
        </w:rPr>
      </w:pPr>
      <w:bookmarkStart w:id="18" w:name="_bookmark15"/>
      <w:bookmarkEnd w:id="18"/>
      <w:r w:rsidRPr="00A13DF7">
        <w:rPr>
          <w:b/>
        </w:rPr>
        <w:t>Infrastruktura</w:t>
      </w:r>
    </w:p>
    <w:p w14:paraId="159E6537" w14:textId="596C9855" w:rsidR="00C61F48" w:rsidRDefault="00C61F48" w:rsidP="00A13DF7">
      <w:pPr>
        <w:pStyle w:val="TEKSTI"/>
      </w:pPr>
      <w:r>
        <w:t>Mali i Zi dhe Shqipëria janë pjesë e SEETO</w:t>
      </w:r>
      <w:r w:rsidR="00A13DF7">
        <w:rPr>
          <w:rStyle w:val="FootnoteReference"/>
          <w:position w:val="6"/>
          <w:sz w:val="16"/>
        </w:rPr>
        <w:footnoteReference w:id="22"/>
      </w:r>
      <w:r>
        <w:rPr>
          <w:position w:val="6"/>
          <w:sz w:val="16"/>
        </w:rPr>
        <w:t xml:space="preserve"> </w:t>
      </w:r>
      <w:r>
        <w:t xml:space="preserve">– Rrjeti kryesor. Pozicioni i zonës së programit thekson rëndësinë e një infrastrukture të mirë transporti në zhvillimin e ardhshëm të turizmit, tregtisë, shkëmbimeve kulturore dhe në rritjen e konkurrencës. </w:t>
      </w:r>
      <w:r>
        <w:rPr>
          <w:b/>
        </w:rPr>
        <w:t xml:space="preserve">Infrastruktura rrugore </w:t>
      </w:r>
      <w:r>
        <w:t xml:space="preserve">që lidh Malin e Zi dhe Shqipërinë, në veçanti përmes akseve Sukobine - Muriqan dhe Bozaj -Hani i Hotit është përmirësuar në mënyrë të konsiderueshme. Edhe infrastruktura e shërbimeve nga këto pika të kalimit kufitar është përmirësuar, duke lejuar komunikimin më të shpejtë midis dy zonave, duke lehtësuar kështu  transportin, tregtinë dhe turizmin. Pika e tretë kufitare në Gjercan - Plavë është më pak e zhvilluar. Një pikë e katërt e kalimit kufitar në Cijevna Zatrijebačka -Triesh, do të krijohet pas përfundimit të ndërtimit të rreth 23 km rrugë brenda territorit shqiptar, e cila është në ndërtim e sipër me financim </w:t>
      </w:r>
      <w:r>
        <w:rPr>
          <w:spacing w:val="2"/>
        </w:rPr>
        <w:t xml:space="preserve">të </w:t>
      </w:r>
      <w:r>
        <w:t>BERZH. Ajo do të shkurtojë ndjeshëm kohën e udhëtimit nga Plava në Podgoricë (koha e udhëtimit e pritur nëpër territorin shqiptar do të jetë rreth gjysmë ore). Mali i Zi dhe Shqipëria kanë rënë dakord për të integruar procedurat e organizimit të transportit hekurudhor 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Planet e ardhshme përfshijnë elektrifikimin e saj, të paktën në anën e  Malit të Zi, si dhe përdorimin e kësaj hekurudhe edhe për transportin e udhëtarëve, duke miratuar komunën urbane të Tuz-it, një nënndarje të Komunës së Podgoricës, si stacion të përbashkët</w:t>
      </w:r>
      <w:r>
        <w:rPr>
          <w:spacing w:val="-25"/>
        </w:rPr>
        <w:t xml:space="preserve"> </w:t>
      </w:r>
      <w:r>
        <w:t>kufitar.</w:t>
      </w:r>
    </w:p>
    <w:p w14:paraId="789DAE11" w14:textId="633AB217" w:rsidR="00C61F48" w:rsidRDefault="00C61F48" w:rsidP="00A13DF7">
      <w:pPr>
        <w:pStyle w:val="TEKSTI"/>
      </w:pPr>
      <w:r>
        <w:rPr>
          <w:b/>
        </w:rPr>
        <w:t xml:space="preserve">Telekomunikacioni </w:t>
      </w:r>
      <w:r>
        <w:t>në zonën e programit përfiton si nga telefonia fikse, ashtu edhe nga ajo celulare. Telefonia fikse në Mal të Zi është plotësisht e dixhitalizuar. Numri i abonentëve korrespondon me një normë prej 27,55%. Tregu i telefonisë celulare ka tre operatorë telekomunikacioni. Në vitin 2012, tre kompanitë celulare raportuan një total prej 990,868 përdoruesish, që korrespondon me një normë prej 159%. Në Shqipëri, niveli i depërtimit të telefonisë fikse dhe celulare në zonën e programit qëndron në 88.15%</w:t>
      </w:r>
      <w:r w:rsidR="007847F1">
        <w:rPr>
          <w:rStyle w:val="FootnoteReference"/>
        </w:rPr>
        <w:footnoteReference w:id="23"/>
      </w:r>
      <w:r>
        <w:t>, pak nën mesataren kombëtare prej 89.47%. Megjithatë, me përjashtim të qyteteve kryesore, depërtimi i telefonisë fikse në zonat rurale është i ulët; komunikimi është i bazuar kryesisht në telefonat celularë. Niveli i depërtimit të telefonisë celulare në Shqipëri është mbi 130%.</w:t>
      </w:r>
    </w:p>
    <w:p w14:paraId="542BCBA1" w14:textId="0379C1BD" w:rsidR="00C61F48" w:rsidRDefault="00C61F48" w:rsidP="00A13DF7">
      <w:pPr>
        <w:pStyle w:val="TEKSTI"/>
      </w:pPr>
      <w:r>
        <w:rPr>
          <w:b/>
        </w:rPr>
        <w:t xml:space="preserve">Njohuritë kompjuterike </w:t>
      </w:r>
      <w:r>
        <w:t>në Mal të Zi</w:t>
      </w:r>
      <w:r w:rsidR="007847F1">
        <w:rPr>
          <w:rStyle w:val="FootnoteReference"/>
        </w:rPr>
        <w:footnoteReference w:id="24"/>
      </w:r>
      <w:r>
        <w:rPr>
          <w:position w:val="6"/>
          <w:sz w:val="16"/>
        </w:rPr>
        <w:t xml:space="preserve"> </w:t>
      </w:r>
      <w:r>
        <w:t>i përkasin mesatarisht 35% të popullsisë nga 15 vjeç e lart. Rreth 16% e popullsisë ka njohuri të pjesshme mbi kompjuterin. Në Shqipëri, niveli i përdorimit të internetit (që do të thotë se ka një kompjuter që përdoret për të hyrë në internet) në familjet në zonën e programit qëndron në 9.97%, i cili është nën mesataren kombëtare prej</w:t>
      </w:r>
      <w:r>
        <w:rPr>
          <w:spacing w:val="-18"/>
        </w:rPr>
        <w:t xml:space="preserve"> </w:t>
      </w:r>
      <w:r>
        <w:t>12.35%.</w:t>
      </w:r>
    </w:p>
    <w:p w14:paraId="3331A3A7" w14:textId="76279390" w:rsidR="00C61F48" w:rsidRDefault="00C61F48" w:rsidP="007847F1">
      <w:pPr>
        <w:pStyle w:val="TEKSTI"/>
      </w:pPr>
      <w:r>
        <w:rPr>
          <w:b/>
        </w:rPr>
        <w:t xml:space="preserve">Energjia </w:t>
      </w:r>
      <w:r>
        <w:t>është e disponueshme për të gjitha komunat në zonën e programit. Shumica e nevojave energjetike në të dyja anët janë plotësuar nëpërmjet importeve. Përfundimi i linjës ndërlidhëse 400 kv midis Shqipërisë dhe Malit të Zi (Elbasan-Podgoricë), rrit kapacitetet e shkëmbimeve të energjisë midis dy vendeve, duke rritur sigurinë e furnizimit me energji elektrike në vend. Edhe pse ka burime të mëdha,</w:t>
      </w:r>
      <w:r w:rsidR="007847F1">
        <w:t xml:space="preserve"> por ende të pashfrytëzuara hidrocentrale (veçanërisht në</w:t>
      </w:r>
      <w:r>
        <w:t xml:space="preserve"> Shqipëri),  zon</w:t>
      </w:r>
      <w:r w:rsidR="007847F1">
        <w:t xml:space="preserve">a  karakterizohet  nga një </w:t>
      </w:r>
      <w:r>
        <w:t>efikasitet i ulët në përdorimin e energjisë elektrike. Përdorimi i energjisë për qëllime ngrohje është i përhapur në shkallë të gjerë.</w:t>
      </w:r>
    </w:p>
    <w:p w14:paraId="1260121E" w14:textId="57921700" w:rsidR="00C61F48" w:rsidRDefault="00C61F48" w:rsidP="007847F1">
      <w:pPr>
        <w:pStyle w:val="TEKSTI"/>
      </w:pPr>
      <w:r>
        <w:t xml:space="preserve">Shumica e familjeve (247,354) në Mal të Zi përdorin </w:t>
      </w:r>
      <w:r>
        <w:rPr>
          <w:b/>
        </w:rPr>
        <w:t xml:space="preserve">ujin </w:t>
      </w:r>
      <w:r>
        <w:t>nga sistemi publik i ujit, edhe pse sistemi publik i ujit mund të jetë i pamjaftueshëm në zonat rurale dhe gjatë kohës së verës. Nga numri i përgjithshëm i banesave</w:t>
      </w:r>
      <w:r w:rsidR="0076232C">
        <w:rPr>
          <w:rStyle w:val="FootnoteReference"/>
        </w:rPr>
        <w:footnoteReference w:id="25"/>
      </w:r>
      <w:r>
        <w:t>, 92% prej tyre kanë akses në sistemet e furnizimit me ujë brenda shtëpive të tyre, dhe po i njëjti numër banesash është i lidhur me sistemin e kanalizimit brenda shtëpisë. Në zonën e programit në Shqipëri, furnizimi me ujë dhe sistemet e kanalizimit dhe ujitjes mbeten problematike. Aksesi në ujë brenda banesave në zonën e programit është i siguruar për rreth 55% të tyre; rreth 40% e banesave  kanë pjesërisht akses në sistemet e furnizimit me ujë, ndërsa 4.6% e familjeve në zonën e programit nuk kanë akses në sistemin e</w:t>
      </w:r>
      <w:r>
        <w:rPr>
          <w:spacing w:val="-10"/>
        </w:rPr>
        <w:t xml:space="preserve"> </w:t>
      </w:r>
      <w:r>
        <w:t>ujësjellësit.</w:t>
      </w:r>
    </w:p>
    <w:p w14:paraId="44D233D1" w14:textId="77777777" w:rsidR="00C61F48" w:rsidRPr="007847F1" w:rsidRDefault="00C61F48" w:rsidP="00A00F76">
      <w:pPr>
        <w:pStyle w:val="TEKSTI"/>
      </w:pPr>
      <w:bookmarkStart w:id="19" w:name="_bookmark16"/>
      <w:bookmarkEnd w:id="19"/>
      <w:r w:rsidRPr="007847F1">
        <w:t>Sociale</w:t>
      </w:r>
    </w:p>
    <w:p w14:paraId="4E403B43" w14:textId="77777777" w:rsidR="00C61F48" w:rsidRPr="00A00F76" w:rsidRDefault="00C61F48" w:rsidP="00A00F76">
      <w:pPr>
        <w:pStyle w:val="TEKSTI"/>
        <w:rPr>
          <w:b/>
        </w:rPr>
      </w:pPr>
      <w:bookmarkStart w:id="20" w:name="_bookmark17"/>
      <w:bookmarkEnd w:id="20"/>
      <w:r w:rsidRPr="00A00F76">
        <w:rPr>
          <w:b/>
        </w:rPr>
        <w:t>Tregu i punës</w:t>
      </w:r>
    </w:p>
    <w:p w14:paraId="112E5F18" w14:textId="18A803E1" w:rsidR="00C61F48" w:rsidRDefault="00C61F48" w:rsidP="00A00F76">
      <w:pPr>
        <w:pStyle w:val="TEKSTI"/>
      </w:pPr>
      <w:r>
        <w:t>Si në Mal të Zi ashtu edhe në Shqipëri, papunësia është relativisht e lartë sipas standardeve ndërkombëtare. Ajo është ende një problem i madh ekonomik në të dyja anët e zonës së programit, dhe karakterizohet nga dallime të mëdha rajonale. Në Mal të Zi tregu i punës ka pësuar krizë, duke regjistruar një rritje të papunësisë që arriti në 20.45% në vitin 2011</w:t>
      </w:r>
      <w:r w:rsidR="0076232C">
        <w:rPr>
          <w:rStyle w:val="FootnoteReference"/>
        </w:rPr>
        <w:footnoteReference w:id="26"/>
      </w:r>
      <w:r>
        <w:t>, duke u ulur në 19.6% në vitin 2012. Zona e programit ka rreth 93.4% të forcës aktive të punës të vendit; rajoni bregdetar dhe rajoni qendror janë më mirë se rajonet më të varfra dhe më pak të zhvilluara pa dalje në det në zonën veriore. Shumica e fuqisë punëtore është e punësuar në sektorin e shërbimeve (76.2%), pasuar nga industria me 18.1%, dhe bujqësia me 5.6% të totalit të punësuar. Punëdhënësi më i madh në program është sektori i tregtisë me 20.5%, i ndjekur nga administrata publike me 12.5%. Femrat përbëjnë 44.1% të totalit të të punësuarve.</w:t>
      </w:r>
    </w:p>
    <w:p w14:paraId="3B02E8D2" w14:textId="4733BC6D" w:rsidR="00C61F48" w:rsidRDefault="00C61F48" w:rsidP="001E4FD5">
      <w:pPr>
        <w:pStyle w:val="TEKSTI"/>
      </w:pPr>
      <w:r>
        <w:t xml:space="preserve">Fuqia e përgjithshme punëtore në </w:t>
      </w:r>
      <w:r>
        <w:rPr>
          <w:b/>
        </w:rPr>
        <w:t xml:space="preserve">Shqipëri </w:t>
      </w:r>
      <w:r>
        <w:t>arrin në 1,117,082 persona në fund të muajit dhjetor 2012</w:t>
      </w:r>
      <w:r w:rsidR="0076232C">
        <w:rPr>
          <w:rStyle w:val="FootnoteReference"/>
        </w:rPr>
        <w:footnoteReference w:id="27"/>
      </w:r>
      <w:r>
        <w:t>. Ajo nuk ka pasur ndryshime të mëdha, pavarësisht nga ngadalësimi ekonomik gjatë 2-3 viteve të fundit. Shkalla e përgjithshme e papunësisë</w:t>
      </w:r>
      <w:r w:rsidR="0076232C">
        <w:rPr>
          <w:rStyle w:val="FootnoteReference"/>
        </w:rPr>
        <w:footnoteReference w:id="28"/>
      </w:r>
      <w:r>
        <w:rPr>
          <w:position w:val="6"/>
          <w:sz w:val="16"/>
        </w:rPr>
        <w:t xml:space="preserve"> </w:t>
      </w:r>
      <w:r>
        <w:t>ka ngelur në 13.9%, njëlloj si në vitin 2011. Në ndryshim nga Tropoja, papunësia në rajonet e Shkodrës dhe Lezhës pasqyron të njëjtën normë mesatare të  papunësisë si në nivel kombëtar, ndërsa që të tre rajonet ruajnë të njëjtën strukturë të punësimit. Në fund të vitit 2012, numri i të papunëve në Shkodër qëndron në 19,417 persona, duke përbërë 13.6% të totalit të të papunëve, kurse Lezha me 15,021 persona të papunë përbën 10.6% të totalit. Ndërsa Tropoja regjistron 2,368 të papunë, ose rreth 36% të forcave të përgjithshme të punës që i përkasin grup-moshës 15-64 vjeç në rrethin e Tropojës. Papunësia është më e pranishme në zonat urbane, pasi ata që jetojnë në zonat rurale janë konsideruar si të</w:t>
      </w:r>
      <w:r>
        <w:rPr>
          <w:spacing w:val="-20"/>
        </w:rPr>
        <w:t xml:space="preserve"> </w:t>
      </w:r>
      <w:r>
        <w:t>vetë-punësuar.</w:t>
      </w:r>
    </w:p>
    <w:p w14:paraId="20609BBE" w14:textId="77777777" w:rsidR="00C61F48" w:rsidRPr="001E4FD5" w:rsidRDefault="00C61F48" w:rsidP="001E4FD5">
      <w:pPr>
        <w:pStyle w:val="TEKSTI"/>
        <w:rPr>
          <w:b/>
        </w:rPr>
      </w:pPr>
      <w:bookmarkStart w:id="21" w:name="_bookmark18"/>
      <w:bookmarkEnd w:id="21"/>
      <w:r w:rsidRPr="001E4FD5">
        <w:rPr>
          <w:b/>
        </w:rPr>
        <w:t>Arsimi</w:t>
      </w:r>
    </w:p>
    <w:p w14:paraId="6B1E10D3" w14:textId="0B012DD1" w:rsidR="00C61F48" w:rsidRDefault="00C61F48" w:rsidP="00630347">
      <w:pPr>
        <w:pStyle w:val="TEKSTI"/>
      </w:pPr>
      <w:r>
        <w:t>Niveli i pabarabartë arsimor është i pranishëm në zonën e programit, me një rritje të analfabetizmit në zonat e thella. Të rinjtë me arsim të lartë kanë tendencë për tu larguar drejt rajoneve që ofrojnë më</w:t>
      </w:r>
      <w:r w:rsidR="00630347">
        <w:t xml:space="preserve"> </w:t>
      </w:r>
      <w:r>
        <w:rPr>
          <w:position w:val="6"/>
          <w:sz w:val="16"/>
        </w:rPr>
        <w:t xml:space="preserve"> </w:t>
      </w:r>
      <w:r>
        <w:t xml:space="preserve">shumë mundësi apo jashtë vendit. Sistemi i arsimit të mesëm është më pak tërheqës dhe i  aksesueshëm, veçanërisht për popullsinë e re në zonat rurale të programit. Shkollat private dhe Formimi Profesional 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 shkollore është një përparësi e madhe për të dyja qeveritë, në nivel qendror dhe lokal.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w:t>
      </w:r>
      <w:r>
        <w:rPr>
          <w:spacing w:val="2"/>
        </w:rPr>
        <w:t xml:space="preserve">të </w:t>
      </w:r>
      <w:r>
        <w:t>ndryshëm, të tillë si bujqësia apo</w:t>
      </w:r>
      <w:r>
        <w:rPr>
          <w:spacing w:val="-2"/>
        </w:rPr>
        <w:t xml:space="preserve"> </w:t>
      </w:r>
      <w:r>
        <w:t>turizmi.</w:t>
      </w:r>
    </w:p>
    <w:p w14:paraId="7B786BC8" w14:textId="6A2A0063" w:rsidR="00C61F48" w:rsidRDefault="00C61F48" w:rsidP="001E4FD5">
      <w:pPr>
        <w:pStyle w:val="TEKSTI"/>
      </w:pPr>
      <w:r>
        <w:rPr>
          <w:b/>
        </w:rPr>
        <w:t xml:space="preserve">Kërkimi shkencor &amp; Zhvillimi </w:t>
      </w:r>
      <w:r>
        <w:t>është i pazhvilluar. Pavarësisht faktit se në zonën e</w:t>
      </w:r>
      <w:r w:rsidR="00BB53D6">
        <w:t xml:space="preserve"> programit janë të pranishëm 4 u</w:t>
      </w:r>
      <w:r>
        <w:t xml:space="preserve">niversitete, investimet dhe aktivitetet mbështetëse qeveritare, rajonale ose lokale për Kërkimin shkencor dhe Zhvillimin janë të pamjaftueshme. Nuk ka të dhëna specifike mbi kërkimin shkencor, zhvillimin dhe inovacionin. Megjithatë nuk ka pothuajse asnjë bashkëpunim midis institucioneve të arsimit në të dy vendet, dhe fusha e kërkimit shkencor, zhvillimit dhe inovacionit </w:t>
      </w:r>
      <w:r>
        <w:rPr>
          <w:spacing w:val="-3"/>
        </w:rPr>
        <w:t xml:space="preserve">nuk </w:t>
      </w:r>
      <w:r>
        <w:t>është eksploruar. Mali i Zi shpenzon rreth 0.41% të GDP-së në Kërkim shkencor dhe Zhvillim</w:t>
      </w:r>
      <w:r w:rsidR="00630347">
        <w:rPr>
          <w:rStyle w:val="FootnoteReference"/>
        </w:rPr>
        <w:footnoteReference w:id="29"/>
      </w:r>
      <w:r>
        <w:t>, ndërkohë që Shqipëria shpenzon rreth 0.02% të GDP-së së saj</w:t>
      </w:r>
      <w:r w:rsidR="00630347">
        <w:rPr>
          <w:rStyle w:val="FootnoteReference"/>
        </w:rPr>
        <w:footnoteReference w:id="30"/>
      </w:r>
      <w:r>
        <w:t>.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një qendër të përbashkët për studimet e avancuara për rreziqet sizmike në Ballkanin Perëndimor.</w:t>
      </w:r>
    </w:p>
    <w:p w14:paraId="045F1020" w14:textId="77777777" w:rsidR="00C61F48" w:rsidRPr="00630347" w:rsidRDefault="00C61F48" w:rsidP="001E4FD5">
      <w:pPr>
        <w:pStyle w:val="TEKSTI"/>
        <w:rPr>
          <w:b/>
        </w:rPr>
      </w:pPr>
      <w:bookmarkStart w:id="22" w:name="_bookmark19"/>
      <w:bookmarkEnd w:id="22"/>
      <w:r w:rsidRPr="00630347">
        <w:rPr>
          <w:b/>
        </w:rPr>
        <w:t>Shëndetësia</w:t>
      </w:r>
    </w:p>
    <w:p w14:paraId="2A3BA27C" w14:textId="69424FD4" w:rsidR="00C61F48" w:rsidRPr="00630347" w:rsidRDefault="00C61F48" w:rsidP="00630347">
      <w:pPr>
        <w:pStyle w:val="TEKSTI"/>
      </w:pPr>
      <w:r>
        <w:t>Organizimi i sistemit shëndetësor në Mal të Zi dhe Shqipëri është i ngjashëm; ai është kryesisht publik  me një prani modeste (por në rritje) private, dhe mbulimi territorial është i pajisur siç duhet me shërbimet e kujdesit shëndetësor parësor, dytësor dhe tretësor. Në përgjithësi, shërbimet shëndetësore në zonën e programit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w:t>
      </w:r>
      <w:r>
        <w:rPr>
          <w:spacing w:val="-6"/>
        </w:rPr>
        <w:t xml:space="preserve"> </w:t>
      </w:r>
      <w:r w:rsidR="00630347">
        <w:t>shëndetësor.</w:t>
      </w:r>
    </w:p>
    <w:p w14:paraId="2AE75A55" w14:textId="77777777" w:rsidR="00C61F48" w:rsidRPr="00630347" w:rsidRDefault="00C61F48" w:rsidP="00630347">
      <w:pPr>
        <w:pStyle w:val="TEKSTI"/>
        <w:rPr>
          <w:b/>
        </w:rPr>
      </w:pPr>
      <w:bookmarkStart w:id="23" w:name="_bookmark20"/>
      <w:bookmarkEnd w:id="23"/>
      <w:r w:rsidRPr="00630347">
        <w:rPr>
          <w:b/>
        </w:rPr>
        <w:t>Kultura</w:t>
      </w:r>
    </w:p>
    <w:p w14:paraId="088131F2" w14:textId="77777777" w:rsidR="00C61F48" w:rsidRDefault="00C61F48" w:rsidP="00630347">
      <w:pPr>
        <w:pStyle w:val="TEKSTI"/>
      </w:pPr>
      <w:r>
        <w:t xml:space="preserve">Në përgjithësi, në zonën e programit kultura karakterizohet nga elemente të ndryshme </w:t>
      </w:r>
      <w:r>
        <w:rPr>
          <w:spacing w:val="3"/>
        </w:rPr>
        <w:t xml:space="preserve">të </w:t>
      </w:r>
      <w:r>
        <w:t>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 në promovimin dhe zhvillimin e mëtejshëm të turizmit. Bashkëpunimi ndërkufitar mund të luajë një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w:t>
      </w:r>
      <w:r>
        <w:rPr>
          <w:spacing w:val="-6"/>
        </w:rPr>
        <w:t xml:space="preserve"> </w:t>
      </w:r>
      <w:r>
        <w:t>kufitare.</w:t>
      </w:r>
    </w:p>
    <w:p w14:paraId="5BB0BE94" w14:textId="77777777" w:rsidR="00C61F48" w:rsidRPr="0085462C" w:rsidRDefault="00C61F48" w:rsidP="00630347">
      <w:pPr>
        <w:pStyle w:val="TEKSTI"/>
        <w:rPr>
          <w:b/>
        </w:rPr>
      </w:pPr>
      <w:bookmarkStart w:id="24" w:name="_bookmark21"/>
      <w:bookmarkEnd w:id="24"/>
      <w:r w:rsidRPr="0085462C">
        <w:rPr>
          <w:b/>
        </w:rPr>
        <w:t>Shoqëria Civile</w:t>
      </w:r>
    </w:p>
    <w:p w14:paraId="268C298E" w14:textId="2D9004E5" w:rsidR="00C61F48" w:rsidRDefault="00C61F48" w:rsidP="00630347">
      <w:pPr>
        <w:pStyle w:val="TEKSTI"/>
      </w:pPr>
      <w:r>
        <w:t xml:space="preserve">Në </w:t>
      </w:r>
      <w:r>
        <w:rPr>
          <w:b/>
        </w:rPr>
        <w:t xml:space="preserve">Mal të Zi </w:t>
      </w:r>
      <w:r>
        <w:t>janë 5,843</w:t>
      </w:r>
      <w:r w:rsidR="0085462C">
        <w:rPr>
          <w:rStyle w:val="FootnoteReference"/>
        </w:rPr>
        <w:footnoteReference w:id="31"/>
      </w:r>
      <w:r w:rsidR="00255F09">
        <w:t xml:space="preserve"> </w:t>
      </w:r>
      <w:r>
        <w:t>Organizata të Shoqërisë Civile (OSHC) të regjistruara. Pjesa më e madhe e tyre janë shoqata qytetare (5665), dhe 175 janë fondacione. OSHC-të me më shumë ndikim dhe përvojë janë të vendosura në Podgoricë, aktive në sektorë të ndryshëm (të drejtat e njeriut, politikat publike, mjedisi dhe zhvillimi rural, ngritja e kapaciteteve, aftësitë e kufizuara, etj.). Shumica e tyre kanë një përvojë në përcaktimin e projekteve BNK. Kapacitetet njerëzore dhe kapacitetet e financimit janë përgjithësisht të pamjaftueshme; partneriteti me autoritetet lokale, si dhe krijimi i rrjeteve rajonale të  OSHC-ve  janë ende të dobëta. Megjithatë, rrjeti lokal i organizatave komunitare është i shumëllojshëm dhe i pasur. Disa prej tyre, të tilla si shoqatat e malësorëve, mund të luajnë një rol të rëndësishëm në zbatimin e nismave BNK.</w:t>
      </w:r>
    </w:p>
    <w:p w14:paraId="6A22F4BD" w14:textId="660D8B6C" w:rsidR="00C61F48" w:rsidRDefault="00C61F48" w:rsidP="00630347">
      <w:pPr>
        <w:pStyle w:val="TEKSTI"/>
      </w:pPr>
      <w:r>
        <w:t xml:space="preserve">Sektori i OSHC-ve në </w:t>
      </w:r>
      <w:r>
        <w:rPr>
          <w:b/>
        </w:rPr>
        <w:t xml:space="preserve">Shqipëri </w:t>
      </w:r>
      <w:r>
        <w:t>është i vogël dhe relativisht i pazhvilluar. Zyrtarisht ekzistojnë 2,231 shoqata, 311 fondacione dhe 552 qendra të regjistruara</w:t>
      </w:r>
      <w:r w:rsidR="0085462C">
        <w:rPr>
          <w:rStyle w:val="FootnoteReference"/>
        </w:rPr>
        <w:footnoteReference w:id="32"/>
      </w:r>
      <w:r>
        <w:t>. Shumica e OSHC-ve janë të përqendruara në kryeqytet (Tiranë), ose në rajonin qendror (i cili përfshin Tiranën dhe qytetet e mëdha të tilla si Shkodra, Durrësi, Elbasani, Korça). Shoqëria civile është e përfaqësuar dobët në të gjitha zonat rurale. Sektori i Shoqërisë Civile në Shqipëri, si një i tërë, është pak i integruar dhe përfaqësuar. Nuk ka asnjë forum të sektorëve të gjerë ose rrjet që i dedikohet koordinimit të përpjekjeve të OShC-ve.</w:t>
      </w:r>
    </w:p>
    <w:p w14:paraId="5A13F3CA" w14:textId="77777777" w:rsidR="00C61F48" w:rsidRDefault="00C61F48" w:rsidP="00630347">
      <w:pPr>
        <w:pStyle w:val="TEKSTI"/>
        <w:rPr>
          <w:sz w:val="16"/>
        </w:rPr>
      </w:pPr>
    </w:p>
    <w:p w14:paraId="4A7C7342" w14:textId="77777777" w:rsidR="00C61F48" w:rsidRPr="0085462C" w:rsidRDefault="00C61F48" w:rsidP="0085462C">
      <w:pPr>
        <w:pStyle w:val="TEKSTI"/>
        <w:rPr>
          <w:b/>
        </w:rPr>
      </w:pPr>
      <w:bookmarkStart w:id="25" w:name="_bookmark22"/>
      <w:bookmarkEnd w:id="25"/>
      <w:r w:rsidRPr="0085462C">
        <w:rPr>
          <w:b/>
        </w:rPr>
        <w:t>Mjedisi dhe Natyra</w:t>
      </w:r>
    </w:p>
    <w:p w14:paraId="235E93E1" w14:textId="77777777" w:rsidR="00C61F48" w:rsidRDefault="00C61F48" w:rsidP="0085462C">
      <w:pPr>
        <w:pStyle w:val="TEKSTI"/>
      </w:pPr>
      <w:r>
        <w:t>Mbrojtja dhe ruajtja e mjedisit janë të rëndësishme për një zhvillim të qëndrueshëm të zonës së programit, e cila është mjaft e pasur në burime mjedisore dhe biodiversitet në të dyja anët e kufirit.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vend-groposjet e paligjshme, të cilat rrezikojnë ndotjen e lumenjve dhe liqeneve; përdorimi intensiv i pesticideve, i cili  po</w:t>
      </w:r>
    </w:p>
    <w:p w14:paraId="49BE05D5" w14:textId="77777777" w:rsidR="00C61F48" w:rsidRDefault="00C61F48" w:rsidP="0085462C">
      <w:pPr>
        <w:pStyle w:val="TEKSTI"/>
      </w:pPr>
      <w:r>
        <w:t>dëmton bujqësinë; peshkimi i tepruar dhe gjuetia e jashtëligjshme, të cilat kërcënojnë faunën në liqene dhe lumenj. Degradimi i tokës është i pranishëm në të dyja anët e kufirit. Bashkëpunimi midis dy vendeve</w:t>
      </w:r>
      <w:r>
        <w:rPr>
          <w:spacing w:val="-2"/>
        </w:rPr>
        <w:t xml:space="preserve"> </w:t>
      </w:r>
      <w:r>
        <w:t>në</w:t>
      </w:r>
      <w:r>
        <w:rPr>
          <w:spacing w:val="-2"/>
        </w:rPr>
        <w:t xml:space="preserve"> </w:t>
      </w:r>
      <w:r>
        <w:t>lidhje</w:t>
      </w:r>
      <w:r>
        <w:rPr>
          <w:spacing w:val="-3"/>
        </w:rPr>
        <w:t xml:space="preserve"> </w:t>
      </w:r>
      <w:r>
        <w:t>me</w:t>
      </w:r>
      <w:r>
        <w:rPr>
          <w:spacing w:val="-4"/>
        </w:rPr>
        <w:t xml:space="preserve"> </w:t>
      </w:r>
      <w:r>
        <w:t>mbrojtjen</w:t>
      </w:r>
      <w:r>
        <w:rPr>
          <w:spacing w:val="-3"/>
        </w:rPr>
        <w:t xml:space="preserve"> </w:t>
      </w:r>
      <w:r>
        <w:t>dhe</w:t>
      </w:r>
      <w:r>
        <w:rPr>
          <w:spacing w:val="-2"/>
        </w:rPr>
        <w:t xml:space="preserve"> </w:t>
      </w:r>
      <w:r>
        <w:t>rehabilitimin</w:t>
      </w:r>
      <w:r>
        <w:rPr>
          <w:spacing w:val="-5"/>
        </w:rPr>
        <w:t xml:space="preserve"> </w:t>
      </w:r>
      <w:r>
        <w:t>e</w:t>
      </w:r>
      <w:r>
        <w:rPr>
          <w:spacing w:val="-2"/>
        </w:rPr>
        <w:t xml:space="preserve"> </w:t>
      </w:r>
      <w:r>
        <w:t>liqenit</w:t>
      </w:r>
      <w:r>
        <w:rPr>
          <w:spacing w:val="-2"/>
        </w:rPr>
        <w:t xml:space="preserve"> </w:t>
      </w:r>
      <w:r>
        <w:t>të</w:t>
      </w:r>
      <w:r>
        <w:rPr>
          <w:spacing w:val="-4"/>
        </w:rPr>
        <w:t xml:space="preserve"> </w:t>
      </w:r>
      <w:r>
        <w:t>Shkodrës</w:t>
      </w:r>
      <w:r>
        <w:rPr>
          <w:spacing w:val="-2"/>
        </w:rPr>
        <w:t xml:space="preserve"> </w:t>
      </w:r>
      <w:r>
        <w:t>është</w:t>
      </w:r>
      <w:r>
        <w:rPr>
          <w:spacing w:val="-2"/>
        </w:rPr>
        <w:t xml:space="preserve"> </w:t>
      </w:r>
      <w:r>
        <w:t>rritur</w:t>
      </w:r>
      <w:r>
        <w:rPr>
          <w:spacing w:val="-2"/>
        </w:rPr>
        <w:t xml:space="preserve"> </w:t>
      </w:r>
      <w:r>
        <w:t>në</w:t>
      </w:r>
      <w:r>
        <w:rPr>
          <w:spacing w:val="-2"/>
        </w:rPr>
        <w:t xml:space="preserve"> </w:t>
      </w:r>
      <w:r>
        <w:t>dekadën</w:t>
      </w:r>
      <w:r>
        <w:rPr>
          <w:spacing w:val="-2"/>
        </w:rPr>
        <w:t xml:space="preserve"> </w:t>
      </w:r>
      <w:r>
        <w:t>e</w:t>
      </w:r>
      <w:r>
        <w:rPr>
          <w:spacing w:val="-2"/>
        </w:rPr>
        <w:t xml:space="preserve"> </w:t>
      </w:r>
      <w:r>
        <w:t>fundit.</w:t>
      </w:r>
    </w:p>
    <w:p w14:paraId="19F2970B" w14:textId="755BF2A1" w:rsidR="00C61F48" w:rsidRDefault="00C61F48" w:rsidP="0085462C">
      <w:pPr>
        <w:pStyle w:val="TEKSTI"/>
      </w:pPr>
      <w:r>
        <w:rPr>
          <w:b/>
        </w:rPr>
        <w:t xml:space="preserve">Mali i Zi </w:t>
      </w:r>
      <w:r>
        <w:t>ka një diversitet të lartë biologjik, për shkak të sfondit të tij gjeologjik, klimës dhe pozicionit në afërsi të detit dhe maleve. Mali i Zi ka dy vende të Trashëgimisë Botërore, një rezervë të biosferës dhe pesë parqet kombëtare. Mbrojtja dhe ruajtja e mjedisit është një shtyllë e të gjitha strategjive të zhvillimit të vendit. Rrjeti kombëtar i zonave të mbrojtura të Malit të Zi mbulon 108,866 ha</w:t>
      </w:r>
      <w:r w:rsidR="00F17A01">
        <w:rPr>
          <w:rStyle w:val="FootnoteReference"/>
        </w:rPr>
        <w:footnoteReference w:id="33"/>
      </w:r>
      <w:r>
        <w:rPr>
          <w:position w:val="6"/>
          <w:sz w:val="16"/>
        </w:rPr>
        <w:t xml:space="preserve"> </w:t>
      </w:r>
      <w:r>
        <w:t>ose 7.88% të territorit të përgjithshëm. Ajo përbëhet nga 5 parqe kombëtare - Liqeni i Shkodrës, Durmitor, Lovćen, Biogradska Gora, dhe Prokletije.</w:t>
      </w:r>
    </w:p>
    <w:p w14:paraId="0A995299" w14:textId="0102E3B4" w:rsidR="00C61F48" w:rsidRDefault="00C61F48" w:rsidP="0085462C">
      <w:pPr>
        <w:pStyle w:val="TEKSTI"/>
      </w:pPr>
      <w:r>
        <w:t>Në Shqipëri, zona e programit ofron një biodiversitet dhe klimë të pasur, pasi ajo përfshin malet, kodrat, fushat, liqenin, lumenjtë dhe bregdetin. Ajo ka 8 parqe kombëtare</w:t>
      </w:r>
      <w:r w:rsidR="00F17A01">
        <w:rPr>
          <w:rStyle w:val="FootnoteReference"/>
        </w:rPr>
        <w:footnoteReference w:id="34"/>
      </w:r>
      <w:r>
        <w:t>, rezerva natyrore dhe peizazhe të mbrojtura, të cilat mbulojnë mbi 13% të territorit të përgjithshëm. Parku më i rëndësishëm natyror në zonën e programit është Liqeni i Shkodrës.</w:t>
      </w:r>
    </w:p>
    <w:p w14:paraId="370263A4" w14:textId="77777777" w:rsidR="00C61F48" w:rsidRDefault="00C61F48" w:rsidP="00F17A01">
      <w:pPr>
        <w:pStyle w:val="TEKSTI"/>
      </w:pPr>
      <w:r>
        <w:t>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mbi-kullotjes. Mbrojtja e burimeve natyrore me fokus tek pyjet, zonat e mbrojtura dhe shfrytëzimi i burimeve ujore përfaqësojnë vlerat ekonomike dhe mjedisore për këtë zonë. Megjithëse ndërgjegjësimi për mbrojtjen e mjedisit  është rritur, një shkallë më e lartë e zbatimit të standardeve për mbrojtjen e mjedisit është e nevojshme për të siguruar zhvillimin e duhur urban dhe zgjerimin e turizmit. Reduktimi i ndotjes ekzistuese, menaxhimi i mbetjeve urbane dhe sigurimi i cilësisë së ujit të pijshëm për qëllime të mbrojtjes së shëndetit publik dhe garantimit të një mjedisi të pastër, i lidhur me masat për të mbrojtur tokën nga shkatërrimi natyror dhe artificial si dhe zbatimi i një procesi strategjik të planifikimit urban, janë sfidat kryesore për tu përballuar në zonën e</w:t>
      </w:r>
      <w:r>
        <w:rPr>
          <w:spacing w:val="-10"/>
        </w:rPr>
        <w:t xml:space="preserve"> </w:t>
      </w:r>
      <w:r>
        <w:t>programit.</w:t>
      </w:r>
    </w:p>
    <w:p w14:paraId="55BABB79" w14:textId="77777777" w:rsidR="00C61F48" w:rsidRPr="00F17A01" w:rsidRDefault="00C61F48" w:rsidP="00F17A01">
      <w:pPr>
        <w:pStyle w:val="TEKSTI"/>
        <w:rPr>
          <w:b/>
        </w:rPr>
      </w:pPr>
      <w:bookmarkStart w:id="26" w:name="_bookmark23"/>
      <w:bookmarkEnd w:id="26"/>
      <w:r w:rsidRPr="00F17A01">
        <w:rPr>
          <w:b/>
        </w:rPr>
        <w:t>Gjetjet</w:t>
      </w:r>
      <w:r w:rsidRPr="00F17A01">
        <w:rPr>
          <w:b/>
          <w:spacing w:val="-10"/>
        </w:rPr>
        <w:t xml:space="preserve"> </w:t>
      </w:r>
      <w:r w:rsidRPr="00F17A01">
        <w:rPr>
          <w:b/>
        </w:rPr>
        <w:t>Kryesore</w:t>
      </w:r>
    </w:p>
    <w:p w14:paraId="77B706F7" w14:textId="77777777" w:rsidR="00C61F48" w:rsidRDefault="00C61F48" w:rsidP="00F17A01">
      <w:pPr>
        <w:pStyle w:val="TEKSTI"/>
      </w:pPr>
      <w:r>
        <w:t>Zona e programit është e ndryshme, e megjithatë, disa tipare të përbashkëta në lidhje me natyrën, pozicionin gjeografik, tendencat demografike, ekonominë, kapitalin njerëzor etj., mund të gjenerojnë sinergji dhe të jenë një mundësi e mirë për zhvillimin dhe zbatimin e iniciativave BNK.</w:t>
      </w:r>
    </w:p>
    <w:p w14:paraId="192DDD54" w14:textId="4F19A039" w:rsidR="00C61F48" w:rsidRDefault="00C61F48" w:rsidP="00D77205">
      <w:pPr>
        <w:pStyle w:val="TEKSTI"/>
      </w:pPr>
      <w:r>
        <w:rPr>
          <w:b/>
        </w:rPr>
        <w:t xml:space="preserve">Karakteristikat ekonomike </w:t>
      </w:r>
      <w:r>
        <w:t>të të dy vendeve tregojnë tendenca të ngjashme. Të dy vendet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 Sfidat kry</w:t>
      </w:r>
      <w:r w:rsidR="00F17A01">
        <w:t>esore përfshijnë: adresimin e</w:t>
      </w:r>
      <w:r>
        <w:t xml:space="preserve"> pabarazive ekonomi</w:t>
      </w:r>
      <w:r w:rsidR="00F17A01">
        <w:t>ke rajonale; nivelin e ulët</w:t>
      </w:r>
      <w:r>
        <w:rPr>
          <w:spacing w:val="17"/>
        </w:rPr>
        <w:t xml:space="preserve"> </w:t>
      </w:r>
      <w:r>
        <w:t>të</w:t>
      </w:r>
      <w:r w:rsidR="00D77205">
        <w:t xml:space="preserve"> </w:t>
      </w:r>
      <w:r>
        <w:t>prodhimtarisë si pasojë e mungesës së njohurive teknologjike dhe aftësive të punës, si dhe për shkak të mospërputhjes së kërkesës së tregut për shërbime dhe produkte të cilësisë së lartë me aftësitë joadekuate të punës.</w:t>
      </w:r>
    </w:p>
    <w:p w14:paraId="0F908EE0" w14:textId="25248B71" w:rsidR="00C61F48" w:rsidRDefault="00C61F48" w:rsidP="00F17A01">
      <w:pPr>
        <w:pStyle w:val="TEKSTI"/>
      </w:pPr>
      <w:r>
        <w:rPr>
          <w:b/>
        </w:rPr>
        <w:t xml:space="preserve">Konkurrenca është e ulët në të dyja anët e kufirit. </w:t>
      </w:r>
      <w:r>
        <w:t>Produktivitet më i lartë dhe investime të mëtejshme në njohuritë mbi përdorimin e teknologjive të inovacionit është një parakusht për 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w:t>
      </w:r>
    </w:p>
    <w:p w14:paraId="37C5D30F" w14:textId="060634A3" w:rsidR="00C61F48" w:rsidRDefault="00C61F48" w:rsidP="00F17A01">
      <w:pPr>
        <w:pStyle w:val="TEKSTI"/>
      </w:pPr>
      <w:r>
        <w:rPr>
          <w:b/>
        </w:rPr>
        <w:t xml:space="preserve">Forcimi i rrjeteve të NVM-ve dhe lidhjet e shërbimeve ekzistuese në zonat kufitare janë një potencial që përdoret shumë pak. </w:t>
      </w:r>
      <w:r>
        <w:t xml:space="preserve">Mbi 97% e NVM-ve të regjistruara punësojnë më pak se 4 persona. Niveli i bashkëpunimit përtej kufirit është minimal. Një sfidë kryesore është aksesi i  varfër i NVM-ve në burimet financiare. Politikat tepër të kujdesshme në kredi-dhënie të miratuara nga institucionet financiare në të dyja vendet, janë një pengesë serioze në rritjen e ndërmarrjeve të vogla në zonën e programit. Promovimi i </w:t>
      </w:r>
      <w:r>
        <w:rPr>
          <w:i/>
        </w:rPr>
        <w:t xml:space="preserve">biznesit virtual </w:t>
      </w:r>
      <w:r>
        <w:t>është një sfidë. Me pak fjalë, në aspektin e zhvillimit të sektorit privat ka sinergji të qarta për t'u zhvilluar brenda zonës së programit, të cilat duhen mbështetur nga programi</w:t>
      </w:r>
      <w:r>
        <w:rPr>
          <w:spacing w:val="-9"/>
        </w:rPr>
        <w:t xml:space="preserve"> </w:t>
      </w:r>
      <w:r>
        <w:t>BNK.</w:t>
      </w:r>
    </w:p>
    <w:p w14:paraId="3B3EBC51" w14:textId="371E08BD" w:rsidR="00C61F48" w:rsidRDefault="00C61F48" w:rsidP="00F17A01">
      <w:pPr>
        <w:pStyle w:val="TEKSTI"/>
      </w:pPr>
      <w:r>
        <w:rPr>
          <w:b/>
        </w:rPr>
        <w:t xml:space="preserve">Të dyja anët e zonës së programit janë duke u bërë gjithnjë e më tërheqëse për investitorët e huaj, </w:t>
      </w:r>
      <w:r>
        <w:t>por tek të dyja anët ka nevojë për përmirësimin e kushteve, veçanërisht të infrastrukturës, për të bërë biznes. Investimet në turizëm, në energjinë e rinovueshme dhe në bujqësi mund ti bëjnë këto të fundit sektorët potencialë për tërheqjen e më shumë IHD-ve (Investime të Huaja Direkte). Industritë e përpunimit të dritës dhe ushqimit janë konsideruar gjithashtu si një potencial për rritjen e përshpejtuar ekonomike të zonës së</w:t>
      </w:r>
      <w:r>
        <w:rPr>
          <w:spacing w:val="-15"/>
        </w:rPr>
        <w:t xml:space="preserve"> </w:t>
      </w:r>
      <w:r>
        <w:t>programit.</w:t>
      </w:r>
    </w:p>
    <w:p w14:paraId="70CB4F68" w14:textId="164204FE" w:rsidR="00C61F48" w:rsidRDefault="00C61F48" w:rsidP="00F17A01">
      <w:pPr>
        <w:pStyle w:val="TEKSTI"/>
      </w:pPr>
      <w:r>
        <w:rPr>
          <w:b/>
        </w:rPr>
        <w:t>Bujqësia është një potencial i madh ekonomik në zonën e programit, por përdoret pak</w:t>
      </w:r>
      <w:r>
        <w:t>. 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Sfidat kryesore përfshijnë: përmirësimin e aksesit në  treg; forcimin e sistemit të sigurisë ushqimore dhe organeve inspektues; dhe në përgjithësi rritjen e konkurrencës në sektorin e bujqësisë. Ndërhyrja e ardhshme duhet të synojë përmirësimin e efikasitetit në bujqësi dhe pylltari, si dhe të zhvillojë burime shtesë të të ardhurave nga ruajtja e pasurive natyrore dhe</w:t>
      </w:r>
      <w:r>
        <w:rPr>
          <w:spacing w:val="-8"/>
        </w:rPr>
        <w:t xml:space="preserve"> </w:t>
      </w:r>
      <w:r>
        <w:t>turizmit.</w:t>
      </w:r>
    </w:p>
    <w:p w14:paraId="5456275C" w14:textId="4073A9A7" w:rsidR="00C61F48" w:rsidRDefault="00C61F48" w:rsidP="00D77205">
      <w:pPr>
        <w:pStyle w:val="TEKSTI"/>
      </w:pPr>
      <w:r>
        <w:rPr>
          <w:b/>
        </w:rPr>
        <w:t xml:space="preserve">Papunësia mbetet një problem i mprehtë </w:t>
      </w:r>
      <w:r>
        <w:t>për popullsinë e zonës së programit, veçanërisht për grupet e ndjeshme sociale siç janë të rinjtë, popullsia rurale, dhe gratë. Pasiguria e punësimit konsiderohet si arsyeja kryesore për shkallën e lartë të migracionit, veçanërisht në zonat  rurale ose më pak të zhvilluara, ku niveli i papunësisë është i lartë si rezultat i mjeteve të jetesës dhe prodhimeve</w:t>
      </w:r>
      <w:r>
        <w:rPr>
          <w:spacing w:val="13"/>
        </w:rPr>
        <w:t xml:space="preserve"> </w:t>
      </w:r>
      <w:r>
        <w:t>bujqësore</w:t>
      </w:r>
      <w:r>
        <w:rPr>
          <w:spacing w:val="15"/>
        </w:rPr>
        <w:t xml:space="preserve"> </w:t>
      </w:r>
      <w:r>
        <w:t>të</w:t>
      </w:r>
      <w:r>
        <w:rPr>
          <w:spacing w:val="13"/>
        </w:rPr>
        <w:t xml:space="preserve"> </w:t>
      </w:r>
      <w:r>
        <w:t>një</w:t>
      </w:r>
      <w:r>
        <w:rPr>
          <w:spacing w:val="16"/>
        </w:rPr>
        <w:t xml:space="preserve"> </w:t>
      </w:r>
      <w:r>
        <w:t>niveli</w:t>
      </w:r>
      <w:r>
        <w:rPr>
          <w:spacing w:val="12"/>
        </w:rPr>
        <w:t xml:space="preserve"> </w:t>
      </w:r>
      <w:r>
        <w:t>të</w:t>
      </w:r>
      <w:r>
        <w:rPr>
          <w:spacing w:val="16"/>
        </w:rPr>
        <w:t xml:space="preserve"> </w:t>
      </w:r>
      <w:r>
        <w:t>ulët</w:t>
      </w:r>
      <w:r>
        <w:rPr>
          <w:spacing w:val="15"/>
        </w:rPr>
        <w:t xml:space="preserve"> </w:t>
      </w:r>
      <w:r>
        <w:t>që</w:t>
      </w:r>
      <w:r>
        <w:rPr>
          <w:spacing w:val="13"/>
        </w:rPr>
        <w:t xml:space="preserve"> </w:t>
      </w:r>
      <w:r>
        <w:t>ofrojnë</w:t>
      </w:r>
      <w:r>
        <w:rPr>
          <w:spacing w:val="15"/>
        </w:rPr>
        <w:t xml:space="preserve"> </w:t>
      </w:r>
      <w:r>
        <w:t>një</w:t>
      </w:r>
      <w:r>
        <w:rPr>
          <w:spacing w:val="15"/>
        </w:rPr>
        <w:t xml:space="preserve"> </w:t>
      </w:r>
      <w:r>
        <w:t>formë</w:t>
      </w:r>
      <w:r>
        <w:rPr>
          <w:spacing w:val="13"/>
        </w:rPr>
        <w:t xml:space="preserve"> </w:t>
      </w:r>
      <w:r>
        <w:t>të</w:t>
      </w:r>
      <w:r>
        <w:rPr>
          <w:spacing w:val="15"/>
        </w:rPr>
        <w:t xml:space="preserve"> </w:t>
      </w:r>
      <w:r>
        <w:t>sigurimit</w:t>
      </w:r>
      <w:r>
        <w:rPr>
          <w:spacing w:val="15"/>
        </w:rPr>
        <w:t xml:space="preserve"> </w:t>
      </w:r>
      <w:r>
        <w:t>shoqëror</w:t>
      </w:r>
      <w:r>
        <w:rPr>
          <w:spacing w:val="15"/>
        </w:rPr>
        <w:t xml:space="preserve"> </w:t>
      </w:r>
      <w:r>
        <w:t>për</w:t>
      </w:r>
      <w:r>
        <w:rPr>
          <w:spacing w:val="15"/>
        </w:rPr>
        <w:t xml:space="preserve"> </w:t>
      </w:r>
      <w:r>
        <w:t>pjesën</w:t>
      </w:r>
      <w:r w:rsidR="00D77205">
        <w:t xml:space="preserve"> </w:t>
      </w:r>
      <w:r>
        <w:t>më të madhe të popullsisë rurale dhe të punës, si një amortizator kundër normave të larta të papunësisë së regjistruar.</w:t>
      </w:r>
    </w:p>
    <w:p w14:paraId="0830DC6D" w14:textId="3040492E" w:rsidR="00C61F48" w:rsidRDefault="00C61F48" w:rsidP="00F17A01">
      <w:pPr>
        <w:pStyle w:val="TEKSTI"/>
      </w:pPr>
      <w:r>
        <w:rPr>
          <w:b/>
        </w:rPr>
        <w:t xml:space="preserve">Mbrojtja e mjedisit ka nevojë për vëmendje serioze në planet e ardhshëm të zhvillimit të zonës së programit. </w:t>
      </w:r>
      <w:r>
        <w:t>Me zhvillimin e përgjithshëm të zonës së programit mbështetur kryesisht në  burimet natyrore, mbrojtja e mjedisit dhe ruajtja e këtyre burimeve është vendimtare për zhvillimin e qëndrueshëm të zonës. Sfidat në këtë fushë përfshijnë: nevojën për të rritur zbatimin  e rregullave dhe standardeve për mjedisin, për të siguruar menaxhim më të mirë të pyjeve dhe zonave të mbrojtura, në mënyrë që të parandalohet degradimi i mjedisit; parandalimin e shfrytëzimit të pakontrolluar të burimeve natyrore në zonën e programit; rritjen e ndërgjegjësimit të aktorëve lokalë për përdorim më të mirë të burimeve natyrore. Përmirësimi i menaxhimit të mbeturinave, kontrolli i ndotjes, dhe përmirësimi i menaxhimit të tokave janë ndër prioritetet kryesore për t'u adresuar nga planet zhvillimore qeveritare dhe lokale. Vleftësimi i mëtejshëm i burimeve natyrore në funksion të zhvillimit ekonomik është një çështje kyçe për  zhvillimin e zonës, veçanërisht në anën shqiptare të</w:t>
      </w:r>
      <w:r>
        <w:rPr>
          <w:spacing w:val="-11"/>
        </w:rPr>
        <w:t xml:space="preserve"> </w:t>
      </w:r>
      <w:r>
        <w:t>kufirit.</w:t>
      </w:r>
    </w:p>
    <w:p w14:paraId="5584F991" w14:textId="2D443790" w:rsidR="00C61F48" w:rsidRDefault="00C61F48" w:rsidP="00F17A01">
      <w:pPr>
        <w:pStyle w:val="TEKSTI"/>
      </w:pPr>
      <w:r>
        <w:rPr>
          <w:b/>
        </w:rPr>
        <w:t xml:space="preserve">Infrastruktura e varfër është një sfidë kryesore për zhvillimin ekonomik dhe social </w:t>
      </w:r>
      <w:r>
        <w:t>të zonës 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w:t>
      </w:r>
      <w:r>
        <w:rPr>
          <w:spacing w:val="-25"/>
        </w:rPr>
        <w:t xml:space="preserve"> </w:t>
      </w:r>
      <w:r>
        <w:t>zonë.</w:t>
      </w:r>
    </w:p>
    <w:p w14:paraId="696723D0" w14:textId="2D145E97" w:rsidR="00C61F48" w:rsidRDefault="00C61F48" w:rsidP="00F17A01">
      <w:pPr>
        <w:pStyle w:val="TEKSTI"/>
      </w:pPr>
      <w:r>
        <w:rPr>
          <w:b/>
        </w:rPr>
        <w:t>Zona e programit ka potencial të lartë turistik, por këto mundësi janë përdorur kryesisht në  anën e Malit të Zi</w:t>
      </w:r>
      <w:r>
        <w:t>, ndërsa turizmi në anën e Shqipërisë është zhvilluar pak, pavarësisht potencialit të madh që ka. Iniciativa BNK me qëllim për të prodhuar një ofertë të përbashkët turistike, duhet të konsiderohet. Sfidat kryesore mbeten: zhvillimi i pa balancuar i turizmit, me mbizotërimin e turizmit bregdetar dhe nevojën për të zhvilluar lloje të ndryshme të turizmit (malor, kulinar dhe agro-turizëm) në të gjithë zonën e programit; infrastruktura e dobët e turizmit (veçanërisht në anën shqiptare); vizibiliteti i ulët i trashëgimisë së pasur historike dhe kulturore dhe i veçorive tradicionale; nevoja për të rritur të ardhurat në zonën e programit, duke nxitur aktivitetet për të ruajtur traditën, dhe trashëgiminë kulturore dhe natyrore. Sinergji të dukshme, me mundësi që të mbështeten nga bashkëpunimi ndërkufitar (programi BNK), mund të ndërtohen midis rajoneve në Shqipëri dhe zonave bregdetare në Mal të Zi, por edhe me "zonat më pak turistike" në veri-lindje të Malit të Zi, të cilat kanë karakteristika të ngjashme me veriun e Shqipërisë, në aspektin e mjedisit, natyrës së egër dhe</w:t>
      </w:r>
      <w:r>
        <w:rPr>
          <w:spacing w:val="-15"/>
        </w:rPr>
        <w:t xml:space="preserve"> </w:t>
      </w:r>
      <w:r>
        <w:t>maleve.</w:t>
      </w:r>
    </w:p>
    <w:p w14:paraId="5CAA7084" w14:textId="5E1644F9" w:rsidR="00C61F48" w:rsidRDefault="00C61F48" w:rsidP="00D77205">
      <w:pPr>
        <w:pStyle w:val="TEKSTI"/>
      </w:pPr>
      <w:r>
        <w:rPr>
          <w:b/>
        </w:rPr>
        <w:t xml:space="preserve">Ekziston një trashëgimi e pasur historike-kulturore-artistike në zonën në kufi, e cila duhet të ruhet. </w:t>
      </w:r>
      <w:r>
        <w:t>Vleftësimi i mëtejshëm i trashëgimisë historike dhe kulturore mund të kontribuojë në forcimin</w:t>
      </w:r>
      <w:r>
        <w:rPr>
          <w:spacing w:val="14"/>
        </w:rPr>
        <w:t xml:space="preserve"> </w:t>
      </w:r>
      <w:r>
        <w:t>e</w:t>
      </w:r>
      <w:r>
        <w:rPr>
          <w:spacing w:val="14"/>
        </w:rPr>
        <w:t xml:space="preserve"> </w:t>
      </w:r>
      <w:r>
        <w:t>identitetit</w:t>
      </w:r>
      <w:r>
        <w:rPr>
          <w:spacing w:val="13"/>
        </w:rPr>
        <w:t xml:space="preserve"> </w:t>
      </w:r>
      <w:r>
        <w:t>të</w:t>
      </w:r>
      <w:r>
        <w:rPr>
          <w:spacing w:val="14"/>
        </w:rPr>
        <w:t xml:space="preserve"> </w:t>
      </w:r>
      <w:r>
        <w:t>zonës.</w:t>
      </w:r>
      <w:r>
        <w:rPr>
          <w:spacing w:val="15"/>
        </w:rPr>
        <w:t xml:space="preserve"> </w:t>
      </w:r>
      <w:r>
        <w:t>Trashëgimia</w:t>
      </w:r>
      <w:r>
        <w:rPr>
          <w:spacing w:val="13"/>
        </w:rPr>
        <w:t xml:space="preserve"> </w:t>
      </w:r>
      <w:r>
        <w:t>kulturore</w:t>
      </w:r>
      <w:r>
        <w:rPr>
          <w:spacing w:val="14"/>
        </w:rPr>
        <w:t xml:space="preserve"> </w:t>
      </w:r>
      <w:r>
        <w:t>është</w:t>
      </w:r>
      <w:r>
        <w:rPr>
          <w:spacing w:val="14"/>
        </w:rPr>
        <w:t xml:space="preserve"> </w:t>
      </w:r>
      <w:r>
        <w:t>një</w:t>
      </w:r>
      <w:r>
        <w:rPr>
          <w:spacing w:val="14"/>
        </w:rPr>
        <w:t xml:space="preserve"> </w:t>
      </w:r>
      <w:r>
        <w:t>pasuri</w:t>
      </w:r>
      <w:r>
        <w:rPr>
          <w:spacing w:val="15"/>
        </w:rPr>
        <w:t xml:space="preserve"> </w:t>
      </w:r>
      <w:r>
        <w:t>për</w:t>
      </w:r>
      <w:r>
        <w:rPr>
          <w:spacing w:val="14"/>
        </w:rPr>
        <w:t xml:space="preserve"> </w:t>
      </w:r>
      <w:r>
        <w:t>zhvillimin</w:t>
      </w:r>
      <w:r>
        <w:rPr>
          <w:spacing w:val="14"/>
        </w:rPr>
        <w:t xml:space="preserve"> </w:t>
      </w:r>
      <w:r>
        <w:t>ekonomik</w:t>
      </w:r>
      <w:r>
        <w:rPr>
          <w:spacing w:val="13"/>
        </w:rPr>
        <w:t xml:space="preserve"> </w:t>
      </w:r>
      <w:r>
        <w:t>të</w:t>
      </w:r>
      <w:r w:rsidR="00D77205">
        <w:t xml:space="preserve"> </w:t>
      </w:r>
      <w:r>
        <w:t>zonës së programit. Bashkëpunimi midis institucioneve kulturore është i pranishëm, por ai mund të intensifikohet akoma më</w:t>
      </w:r>
      <w:r>
        <w:rPr>
          <w:spacing w:val="-5"/>
        </w:rPr>
        <w:t xml:space="preserve"> </w:t>
      </w:r>
      <w:r>
        <w:t>tej.</w:t>
      </w:r>
    </w:p>
    <w:p w14:paraId="11AB6C18" w14:textId="1760E485" w:rsidR="00C61F48" w:rsidRDefault="00C61F48" w:rsidP="00F17A01">
      <w:pPr>
        <w:pStyle w:val="TEKSTI"/>
      </w:pPr>
      <w:r>
        <w:rPr>
          <w:b/>
        </w:rPr>
        <w:t xml:space="preserve">Përmirësimi i cilësisë së sistemit arsimor dhe infrastrukturës shkollore është një sfidë dhe prioritet </w:t>
      </w:r>
      <w:r>
        <w:t>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w:t>
      </w:r>
      <w:r>
        <w:rPr>
          <w:spacing w:val="-13"/>
        </w:rPr>
        <w:t xml:space="preserve"> </w:t>
      </w:r>
      <w:r>
        <w:t>kërkimore.</w:t>
      </w:r>
    </w:p>
    <w:p w14:paraId="785E9D05" w14:textId="7B2B708B" w:rsidR="00C61F48" w:rsidRDefault="00C61F48" w:rsidP="00F17A01">
      <w:pPr>
        <w:pStyle w:val="TEKSTI"/>
      </w:pPr>
      <w:r>
        <w:t xml:space="preserve">Në përgjithësi, </w:t>
      </w:r>
      <w:r>
        <w:rPr>
          <w:b/>
        </w:rPr>
        <w:t xml:space="preserve">sektori i shëndetësisë </w:t>
      </w:r>
      <w:r>
        <w:t>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sigurisht që ka vend për aktivitete të mundshme të përbashkëta që lidhen me fushatat parandaluese dhe edukimin</w:t>
      </w:r>
      <w:r>
        <w:rPr>
          <w:spacing w:val="-16"/>
        </w:rPr>
        <w:t xml:space="preserve"> </w:t>
      </w:r>
      <w:r>
        <w:t>shëndetësor.</w:t>
      </w:r>
    </w:p>
    <w:p w14:paraId="60BAD3E2" w14:textId="4C898778" w:rsidR="00C61F48" w:rsidRDefault="00C61F48" w:rsidP="00F17A01">
      <w:pPr>
        <w:pStyle w:val="TEKSTI"/>
      </w:pPr>
      <w:r>
        <w:rPr>
          <w:b/>
        </w:rPr>
        <w:t xml:space="preserve">Inkurajimi i rrjeteve rajonale të OShC-ve </w:t>
      </w:r>
      <w:r>
        <w:t>(duke përfshirë organizatat e sportit, rinisë dhe ato kulturore) mund të kontribuojë në ruajtjen dhe forcimin e lidhjeve ndërmjet komuniteteve në të dyja anët e kufirit në këtë zonë të programit</w:t>
      </w:r>
      <w:r>
        <w:rPr>
          <w:spacing w:val="-16"/>
        </w:rPr>
        <w:t xml:space="preserve"> </w:t>
      </w:r>
      <w:r>
        <w:t>shumë-etnik.</w:t>
      </w:r>
    </w:p>
    <w:p w14:paraId="7A5F63BC" w14:textId="531EF3EA" w:rsidR="00C61F48" w:rsidRDefault="00C61F48" w:rsidP="00F17A01">
      <w:pPr>
        <w:pStyle w:val="TEKSTI"/>
      </w:pPr>
      <w:r>
        <w:rPr>
          <w:b/>
        </w:rPr>
        <w:t xml:space="preserve">Depërtimi i kërkimit shkencor &amp; zhvillimit dhe i teknologjisë së informacionit dhe komunikimit (TIK) është në disproporcion të dukshëm midis vendeve të programit, dhe mbetet në nivel të ulët. </w:t>
      </w:r>
      <w:r>
        <w:t>Investimet e pamjaftueshme, mungesa e aktiviteteve mbështetëse në nivel qendror, rajonal ose lokal për kërkimin shkencor dhe zhvillimin, janë të pranishme, pavarësisht faktit që në zonën e programit ka 4 Universitete. Nuk ka të dhëna specifike mbi kërkimin shkencor, zhvillimin dhe inovacionin, por praktikisht mungon bashkëpunimi midis institucioneve edukuese në të dy vendet, dhe kjo fushë është e pa</w:t>
      </w:r>
      <w:r>
        <w:rPr>
          <w:spacing w:val="-11"/>
        </w:rPr>
        <w:t xml:space="preserve"> </w:t>
      </w:r>
      <w:r>
        <w:t>eksploruar.</w:t>
      </w:r>
    </w:p>
    <w:p w14:paraId="38820CF2" w14:textId="6580325F" w:rsidR="00C61F48" w:rsidRPr="003D668F" w:rsidRDefault="00C61F48" w:rsidP="00F17A01">
      <w:pPr>
        <w:pStyle w:val="TEKSTI"/>
        <w:rPr>
          <w:lang w:val="it-IT"/>
        </w:rPr>
      </w:pPr>
      <w:r>
        <w:rPr>
          <w:b/>
        </w:rPr>
        <w:t xml:space="preserve">Në përgjithësi, qeveritë lokale dhe rajonale janë të dobëta financiarisht dhe nuk mund të nxisin zhvillimin lokal. </w:t>
      </w:r>
      <w:r w:rsidRPr="003D668F">
        <w:rPr>
          <w:lang w:val="it-IT"/>
        </w:rPr>
        <w:t>Ndryshe nga Shqipëria, Mali i Zi nuk ka qeverisje lokale. Sfidat përfshijnë: mungesën e aftësive në menaxhim, kontroll financiar dhe buxhetim, si dhe qasjet demokratike në proceset vendim-marrëse. Absorbimi i fondeve të BE-së është i ulët. Bashkëpunimi midis qeverive lokale ndërmjet dy vendeve mund të përmirësohet. Procesi i decentralizimit është duke vazhduar në të dy</w:t>
      </w:r>
      <w:r w:rsidRPr="003D668F">
        <w:rPr>
          <w:spacing w:val="-3"/>
          <w:lang w:val="it-IT"/>
        </w:rPr>
        <w:t xml:space="preserve"> </w:t>
      </w:r>
      <w:r w:rsidRPr="003D668F">
        <w:rPr>
          <w:lang w:val="it-IT"/>
        </w:rPr>
        <w:t>vendet.</w:t>
      </w:r>
    </w:p>
    <w:p w14:paraId="70377E3F" w14:textId="77777777" w:rsidR="00C61F48" w:rsidRPr="003D668F" w:rsidRDefault="00C61F48" w:rsidP="00F17A01">
      <w:pPr>
        <w:pStyle w:val="TEKSTI"/>
        <w:rPr>
          <w:lang w:val="it-IT"/>
        </w:rPr>
      </w:pPr>
      <w:r w:rsidRPr="003D668F">
        <w:rPr>
          <w:lang w:val="it-IT"/>
        </w:rPr>
        <w:t>Bazuar në analizën e situatës dhe në analizat PESTLE ose SWOT, ndërhyrjet e mëposhtme të mundshme konsiderohen si thelbësore për zhvillimin e rajonit kufitar:</w:t>
      </w:r>
    </w:p>
    <w:p w14:paraId="1BF32B07" w14:textId="3ECC0A2A" w:rsidR="00C61F48" w:rsidRPr="002956AE" w:rsidRDefault="00C61F48" w:rsidP="002956AE">
      <w:pPr>
        <w:pStyle w:val="TEKSTI"/>
        <w:numPr>
          <w:ilvl w:val="0"/>
          <w:numId w:val="48"/>
        </w:numPr>
      </w:pPr>
      <w:r w:rsidRPr="002956AE">
        <w:t>Turizmi dhe trashëgimia</w:t>
      </w:r>
      <w:r w:rsidRPr="002956AE">
        <w:rPr>
          <w:spacing w:val="-11"/>
        </w:rPr>
        <w:t xml:space="preserve"> </w:t>
      </w:r>
      <w:r w:rsidRPr="002956AE">
        <w:t>kulturore;</w:t>
      </w:r>
    </w:p>
    <w:p w14:paraId="5AC673FF" w14:textId="51AE3E5D" w:rsidR="00C61F48" w:rsidRPr="002956AE" w:rsidRDefault="00C61F48" w:rsidP="002956AE">
      <w:pPr>
        <w:pStyle w:val="TEKSTI"/>
        <w:numPr>
          <w:ilvl w:val="0"/>
          <w:numId w:val="48"/>
        </w:numPr>
        <w:rPr>
          <w:lang w:val="it-IT"/>
        </w:rPr>
      </w:pPr>
      <w:r w:rsidRPr="002956AE">
        <w:rPr>
          <w:lang w:val="it-IT"/>
        </w:rPr>
        <w:t>Mbrojtja e mjedisit, ndryshimi klimatik dhe parandalimi i</w:t>
      </w:r>
      <w:r w:rsidRPr="002956AE">
        <w:rPr>
          <w:spacing w:val="-28"/>
          <w:lang w:val="it-IT"/>
        </w:rPr>
        <w:t xml:space="preserve"> </w:t>
      </w:r>
      <w:r w:rsidRPr="002956AE">
        <w:rPr>
          <w:lang w:val="it-IT"/>
        </w:rPr>
        <w:t>riskut;</w:t>
      </w:r>
    </w:p>
    <w:p w14:paraId="0A5CF048" w14:textId="78C2B6D5" w:rsidR="00C61F48" w:rsidRPr="002956AE" w:rsidRDefault="00C61F48" w:rsidP="002956AE">
      <w:pPr>
        <w:pStyle w:val="TEKSTI"/>
        <w:numPr>
          <w:ilvl w:val="0"/>
          <w:numId w:val="48"/>
        </w:numPr>
        <w:rPr>
          <w:lang w:val="it-IT"/>
        </w:rPr>
      </w:pPr>
      <w:r w:rsidRPr="002956AE">
        <w:rPr>
          <w:lang w:val="it-IT"/>
        </w:rPr>
        <w:t>Punësimi, lëvizja gjeografike e punonjësve dhe përfshirja</w:t>
      </w:r>
      <w:r w:rsidRPr="002956AE">
        <w:rPr>
          <w:spacing w:val="-27"/>
          <w:lang w:val="it-IT"/>
        </w:rPr>
        <w:t xml:space="preserve"> </w:t>
      </w:r>
      <w:r w:rsidRPr="002956AE">
        <w:rPr>
          <w:lang w:val="it-IT"/>
        </w:rPr>
        <w:t>sociale;</w:t>
      </w:r>
    </w:p>
    <w:p w14:paraId="2A7AAA30" w14:textId="44536515" w:rsidR="00C61F48" w:rsidRPr="002956AE" w:rsidRDefault="00C61F48" w:rsidP="002956AE">
      <w:pPr>
        <w:pStyle w:val="TEKSTI"/>
        <w:numPr>
          <w:ilvl w:val="0"/>
          <w:numId w:val="48"/>
        </w:numPr>
      </w:pPr>
      <w:r w:rsidRPr="002956AE">
        <w:t>Asistenca</w:t>
      </w:r>
      <w:r w:rsidRPr="002956AE">
        <w:rPr>
          <w:spacing w:val="-4"/>
        </w:rPr>
        <w:t xml:space="preserve"> </w:t>
      </w:r>
      <w:r w:rsidRPr="002956AE">
        <w:t>teknike.</w:t>
      </w:r>
    </w:p>
    <w:p w14:paraId="2ADB60FC" w14:textId="77777777" w:rsidR="00713D52" w:rsidRPr="002956AE" w:rsidRDefault="00713D52" w:rsidP="00846895">
      <w:pPr>
        <w:pStyle w:val="TEKSTI"/>
      </w:pPr>
      <w:bookmarkStart w:id="27" w:name="_bookmark24"/>
      <w:bookmarkEnd w:id="27"/>
    </w:p>
    <w:p w14:paraId="2EB18AFC" w14:textId="77777777" w:rsidR="00C61F48" w:rsidRPr="00846895" w:rsidRDefault="00C61F48" w:rsidP="00846895">
      <w:pPr>
        <w:pStyle w:val="TEKSTI"/>
        <w:rPr>
          <w:b/>
        </w:rPr>
      </w:pPr>
      <w:r w:rsidRPr="00846895">
        <w:rPr>
          <w:b/>
        </w:rPr>
        <w:t>Seksioni 3: Strategjia e Programit</w:t>
      </w:r>
    </w:p>
    <w:p w14:paraId="6C2DA648" w14:textId="77F3D880" w:rsidR="00C61F48" w:rsidRPr="00846895" w:rsidRDefault="00846895" w:rsidP="00846895">
      <w:pPr>
        <w:pStyle w:val="TEKSTI"/>
        <w:rPr>
          <w:b/>
          <w:sz w:val="26"/>
        </w:rPr>
      </w:pPr>
      <w:bookmarkStart w:id="28" w:name="_bookmark25"/>
      <w:bookmarkEnd w:id="28"/>
      <w:r>
        <w:rPr>
          <w:b/>
          <w:sz w:val="26"/>
        </w:rPr>
        <w:t xml:space="preserve">3.1 </w:t>
      </w:r>
      <w:r w:rsidR="00C61F48" w:rsidRPr="00846895">
        <w:rPr>
          <w:b/>
          <w:sz w:val="26"/>
        </w:rPr>
        <w:t>Arsyetim - Arsyetimi për strategjinë e zgjedhur të</w:t>
      </w:r>
      <w:r w:rsidR="00C61F48" w:rsidRPr="00846895">
        <w:rPr>
          <w:b/>
          <w:spacing w:val="-30"/>
          <w:sz w:val="26"/>
        </w:rPr>
        <w:t xml:space="preserve"> </w:t>
      </w:r>
      <w:r w:rsidR="00C61F48" w:rsidRPr="00846895">
        <w:rPr>
          <w:b/>
          <w:sz w:val="26"/>
        </w:rPr>
        <w:t>ndërhyrjes</w:t>
      </w:r>
    </w:p>
    <w:p w14:paraId="2E5115F6" w14:textId="77777777" w:rsidR="00C61F48" w:rsidRDefault="00C61F48" w:rsidP="00846895">
      <w:pPr>
        <w:pStyle w:val="TEKSTI"/>
      </w:pPr>
      <w:r>
        <w:t>Programi BNK do të synojë të promovojë iniciativa të përbashkëta ndërkufitare dhe veprime që synojnë të përmirësojnë ekonominë e zonave kufitare në mënyrë të qëndrueshme sociale dhe mjedisore. Në kuadër të këtij programi janë zgjedhur tre prioritete tematike, të cilat përfshijnë:</w:t>
      </w:r>
    </w:p>
    <w:p w14:paraId="2D05763B" w14:textId="77777777" w:rsidR="00846895" w:rsidRPr="00846895" w:rsidRDefault="00846895" w:rsidP="00846895">
      <w:pPr>
        <w:pStyle w:val="TEKSTI"/>
        <w:rPr>
          <w:b/>
        </w:rPr>
      </w:pPr>
      <w:r w:rsidRPr="00846895">
        <w:rPr>
          <w:b/>
        </w:rPr>
        <w:t>PRIORITETI TEMATIK 1:  Nxitja e turizmit dhe e trashëgimisë kulturore dhe natyrore</w:t>
      </w:r>
    </w:p>
    <w:p w14:paraId="42563C7A" w14:textId="77777777" w:rsidR="00C61F48" w:rsidRDefault="00C61F48" w:rsidP="00846895">
      <w:pPr>
        <w:pStyle w:val="TEKSTI"/>
      </w:pPr>
      <w:r>
        <w:t xml:space="preserve">Prioriteti i parë do të promovojë iniciativa të përbashkëta ndërkufitare dhe veprime që synojnë të mbështesin zhvillimin ekonomik me fokus turizmin (por jo ekskluzivisht), pasi ai konsiderohet të ketë një potencial të madh për të gjithë zonën e programit si një e tërë. Përveç kësaj, do të mbështeten shkëmbime kulturore dhe sociale. Ky prioritet i programit do të kontribuojë në përmirësimin dhe rritjen  e standardeve të jetesës, duke ofruar mundësi për partneritete më të gjera dhe shkëmbime të interesit të përbashkët përtej kufirit, për të zhvilluar turizmin dhe për të vlerësuar trashëgiminë kulturore të zonës. Aktivitetet që do të zbatohen, pritet të ndikojnë në përmirësimin e cilësisë  së  shërbimeve, krijimin e rrjeteve dhe partneriteteve ndërmjet pushtetit vendor dhe palëve të interesuara në nivel lokal për të promovuar vendet e përbashkëta turistike, ruajtjen e trashëgimisë kulturore, inkurajimin e sipërmarrjes dhe konkurrencës në sektorin e turizmit, promovimin e ofertave të përbashkëta turistike, zhvillimin dhe promovimin e markave të reja të produkteve vendase, promovimin e imazhit </w:t>
      </w:r>
      <w:r>
        <w:rPr>
          <w:spacing w:val="3"/>
        </w:rPr>
        <w:t xml:space="preserve">të </w:t>
      </w:r>
      <w:r>
        <w:t>zonës për investitorët dhe vizitorët potencial, etj. Rezultatet e pritshme do të kenë një ndikim në promovimin e aktiviteteve sipërmarrëse turistike përtej kufirit dhe rritjen e shkëmbimeve të diversitetit kulturor, vlerave historike dhe kulturore, si një tipar unik i përbashkët i zonave në secilën anë të</w:t>
      </w:r>
      <w:r>
        <w:rPr>
          <w:spacing w:val="-28"/>
        </w:rPr>
        <w:t xml:space="preserve"> </w:t>
      </w:r>
      <w:r>
        <w:t>kufirit.</w:t>
      </w:r>
    </w:p>
    <w:p w14:paraId="51614A01" w14:textId="77777777" w:rsidR="00846895" w:rsidRDefault="00846895" w:rsidP="00846895">
      <w:pPr>
        <w:pStyle w:val="TEKSTI"/>
      </w:pPr>
    </w:p>
    <w:p w14:paraId="3D401CE2" w14:textId="77777777" w:rsidR="00846895" w:rsidRPr="00846895" w:rsidRDefault="00846895" w:rsidP="00846895">
      <w:pPr>
        <w:pStyle w:val="TEKSTI"/>
        <w:rPr>
          <w:b/>
        </w:rPr>
      </w:pPr>
      <w:r w:rsidRPr="00846895">
        <w:rPr>
          <w:b/>
        </w:rPr>
        <w:t>PRIORITETI TEMATIK 2: Mbrojtja e mjedisit, nxitja e përshtatjes dhe lehtësimit ndaj ndryshimeve klimatike, parandalimi dhe menaxhimi i rrezikut</w:t>
      </w:r>
    </w:p>
    <w:p w14:paraId="1A0D59F2" w14:textId="77777777" w:rsidR="00C61F48" w:rsidRDefault="00C61F48" w:rsidP="00846895">
      <w:pPr>
        <w:pStyle w:val="TEKSTI"/>
      </w:pPr>
      <w:r>
        <w:t>Me zhvillimin e përgjithshëm të zonës së programit duke u mbështetur kryesisht tek burimet natyrore, mbrojtja e mjedisit dhe ruajtja e burimeve natyrore janë vendimtare për zhvillimin e qëndrueshëm. Aktivitetet në kuadër të këtij prioriteti do të mbështesin bashkëpunimin për mbrojtjen e mjedisit, si për shembull Shkodra/Liqeni i Shkodrës dhe rrethinat e saj, duke krijuar sinergji ndër-kufitare për menaxhimin e zonave të mbrojtura që ndodhen në zonën kufitare, do të mbështesin reduktimin e ndotjes dhe mbrojtjen e integruar, menaxhimin e ekosistemeve të ndjeshme dhe përdorimin e mirë të ujërave sipërfaqësore, sistemet e integruara të monitorimit të mjedisit dhe bazat e të dhënave, veprime të përcaktuara për të inkurajuar aktivitetet ekonomike ekologjikisht-miqësore, etj., me qëllim vlerësimin e mëtejshëm të burimeve natyrore në funksion të zhvillimit ekonomik.</w:t>
      </w:r>
    </w:p>
    <w:p w14:paraId="41390489" w14:textId="77777777" w:rsidR="00846895" w:rsidRPr="00846895" w:rsidRDefault="00846895" w:rsidP="00846895">
      <w:pPr>
        <w:pStyle w:val="TEKSTI"/>
        <w:rPr>
          <w:b/>
        </w:rPr>
      </w:pPr>
      <w:r w:rsidRPr="00846895">
        <w:rPr>
          <w:b/>
        </w:rPr>
        <w:t>PRIORITETI TEMATIK 3: Nxitja e punësimit, lëvizjes gjeografike të punonjësve, dhe përfshirjes sociale dhe kulturore përtej kufirit</w:t>
      </w:r>
    </w:p>
    <w:p w14:paraId="031064AD" w14:textId="1ACA5DE4" w:rsidR="00C61F48" w:rsidRDefault="00C61F48" w:rsidP="00846895">
      <w:pPr>
        <w:pStyle w:val="TEKSTI"/>
      </w:pPr>
      <w:r>
        <w:t>Ky prioritet do të synojë të adresojë çështjet që lidhen me normat e larta të papunësisë, veçanërisht tek të rinjtë dhe gratë, integrimin e ulët të tregjeve të punës ndërkufitare, dhe lëvizjen gjeografike të punonjësve. Aktivitetet në kuadër të këtij prioriteti do të synojnë të p</w:t>
      </w:r>
      <w:r w:rsidR="00846895">
        <w:t xml:space="preserve">romovojnë lidhjen më të mirë të </w:t>
      </w:r>
      <w:r>
        <w:t xml:space="preserve">formimit profesional me kërkesat e tregut të punës, në mënyrë që të rriten aftësitë e fuqisë punëtore dhe mundësitë për punësim, iniciativat ekonomike të punës intensive me një shtrirje ndërkufitare, bashkëpunimin ndërmjet institucioneve të arsimit dhe sektorit privat për të përmirësuar përputhjen e kurrikulave të trajnimit me kërkesat e tregut të punës, zhvillimin e </w:t>
      </w:r>
      <w:r>
        <w:rPr>
          <w:i/>
        </w:rPr>
        <w:t xml:space="preserve">mësimit virtual </w:t>
      </w:r>
      <w:r>
        <w:t>të vazhdueshëm për  të përmirësuar aftësitë e personave të punësuar si dhe atyre të papunë, për të rritur mundësitë e tyre në tregun e punës, mbështetjen e shfrytëzimit të teknologjive TIK për krijimin e rrjeteve dhe lëvizjet ndërkufitare të fuqisë</w:t>
      </w:r>
      <w:r>
        <w:rPr>
          <w:spacing w:val="-6"/>
        </w:rPr>
        <w:t xml:space="preserve"> </w:t>
      </w:r>
      <w:r>
        <w:t>punëtore.</w:t>
      </w:r>
    </w:p>
    <w:p w14:paraId="52F575EB" w14:textId="77777777" w:rsidR="00C61F48" w:rsidRDefault="00C61F48" w:rsidP="00846895">
      <w:pPr>
        <w:pStyle w:val="TEKSTI"/>
      </w:pPr>
      <w:r>
        <w:t>Tabela e mëposhtme paraqet një përmbledhje të kontekstit dhe arsyetimet që çojnë në zgjedhjen e këtyre prioriteteve.</w:t>
      </w:r>
    </w:p>
    <w:p w14:paraId="2DB9A099" w14:textId="77777777" w:rsidR="00C61F48" w:rsidRDefault="00C61F48" w:rsidP="00846895">
      <w:pPr>
        <w:pStyle w:val="TEKSTI"/>
      </w:pPr>
      <w:r>
        <w:t>Tabela 1:  Pasqyrë sintetike e justifikimit për përzgjedhjen e prioriteteve tematike</w:t>
      </w:r>
    </w:p>
    <w:p w14:paraId="4552DA75" w14:textId="77777777" w:rsidR="00C61F48" w:rsidRDefault="00C61F48" w:rsidP="00C61F48">
      <w:pPr>
        <w:pStyle w:val="BodyText"/>
        <w:rPr>
          <w:b/>
          <w:sz w:val="15"/>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0"/>
        <w:gridCol w:w="4172"/>
        <w:gridCol w:w="20"/>
        <w:gridCol w:w="5327"/>
        <w:gridCol w:w="20"/>
      </w:tblGrid>
      <w:tr w:rsidR="00C61F48" w:rsidRPr="00E674D9" w14:paraId="0909EDA2" w14:textId="77777777" w:rsidTr="00E674D9">
        <w:trPr>
          <w:gridAfter w:val="1"/>
          <w:wAfter w:w="20" w:type="dxa"/>
          <w:trHeight w:hRule="exact" w:val="512"/>
        </w:trPr>
        <w:tc>
          <w:tcPr>
            <w:tcW w:w="4192" w:type="dxa"/>
            <w:gridSpan w:val="2"/>
            <w:tcBorders>
              <w:bottom w:val="single" w:sz="24" w:space="0" w:color="FFFFFF"/>
            </w:tcBorders>
            <w:shd w:val="clear" w:color="auto" w:fill="4F81BC"/>
          </w:tcPr>
          <w:p w14:paraId="1693A248" w14:textId="77777777" w:rsidR="00C61F48" w:rsidRPr="00E674D9" w:rsidRDefault="00C61F48" w:rsidP="00BA13DB">
            <w:pPr>
              <w:pStyle w:val="TableParagraph"/>
              <w:spacing w:before="1"/>
              <w:ind w:left="772"/>
              <w:rPr>
                <w:rFonts w:ascii="Garamond" w:hAnsi="Garamond"/>
                <w:b/>
                <w:sz w:val="16"/>
                <w:szCs w:val="16"/>
              </w:rPr>
            </w:pPr>
            <w:r w:rsidRPr="00E674D9">
              <w:rPr>
                <w:rFonts w:ascii="Garamond" w:hAnsi="Garamond"/>
                <w:b/>
                <w:color w:val="FFFFFF" w:themeColor="background1"/>
                <w:sz w:val="16"/>
                <w:szCs w:val="16"/>
              </w:rPr>
              <w:t>Prioritetet tematike të zgjedhur</w:t>
            </w:r>
          </w:p>
        </w:tc>
        <w:tc>
          <w:tcPr>
            <w:tcW w:w="5347" w:type="dxa"/>
            <w:gridSpan w:val="2"/>
            <w:tcBorders>
              <w:bottom w:val="single" w:sz="24" w:space="0" w:color="FFFFFF"/>
            </w:tcBorders>
            <w:shd w:val="clear" w:color="auto" w:fill="4F81BC"/>
          </w:tcPr>
          <w:p w14:paraId="38C56D96" w14:textId="77777777" w:rsidR="00C61F48" w:rsidRPr="00E674D9" w:rsidRDefault="00C61F48" w:rsidP="00BA13DB">
            <w:pPr>
              <w:pStyle w:val="TableParagraph"/>
              <w:spacing w:before="1"/>
              <w:ind w:left="1532"/>
              <w:rPr>
                <w:rFonts w:ascii="Garamond" w:hAnsi="Garamond"/>
                <w:b/>
                <w:sz w:val="16"/>
                <w:szCs w:val="16"/>
              </w:rPr>
            </w:pPr>
            <w:r w:rsidRPr="00E674D9">
              <w:rPr>
                <w:rFonts w:ascii="Garamond" w:hAnsi="Garamond"/>
                <w:b/>
                <w:color w:val="FFFFFF" w:themeColor="background1"/>
                <w:sz w:val="16"/>
                <w:szCs w:val="16"/>
              </w:rPr>
              <w:t>Justifikimi për përzgjedhjen</w:t>
            </w:r>
          </w:p>
        </w:tc>
      </w:tr>
      <w:tr w:rsidR="00C61F48" w:rsidRPr="00E674D9" w14:paraId="2FD5A647" w14:textId="77777777" w:rsidTr="00E674D9">
        <w:trPr>
          <w:gridAfter w:val="1"/>
          <w:wAfter w:w="20" w:type="dxa"/>
          <w:trHeight w:hRule="exact" w:val="2523"/>
        </w:trPr>
        <w:tc>
          <w:tcPr>
            <w:tcW w:w="4192" w:type="dxa"/>
            <w:gridSpan w:val="2"/>
            <w:tcBorders>
              <w:top w:val="single" w:sz="24" w:space="0" w:color="FFFFFF"/>
              <w:bottom w:val="single" w:sz="9" w:space="0" w:color="FFFFFF"/>
              <w:right w:val="single" w:sz="24" w:space="0" w:color="FFFFFF"/>
            </w:tcBorders>
            <w:shd w:val="clear" w:color="auto" w:fill="4F81BC"/>
          </w:tcPr>
          <w:p w14:paraId="5CEE2708" w14:textId="77777777" w:rsidR="00C61F48" w:rsidRPr="00E674D9" w:rsidRDefault="00C61F48" w:rsidP="00BA13DB">
            <w:pPr>
              <w:pStyle w:val="TableParagraph"/>
              <w:rPr>
                <w:rFonts w:ascii="Garamond" w:hAnsi="Garamond"/>
                <w:b/>
                <w:sz w:val="16"/>
                <w:szCs w:val="16"/>
              </w:rPr>
            </w:pPr>
          </w:p>
          <w:p w14:paraId="375C4D2D" w14:textId="77777777" w:rsidR="00C61F48" w:rsidRPr="00E674D9" w:rsidRDefault="00C61F48" w:rsidP="00BA13DB">
            <w:pPr>
              <w:pStyle w:val="TableParagraph"/>
              <w:spacing w:before="3"/>
              <w:rPr>
                <w:rFonts w:ascii="Garamond" w:hAnsi="Garamond"/>
                <w:b/>
                <w:sz w:val="16"/>
                <w:szCs w:val="16"/>
              </w:rPr>
            </w:pPr>
          </w:p>
          <w:p w14:paraId="6B098712" w14:textId="77777777" w:rsidR="00C61F48" w:rsidRPr="00E674D9" w:rsidRDefault="00C61F48" w:rsidP="00BA13DB">
            <w:pPr>
              <w:pStyle w:val="TableParagraph"/>
              <w:spacing w:line="278" w:lineRule="auto"/>
              <w:ind w:left="98" w:right="264"/>
              <w:rPr>
                <w:rFonts w:ascii="Garamond" w:hAnsi="Garamond"/>
                <w:b/>
                <w:sz w:val="16"/>
                <w:szCs w:val="16"/>
              </w:rPr>
            </w:pPr>
            <w:r w:rsidRPr="00E674D9">
              <w:rPr>
                <w:rFonts w:ascii="Garamond" w:hAnsi="Garamond"/>
                <w:b/>
                <w:color w:val="FFFFFF" w:themeColor="background1"/>
                <w:sz w:val="16"/>
                <w:szCs w:val="16"/>
              </w:rPr>
              <w:t>Nxitja e turizmit dhe e trashëgimisë kulturore dhe natyrore.</w:t>
            </w:r>
          </w:p>
        </w:tc>
        <w:tc>
          <w:tcPr>
            <w:tcW w:w="5347" w:type="dxa"/>
            <w:gridSpan w:val="2"/>
            <w:tcBorders>
              <w:top w:val="single" w:sz="24" w:space="0" w:color="FFFFFF"/>
              <w:left w:val="single" w:sz="24" w:space="0" w:color="FFFFFF"/>
              <w:bottom w:val="single" w:sz="9" w:space="0" w:color="FFFFFF"/>
            </w:tcBorders>
            <w:shd w:val="clear" w:color="auto" w:fill="A7BEDE"/>
          </w:tcPr>
          <w:p w14:paraId="678FA191" w14:textId="77777777" w:rsidR="00C61F48" w:rsidRPr="00E674D9" w:rsidRDefault="00C61F48" w:rsidP="00D8448F">
            <w:pPr>
              <w:pStyle w:val="TableParagraph"/>
              <w:numPr>
                <w:ilvl w:val="0"/>
                <w:numId w:val="47"/>
              </w:numPr>
              <w:tabs>
                <w:tab w:val="left" w:pos="378"/>
              </w:tabs>
              <w:ind w:right="97"/>
              <w:jc w:val="both"/>
              <w:rPr>
                <w:rFonts w:ascii="Garamond" w:hAnsi="Garamond"/>
                <w:sz w:val="16"/>
                <w:szCs w:val="16"/>
              </w:rPr>
            </w:pPr>
            <w:r w:rsidRPr="00E674D9">
              <w:rPr>
                <w:rFonts w:ascii="Garamond" w:hAnsi="Garamond"/>
                <w:sz w:val="16"/>
                <w:szCs w:val="16"/>
              </w:rPr>
              <w:t>Turizmi është sektori ekonomik më premtues në Mal të Zi, ndërkohë që edhe në zonën e programit në Shqipëri ka një potencial të lartë për</w:t>
            </w:r>
            <w:r w:rsidRPr="00E674D9">
              <w:rPr>
                <w:rFonts w:ascii="Garamond" w:hAnsi="Garamond"/>
                <w:spacing w:val="-11"/>
                <w:sz w:val="16"/>
                <w:szCs w:val="16"/>
              </w:rPr>
              <w:t xml:space="preserve"> </w:t>
            </w:r>
            <w:r w:rsidRPr="00E674D9">
              <w:rPr>
                <w:rFonts w:ascii="Garamond" w:hAnsi="Garamond"/>
                <w:sz w:val="16"/>
                <w:szCs w:val="16"/>
              </w:rPr>
              <w:t>zhvillim;</w:t>
            </w:r>
          </w:p>
          <w:p w14:paraId="0C362466" w14:textId="77777777" w:rsidR="00C61F48" w:rsidRPr="00E674D9" w:rsidRDefault="00C61F48" w:rsidP="00D8448F">
            <w:pPr>
              <w:pStyle w:val="TableParagraph"/>
              <w:numPr>
                <w:ilvl w:val="0"/>
                <w:numId w:val="47"/>
              </w:numPr>
              <w:tabs>
                <w:tab w:val="left" w:pos="378"/>
              </w:tabs>
              <w:spacing w:before="60"/>
              <w:ind w:right="100"/>
              <w:jc w:val="both"/>
              <w:rPr>
                <w:rFonts w:ascii="Garamond" w:hAnsi="Garamond"/>
                <w:sz w:val="16"/>
                <w:szCs w:val="16"/>
              </w:rPr>
            </w:pPr>
            <w:r w:rsidRPr="00E674D9">
              <w:rPr>
                <w:rFonts w:ascii="Garamond" w:hAnsi="Garamond"/>
                <w:sz w:val="16"/>
                <w:szCs w:val="16"/>
              </w:rPr>
              <w:t>Nevoja për të nxitur zhvillimin e llojeve të ndryshme të turizmit (malor, kulinar, dhe agro-turizmi) në të gjithë zonën e programit, pasi ka një zhvillim të çekuilibruar të turizmit, me mbizotërimin e turizmit</w:t>
            </w:r>
            <w:r w:rsidRPr="00E674D9">
              <w:rPr>
                <w:rFonts w:ascii="Garamond" w:hAnsi="Garamond"/>
                <w:spacing w:val="-15"/>
                <w:sz w:val="16"/>
                <w:szCs w:val="16"/>
              </w:rPr>
              <w:t xml:space="preserve"> </w:t>
            </w:r>
            <w:r w:rsidRPr="00E674D9">
              <w:rPr>
                <w:rFonts w:ascii="Garamond" w:hAnsi="Garamond"/>
                <w:sz w:val="16"/>
                <w:szCs w:val="16"/>
              </w:rPr>
              <w:t>bregdetar;</w:t>
            </w:r>
          </w:p>
          <w:p w14:paraId="141F260A" w14:textId="77777777" w:rsidR="00C61F48" w:rsidRPr="00E674D9" w:rsidRDefault="00C61F48" w:rsidP="00D8448F">
            <w:pPr>
              <w:pStyle w:val="TableParagraph"/>
              <w:numPr>
                <w:ilvl w:val="0"/>
                <w:numId w:val="47"/>
              </w:numPr>
              <w:tabs>
                <w:tab w:val="left" w:pos="378"/>
              </w:tabs>
              <w:spacing w:before="60"/>
              <w:ind w:right="94"/>
              <w:jc w:val="both"/>
              <w:rPr>
                <w:rFonts w:ascii="Garamond" w:hAnsi="Garamond"/>
                <w:sz w:val="16"/>
                <w:szCs w:val="16"/>
              </w:rPr>
            </w:pPr>
            <w:r w:rsidRPr="00E674D9">
              <w:rPr>
                <w:rFonts w:ascii="Garamond" w:hAnsi="Garamond"/>
                <w:sz w:val="16"/>
                <w:szCs w:val="16"/>
              </w:rPr>
              <w:t>Nevoja për të rritur vizibilitetin e trashëgimisë së pasur historike dhe kulturore, si dhe të veçorive tradicionale, me qëllim rritjen e të ardhurave në zonën e programit, duke nxitur aktivitetet për të ruajtur traditën dhe trashëgiminë kulturore dhe</w:t>
            </w:r>
            <w:r w:rsidRPr="00E674D9">
              <w:rPr>
                <w:rFonts w:ascii="Garamond" w:hAnsi="Garamond"/>
                <w:spacing w:val="-9"/>
                <w:sz w:val="16"/>
                <w:szCs w:val="16"/>
              </w:rPr>
              <w:t xml:space="preserve"> </w:t>
            </w:r>
            <w:r w:rsidRPr="00E674D9">
              <w:rPr>
                <w:rFonts w:ascii="Garamond" w:hAnsi="Garamond"/>
                <w:sz w:val="16"/>
                <w:szCs w:val="16"/>
              </w:rPr>
              <w:t>natyrore;</w:t>
            </w:r>
          </w:p>
          <w:p w14:paraId="0A02FDF7" w14:textId="77777777" w:rsidR="00C61F48" w:rsidRPr="00E674D9" w:rsidRDefault="00C61F48" w:rsidP="00D8448F">
            <w:pPr>
              <w:pStyle w:val="TableParagraph"/>
              <w:numPr>
                <w:ilvl w:val="0"/>
                <w:numId w:val="47"/>
              </w:numPr>
              <w:tabs>
                <w:tab w:val="left" w:pos="378"/>
              </w:tabs>
              <w:spacing w:before="58"/>
              <w:ind w:right="100"/>
              <w:jc w:val="both"/>
              <w:rPr>
                <w:rFonts w:ascii="Garamond" w:hAnsi="Garamond"/>
                <w:sz w:val="16"/>
                <w:szCs w:val="16"/>
              </w:rPr>
            </w:pPr>
            <w:r w:rsidRPr="00E674D9">
              <w:rPr>
                <w:rFonts w:ascii="Garamond" w:hAnsi="Garamond"/>
                <w:sz w:val="16"/>
                <w:szCs w:val="16"/>
              </w:rPr>
              <w:t>Nevoja për të rritur nivelin e bashkëpunimit ndërmjet aktorëve në fushën e zhvillimit të turizmit dhe ruajtjes së trashëgimisë kulturore dhe</w:t>
            </w:r>
            <w:r w:rsidRPr="00E674D9">
              <w:rPr>
                <w:rFonts w:ascii="Garamond" w:hAnsi="Garamond"/>
                <w:spacing w:val="-11"/>
                <w:sz w:val="16"/>
                <w:szCs w:val="16"/>
              </w:rPr>
              <w:t xml:space="preserve"> </w:t>
            </w:r>
            <w:r w:rsidRPr="00E674D9">
              <w:rPr>
                <w:rFonts w:ascii="Garamond" w:hAnsi="Garamond"/>
                <w:sz w:val="16"/>
                <w:szCs w:val="16"/>
              </w:rPr>
              <w:t>natyrore.</w:t>
            </w:r>
          </w:p>
        </w:tc>
      </w:tr>
      <w:tr w:rsidR="00C61F48" w:rsidRPr="00E674D9" w14:paraId="1562F362" w14:textId="77777777" w:rsidTr="00E674D9">
        <w:trPr>
          <w:gridAfter w:val="1"/>
          <w:wAfter w:w="20" w:type="dxa"/>
          <w:trHeight w:hRule="exact" w:val="2662"/>
        </w:trPr>
        <w:tc>
          <w:tcPr>
            <w:tcW w:w="4192" w:type="dxa"/>
            <w:gridSpan w:val="2"/>
            <w:tcBorders>
              <w:top w:val="single" w:sz="9" w:space="0" w:color="FFFFFF"/>
              <w:right w:val="single" w:sz="24" w:space="0" w:color="FFFFFF"/>
            </w:tcBorders>
            <w:shd w:val="clear" w:color="auto" w:fill="4F81BC"/>
          </w:tcPr>
          <w:p w14:paraId="3258B874" w14:textId="77777777" w:rsidR="00C61F48" w:rsidRPr="00E674D9" w:rsidRDefault="00C61F48" w:rsidP="00BA13DB">
            <w:pPr>
              <w:pStyle w:val="TableParagraph"/>
              <w:rPr>
                <w:rFonts w:ascii="Garamond" w:hAnsi="Garamond"/>
                <w:b/>
                <w:sz w:val="16"/>
                <w:szCs w:val="16"/>
              </w:rPr>
            </w:pPr>
          </w:p>
          <w:p w14:paraId="10A8F8A2" w14:textId="77777777" w:rsidR="00C61F48" w:rsidRPr="00E674D9" w:rsidRDefault="00C61F48" w:rsidP="00BA13DB">
            <w:pPr>
              <w:pStyle w:val="TableParagraph"/>
              <w:spacing w:before="3"/>
              <w:rPr>
                <w:rFonts w:ascii="Garamond" w:hAnsi="Garamond"/>
                <w:b/>
                <w:sz w:val="16"/>
                <w:szCs w:val="16"/>
              </w:rPr>
            </w:pPr>
          </w:p>
          <w:p w14:paraId="3D57250F" w14:textId="77777777" w:rsidR="00C61F48" w:rsidRPr="00E674D9" w:rsidRDefault="00C61F48" w:rsidP="00BA13DB">
            <w:pPr>
              <w:pStyle w:val="TableParagraph"/>
              <w:spacing w:line="278" w:lineRule="auto"/>
              <w:ind w:left="98" w:right="401"/>
              <w:rPr>
                <w:rFonts w:ascii="Garamond" w:hAnsi="Garamond"/>
                <w:b/>
                <w:sz w:val="16"/>
                <w:szCs w:val="16"/>
              </w:rPr>
            </w:pPr>
            <w:r w:rsidRPr="00E674D9">
              <w:rPr>
                <w:rFonts w:ascii="Garamond" w:hAnsi="Garamond"/>
                <w:b/>
                <w:color w:val="FFFFFF" w:themeColor="background1"/>
                <w:sz w:val="16"/>
                <w:szCs w:val="16"/>
              </w:rPr>
              <w:t>Mbrojtja e mjedisit, nxitja e përshtatjes dhe lehtësimit ndaj ndryshimeve klimatike, parandalimi dhe menaxhimi i rrezikut.</w:t>
            </w:r>
          </w:p>
        </w:tc>
        <w:tc>
          <w:tcPr>
            <w:tcW w:w="5347" w:type="dxa"/>
            <w:gridSpan w:val="2"/>
            <w:tcBorders>
              <w:top w:val="single" w:sz="9" w:space="0" w:color="FFFFFF"/>
              <w:left w:val="single" w:sz="24" w:space="0" w:color="FFFFFF"/>
            </w:tcBorders>
            <w:shd w:val="clear" w:color="auto" w:fill="D2DFED"/>
          </w:tcPr>
          <w:p w14:paraId="533591DB" w14:textId="77777777" w:rsidR="00C61F48" w:rsidRPr="00E674D9" w:rsidRDefault="00C61F48" w:rsidP="00D8448F">
            <w:pPr>
              <w:pStyle w:val="TableParagraph"/>
              <w:numPr>
                <w:ilvl w:val="0"/>
                <w:numId w:val="46"/>
              </w:numPr>
              <w:tabs>
                <w:tab w:val="left" w:pos="378"/>
              </w:tabs>
              <w:ind w:right="94"/>
              <w:jc w:val="both"/>
              <w:rPr>
                <w:rFonts w:ascii="Garamond" w:hAnsi="Garamond"/>
                <w:sz w:val="16"/>
                <w:szCs w:val="16"/>
              </w:rPr>
            </w:pPr>
            <w:r w:rsidRPr="00E674D9">
              <w:rPr>
                <w:rFonts w:ascii="Garamond" w:hAnsi="Garamond"/>
                <w:sz w:val="16"/>
                <w:szCs w:val="16"/>
              </w:rPr>
              <w:t>Biodiversiteti i pasur natyror dhe ekzistenca e disa zonave të mbrojtura dhe parqeve kombëtare në zonën e programit, si dhe cënueshmëria e lartë e rajonit nga përmbytjet;</w:t>
            </w:r>
          </w:p>
          <w:p w14:paraId="49295D7E" w14:textId="77777777" w:rsidR="00C61F48" w:rsidRPr="00E674D9" w:rsidRDefault="00C61F48" w:rsidP="00D8448F">
            <w:pPr>
              <w:pStyle w:val="TableParagraph"/>
              <w:numPr>
                <w:ilvl w:val="0"/>
                <w:numId w:val="46"/>
              </w:numPr>
              <w:tabs>
                <w:tab w:val="left" w:pos="378"/>
              </w:tabs>
              <w:spacing w:before="61"/>
              <w:ind w:right="101"/>
              <w:jc w:val="both"/>
              <w:rPr>
                <w:rFonts w:ascii="Garamond" w:hAnsi="Garamond"/>
                <w:sz w:val="16"/>
                <w:szCs w:val="16"/>
              </w:rPr>
            </w:pPr>
            <w:r w:rsidRPr="00E674D9">
              <w:rPr>
                <w:rFonts w:ascii="Garamond" w:hAnsi="Garamond"/>
                <w:sz w:val="16"/>
                <w:szCs w:val="16"/>
              </w:rPr>
              <w:t>Nevoja për të promovuar dhe për të përmirësuar zbatimin  e ligjit dhe standardeve mbi mjedisin, për të siguruar menaxhim më të mirë të pyjeve dhe zonave të mbrojtura, në mënyrë që të parandalohet degradimi i</w:t>
            </w:r>
            <w:r w:rsidRPr="00E674D9">
              <w:rPr>
                <w:rFonts w:ascii="Garamond" w:hAnsi="Garamond"/>
                <w:spacing w:val="-21"/>
                <w:sz w:val="16"/>
                <w:szCs w:val="16"/>
              </w:rPr>
              <w:t xml:space="preserve"> </w:t>
            </w:r>
            <w:r w:rsidRPr="00E674D9">
              <w:rPr>
                <w:rFonts w:ascii="Garamond" w:hAnsi="Garamond"/>
                <w:sz w:val="16"/>
                <w:szCs w:val="16"/>
              </w:rPr>
              <w:t>mjedisit;</w:t>
            </w:r>
          </w:p>
          <w:p w14:paraId="52F489EE" w14:textId="77777777" w:rsidR="00C61F48" w:rsidRPr="00E674D9" w:rsidRDefault="00C61F48" w:rsidP="00D8448F">
            <w:pPr>
              <w:pStyle w:val="TableParagraph"/>
              <w:numPr>
                <w:ilvl w:val="0"/>
                <w:numId w:val="46"/>
              </w:numPr>
              <w:tabs>
                <w:tab w:val="left" w:pos="378"/>
              </w:tabs>
              <w:spacing w:before="60"/>
              <w:ind w:right="99"/>
              <w:jc w:val="both"/>
              <w:rPr>
                <w:rFonts w:ascii="Garamond" w:hAnsi="Garamond"/>
                <w:sz w:val="16"/>
                <w:szCs w:val="16"/>
              </w:rPr>
            </w:pPr>
            <w:r w:rsidRPr="00E674D9">
              <w:rPr>
                <w:rFonts w:ascii="Garamond" w:hAnsi="Garamond"/>
                <w:sz w:val="16"/>
                <w:szCs w:val="16"/>
              </w:rPr>
              <w:t>Nevoja për të nxitur përpjekjet e përbashkëta në menaxhimin dhe kontrollin për mbrojtjen e burimeve natyrore dhe parandalimin e shfrytëzimit të pakontrolluar të burimeve natyrore në zonën e</w:t>
            </w:r>
            <w:r w:rsidRPr="00E674D9">
              <w:rPr>
                <w:rFonts w:ascii="Garamond" w:hAnsi="Garamond"/>
                <w:spacing w:val="-14"/>
                <w:sz w:val="16"/>
                <w:szCs w:val="16"/>
              </w:rPr>
              <w:t xml:space="preserve"> </w:t>
            </w:r>
            <w:r w:rsidRPr="00E674D9">
              <w:rPr>
                <w:rFonts w:ascii="Garamond" w:hAnsi="Garamond"/>
                <w:sz w:val="16"/>
                <w:szCs w:val="16"/>
              </w:rPr>
              <w:t>programit;</w:t>
            </w:r>
          </w:p>
          <w:p w14:paraId="0A5C6387" w14:textId="77777777" w:rsidR="00C61F48" w:rsidRPr="00E674D9" w:rsidRDefault="00C61F48" w:rsidP="00D8448F">
            <w:pPr>
              <w:pStyle w:val="TableParagraph"/>
              <w:numPr>
                <w:ilvl w:val="0"/>
                <w:numId w:val="46"/>
              </w:numPr>
              <w:tabs>
                <w:tab w:val="left" w:pos="378"/>
              </w:tabs>
              <w:spacing w:before="58"/>
              <w:ind w:right="96"/>
              <w:jc w:val="both"/>
              <w:rPr>
                <w:rFonts w:ascii="Garamond" w:hAnsi="Garamond"/>
                <w:sz w:val="16"/>
                <w:szCs w:val="16"/>
              </w:rPr>
            </w:pPr>
            <w:r w:rsidRPr="00E674D9">
              <w:rPr>
                <w:rFonts w:ascii="Garamond" w:hAnsi="Garamond"/>
                <w:sz w:val="16"/>
                <w:szCs w:val="16"/>
              </w:rPr>
              <w:t>Nevoja për të nxitur rritjen e ndërgjegjësimit të aktorëve lokalë për një përdorimin më të mirë të burimeve natyrore, për potencialin e lartë ekzistues në pyje, si dhe për promovimin e</w:t>
            </w:r>
            <w:r w:rsidRPr="00E674D9">
              <w:rPr>
                <w:rFonts w:ascii="Garamond" w:hAnsi="Garamond"/>
                <w:spacing w:val="-9"/>
                <w:sz w:val="16"/>
                <w:szCs w:val="16"/>
              </w:rPr>
              <w:t xml:space="preserve"> </w:t>
            </w:r>
            <w:r w:rsidRPr="00E674D9">
              <w:rPr>
                <w:rFonts w:ascii="Garamond" w:hAnsi="Garamond"/>
                <w:sz w:val="16"/>
                <w:szCs w:val="16"/>
              </w:rPr>
              <w:t>ekoturizmit.</w:t>
            </w:r>
          </w:p>
        </w:tc>
      </w:tr>
      <w:tr w:rsidR="00C61F48" w:rsidRPr="00E674D9" w14:paraId="7A0E2BB1" w14:textId="77777777" w:rsidTr="00E674D9">
        <w:trPr>
          <w:gridBefore w:val="1"/>
          <w:wBefore w:w="20" w:type="dxa"/>
          <w:trHeight w:hRule="exact" w:val="4095"/>
        </w:trPr>
        <w:tc>
          <w:tcPr>
            <w:tcW w:w="4192" w:type="dxa"/>
            <w:gridSpan w:val="2"/>
            <w:shd w:val="clear" w:color="auto" w:fill="4F81BC"/>
          </w:tcPr>
          <w:p w14:paraId="15C5D68C" w14:textId="77777777" w:rsidR="00C61F48" w:rsidRPr="00E674D9" w:rsidRDefault="00C61F48" w:rsidP="00BA13DB">
            <w:pPr>
              <w:pStyle w:val="TableParagraph"/>
              <w:rPr>
                <w:rFonts w:ascii="Garamond" w:hAnsi="Garamond"/>
                <w:b/>
                <w:sz w:val="16"/>
                <w:szCs w:val="16"/>
              </w:rPr>
            </w:pPr>
          </w:p>
          <w:p w14:paraId="61C476D3" w14:textId="77777777" w:rsidR="00C61F48" w:rsidRPr="00E674D9" w:rsidRDefault="00C61F48" w:rsidP="00BA13DB">
            <w:pPr>
              <w:pStyle w:val="TableParagraph"/>
              <w:spacing w:before="5"/>
              <w:rPr>
                <w:rFonts w:ascii="Garamond" w:hAnsi="Garamond"/>
                <w:b/>
                <w:sz w:val="16"/>
                <w:szCs w:val="16"/>
              </w:rPr>
            </w:pPr>
          </w:p>
          <w:p w14:paraId="490F5ECF" w14:textId="77777777" w:rsidR="00C61F48" w:rsidRPr="00E674D9" w:rsidRDefault="00C61F48" w:rsidP="00BA13DB">
            <w:pPr>
              <w:pStyle w:val="TableParagraph"/>
              <w:spacing w:before="1" w:line="276" w:lineRule="auto"/>
              <w:ind w:left="98"/>
              <w:rPr>
                <w:rFonts w:ascii="Garamond" w:hAnsi="Garamond"/>
                <w:b/>
                <w:sz w:val="16"/>
                <w:szCs w:val="16"/>
              </w:rPr>
            </w:pPr>
            <w:r w:rsidRPr="00E674D9">
              <w:rPr>
                <w:rFonts w:ascii="Garamond" w:hAnsi="Garamond"/>
                <w:b/>
                <w:color w:val="FFFFFF" w:themeColor="background1"/>
                <w:sz w:val="16"/>
                <w:szCs w:val="16"/>
              </w:rPr>
              <w:t>Nxitja e punësimit, lëvizjes gjeografike të punonjësve, dhe përfshirjes sociale.</w:t>
            </w:r>
          </w:p>
        </w:tc>
        <w:tc>
          <w:tcPr>
            <w:tcW w:w="5347" w:type="dxa"/>
            <w:gridSpan w:val="2"/>
            <w:shd w:val="clear" w:color="auto" w:fill="A7BEDE"/>
          </w:tcPr>
          <w:p w14:paraId="6DB50316" w14:textId="77777777" w:rsidR="00C61F48" w:rsidRPr="00E674D9" w:rsidRDefault="00C61F48" w:rsidP="00D8448F">
            <w:pPr>
              <w:pStyle w:val="TableParagraph"/>
              <w:numPr>
                <w:ilvl w:val="0"/>
                <w:numId w:val="45"/>
              </w:numPr>
              <w:tabs>
                <w:tab w:val="left" w:pos="440"/>
              </w:tabs>
              <w:ind w:right="71" w:hanging="245"/>
              <w:jc w:val="both"/>
              <w:rPr>
                <w:rFonts w:ascii="Garamond" w:hAnsi="Garamond"/>
                <w:sz w:val="16"/>
                <w:szCs w:val="16"/>
              </w:rPr>
            </w:pPr>
            <w:r w:rsidRPr="00E674D9">
              <w:rPr>
                <w:rFonts w:ascii="Garamond" w:hAnsi="Garamond"/>
                <w:sz w:val="16"/>
                <w:szCs w:val="16"/>
              </w:rPr>
              <w:t>Shkalla e lartë e papunësisë, veçanërisht tek të rinjtë dhe gratë, reduktimi i popullsisë dhe largimi i personave të aftë dhe të arsimuar nga pjesa rurale e zonës së programit, integrimi shumë i ulët i tregjeve të punës ndërkufitare, dhe lëvizja e ulët ndërkufitare e</w:t>
            </w:r>
            <w:r w:rsidRPr="00E674D9">
              <w:rPr>
                <w:rFonts w:ascii="Garamond" w:hAnsi="Garamond"/>
                <w:spacing w:val="-17"/>
                <w:sz w:val="16"/>
                <w:szCs w:val="16"/>
              </w:rPr>
              <w:t xml:space="preserve"> </w:t>
            </w:r>
            <w:r w:rsidRPr="00E674D9">
              <w:rPr>
                <w:rFonts w:ascii="Garamond" w:hAnsi="Garamond"/>
                <w:sz w:val="16"/>
                <w:szCs w:val="16"/>
              </w:rPr>
              <w:t>punonjësve;</w:t>
            </w:r>
          </w:p>
          <w:p w14:paraId="544465AB" w14:textId="77777777" w:rsidR="00C61F48" w:rsidRPr="00E674D9" w:rsidRDefault="00C61F48" w:rsidP="00D8448F">
            <w:pPr>
              <w:pStyle w:val="TableParagraph"/>
              <w:numPr>
                <w:ilvl w:val="0"/>
                <w:numId w:val="45"/>
              </w:numPr>
              <w:tabs>
                <w:tab w:val="left" w:pos="440"/>
              </w:tabs>
              <w:spacing w:before="60"/>
              <w:ind w:right="72" w:hanging="245"/>
              <w:jc w:val="both"/>
              <w:rPr>
                <w:rFonts w:ascii="Garamond" w:hAnsi="Garamond"/>
                <w:sz w:val="16"/>
                <w:szCs w:val="16"/>
              </w:rPr>
            </w:pPr>
            <w:r w:rsidRPr="00E674D9">
              <w:rPr>
                <w:rFonts w:ascii="Garamond" w:hAnsi="Garamond"/>
                <w:sz w:val="16"/>
                <w:szCs w:val="16"/>
              </w:rPr>
              <w:t>Nevoja për të rritur aksesin në tregun e punës, veçanërisht të popullsisë rurale, duke nxitur zhvillimin e programeve të punësimit për integrimin social të grupeve të margjinalizuara, në mënyrë që të zbutet rreziku i normave të larta të</w:t>
            </w:r>
            <w:r w:rsidRPr="00E674D9">
              <w:rPr>
                <w:rFonts w:ascii="Garamond" w:hAnsi="Garamond"/>
                <w:spacing w:val="-7"/>
                <w:sz w:val="16"/>
                <w:szCs w:val="16"/>
              </w:rPr>
              <w:t xml:space="preserve"> </w:t>
            </w:r>
            <w:r w:rsidRPr="00E674D9">
              <w:rPr>
                <w:rFonts w:ascii="Garamond" w:hAnsi="Garamond"/>
                <w:sz w:val="16"/>
                <w:szCs w:val="16"/>
              </w:rPr>
              <w:t>migrimit;</w:t>
            </w:r>
          </w:p>
          <w:p w14:paraId="5EFD2291" w14:textId="77777777" w:rsidR="00C61F48" w:rsidRPr="00E674D9" w:rsidRDefault="00C61F48" w:rsidP="00D8448F">
            <w:pPr>
              <w:pStyle w:val="TableParagraph"/>
              <w:numPr>
                <w:ilvl w:val="0"/>
                <w:numId w:val="45"/>
              </w:numPr>
              <w:tabs>
                <w:tab w:val="left" w:pos="440"/>
              </w:tabs>
              <w:spacing w:before="58"/>
              <w:ind w:right="72" w:hanging="245"/>
              <w:jc w:val="both"/>
              <w:rPr>
                <w:rFonts w:ascii="Garamond" w:hAnsi="Garamond"/>
                <w:sz w:val="16"/>
                <w:szCs w:val="16"/>
              </w:rPr>
            </w:pPr>
            <w:r w:rsidRPr="00E674D9">
              <w:rPr>
                <w:rFonts w:ascii="Garamond" w:hAnsi="Garamond"/>
                <w:sz w:val="16"/>
                <w:szCs w:val="16"/>
              </w:rPr>
              <w:t>Nevoja për të nxitur lidhjen më të mirë të formimit profesional me kërkesat e tregut të punës, në mënyrë që të rriten aftësitë e fuqisë punëtore dhe si rrjedhojë të rriten mundësitë për</w:t>
            </w:r>
            <w:r w:rsidRPr="00E674D9">
              <w:rPr>
                <w:rFonts w:ascii="Garamond" w:hAnsi="Garamond"/>
                <w:spacing w:val="-10"/>
                <w:sz w:val="16"/>
                <w:szCs w:val="16"/>
              </w:rPr>
              <w:t xml:space="preserve"> </w:t>
            </w:r>
            <w:r w:rsidRPr="00E674D9">
              <w:rPr>
                <w:rFonts w:ascii="Garamond" w:hAnsi="Garamond"/>
                <w:sz w:val="16"/>
                <w:szCs w:val="16"/>
              </w:rPr>
              <w:t>punësim;</w:t>
            </w:r>
          </w:p>
          <w:p w14:paraId="3023FF86" w14:textId="77777777" w:rsidR="00C61F48" w:rsidRPr="00E674D9" w:rsidRDefault="00C61F48" w:rsidP="00D8448F">
            <w:pPr>
              <w:pStyle w:val="TableParagraph"/>
              <w:numPr>
                <w:ilvl w:val="0"/>
                <w:numId w:val="45"/>
              </w:numPr>
              <w:tabs>
                <w:tab w:val="left" w:pos="440"/>
              </w:tabs>
              <w:spacing w:before="58"/>
              <w:ind w:right="69" w:hanging="245"/>
              <w:jc w:val="both"/>
              <w:rPr>
                <w:rFonts w:ascii="Garamond" w:hAnsi="Garamond"/>
                <w:sz w:val="16"/>
                <w:szCs w:val="16"/>
              </w:rPr>
            </w:pPr>
            <w:r w:rsidRPr="00E674D9">
              <w:rPr>
                <w:rFonts w:ascii="Garamond" w:hAnsi="Garamond"/>
                <w:sz w:val="16"/>
                <w:szCs w:val="16"/>
              </w:rPr>
              <w:t>Nevoja për të promovuar kthimin e multietnicitetit në zonën e programit si një avantazh për përfshirjen ekonomike, sociale dhe kulturore që rrit nivelin e integrimit të tregjeve të punës ndërkufitar, si dhe lëvizjen gjeografike të</w:t>
            </w:r>
            <w:r w:rsidRPr="00E674D9">
              <w:rPr>
                <w:rFonts w:ascii="Garamond" w:hAnsi="Garamond"/>
                <w:spacing w:val="-9"/>
                <w:sz w:val="16"/>
                <w:szCs w:val="16"/>
              </w:rPr>
              <w:t xml:space="preserve"> </w:t>
            </w:r>
            <w:r w:rsidRPr="00E674D9">
              <w:rPr>
                <w:rFonts w:ascii="Garamond" w:hAnsi="Garamond"/>
                <w:sz w:val="16"/>
                <w:szCs w:val="16"/>
              </w:rPr>
              <w:t>punonjësve;</w:t>
            </w:r>
          </w:p>
          <w:p w14:paraId="700E9244" w14:textId="77777777" w:rsidR="00C61F48" w:rsidRPr="00E674D9" w:rsidRDefault="00C61F48" w:rsidP="00D8448F">
            <w:pPr>
              <w:pStyle w:val="TableParagraph"/>
              <w:numPr>
                <w:ilvl w:val="0"/>
                <w:numId w:val="45"/>
              </w:numPr>
              <w:tabs>
                <w:tab w:val="left" w:pos="440"/>
              </w:tabs>
              <w:spacing w:before="60"/>
              <w:ind w:right="73" w:hanging="245"/>
              <w:jc w:val="both"/>
              <w:rPr>
                <w:rFonts w:ascii="Garamond" w:hAnsi="Garamond"/>
                <w:sz w:val="16"/>
                <w:szCs w:val="16"/>
              </w:rPr>
            </w:pPr>
            <w:r w:rsidRPr="00E674D9">
              <w:rPr>
                <w:rFonts w:ascii="Garamond" w:hAnsi="Garamond"/>
                <w:sz w:val="16"/>
                <w:szCs w:val="16"/>
              </w:rPr>
              <w:t>Nevoja për të promovuar aktivitetet e kërkimit shkencor dhe zhvillimit duke përdorur institucionet ekzistuese kërkimore dhe ato të arsimit të lartë në fushat me interes të përbashkët, të cilët rrisin përfitimet që rrjedhin nga të tilla bashkëpunime</w:t>
            </w:r>
            <w:r w:rsidRPr="00E674D9">
              <w:rPr>
                <w:rFonts w:ascii="Garamond" w:hAnsi="Garamond"/>
                <w:spacing w:val="-11"/>
                <w:sz w:val="16"/>
                <w:szCs w:val="16"/>
              </w:rPr>
              <w:t xml:space="preserve"> </w:t>
            </w:r>
            <w:r w:rsidRPr="00E674D9">
              <w:rPr>
                <w:rFonts w:ascii="Garamond" w:hAnsi="Garamond"/>
                <w:sz w:val="16"/>
                <w:szCs w:val="16"/>
              </w:rPr>
              <w:t>ndërkufitare.</w:t>
            </w:r>
          </w:p>
        </w:tc>
      </w:tr>
    </w:tbl>
    <w:p w14:paraId="0CAF2236" w14:textId="77777777" w:rsidR="00C61F48" w:rsidRDefault="00C61F48" w:rsidP="00C61F48">
      <w:pPr>
        <w:pStyle w:val="BodyText"/>
        <w:rPr>
          <w:b/>
          <w:sz w:val="20"/>
        </w:rPr>
      </w:pPr>
    </w:p>
    <w:p w14:paraId="3D246410" w14:textId="77777777" w:rsidR="00713D52" w:rsidRDefault="00713D52" w:rsidP="00E674D9">
      <w:pPr>
        <w:pStyle w:val="TEKSTI"/>
        <w:rPr>
          <w:b/>
          <w:sz w:val="26"/>
        </w:rPr>
      </w:pPr>
      <w:bookmarkStart w:id="29" w:name="_bookmark26"/>
      <w:bookmarkEnd w:id="29"/>
    </w:p>
    <w:p w14:paraId="381F7C5A" w14:textId="77777777" w:rsidR="00713D52" w:rsidRDefault="00713D52" w:rsidP="00E674D9">
      <w:pPr>
        <w:pStyle w:val="TEKSTI"/>
        <w:rPr>
          <w:b/>
          <w:sz w:val="26"/>
        </w:rPr>
      </w:pPr>
    </w:p>
    <w:p w14:paraId="2AF24790" w14:textId="77777777" w:rsidR="00713D52" w:rsidRDefault="00713D52" w:rsidP="00E674D9">
      <w:pPr>
        <w:pStyle w:val="TEKSTI"/>
        <w:rPr>
          <w:b/>
          <w:sz w:val="26"/>
        </w:rPr>
      </w:pPr>
    </w:p>
    <w:p w14:paraId="2BB02200" w14:textId="77777777" w:rsidR="00713D52" w:rsidRDefault="00713D52" w:rsidP="00E674D9">
      <w:pPr>
        <w:pStyle w:val="TEKSTI"/>
        <w:rPr>
          <w:b/>
          <w:sz w:val="26"/>
        </w:rPr>
      </w:pPr>
    </w:p>
    <w:p w14:paraId="1F1526CE" w14:textId="77777777" w:rsidR="00713D52" w:rsidRDefault="00713D52" w:rsidP="00E674D9">
      <w:pPr>
        <w:pStyle w:val="TEKSTI"/>
        <w:rPr>
          <w:b/>
          <w:sz w:val="26"/>
        </w:rPr>
      </w:pPr>
    </w:p>
    <w:p w14:paraId="097E6749" w14:textId="77777777" w:rsidR="00713D52" w:rsidRDefault="00713D52" w:rsidP="00E674D9">
      <w:pPr>
        <w:pStyle w:val="TEKSTI"/>
        <w:rPr>
          <w:b/>
          <w:sz w:val="26"/>
        </w:rPr>
      </w:pPr>
    </w:p>
    <w:p w14:paraId="514D02B5" w14:textId="77777777" w:rsidR="00713D52" w:rsidRDefault="00713D52" w:rsidP="00E674D9">
      <w:pPr>
        <w:pStyle w:val="TEKSTI"/>
        <w:rPr>
          <w:b/>
          <w:sz w:val="26"/>
        </w:rPr>
      </w:pPr>
    </w:p>
    <w:p w14:paraId="126DB385" w14:textId="77777777" w:rsidR="00713D52" w:rsidRDefault="00713D52" w:rsidP="00E674D9">
      <w:pPr>
        <w:pStyle w:val="TEKSTI"/>
        <w:rPr>
          <w:b/>
          <w:sz w:val="26"/>
        </w:rPr>
      </w:pPr>
    </w:p>
    <w:p w14:paraId="2630E8D8" w14:textId="647A1EBE" w:rsidR="00C61F48" w:rsidRPr="00E674D9" w:rsidRDefault="002956AE" w:rsidP="00E674D9">
      <w:pPr>
        <w:pStyle w:val="TEKSTI"/>
        <w:rPr>
          <w:b/>
          <w:sz w:val="26"/>
        </w:rPr>
      </w:pPr>
      <w:r>
        <w:rPr>
          <w:b/>
          <w:sz w:val="26"/>
        </w:rPr>
        <w:t xml:space="preserve">3.2 </w:t>
      </w:r>
      <w:r w:rsidR="00C61F48" w:rsidRPr="00E674D9">
        <w:rPr>
          <w:b/>
          <w:sz w:val="26"/>
        </w:rPr>
        <w:t>Përshkrimi i prioriteteve të</w:t>
      </w:r>
      <w:r w:rsidR="00C61F48" w:rsidRPr="00E674D9">
        <w:rPr>
          <w:b/>
          <w:spacing w:val="-16"/>
          <w:sz w:val="26"/>
        </w:rPr>
        <w:t xml:space="preserve"> </w:t>
      </w:r>
      <w:r w:rsidR="00C61F48" w:rsidRPr="00E674D9">
        <w:rPr>
          <w:b/>
          <w:sz w:val="26"/>
        </w:rPr>
        <w:t>programit</w:t>
      </w:r>
    </w:p>
    <w:p w14:paraId="3D616017" w14:textId="77777777" w:rsidR="00C61F48" w:rsidRDefault="00C61F48" w:rsidP="00E674D9">
      <w:pPr>
        <w:pStyle w:val="TEKSTI"/>
      </w:pPr>
      <w:r>
        <w:t>Tabelat e mëposhtme paraqesin një përshkrim të çdo prioriteti, të mbështetur nga objektivat specifikë, rezultatet, aktivitetet dhe treguesit e suksesit:</w:t>
      </w:r>
    </w:p>
    <w:p w14:paraId="5BB01FFB" w14:textId="77777777" w:rsidR="00C61F48" w:rsidRDefault="00C61F48" w:rsidP="00C61F48">
      <w:pPr>
        <w:pStyle w:val="BodyText"/>
        <w:rPr>
          <w:sz w:val="10"/>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9"/>
        <w:gridCol w:w="1349"/>
        <w:gridCol w:w="2012"/>
        <w:gridCol w:w="2036"/>
        <w:gridCol w:w="2542"/>
      </w:tblGrid>
      <w:tr w:rsidR="00C61F48" w:rsidRPr="00E674D9" w14:paraId="2040BDF5" w14:textId="77777777" w:rsidTr="00BA13DB">
        <w:trPr>
          <w:trHeight w:hRule="exact" w:val="398"/>
        </w:trPr>
        <w:tc>
          <w:tcPr>
            <w:tcW w:w="9578" w:type="dxa"/>
            <w:gridSpan w:val="5"/>
            <w:tcBorders>
              <w:bottom w:val="single" w:sz="48" w:space="0" w:color="DBE4F0"/>
            </w:tcBorders>
            <w:shd w:val="clear" w:color="auto" w:fill="C5D9F0"/>
          </w:tcPr>
          <w:p w14:paraId="0EC7C0EB" w14:textId="77777777" w:rsidR="00C61F48" w:rsidRPr="00E674D9" w:rsidRDefault="00C61F48" w:rsidP="00E674D9">
            <w:pPr>
              <w:pStyle w:val="TableParagraph"/>
              <w:ind w:left="880" w:right="422"/>
              <w:rPr>
                <w:rFonts w:ascii="Garamond" w:hAnsi="Garamond"/>
                <w:b/>
                <w:sz w:val="18"/>
                <w:szCs w:val="18"/>
              </w:rPr>
            </w:pPr>
            <w:r w:rsidRPr="00E674D9">
              <w:rPr>
                <w:rFonts w:ascii="Garamond" w:hAnsi="Garamond"/>
                <w:b/>
                <w:sz w:val="18"/>
                <w:szCs w:val="18"/>
              </w:rPr>
              <w:t>PRIORITETI 1 – NXITJA E TURIZMIT DHE E TRASHËGIMISË KULTURORE DHE NATYRORE</w:t>
            </w:r>
          </w:p>
        </w:tc>
      </w:tr>
      <w:tr w:rsidR="00C61F48" w:rsidRPr="00E674D9" w14:paraId="13A2D8B8" w14:textId="77777777" w:rsidTr="00BA13DB">
        <w:trPr>
          <w:trHeight w:hRule="exact" w:val="618"/>
        </w:trPr>
        <w:tc>
          <w:tcPr>
            <w:tcW w:w="1639" w:type="dxa"/>
            <w:shd w:val="clear" w:color="auto" w:fill="DBE4F0"/>
          </w:tcPr>
          <w:p w14:paraId="6EC41786" w14:textId="77777777" w:rsidR="00C61F48" w:rsidRPr="00E674D9" w:rsidRDefault="00C61F48" w:rsidP="00E674D9">
            <w:pPr>
              <w:pStyle w:val="TableParagraph"/>
              <w:ind w:left="499" w:right="300" w:hanging="60"/>
              <w:rPr>
                <w:rFonts w:ascii="Garamond" w:hAnsi="Garamond"/>
                <w:b/>
                <w:sz w:val="18"/>
                <w:szCs w:val="18"/>
              </w:rPr>
            </w:pPr>
            <w:r w:rsidRPr="00E674D9">
              <w:rPr>
                <w:rFonts w:ascii="Garamond" w:hAnsi="Garamond"/>
                <w:b/>
                <w:w w:val="95"/>
                <w:sz w:val="18"/>
                <w:szCs w:val="18"/>
              </w:rPr>
              <w:t xml:space="preserve">Objektivi </w:t>
            </w:r>
            <w:r w:rsidRPr="00E674D9">
              <w:rPr>
                <w:rFonts w:ascii="Garamond" w:hAnsi="Garamond"/>
                <w:b/>
                <w:sz w:val="18"/>
                <w:szCs w:val="18"/>
              </w:rPr>
              <w:t>specifik</w:t>
            </w:r>
          </w:p>
        </w:tc>
        <w:tc>
          <w:tcPr>
            <w:tcW w:w="1349" w:type="dxa"/>
            <w:shd w:val="clear" w:color="auto" w:fill="DBE4F0"/>
          </w:tcPr>
          <w:p w14:paraId="73C7605E" w14:textId="77777777" w:rsidR="00C61F48" w:rsidRPr="00E674D9" w:rsidRDefault="00C61F48" w:rsidP="00E674D9">
            <w:pPr>
              <w:pStyle w:val="TableParagraph"/>
              <w:spacing w:before="120"/>
              <w:ind w:left="237"/>
              <w:rPr>
                <w:rFonts w:ascii="Garamond" w:hAnsi="Garamond"/>
                <w:b/>
                <w:sz w:val="18"/>
                <w:szCs w:val="18"/>
              </w:rPr>
            </w:pPr>
            <w:r w:rsidRPr="00E674D9">
              <w:rPr>
                <w:rFonts w:ascii="Garamond" w:hAnsi="Garamond"/>
                <w:b/>
                <w:sz w:val="18"/>
                <w:szCs w:val="18"/>
              </w:rPr>
              <w:t>Rezultatet</w:t>
            </w:r>
          </w:p>
        </w:tc>
        <w:tc>
          <w:tcPr>
            <w:tcW w:w="2012" w:type="dxa"/>
            <w:shd w:val="clear" w:color="auto" w:fill="DBE4F0"/>
          </w:tcPr>
          <w:p w14:paraId="42C8FD8B" w14:textId="77777777" w:rsidR="00C61F48" w:rsidRPr="00E674D9" w:rsidRDefault="00C61F48" w:rsidP="00E674D9">
            <w:pPr>
              <w:pStyle w:val="TableParagraph"/>
              <w:spacing w:before="110"/>
              <w:ind w:left="573" w:right="201"/>
              <w:rPr>
                <w:rFonts w:ascii="Garamond" w:hAnsi="Garamond"/>
                <w:b/>
                <w:sz w:val="18"/>
                <w:szCs w:val="18"/>
              </w:rPr>
            </w:pPr>
            <w:r w:rsidRPr="00E674D9">
              <w:rPr>
                <w:rFonts w:ascii="Garamond" w:hAnsi="Garamond"/>
                <w:b/>
                <w:sz w:val="18"/>
                <w:szCs w:val="18"/>
              </w:rPr>
              <w:t>Treguesit</w:t>
            </w:r>
            <w:r w:rsidRPr="00E674D9">
              <w:rPr>
                <w:rFonts w:ascii="Garamond" w:hAnsi="Garamond"/>
                <w:b/>
                <w:position w:val="6"/>
                <w:sz w:val="18"/>
                <w:szCs w:val="18"/>
              </w:rPr>
              <w:t>*</w:t>
            </w:r>
          </w:p>
        </w:tc>
        <w:tc>
          <w:tcPr>
            <w:tcW w:w="2036" w:type="dxa"/>
            <w:tcBorders>
              <w:left w:val="single" w:sz="41" w:space="0" w:color="DBE4F0"/>
              <w:right w:val="single" w:sz="41" w:space="0" w:color="DBE4F0"/>
            </w:tcBorders>
            <w:shd w:val="clear" w:color="auto" w:fill="FFFF00"/>
          </w:tcPr>
          <w:p w14:paraId="33B3A007" w14:textId="77777777" w:rsidR="00C61F48" w:rsidRPr="002956AE" w:rsidRDefault="00C61F48" w:rsidP="00E674D9">
            <w:pPr>
              <w:pStyle w:val="TableParagraph"/>
              <w:spacing w:before="120"/>
              <w:ind w:left="106"/>
              <w:rPr>
                <w:rFonts w:ascii="Garamond" w:hAnsi="Garamond"/>
                <w:b/>
                <w:sz w:val="18"/>
                <w:szCs w:val="18"/>
              </w:rPr>
            </w:pPr>
            <w:r w:rsidRPr="002956AE">
              <w:rPr>
                <w:rFonts w:ascii="Garamond" w:hAnsi="Garamond"/>
                <w:b/>
                <w:sz w:val="18"/>
                <w:szCs w:val="18"/>
              </w:rPr>
              <w:t>Burimet e verifikimit</w:t>
            </w:r>
          </w:p>
        </w:tc>
        <w:tc>
          <w:tcPr>
            <w:tcW w:w="2542" w:type="dxa"/>
            <w:shd w:val="clear" w:color="auto" w:fill="DBE4F0"/>
          </w:tcPr>
          <w:p w14:paraId="0D0F00EA" w14:textId="77777777" w:rsidR="00C61F48" w:rsidRPr="00E674D9" w:rsidRDefault="00C61F48" w:rsidP="00E674D9">
            <w:pPr>
              <w:pStyle w:val="TableParagraph"/>
              <w:spacing w:before="120"/>
              <w:ind w:left="441"/>
              <w:rPr>
                <w:rFonts w:ascii="Garamond" w:hAnsi="Garamond"/>
                <w:b/>
                <w:sz w:val="18"/>
                <w:szCs w:val="18"/>
              </w:rPr>
            </w:pPr>
            <w:r w:rsidRPr="00E674D9">
              <w:rPr>
                <w:rFonts w:ascii="Garamond" w:hAnsi="Garamond"/>
                <w:b/>
                <w:sz w:val="18"/>
                <w:szCs w:val="18"/>
              </w:rPr>
              <w:t>Llojet e aktiviteteve</w:t>
            </w:r>
          </w:p>
        </w:tc>
      </w:tr>
      <w:tr w:rsidR="00C61F48" w:rsidRPr="00E674D9" w14:paraId="2AE1A1D3" w14:textId="77777777" w:rsidTr="00E674D9">
        <w:trPr>
          <w:trHeight w:hRule="exact" w:val="1968"/>
        </w:trPr>
        <w:tc>
          <w:tcPr>
            <w:tcW w:w="1639" w:type="dxa"/>
          </w:tcPr>
          <w:p w14:paraId="6960B7CC" w14:textId="77777777" w:rsidR="00C61F48" w:rsidRPr="00E674D9" w:rsidRDefault="00C61F48" w:rsidP="00E674D9">
            <w:pPr>
              <w:pStyle w:val="TableParagraph"/>
              <w:ind w:left="103" w:right="300"/>
              <w:rPr>
                <w:rFonts w:ascii="Garamond" w:hAnsi="Garamond"/>
                <w:b/>
                <w:sz w:val="18"/>
                <w:szCs w:val="18"/>
              </w:rPr>
            </w:pPr>
            <w:r w:rsidRPr="00E674D9">
              <w:rPr>
                <w:rFonts w:ascii="Garamond" w:hAnsi="Garamond"/>
                <w:b/>
                <w:sz w:val="18"/>
                <w:szCs w:val="18"/>
                <w:u w:val="single"/>
              </w:rPr>
              <w:t>Objektivi Specifik 1</w:t>
            </w:r>
          </w:p>
          <w:p w14:paraId="3E780CB6" w14:textId="77777777" w:rsidR="00C61F48" w:rsidRPr="00E674D9" w:rsidRDefault="00C61F48" w:rsidP="00E674D9">
            <w:pPr>
              <w:pStyle w:val="TableParagraph"/>
              <w:rPr>
                <w:rFonts w:ascii="Garamond" w:hAnsi="Garamond"/>
                <w:sz w:val="18"/>
                <w:szCs w:val="18"/>
              </w:rPr>
            </w:pPr>
          </w:p>
          <w:p w14:paraId="1E8C88C5" w14:textId="77777777" w:rsidR="00C61F48" w:rsidRPr="00E674D9" w:rsidRDefault="00C61F48" w:rsidP="00E674D9">
            <w:pPr>
              <w:pStyle w:val="TableParagraph"/>
              <w:spacing w:before="7"/>
              <w:rPr>
                <w:rFonts w:ascii="Garamond" w:hAnsi="Garamond"/>
                <w:sz w:val="18"/>
                <w:szCs w:val="18"/>
              </w:rPr>
            </w:pPr>
          </w:p>
          <w:p w14:paraId="1067C190" w14:textId="77777777" w:rsidR="00C61F48" w:rsidRPr="00E674D9" w:rsidRDefault="00C61F48" w:rsidP="00E674D9">
            <w:pPr>
              <w:pStyle w:val="TableParagraph"/>
              <w:ind w:left="103" w:right="300"/>
              <w:rPr>
                <w:rFonts w:ascii="Garamond" w:hAnsi="Garamond"/>
                <w:b/>
                <w:sz w:val="18"/>
                <w:szCs w:val="18"/>
              </w:rPr>
            </w:pPr>
            <w:r w:rsidRPr="00E674D9">
              <w:rPr>
                <w:rFonts w:ascii="Garamond" w:hAnsi="Garamond"/>
                <w:b/>
                <w:sz w:val="18"/>
                <w:szCs w:val="18"/>
              </w:rPr>
              <w:t>Konkurrenca e sektorit të turizmit rritet nga vlerësimi ekonomik i</w:t>
            </w:r>
          </w:p>
        </w:tc>
        <w:tc>
          <w:tcPr>
            <w:tcW w:w="1349" w:type="dxa"/>
            <w:tcBorders>
              <w:top w:val="single" w:sz="49" w:space="0" w:color="DBE4F0"/>
            </w:tcBorders>
          </w:tcPr>
          <w:p w14:paraId="77797C8A" w14:textId="77777777" w:rsidR="00C61F48" w:rsidRPr="00E674D9" w:rsidRDefault="00C61F48" w:rsidP="00E674D9">
            <w:pPr>
              <w:pStyle w:val="TableParagraph"/>
              <w:ind w:left="100"/>
              <w:rPr>
                <w:rFonts w:ascii="Garamond" w:hAnsi="Garamond"/>
                <w:b/>
                <w:sz w:val="18"/>
                <w:szCs w:val="18"/>
              </w:rPr>
            </w:pPr>
            <w:r w:rsidRPr="00E674D9">
              <w:rPr>
                <w:rFonts w:ascii="Garamond" w:hAnsi="Garamond"/>
                <w:b/>
                <w:sz w:val="18"/>
                <w:szCs w:val="18"/>
                <w:u w:val="single"/>
              </w:rPr>
              <w:t>Rezultati 1.1</w:t>
            </w:r>
          </w:p>
          <w:p w14:paraId="0AABA210" w14:textId="77777777" w:rsidR="00C61F48" w:rsidRPr="00E674D9" w:rsidRDefault="00C61F48" w:rsidP="00E674D9">
            <w:pPr>
              <w:pStyle w:val="TableParagraph"/>
              <w:rPr>
                <w:rFonts w:ascii="Garamond" w:hAnsi="Garamond"/>
                <w:sz w:val="18"/>
                <w:szCs w:val="18"/>
              </w:rPr>
            </w:pPr>
          </w:p>
          <w:p w14:paraId="7574F0E3" w14:textId="77777777" w:rsidR="00C61F48" w:rsidRPr="00E674D9" w:rsidRDefault="00C61F48" w:rsidP="00E674D9">
            <w:pPr>
              <w:pStyle w:val="TableParagraph"/>
              <w:spacing w:before="9"/>
              <w:rPr>
                <w:rFonts w:ascii="Garamond" w:hAnsi="Garamond"/>
                <w:sz w:val="18"/>
                <w:szCs w:val="18"/>
              </w:rPr>
            </w:pPr>
          </w:p>
          <w:p w14:paraId="224A33B2" w14:textId="77777777" w:rsidR="00C61F48" w:rsidRPr="00E674D9" w:rsidRDefault="00C61F48" w:rsidP="00E674D9">
            <w:pPr>
              <w:pStyle w:val="TableParagraph"/>
              <w:ind w:left="100" w:right="257"/>
              <w:rPr>
                <w:rFonts w:ascii="Garamond" w:hAnsi="Garamond"/>
                <w:b/>
                <w:sz w:val="18"/>
                <w:szCs w:val="18"/>
              </w:rPr>
            </w:pPr>
            <w:r w:rsidRPr="00E674D9">
              <w:rPr>
                <w:rFonts w:ascii="Garamond" w:hAnsi="Garamond"/>
                <w:b/>
                <w:sz w:val="18"/>
                <w:szCs w:val="18"/>
              </w:rPr>
              <w:t xml:space="preserve">Cilësia e </w:t>
            </w:r>
            <w:r w:rsidRPr="00E674D9">
              <w:rPr>
                <w:rFonts w:ascii="Garamond" w:hAnsi="Garamond"/>
                <w:b/>
                <w:w w:val="95"/>
                <w:sz w:val="18"/>
                <w:szCs w:val="18"/>
              </w:rPr>
              <w:t xml:space="preserve">shërbimeve </w:t>
            </w:r>
            <w:r w:rsidRPr="00E674D9">
              <w:rPr>
                <w:rFonts w:ascii="Garamond" w:hAnsi="Garamond"/>
                <w:b/>
                <w:sz w:val="18"/>
                <w:szCs w:val="18"/>
              </w:rPr>
              <w:t>dhe produkteve të turizmit është</w:t>
            </w:r>
          </w:p>
        </w:tc>
        <w:tc>
          <w:tcPr>
            <w:tcW w:w="2012" w:type="dxa"/>
            <w:tcBorders>
              <w:top w:val="single" w:sz="44" w:space="0" w:color="DBE4F0"/>
            </w:tcBorders>
          </w:tcPr>
          <w:p w14:paraId="13ADF7A1" w14:textId="77777777" w:rsidR="00C61F48" w:rsidRPr="00E674D9" w:rsidRDefault="00C61F48" w:rsidP="00E674D9">
            <w:pPr>
              <w:pStyle w:val="TableParagraph"/>
              <w:ind w:left="103" w:right="201"/>
              <w:rPr>
                <w:rFonts w:ascii="Garamond" w:hAnsi="Garamond"/>
                <w:sz w:val="18"/>
                <w:szCs w:val="18"/>
              </w:rPr>
            </w:pPr>
            <w:r w:rsidRPr="00E674D9">
              <w:rPr>
                <w:rFonts w:ascii="Garamond" w:hAnsi="Garamond"/>
                <w:sz w:val="18"/>
                <w:szCs w:val="18"/>
              </w:rPr>
              <w:t>-  1.1.1 Kontributi i</w:t>
            </w:r>
          </w:p>
          <w:p w14:paraId="1401854D" w14:textId="77777777" w:rsidR="00C61F48" w:rsidRPr="00E674D9" w:rsidRDefault="00C61F48" w:rsidP="00E674D9">
            <w:pPr>
              <w:pStyle w:val="TableParagraph"/>
              <w:ind w:left="266" w:right="201"/>
              <w:rPr>
                <w:rFonts w:ascii="Garamond" w:hAnsi="Garamond"/>
                <w:sz w:val="18"/>
                <w:szCs w:val="18"/>
              </w:rPr>
            </w:pPr>
            <w:r w:rsidRPr="00E674D9">
              <w:rPr>
                <w:rFonts w:ascii="Garamond" w:hAnsi="Garamond"/>
                <w:sz w:val="18"/>
                <w:szCs w:val="18"/>
              </w:rPr>
              <w:t>turizmit në GDP-të rajonale për çdo anë të programit, rritur me 20%</w:t>
            </w:r>
          </w:p>
          <w:p w14:paraId="19639C17" w14:textId="77777777" w:rsidR="00C61F48" w:rsidRPr="00E674D9" w:rsidRDefault="00C61F48" w:rsidP="00E674D9">
            <w:pPr>
              <w:pStyle w:val="TableParagraph"/>
              <w:spacing w:before="120"/>
              <w:ind w:left="283" w:right="206"/>
              <w:rPr>
                <w:rFonts w:ascii="Garamond" w:hAnsi="Garamond"/>
                <w:i/>
                <w:sz w:val="18"/>
                <w:szCs w:val="18"/>
              </w:rPr>
            </w:pPr>
            <w:r w:rsidRPr="00E674D9">
              <w:rPr>
                <w:rFonts w:ascii="Garamond" w:hAnsi="Garamond"/>
                <w:i/>
                <w:sz w:val="18"/>
                <w:szCs w:val="18"/>
              </w:rPr>
              <w:t>(standardi bazë 2013, Mali i Zi 9.9% të GDP, Shqipëria 6.4% të GDP)</w:t>
            </w:r>
          </w:p>
        </w:tc>
        <w:tc>
          <w:tcPr>
            <w:tcW w:w="2036" w:type="dxa"/>
            <w:shd w:val="clear" w:color="auto" w:fill="FFFF00"/>
          </w:tcPr>
          <w:p w14:paraId="1D67CBEA" w14:textId="77777777" w:rsidR="00C61F48" w:rsidRPr="002956AE" w:rsidRDefault="00C61F48" w:rsidP="00E674D9">
            <w:pPr>
              <w:pStyle w:val="TableParagraph"/>
              <w:spacing w:before="10"/>
              <w:rPr>
                <w:rFonts w:ascii="Garamond" w:hAnsi="Garamond"/>
                <w:sz w:val="18"/>
                <w:szCs w:val="18"/>
              </w:rPr>
            </w:pPr>
          </w:p>
          <w:p w14:paraId="32069445" w14:textId="77777777" w:rsidR="00C61F48" w:rsidRPr="002956AE" w:rsidRDefault="00C61F48" w:rsidP="00E674D9">
            <w:pPr>
              <w:pStyle w:val="TableParagraph"/>
              <w:ind w:left="103" w:right="126"/>
              <w:rPr>
                <w:rFonts w:ascii="Garamond" w:hAnsi="Garamond"/>
                <w:sz w:val="18"/>
                <w:szCs w:val="18"/>
              </w:rPr>
            </w:pPr>
            <w:r w:rsidRPr="002956AE">
              <w:rPr>
                <w:rFonts w:ascii="Garamond" w:hAnsi="Garamond"/>
                <w:sz w:val="18"/>
                <w:szCs w:val="18"/>
              </w:rPr>
              <w:t>Statistikat zyrtare</w:t>
            </w:r>
          </w:p>
          <w:p w14:paraId="4172E0C0" w14:textId="77777777" w:rsidR="00C61F48" w:rsidRPr="002956AE" w:rsidRDefault="00C61F48" w:rsidP="00E674D9">
            <w:pPr>
              <w:pStyle w:val="TableParagraph"/>
              <w:rPr>
                <w:rFonts w:ascii="Garamond" w:hAnsi="Garamond"/>
                <w:sz w:val="18"/>
                <w:szCs w:val="18"/>
              </w:rPr>
            </w:pPr>
          </w:p>
          <w:p w14:paraId="6F24FCBD" w14:textId="77777777" w:rsidR="00C61F48" w:rsidRPr="002956AE" w:rsidRDefault="00C61F48" w:rsidP="00E674D9">
            <w:pPr>
              <w:pStyle w:val="TableParagraph"/>
              <w:spacing w:before="7"/>
              <w:rPr>
                <w:rFonts w:ascii="Garamond" w:hAnsi="Garamond"/>
                <w:sz w:val="18"/>
                <w:szCs w:val="18"/>
              </w:rPr>
            </w:pPr>
          </w:p>
          <w:p w14:paraId="7900DA70" w14:textId="77777777" w:rsidR="00C61F48" w:rsidRPr="002956AE" w:rsidRDefault="00C61F48" w:rsidP="00E674D9">
            <w:pPr>
              <w:pStyle w:val="TableParagraph"/>
              <w:ind w:left="136" w:right="126"/>
              <w:rPr>
                <w:rFonts w:ascii="Garamond" w:hAnsi="Garamond"/>
                <w:sz w:val="18"/>
                <w:szCs w:val="18"/>
              </w:rPr>
            </w:pPr>
            <w:r w:rsidRPr="002956AE">
              <w:rPr>
                <w:rFonts w:ascii="Garamond" w:hAnsi="Garamond"/>
                <w:sz w:val="18"/>
                <w:szCs w:val="18"/>
              </w:rPr>
              <w:t xml:space="preserve">Raportet nga </w:t>
            </w:r>
            <w:r w:rsidRPr="002956AE">
              <w:rPr>
                <w:rFonts w:ascii="Garamond" w:hAnsi="Garamond"/>
                <w:w w:val="95"/>
                <w:sz w:val="18"/>
                <w:szCs w:val="18"/>
              </w:rPr>
              <w:t xml:space="preserve">ministritë/autoritetet </w:t>
            </w:r>
            <w:r w:rsidRPr="002956AE">
              <w:rPr>
                <w:rFonts w:ascii="Garamond" w:hAnsi="Garamond"/>
                <w:sz w:val="18"/>
                <w:szCs w:val="18"/>
              </w:rPr>
              <w:t>përkatëse kombëtare</w:t>
            </w:r>
          </w:p>
        </w:tc>
        <w:tc>
          <w:tcPr>
            <w:tcW w:w="2542" w:type="dxa"/>
            <w:tcBorders>
              <w:top w:val="single" w:sz="49" w:space="0" w:color="DBE4F0"/>
            </w:tcBorders>
          </w:tcPr>
          <w:p w14:paraId="30C8FD97" w14:textId="77777777" w:rsidR="00C61F48" w:rsidRPr="00E674D9" w:rsidRDefault="00C61F48" w:rsidP="00D8448F">
            <w:pPr>
              <w:pStyle w:val="TableParagraph"/>
              <w:numPr>
                <w:ilvl w:val="0"/>
                <w:numId w:val="44"/>
              </w:numPr>
              <w:tabs>
                <w:tab w:val="left" w:pos="161"/>
              </w:tabs>
              <w:spacing w:before="3"/>
              <w:ind w:right="399" w:hanging="141"/>
              <w:rPr>
                <w:rFonts w:ascii="Garamond" w:hAnsi="Garamond"/>
                <w:sz w:val="18"/>
                <w:szCs w:val="18"/>
              </w:rPr>
            </w:pPr>
            <w:r w:rsidRPr="00E674D9">
              <w:rPr>
                <w:rFonts w:ascii="Garamond" w:hAnsi="Garamond"/>
                <w:sz w:val="18"/>
                <w:szCs w:val="18"/>
              </w:rPr>
              <w:t>Inkurajimi i</w:t>
            </w:r>
            <w:r w:rsidRPr="00E674D9">
              <w:rPr>
                <w:rFonts w:ascii="Garamond" w:hAnsi="Garamond"/>
                <w:spacing w:val="-10"/>
                <w:sz w:val="18"/>
                <w:szCs w:val="18"/>
              </w:rPr>
              <w:t xml:space="preserve"> </w:t>
            </w:r>
            <w:r w:rsidRPr="00E674D9">
              <w:rPr>
                <w:rFonts w:ascii="Garamond" w:hAnsi="Garamond"/>
                <w:sz w:val="18"/>
                <w:szCs w:val="18"/>
              </w:rPr>
              <w:t>sipërmarrjes dhe konkurrencës në sektorin e</w:t>
            </w:r>
            <w:r w:rsidRPr="00E674D9">
              <w:rPr>
                <w:rFonts w:ascii="Garamond" w:hAnsi="Garamond"/>
                <w:spacing w:val="-10"/>
                <w:sz w:val="18"/>
                <w:szCs w:val="18"/>
              </w:rPr>
              <w:t xml:space="preserve"> </w:t>
            </w:r>
            <w:r w:rsidRPr="00E674D9">
              <w:rPr>
                <w:rFonts w:ascii="Garamond" w:hAnsi="Garamond"/>
                <w:sz w:val="18"/>
                <w:szCs w:val="18"/>
              </w:rPr>
              <w:t>turizmit</w:t>
            </w:r>
          </w:p>
          <w:p w14:paraId="29B549EC" w14:textId="77777777" w:rsidR="00C61F48" w:rsidRPr="00E674D9" w:rsidRDefault="00C61F48" w:rsidP="00D8448F">
            <w:pPr>
              <w:pStyle w:val="TableParagraph"/>
              <w:numPr>
                <w:ilvl w:val="0"/>
                <w:numId w:val="44"/>
              </w:numPr>
              <w:tabs>
                <w:tab w:val="left" w:pos="161"/>
              </w:tabs>
              <w:spacing w:before="118"/>
              <w:ind w:right="255" w:hanging="141"/>
              <w:rPr>
                <w:rFonts w:ascii="Garamond" w:hAnsi="Garamond"/>
                <w:sz w:val="18"/>
                <w:szCs w:val="18"/>
              </w:rPr>
            </w:pPr>
            <w:r w:rsidRPr="00E674D9">
              <w:rPr>
                <w:rFonts w:ascii="Garamond" w:hAnsi="Garamond"/>
                <w:sz w:val="18"/>
                <w:szCs w:val="18"/>
              </w:rPr>
              <w:t>Diversifikimi i ofertës turistike, përmirësimi i saj dhe promovimi i atraksioneve turistike më pak të njohura në zonën</w:t>
            </w:r>
            <w:r w:rsidRPr="00E674D9">
              <w:rPr>
                <w:rFonts w:ascii="Garamond" w:hAnsi="Garamond"/>
                <w:spacing w:val="-11"/>
                <w:sz w:val="18"/>
                <w:szCs w:val="18"/>
              </w:rPr>
              <w:t xml:space="preserve"> </w:t>
            </w:r>
            <w:r w:rsidRPr="00E674D9">
              <w:rPr>
                <w:rFonts w:ascii="Garamond" w:hAnsi="Garamond"/>
                <w:sz w:val="18"/>
                <w:szCs w:val="18"/>
              </w:rPr>
              <w:t>e</w:t>
            </w:r>
          </w:p>
        </w:tc>
      </w:tr>
      <w:tr w:rsidR="00C61F48" w:rsidRPr="00E674D9" w14:paraId="594D8494" w14:textId="77777777" w:rsidTr="00E674D9">
        <w:trPr>
          <w:trHeight w:hRule="exact" w:val="4987"/>
        </w:trPr>
        <w:tc>
          <w:tcPr>
            <w:tcW w:w="1639" w:type="dxa"/>
            <w:vMerge w:val="restart"/>
          </w:tcPr>
          <w:p w14:paraId="2BCB555A" w14:textId="77777777" w:rsidR="00C61F48" w:rsidRPr="00E674D9" w:rsidRDefault="00C61F48" w:rsidP="00E674D9">
            <w:pPr>
              <w:pStyle w:val="TableParagraph"/>
              <w:ind w:left="103" w:right="366"/>
              <w:rPr>
                <w:rFonts w:ascii="Garamond" w:hAnsi="Garamond"/>
                <w:b/>
                <w:sz w:val="18"/>
                <w:szCs w:val="18"/>
              </w:rPr>
            </w:pPr>
            <w:r w:rsidRPr="00E674D9">
              <w:rPr>
                <w:rFonts w:ascii="Garamond" w:hAnsi="Garamond"/>
                <w:b/>
                <w:sz w:val="18"/>
                <w:szCs w:val="18"/>
              </w:rPr>
              <w:t>trashëgimisë kulturore dhe natyrore</w:t>
            </w:r>
          </w:p>
        </w:tc>
        <w:tc>
          <w:tcPr>
            <w:tcW w:w="1349" w:type="dxa"/>
          </w:tcPr>
          <w:p w14:paraId="32962D1F" w14:textId="77777777" w:rsidR="00C61F48" w:rsidRPr="00E674D9" w:rsidRDefault="00C61F48" w:rsidP="00E674D9">
            <w:pPr>
              <w:pStyle w:val="TableParagraph"/>
              <w:ind w:left="100"/>
              <w:rPr>
                <w:rFonts w:ascii="Garamond" w:hAnsi="Garamond"/>
                <w:b/>
                <w:sz w:val="18"/>
                <w:szCs w:val="18"/>
              </w:rPr>
            </w:pPr>
            <w:r w:rsidRPr="00E674D9">
              <w:rPr>
                <w:rFonts w:ascii="Garamond" w:hAnsi="Garamond"/>
                <w:b/>
                <w:sz w:val="18"/>
                <w:szCs w:val="18"/>
              </w:rPr>
              <w:t>përmirësuar</w:t>
            </w:r>
          </w:p>
        </w:tc>
        <w:tc>
          <w:tcPr>
            <w:tcW w:w="2012" w:type="dxa"/>
          </w:tcPr>
          <w:p w14:paraId="464DC66B" w14:textId="77777777" w:rsidR="00C61F48" w:rsidRPr="00E674D9" w:rsidRDefault="00C61F48" w:rsidP="00D8448F">
            <w:pPr>
              <w:pStyle w:val="TableParagraph"/>
              <w:numPr>
                <w:ilvl w:val="0"/>
                <w:numId w:val="42"/>
              </w:numPr>
              <w:tabs>
                <w:tab w:val="left" w:pos="267"/>
              </w:tabs>
              <w:ind w:right="232" w:hanging="163"/>
              <w:rPr>
                <w:rFonts w:ascii="Garamond" w:hAnsi="Garamond"/>
                <w:sz w:val="18"/>
                <w:szCs w:val="18"/>
              </w:rPr>
            </w:pPr>
            <w:r w:rsidRPr="00E674D9">
              <w:rPr>
                <w:rFonts w:ascii="Garamond" w:hAnsi="Garamond"/>
                <w:sz w:val="18"/>
                <w:szCs w:val="18"/>
              </w:rPr>
              <w:t>1.1.2 Të paktën 5 oferta të reja turistike të përbashkëta, të zhvilluara për zonën e</w:t>
            </w:r>
            <w:r w:rsidRPr="00E674D9">
              <w:rPr>
                <w:rFonts w:ascii="Garamond" w:hAnsi="Garamond"/>
                <w:spacing w:val="-7"/>
                <w:sz w:val="18"/>
                <w:szCs w:val="18"/>
              </w:rPr>
              <w:t xml:space="preserve"> </w:t>
            </w:r>
            <w:r w:rsidRPr="00E674D9">
              <w:rPr>
                <w:rFonts w:ascii="Garamond" w:hAnsi="Garamond"/>
                <w:sz w:val="18"/>
                <w:szCs w:val="18"/>
              </w:rPr>
              <w:t>programit</w:t>
            </w:r>
          </w:p>
          <w:p w14:paraId="30C1CDA4" w14:textId="77777777" w:rsidR="00C61F48" w:rsidRPr="00E674D9" w:rsidRDefault="00C61F48" w:rsidP="00E674D9">
            <w:pPr>
              <w:pStyle w:val="TableParagraph"/>
              <w:spacing w:before="118"/>
              <w:ind w:left="283" w:right="215"/>
              <w:rPr>
                <w:rFonts w:ascii="Garamond" w:hAnsi="Garamond"/>
                <w:i/>
                <w:sz w:val="18"/>
                <w:szCs w:val="18"/>
              </w:rPr>
            </w:pPr>
            <w:r w:rsidRPr="00E674D9">
              <w:rPr>
                <w:rFonts w:ascii="Garamond" w:hAnsi="Garamond"/>
                <w:i/>
                <w:sz w:val="18"/>
                <w:szCs w:val="18"/>
              </w:rPr>
              <w:t>(standardi bazë 2013 = 2)</w:t>
            </w:r>
          </w:p>
          <w:p w14:paraId="15FACD18" w14:textId="77777777" w:rsidR="00C61F48" w:rsidRPr="00E674D9" w:rsidRDefault="00C61F48" w:rsidP="00D8448F">
            <w:pPr>
              <w:pStyle w:val="TableParagraph"/>
              <w:numPr>
                <w:ilvl w:val="0"/>
                <w:numId w:val="42"/>
              </w:numPr>
              <w:tabs>
                <w:tab w:val="left" w:pos="267"/>
              </w:tabs>
              <w:spacing w:before="119"/>
              <w:ind w:right="169" w:hanging="163"/>
              <w:rPr>
                <w:rFonts w:ascii="Garamond" w:hAnsi="Garamond"/>
                <w:sz w:val="18"/>
                <w:szCs w:val="18"/>
              </w:rPr>
            </w:pPr>
            <w:r w:rsidRPr="00E674D9">
              <w:rPr>
                <w:rFonts w:ascii="Garamond" w:hAnsi="Garamond"/>
                <w:sz w:val="18"/>
                <w:szCs w:val="18"/>
              </w:rPr>
              <w:t>1.1.3 Ofertat turistike të krijuara nga iniciativat</w:t>
            </w:r>
            <w:r w:rsidRPr="00E674D9">
              <w:rPr>
                <w:rFonts w:ascii="Garamond" w:hAnsi="Garamond"/>
                <w:spacing w:val="-7"/>
                <w:sz w:val="18"/>
                <w:szCs w:val="18"/>
              </w:rPr>
              <w:t xml:space="preserve"> </w:t>
            </w:r>
            <w:r w:rsidRPr="00E674D9">
              <w:rPr>
                <w:rFonts w:ascii="Garamond" w:hAnsi="Garamond"/>
                <w:sz w:val="18"/>
                <w:szCs w:val="18"/>
              </w:rPr>
              <w:t>BNK, të miratuara dhe pranuara nga të paktën 40% e operatorëve turistikë aktivë në zonë</w:t>
            </w:r>
          </w:p>
          <w:p w14:paraId="519AD441" w14:textId="77777777" w:rsidR="00C61F48" w:rsidRPr="00E674D9" w:rsidRDefault="00C61F48" w:rsidP="00D8448F">
            <w:pPr>
              <w:pStyle w:val="TableParagraph"/>
              <w:numPr>
                <w:ilvl w:val="0"/>
                <w:numId w:val="42"/>
              </w:numPr>
              <w:tabs>
                <w:tab w:val="left" w:pos="267"/>
              </w:tabs>
              <w:spacing w:before="120"/>
              <w:ind w:right="170" w:hanging="163"/>
              <w:rPr>
                <w:rFonts w:ascii="Garamond" w:hAnsi="Garamond"/>
                <w:sz w:val="18"/>
                <w:szCs w:val="18"/>
              </w:rPr>
            </w:pPr>
            <w:r w:rsidRPr="00E674D9">
              <w:rPr>
                <w:rFonts w:ascii="Garamond" w:hAnsi="Garamond"/>
                <w:sz w:val="18"/>
                <w:szCs w:val="18"/>
              </w:rPr>
              <w:t>1.1.4 Dy harta turistike dhe</w:t>
            </w:r>
            <w:r w:rsidRPr="00E674D9">
              <w:rPr>
                <w:rFonts w:ascii="Garamond" w:hAnsi="Garamond"/>
                <w:spacing w:val="-10"/>
                <w:sz w:val="18"/>
                <w:szCs w:val="18"/>
              </w:rPr>
              <w:t xml:space="preserve"> </w:t>
            </w:r>
            <w:r w:rsidRPr="00E674D9">
              <w:rPr>
                <w:rFonts w:ascii="Garamond" w:hAnsi="Garamond"/>
                <w:sz w:val="18"/>
                <w:szCs w:val="18"/>
              </w:rPr>
              <w:t>oferta të integruara turistike të prezantuara për zonat malore (më pak të favorshme) në të dyja anët e kufirit</w:t>
            </w:r>
          </w:p>
        </w:tc>
        <w:tc>
          <w:tcPr>
            <w:tcW w:w="2036" w:type="dxa"/>
            <w:shd w:val="clear" w:color="auto" w:fill="FFFF00"/>
          </w:tcPr>
          <w:p w14:paraId="3BCDA6D8" w14:textId="77777777" w:rsidR="00C61F48" w:rsidRPr="002956AE" w:rsidRDefault="00C61F48" w:rsidP="00E674D9">
            <w:pPr>
              <w:pStyle w:val="TableParagraph"/>
              <w:rPr>
                <w:rFonts w:ascii="Garamond" w:hAnsi="Garamond"/>
                <w:sz w:val="18"/>
                <w:szCs w:val="18"/>
              </w:rPr>
            </w:pPr>
          </w:p>
          <w:p w14:paraId="5B866F27" w14:textId="77777777" w:rsidR="00C61F48" w:rsidRPr="002956AE" w:rsidRDefault="00C61F48" w:rsidP="00E674D9">
            <w:pPr>
              <w:pStyle w:val="TableParagraph"/>
              <w:spacing w:before="134"/>
              <w:ind w:left="136" w:right="3"/>
              <w:rPr>
                <w:rFonts w:ascii="Garamond" w:hAnsi="Garamond"/>
                <w:sz w:val="18"/>
                <w:szCs w:val="18"/>
              </w:rPr>
            </w:pPr>
            <w:r w:rsidRPr="002956AE">
              <w:rPr>
                <w:rFonts w:ascii="Garamond" w:hAnsi="Garamond"/>
                <w:sz w:val="18"/>
                <w:szCs w:val="18"/>
              </w:rPr>
              <w:t>Raportet e organizatave kombëtare dhe lokale të turizmit</w:t>
            </w:r>
          </w:p>
          <w:p w14:paraId="4F631E55" w14:textId="77777777" w:rsidR="00C61F48" w:rsidRPr="002956AE" w:rsidRDefault="00C61F48" w:rsidP="00E674D9">
            <w:pPr>
              <w:pStyle w:val="TableParagraph"/>
              <w:rPr>
                <w:rFonts w:ascii="Garamond" w:hAnsi="Garamond"/>
                <w:sz w:val="18"/>
                <w:szCs w:val="18"/>
              </w:rPr>
            </w:pPr>
          </w:p>
          <w:p w14:paraId="288F83B0" w14:textId="77777777" w:rsidR="00C61F48" w:rsidRPr="002956AE" w:rsidRDefault="00C61F48" w:rsidP="00E674D9">
            <w:pPr>
              <w:pStyle w:val="TableParagraph"/>
              <w:rPr>
                <w:rFonts w:ascii="Garamond" w:hAnsi="Garamond"/>
                <w:sz w:val="18"/>
                <w:szCs w:val="18"/>
              </w:rPr>
            </w:pPr>
          </w:p>
          <w:p w14:paraId="24BBC47E" w14:textId="77777777" w:rsidR="00C61F48" w:rsidRPr="002956AE" w:rsidRDefault="00C61F48" w:rsidP="00E674D9">
            <w:pPr>
              <w:pStyle w:val="TableParagraph"/>
              <w:ind w:left="160" w:right="126"/>
              <w:rPr>
                <w:rFonts w:ascii="Garamond" w:hAnsi="Garamond"/>
                <w:sz w:val="18"/>
                <w:szCs w:val="18"/>
              </w:rPr>
            </w:pPr>
            <w:r w:rsidRPr="002956AE">
              <w:rPr>
                <w:rFonts w:ascii="Garamond" w:hAnsi="Garamond"/>
                <w:sz w:val="18"/>
                <w:szCs w:val="18"/>
              </w:rPr>
              <w:t>Raportet e monitorimit / projektit</w:t>
            </w:r>
          </w:p>
        </w:tc>
        <w:tc>
          <w:tcPr>
            <w:tcW w:w="2542" w:type="dxa"/>
          </w:tcPr>
          <w:p w14:paraId="526DC92C" w14:textId="77777777" w:rsidR="00C61F48" w:rsidRPr="00E674D9" w:rsidRDefault="00C61F48" w:rsidP="00E674D9">
            <w:pPr>
              <w:pStyle w:val="TableParagraph"/>
              <w:ind w:left="160"/>
              <w:rPr>
                <w:rFonts w:ascii="Garamond" w:hAnsi="Garamond"/>
                <w:sz w:val="18"/>
                <w:szCs w:val="18"/>
              </w:rPr>
            </w:pPr>
            <w:r w:rsidRPr="00E674D9">
              <w:rPr>
                <w:rFonts w:ascii="Garamond" w:hAnsi="Garamond"/>
                <w:sz w:val="18"/>
                <w:szCs w:val="18"/>
              </w:rPr>
              <w:t>programit</w:t>
            </w:r>
          </w:p>
          <w:p w14:paraId="58CB8E0D" w14:textId="77777777" w:rsidR="00C61F48" w:rsidRPr="00E674D9" w:rsidRDefault="00C61F48" w:rsidP="00D8448F">
            <w:pPr>
              <w:pStyle w:val="TableParagraph"/>
              <w:numPr>
                <w:ilvl w:val="0"/>
                <w:numId w:val="41"/>
              </w:numPr>
              <w:tabs>
                <w:tab w:val="left" w:pos="161"/>
              </w:tabs>
              <w:spacing w:before="120"/>
              <w:ind w:right="351" w:hanging="141"/>
              <w:rPr>
                <w:rFonts w:ascii="Garamond" w:hAnsi="Garamond"/>
                <w:sz w:val="18"/>
                <w:szCs w:val="18"/>
              </w:rPr>
            </w:pPr>
            <w:r w:rsidRPr="00E674D9">
              <w:rPr>
                <w:rFonts w:ascii="Garamond" w:hAnsi="Garamond"/>
                <w:sz w:val="18"/>
                <w:szCs w:val="18"/>
              </w:rPr>
              <w:t>Rritja e kapaciteteve</w:t>
            </w:r>
            <w:r w:rsidRPr="00E674D9">
              <w:rPr>
                <w:rFonts w:ascii="Garamond" w:hAnsi="Garamond"/>
                <w:spacing w:val="-9"/>
                <w:sz w:val="18"/>
                <w:szCs w:val="18"/>
              </w:rPr>
              <w:t xml:space="preserve"> </w:t>
            </w:r>
            <w:r w:rsidRPr="00E674D9">
              <w:rPr>
                <w:rFonts w:ascii="Garamond" w:hAnsi="Garamond"/>
                <w:sz w:val="18"/>
                <w:szCs w:val="18"/>
              </w:rPr>
              <w:t>dhe futja e teknikave dhe qasjeve të reja për promovimin, duke përfshirë hartat, përdorimin e TIK, multi- median, hulumtimin,</w:t>
            </w:r>
            <w:r w:rsidRPr="00E674D9">
              <w:rPr>
                <w:rFonts w:ascii="Garamond" w:hAnsi="Garamond"/>
                <w:spacing w:val="-8"/>
                <w:sz w:val="18"/>
                <w:szCs w:val="18"/>
              </w:rPr>
              <w:t xml:space="preserve"> </w:t>
            </w:r>
            <w:r w:rsidRPr="00E674D9">
              <w:rPr>
                <w:rFonts w:ascii="Garamond" w:hAnsi="Garamond"/>
                <w:sz w:val="18"/>
                <w:szCs w:val="18"/>
              </w:rPr>
              <w:t>etj.</w:t>
            </w:r>
          </w:p>
          <w:p w14:paraId="1415663C" w14:textId="77777777" w:rsidR="00C61F48" w:rsidRPr="00E674D9" w:rsidRDefault="00C61F48" w:rsidP="00D8448F">
            <w:pPr>
              <w:pStyle w:val="TableParagraph"/>
              <w:numPr>
                <w:ilvl w:val="0"/>
                <w:numId w:val="41"/>
              </w:numPr>
              <w:tabs>
                <w:tab w:val="left" w:pos="161"/>
              </w:tabs>
              <w:spacing w:before="120"/>
              <w:ind w:right="129" w:hanging="141"/>
              <w:rPr>
                <w:rFonts w:ascii="Garamond" w:hAnsi="Garamond"/>
                <w:sz w:val="18"/>
                <w:szCs w:val="18"/>
              </w:rPr>
            </w:pPr>
            <w:r w:rsidRPr="00E674D9">
              <w:rPr>
                <w:rFonts w:ascii="Garamond" w:hAnsi="Garamond"/>
                <w:sz w:val="18"/>
                <w:szCs w:val="18"/>
              </w:rPr>
              <w:t>Iniciativa të përbashkëta lidhur me trajnimin profesional, të cilat synojnë aftësitë që lidhen me një ofertë konkurruese turistike dhe kërkesat e tregut</w:t>
            </w:r>
          </w:p>
          <w:p w14:paraId="13FFD9A6" w14:textId="77777777" w:rsidR="00C61F48" w:rsidRPr="00E674D9" w:rsidRDefault="00C61F48" w:rsidP="00D8448F">
            <w:pPr>
              <w:pStyle w:val="TableParagraph"/>
              <w:numPr>
                <w:ilvl w:val="0"/>
                <w:numId w:val="41"/>
              </w:numPr>
              <w:tabs>
                <w:tab w:val="left" w:pos="161"/>
              </w:tabs>
              <w:spacing w:before="120"/>
              <w:ind w:right="297" w:hanging="141"/>
              <w:rPr>
                <w:rFonts w:ascii="Garamond" w:hAnsi="Garamond"/>
                <w:sz w:val="18"/>
                <w:szCs w:val="18"/>
              </w:rPr>
            </w:pPr>
            <w:r w:rsidRPr="00E674D9">
              <w:rPr>
                <w:rFonts w:ascii="Garamond" w:hAnsi="Garamond"/>
                <w:sz w:val="18"/>
                <w:szCs w:val="18"/>
              </w:rPr>
              <w:t>Vepra të vogla infrastrukturore dhe sigurimi i pajisjeve për të përmirësuar standardet</w:t>
            </w:r>
            <w:r w:rsidRPr="00E674D9">
              <w:rPr>
                <w:rFonts w:ascii="Garamond" w:hAnsi="Garamond"/>
                <w:spacing w:val="-12"/>
                <w:sz w:val="18"/>
                <w:szCs w:val="18"/>
              </w:rPr>
              <w:t xml:space="preserve"> </w:t>
            </w:r>
            <w:r w:rsidRPr="00E674D9">
              <w:rPr>
                <w:rFonts w:ascii="Garamond" w:hAnsi="Garamond"/>
                <w:sz w:val="18"/>
                <w:szCs w:val="18"/>
              </w:rPr>
              <w:t>e ofertës turistike dhe restaurimi ose ruajtja e trashëgimisë</w:t>
            </w:r>
            <w:r w:rsidRPr="00E674D9">
              <w:rPr>
                <w:rFonts w:ascii="Garamond" w:hAnsi="Garamond"/>
                <w:spacing w:val="-7"/>
                <w:sz w:val="18"/>
                <w:szCs w:val="18"/>
              </w:rPr>
              <w:t xml:space="preserve"> </w:t>
            </w:r>
            <w:r w:rsidRPr="00E674D9">
              <w:rPr>
                <w:rFonts w:ascii="Garamond" w:hAnsi="Garamond"/>
                <w:sz w:val="18"/>
                <w:szCs w:val="18"/>
              </w:rPr>
              <w:t>historike</w:t>
            </w:r>
          </w:p>
        </w:tc>
      </w:tr>
      <w:tr w:rsidR="00C61F48" w:rsidRPr="00E674D9" w14:paraId="7035E0A8" w14:textId="77777777" w:rsidTr="00E674D9">
        <w:trPr>
          <w:trHeight w:hRule="exact" w:val="4393"/>
        </w:trPr>
        <w:tc>
          <w:tcPr>
            <w:tcW w:w="1639" w:type="dxa"/>
            <w:vMerge/>
          </w:tcPr>
          <w:p w14:paraId="0DE4025A" w14:textId="77777777" w:rsidR="00C61F48" w:rsidRPr="00E674D9" w:rsidRDefault="00C61F48" w:rsidP="00E674D9">
            <w:pPr>
              <w:spacing w:after="0" w:line="240" w:lineRule="auto"/>
              <w:rPr>
                <w:rFonts w:ascii="Garamond" w:hAnsi="Garamond"/>
                <w:sz w:val="18"/>
                <w:szCs w:val="18"/>
              </w:rPr>
            </w:pPr>
          </w:p>
        </w:tc>
        <w:tc>
          <w:tcPr>
            <w:tcW w:w="1349" w:type="dxa"/>
          </w:tcPr>
          <w:p w14:paraId="7F3AEF56" w14:textId="77777777" w:rsidR="00C61F48" w:rsidRPr="00E674D9" w:rsidRDefault="00C61F48" w:rsidP="00E674D9">
            <w:pPr>
              <w:pStyle w:val="TableParagraph"/>
              <w:rPr>
                <w:rFonts w:ascii="Garamond" w:hAnsi="Garamond"/>
                <w:sz w:val="18"/>
                <w:szCs w:val="18"/>
              </w:rPr>
            </w:pPr>
          </w:p>
          <w:p w14:paraId="12FCC2BC" w14:textId="77777777" w:rsidR="00C61F48" w:rsidRPr="00E674D9" w:rsidRDefault="00C61F48" w:rsidP="00E674D9">
            <w:pPr>
              <w:pStyle w:val="TableParagraph"/>
              <w:spacing w:before="134"/>
              <w:ind w:left="100"/>
              <w:rPr>
                <w:rFonts w:ascii="Garamond" w:hAnsi="Garamond"/>
                <w:b/>
                <w:sz w:val="18"/>
                <w:szCs w:val="18"/>
              </w:rPr>
            </w:pPr>
            <w:r w:rsidRPr="00E674D9">
              <w:rPr>
                <w:rFonts w:ascii="Garamond" w:hAnsi="Garamond"/>
                <w:b/>
                <w:sz w:val="18"/>
                <w:szCs w:val="18"/>
                <w:u w:val="single"/>
              </w:rPr>
              <w:t>Rezultati 1.2</w:t>
            </w:r>
          </w:p>
          <w:p w14:paraId="05C76FF5" w14:textId="77777777" w:rsidR="00C61F48" w:rsidRPr="00E674D9" w:rsidRDefault="00C61F48" w:rsidP="00E674D9">
            <w:pPr>
              <w:pStyle w:val="TableParagraph"/>
              <w:rPr>
                <w:rFonts w:ascii="Garamond" w:hAnsi="Garamond"/>
                <w:sz w:val="18"/>
                <w:szCs w:val="18"/>
              </w:rPr>
            </w:pPr>
          </w:p>
          <w:p w14:paraId="4F1EAC52" w14:textId="77777777" w:rsidR="00C61F48" w:rsidRPr="00E674D9" w:rsidRDefault="00C61F48" w:rsidP="00E674D9">
            <w:pPr>
              <w:pStyle w:val="TableParagraph"/>
              <w:spacing w:before="2"/>
              <w:rPr>
                <w:rFonts w:ascii="Garamond" w:hAnsi="Garamond"/>
                <w:sz w:val="18"/>
                <w:szCs w:val="18"/>
              </w:rPr>
            </w:pPr>
          </w:p>
          <w:p w14:paraId="66C5A6F8" w14:textId="77777777" w:rsidR="00C61F48" w:rsidRPr="00E674D9" w:rsidRDefault="00C61F48" w:rsidP="00E674D9">
            <w:pPr>
              <w:pStyle w:val="TableParagraph"/>
              <w:ind w:left="100" w:right="124"/>
              <w:rPr>
                <w:rFonts w:ascii="Garamond" w:hAnsi="Garamond"/>
                <w:b/>
                <w:sz w:val="18"/>
                <w:szCs w:val="18"/>
              </w:rPr>
            </w:pPr>
            <w:r w:rsidRPr="00E674D9">
              <w:rPr>
                <w:rFonts w:ascii="Garamond" w:hAnsi="Garamond"/>
                <w:b/>
                <w:w w:val="95"/>
                <w:sz w:val="18"/>
                <w:szCs w:val="18"/>
              </w:rPr>
              <w:t xml:space="preserve">Bashkëpunim </w:t>
            </w:r>
            <w:r w:rsidRPr="00E674D9">
              <w:rPr>
                <w:rFonts w:ascii="Garamond" w:hAnsi="Garamond"/>
                <w:b/>
                <w:sz w:val="18"/>
                <w:szCs w:val="18"/>
              </w:rPr>
              <w:t>i në fushën e ruajtjes së trashëgimisë kulturore dhe natyrore është rritur (p.sh. rreth zonës së Shkodrës / Liqenit të Shkodrës)</w:t>
            </w:r>
          </w:p>
        </w:tc>
        <w:tc>
          <w:tcPr>
            <w:tcW w:w="2012" w:type="dxa"/>
          </w:tcPr>
          <w:p w14:paraId="47A3687C" w14:textId="77777777" w:rsidR="00C61F48" w:rsidRPr="00E674D9" w:rsidRDefault="00C61F48" w:rsidP="00D8448F">
            <w:pPr>
              <w:pStyle w:val="TableParagraph"/>
              <w:numPr>
                <w:ilvl w:val="0"/>
                <w:numId w:val="40"/>
              </w:numPr>
              <w:tabs>
                <w:tab w:val="left" w:pos="248"/>
              </w:tabs>
              <w:ind w:right="154"/>
              <w:rPr>
                <w:rFonts w:ascii="Garamond" w:hAnsi="Garamond"/>
                <w:sz w:val="18"/>
                <w:szCs w:val="18"/>
              </w:rPr>
            </w:pPr>
            <w:r w:rsidRPr="00E674D9">
              <w:rPr>
                <w:rFonts w:ascii="Garamond" w:hAnsi="Garamond"/>
                <w:sz w:val="18"/>
                <w:szCs w:val="18"/>
              </w:rPr>
              <w:t>1.2.1 Nr. i turistëve (të ndarë sipas gjinisë dhe</w:t>
            </w:r>
            <w:r w:rsidRPr="00E674D9">
              <w:rPr>
                <w:rFonts w:ascii="Garamond" w:hAnsi="Garamond"/>
                <w:spacing w:val="-9"/>
                <w:sz w:val="18"/>
                <w:szCs w:val="18"/>
              </w:rPr>
              <w:t xml:space="preserve"> </w:t>
            </w:r>
            <w:r w:rsidRPr="00E674D9">
              <w:rPr>
                <w:rFonts w:ascii="Garamond" w:hAnsi="Garamond"/>
                <w:sz w:val="18"/>
                <w:szCs w:val="18"/>
              </w:rPr>
              <w:t>moshës) që vizitojnë zona të tilla si Shkodra / Liqeni i Shkodrës, i rritur me</w:t>
            </w:r>
            <w:r w:rsidRPr="00E674D9">
              <w:rPr>
                <w:rFonts w:ascii="Garamond" w:hAnsi="Garamond"/>
                <w:spacing w:val="-4"/>
                <w:sz w:val="18"/>
                <w:szCs w:val="18"/>
              </w:rPr>
              <w:t xml:space="preserve"> </w:t>
            </w:r>
            <w:r w:rsidRPr="00E674D9">
              <w:rPr>
                <w:rFonts w:ascii="Garamond" w:hAnsi="Garamond"/>
                <w:sz w:val="18"/>
                <w:szCs w:val="18"/>
              </w:rPr>
              <w:t>30%</w:t>
            </w:r>
          </w:p>
          <w:p w14:paraId="62EC4891" w14:textId="77777777" w:rsidR="00C61F48" w:rsidRPr="00E674D9" w:rsidRDefault="00C61F48" w:rsidP="00E674D9">
            <w:pPr>
              <w:pStyle w:val="TableParagraph"/>
              <w:spacing w:before="118"/>
              <w:ind w:left="117" w:right="201"/>
              <w:rPr>
                <w:rFonts w:ascii="Garamond" w:hAnsi="Garamond"/>
                <w:sz w:val="18"/>
                <w:szCs w:val="18"/>
              </w:rPr>
            </w:pPr>
            <w:r w:rsidRPr="00E674D9">
              <w:rPr>
                <w:rFonts w:ascii="Garamond" w:hAnsi="Garamond"/>
                <w:sz w:val="18"/>
                <w:szCs w:val="18"/>
              </w:rPr>
              <w:t>- 1.2.2 2000</w:t>
            </w:r>
          </w:p>
          <w:p w14:paraId="1DA8D59E" w14:textId="77777777" w:rsidR="00C61F48" w:rsidRPr="00E674D9" w:rsidRDefault="00C61F48" w:rsidP="00E674D9">
            <w:pPr>
              <w:pStyle w:val="TableParagraph"/>
              <w:spacing w:before="1"/>
              <w:ind w:left="247" w:right="249"/>
              <w:rPr>
                <w:rFonts w:ascii="Garamond" w:hAnsi="Garamond"/>
                <w:sz w:val="18"/>
                <w:szCs w:val="18"/>
              </w:rPr>
            </w:pPr>
            <w:r w:rsidRPr="00E674D9">
              <w:rPr>
                <w:rFonts w:ascii="Garamond" w:hAnsi="Garamond"/>
                <w:sz w:val="18"/>
                <w:szCs w:val="18"/>
              </w:rPr>
              <w:t>pjesëmarrës (të ndarë sipas gjinisë dhe moshës) në eventet e reja kulturore</w:t>
            </w:r>
          </w:p>
          <w:p w14:paraId="7117DA4C" w14:textId="77777777" w:rsidR="00C61F48" w:rsidRPr="00E674D9" w:rsidRDefault="00C61F48" w:rsidP="00D8448F">
            <w:pPr>
              <w:pStyle w:val="TableParagraph"/>
              <w:numPr>
                <w:ilvl w:val="0"/>
                <w:numId w:val="40"/>
              </w:numPr>
              <w:tabs>
                <w:tab w:val="left" w:pos="248"/>
              </w:tabs>
              <w:spacing w:before="120"/>
              <w:ind w:right="124"/>
              <w:rPr>
                <w:rFonts w:ascii="Garamond" w:hAnsi="Garamond"/>
                <w:sz w:val="18"/>
                <w:szCs w:val="18"/>
              </w:rPr>
            </w:pPr>
            <w:r w:rsidRPr="00E674D9">
              <w:rPr>
                <w:rFonts w:ascii="Garamond" w:hAnsi="Garamond"/>
                <w:sz w:val="18"/>
                <w:szCs w:val="18"/>
              </w:rPr>
              <w:t>1.2.3 Nr. i vizitorëve (të ndarë sipas gjinisë dhe moshës) në vendet kulturore dhe natyrore ku janë bërë ndërhyrjet e vogla,</w:t>
            </w:r>
            <w:r w:rsidRPr="00E674D9">
              <w:rPr>
                <w:rFonts w:ascii="Garamond" w:hAnsi="Garamond"/>
                <w:spacing w:val="-7"/>
                <w:sz w:val="18"/>
                <w:szCs w:val="18"/>
              </w:rPr>
              <w:t xml:space="preserve"> </w:t>
            </w:r>
            <w:r w:rsidRPr="00E674D9">
              <w:rPr>
                <w:rFonts w:ascii="Garamond" w:hAnsi="Garamond"/>
                <w:sz w:val="18"/>
                <w:szCs w:val="18"/>
              </w:rPr>
              <w:t>i</w:t>
            </w:r>
          </w:p>
        </w:tc>
        <w:tc>
          <w:tcPr>
            <w:tcW w:w="2036" w:type="dxa"/>
            <w:shd w:val="clear" w:color="auto" w:fill="FFFF00"/>
          </w:tcPr>
          <w:p w14:paraId="3B1E95E3" w14:textId="77777777" w:rsidR="00C61F48" w:rsidRPr="002956AE" w:rsidRDefault="00C61F48" w:rsidP="00E674D9">
            <w:pPr>
              <w:pStyle w:val="TableParagraph"/>
              <w:rPr>
                <w:rFonts w:ascii="Garamond" w:hAnsi="Garamond"/>
                <w:sz w:val="18"/>
                <w:szCs w:val="18"/>
              </w:rPr>
            </w:pPr>
          </w:p>
          <w:p w14:paraId="1F68FE1B" w14:textId="77777777" w:rsidR="00C61F48" w:rsidRPr="002956AE" w:rsidRDefault="00C61F48" w:rsidP="00E674D9">
            <w:pPr>
              <w:pStyle w:val="TableParagraph"/>
              <w:spacing w:before="134"/>
              <w:ind w:left="103" w:right="126"/>
              <w:rPr>
                <w:rFonts w:ascii="Garamond" w:hAnsi="Garamond"/>
                <w:sz w:val="18"/>
                <w:szCs w:val="18"/>
              </w:rPr>
            </w:pPr>
            <w:r w:rsidRPr="002956AE">
              <w:rPr>
                <w:rFonts w:ascii="Garamond" w:hAnsi="Garamond"/>
                <w:sz w:val="18"/>
                <w:szCs w:val="18"/>
              </w:rPr>
              <w:t>Statistikat zyrtare</w:t>
            </w:r>
          </w:p>
          <w:p w14:paraId="19E92714" w14:textId="77777777" w:rsidR="00C61F48" w:rsidRPr="002956AE" w:rsidRDefault="00C61F48" w:rsidP="00E674D9">
            <w:pPr>
              <w:pStyle w:val="TableParagraph"/>
              <w:rPr>
                <w:rFonts w:ascii="Garamond" w:hAnsi="Garamond"/>
                <w:sz w:val="18"/>
                <w:szCs w:val="18"/>
              </w:rPr>
            </w:pPr>
          </w:p>
          <w:p w14:paraId="208CF8DE" w14:textId="77777777" w:rsidR="00C61F48" w:rsidRPr="002956AE" w:rsidRDefault="00C61F48" w:rsidP="00E674D9">
            <w:pPr>
              <w:pStyle w:val="TableParagraph"/>
              <w:spacing w:before="2"/>
              <w:rPr>
                <w:rFonts w:ascii="Garamond" w:hAnsi="Garamond"/>
                <w:sz w:val="18"/>
                <w:szCs w:val="18"/>
              </w:rPr>
            </w:pPr>
          </w:p>
          <w:p w14:paraId="5B3424E1" w14:textId="77777777" w:rsidR="00C61F48" w:rsidRPr="002956AE" w:rsidRDefault="00C61F48" w:rsidP="00E674D9">
            <w:pPr>
              <w:pStyle w:val="TableParagraph"/>
              <w:ind w:left="136" w:right="126"/>
              <w:rPr>
                <w:rFonts w:ascii="Garamond" w:hAnsi="Garamond"/>
                <w:sz w:val="18"/>
                <w:szCs w:val="18"/>
              </w:rPr>
            </w:pPr>
            <w:r w:rsidRPr="002956AE">
              <w:rPr>
                <w:rFonts w:ascii="Garamond" w:hAnsi="Garamond"/>
                <w:sz w:val="18"/>
                <w:szCs w:val="18"/>
              </w:rPr>
              <w:t xml:space="preserve">Raportet nga </w:t>
            </w:r>
            <w:r w:rsidRPr="002956AE">
              <w:rPr>
                <w:rFonts w:ascii="Garamond" w:hAnsi="Garamond"/>
                <w:w w:val="95"/>
                <w:sz w:val="18"/>
                <w:szCs w:val="18"/>
              </w:rPr>
              <w:t xml:space="preserve">ministritë/autoritetet </w:t>
            </w:r>
            <w:r w:rsidRPr="002956AE">
              <w:rPr>
                <w:rFonts w:ascii="Garamond" w:hAnsi="Garamond"/>
                <w:sz w:val="18"/>
                <w:szCs w:val="18"/>
              </w:rPr>
              <w:t>përkatëse kombëtare</w:t>
            </w:r>
          </w:p>
          <w:p w14:paraId="7A77A978" w14:textId="77777777" w:rsidR="00C61F48" w:rsidRPr="002956AE" w:rsidRDefault="00C61F48" w:rsidP="00E674D9">
            <w:pPr>
              <w:pStyle w:val="TableParagraph"/>
              <w:rPr>
                <w:rFonts w:ascii="Garamond" w:hAnsi="Garamond"/>
                <w:sz w:val="18"/>
                <w:szCs w:val="18"/>
              </w:rPr>
            </w:pPr>
          </w:p>
          <w:p w14:paraId="5BAD69B6" w14:textId="77777777" w:rsidR="00C61F48" w:rsidRPr="002956AE" w:rsidRDefault="00C61F48" w:rsidP="00E674D9">
            <w:pPr>
              <w:pStyle w:val="TableParagraph"/>
              <w:rPr>
                <w:rFonts w:ascii="Garamond" w:hAnsi="Garamond"/>
                <w:sz w:val="18"/>
                <w:szCs w:val="18"/>
              </w:rPr>
            </w:pPr>
          </w:p>
          <w:p w14:paraId="26BD548B" w14:textId="77777777" w:rsidR="00C61F48" w:rsidRPr="002956AE" w:rsidRDefault="00C61F48" w:rsidP="00E674D9">
            <w:pPr>
              <w:pStyle w:val="TableParagraph"/>
              <w:ind w:left="136" w:right="3"/>
              <w:rPr>
                <w:rFonts w:ascii="Garamond" w:hAnsi="Garamond"/>
                <w:sz w:val="18"/>
                <w:szCs w:val="18"/>
              </w:rPr>
            </w:pPr>
            <w:r w:rsidRPr="002956AE">
              <w:rPr>
                <w:rFonts w:ascii="Garamond" w:hAnsi="Garamond"/>
                <w:sz w:val="18"/>
                <w:szCs w:val="18"/>
              </w:rPr>
              <w:t>Raportet e organizatave kombëtare dhe lokale të turizmit</w:t>
            </w:r>
          </w:p>
          <w:p w14:paraId="486121C7" w14:textId="77777777" w:rsidR="00C61F48" w:rsidRPr="002956AE" w:rsidRDefault="00C61F48" w:rsidP="00E674D9">
            <w:pPr>
              <w:pStyle w:val="TableParagraph"/>
              <w:rPr>
                <w:rFonts w:ascii="Garamond" w:hAnsi="Garamond"/>
                <w:sz w:val="18"/>
                <w:szCs w:val="18"/>
              </w:rPr>
            </w:pPr>
          </w:p>
          <w:p w14:paraId="51599B7F" w14:textId="77777777" w:rsidR="00C61F48" w:rsidRPr="002956AE" w:rsidRDefault="00C61F48" w:rsidP="00E674D9">
            <w:pPr>
              <w:pStyle w:val="TableParagraph"/>
              <w:rPr>
                <w:rFonts w:ascii="Garamond" w:hAnsi="Garamond"/>
                <w:sz w:val="18"/>
                <w:szCs w:val="18"/>
              </w:rPr>
            </w:pPr>
          </w:p>
          <w:p w14:paraId="75AF268F" w14:textId="77777777" w:rsidR="00C61F48" w:rsidRPr="002956AE" w:rsidRDefault="00C61F48" w:rsidP="00E674D9">
            <w:pPr>
              <w:pStyle w:val="TableParagraph"/>
              <w:ind w:left="160" w:right="126"/>
              <w:rPr>
                <w:rFonts w:ascii="Garamond" w:hAnsi="Garamond"/>
                <w:sz w:val="18"/>
                <w:szCs w:val="18"/>
              </w:rPr>
            </w:pPr>
            <w:r w:rsidRPr="002956AE">
              <w:rPr>
                <w:rFonts w:ascii="Garamond" w:hAnsi="Garamond"/>
                <w:sz w:val="18"/>
                <w:szCs w:val="18"/>
              </w:rPr>
              <w:t>Raportet e monitorimit / projektit</w:t>
            </w:r>
          </w:p>
        </w:tc>
        <w:tc>
          <w:tcPr>
            <w:tcW w:w="2542" w:type="dxa"/>
          </w:tcPr>
          <w:p w14:paraId="5B672A78" w14:textId="77777777" w:rsidR="00C61F48" w:rsidRPr="00E674D9" w:rsidRDefault="00C61F48" w:rsidP="00D8448F">
            <w:pPr>
              <w:pStyle w:val="TableParagraph"/>
              <w:numPr>
                <w:ilvl w:val="0"/>
                <w:numId w:val="39"/>
              </w:numPr>
              <w:tabs>
                <w:tab w:val="left" w:pos="161"/>
              </w:tabs>
              <w:ind w:right="141" w:hanging="141"/>
              <w:rPr>
                <w:rFonts w:ascii="Garamond" w:hAnsi="Garamond"/>
                <w:sz w:val="18"/>
                <w:szCs w:val="18"/>
              </w:rPr>
            </w:pPr>
            <w:r w:rsidRPr="00E674D9">
              <w:rPr>
                <w:rFonts w:ascii="Garamond" w:hAnsi="Garamond"/>
                <w:sz w:val="18"/>
                <w:szCs w:val="18"/>
              </w:rPr>
              <w:t>Fushata ndërgjegjësimi</w:t>
            </w:r>
            <w:r w:rsidRPr="00E674D9">
              <w:rPr>
                <w:rFonts w:ascii="Garamond" w:hAnsi="Garamond"/>
                <w:spacing w:val="-12"/>
                <w:sz w:val="18"/>
                <w:szCs w:val="18"/>
              </w:rPr>
              <w:t xml:space="preserve"> </w:t>
            </w:r>
            <w:r w:rsidRPr="00E674D9">
              <w:rPr>
                <w:rFonts w:ascii="Garamond" w:hAnsi="Garamond"/>
                <w:sz w:val="18"/>
                <w:szCs w:val="18"/>
              </w:rPr>
              <w:t>dhe programe dhe kurrikula edukative lidhur me turizmin dhe shfrytëzimin më të mirë të potencialeve të tij në</w:t>
            </w:r>
            <w:r w:rsidRPr="00E674D9">
              <w:rPr>
                <w:rFonts w:ascii="Garamond" w:hAnsi="Garamond"/>
                <w:spacing w:val="-4"/>
                <w:sz w:val="18"/>
                <w:szCs w:val="18"/>
              </w:rPr>
              <w:t xml:space="preserve"> </w:t>
            </w:r>
            <w:r w:rsidRPr="00E674D9">
              <w:rPr>
                <w:rFonts w:ascii="Garamond" w:hAnsi="Garamond"/>
                <w:sz w:val="18"/>
                <w:szCs w:val="18"/>
              </w:rPr>
              <w:t>zonë</w:t>
            </w:r>
          </w:p>
          <w:p w14:paraId="1FD51470" w14:textId="77777777" w:rsidR="00C61F48" w:rsidRPr="00E674D9" w:rsidRDefault="00C61F48" w:rsidP="00D8448F">
            <w:pPr>
              <w:pStyle w:val="TableParagraph"/>
              <w:numPr>
                <w:ilvl w:val="0"/>
                <w:numId w:val="39"/>
              </w:numPr>
              <w:tabs>
                <w:tab w:val="left" w:pos="161"/>
              </w:tabs>
              <w:spacing w:before="120"/>
              <w:ind w:right="515" w:hanging="141"/>
              <w:rPr>
                <w:rFonts w:ascii="Garamond" w:hAnsi="Garamond"/>
                <w:sz w:val="18"/>
                <w:szCs w:val="18"/>
              </w:rPr>
            </w:pPr>
            <w:r w:rsidRPr="00E674D9">
              <w:rPr>
                <w:rFonts w:ascii="Garamond" w:hAnsi="Garamond"/>
                <w:sz w:val="18"/>
                <w:szCs w:val="18"/>
              </w:rPr>
              <w:t>Aktivitete për të promovuar</w:t>
            </w:r>
            <w:r w:rsidRPr="00E674D9">
              <w:rPr>
                <w:rFonts w:ascii="Garamond" w:hAnsi="Garamond"/>
                <w:spacing w:val="-7"/>
                <w:sz w:val="18"/>
                <w:szCs w:val="18"/>
              </w:rPr>
              <w:t xml:space="preserve"> </w:t>
            </w:r>
            <w:r w:rsidRPr="00E674D9">
              <w:rPr>
                <w:rFonts w:ascii="Garamond" w:hAnsi="Garamond"/>
                <w:sz w:val="18"/>
                <w:szCs w:val="18"/>
              </w:rPr>
              <w:t>potencialin turistik kulturor dhe natyror të zonës së programit</w:t>
            </w:r>
          </w:p>
          <w:p w14:paraId="4C7DD42B" w14:textId="77777777" w:rsidR="00C61F48" w:rsidRPr="00E674D9" w:rsidRDefault="00C61F48" w:rsidP="00D8448F">
            <w:pPr>
              <w:pStyle w:val="TableParagraph"/>
              <w:numPr>
                <w:ilvl w:val="0"/>
                <w:numId w:val="39"/>
              </w:numPr>
              <w:tabs>
                <w:tab w:val="left" w:pos="161"/>
              </w:tabs>
              <w:spacing w:before="118"/>
              <w:ind w:right="116" w:hanging="141"/>
              <w:rPr>
                <w:rFonts w:ascii="Garamond" w:hAnsi="Garamond"/>
                <w:sz w:val="18"/>
                <w:szCs w:val="18"/>
              </w:rPr>
            </w:pPr>
            <w:r w:rsidRPr="00E674D9">
              <w:rPr>
                <w:rFonts w:ascii="Garamond" w:hAnsi="Garamond"/>
                <w:sz w:val="18"/>
                <w:szCs w:val="18"/>
              </w:rPr>
              <w:t>Aktivitete të përbashkëta për të nxitur, por edhe për të përtërirë vlerat</w:t>
            </w:r>
            <w:r w:rsidRPr="00E674D9">
              <w:rPr>
                <w:rFonts w:ascii="Garamond" w:hAnsi="Garamond"/>
                <w:spacing w:val="-10"/>
                <w:sz w:val="18"/>
                <w:szCs w:val="18"/>
              </w:rPr>
              <w:t xml:space="preserve"> </w:t>
            </w:r>
            <w:r w:rsidRPr="00E674D9">
              <w:rPr>
                <w:rFonts w:ascii="Garamond" w:hAnsi="Garamond"/>
                <w:sz w:val="18"/>
                <w:szCs w:val="18"/>
              </w:rPr>
              <w:t>kulturore dhe trashëgiminë natyrore nëpërmjet festivaleve, panaireve,</w:t>
            </w:r>
            <w:r w:rsidRPr="00E674D9">
              <w:rPr>
                <w:rFonts w:ascii="Garamond" w:hAnsi="Garamond"/>
                <w:spacing w:val="-10"/>
                <w:sz w:val="18"/>
                <w:szCs w:val="18"/>
              </w:rPr>
              <w:t xml:space="preserve"> </w:t>
            </w:r>
            <w:r w:rsidRPr="00E674D9">
              <w:rPr>
                <w:rFonts w:ascii="Garamond" w:hAnsi="Garamond"/>
                <w:sz w:val="18"/>
                <w:szCs w:val="18"/>
              </w:rPr>
              <w:t>konkurseve</w:t>
            </w:r>
          </w:p>
          <w:p w14:paraId="12415A67" w14:textId="77777777" w:rsidR="00C61F48" w:rsidRPr="00E674D9" w:rsidRDefault="00C61F48" w:rsidP="00D8448F">
            <w:pPr>
              <w:pStyle w:val="TableParagraph"/>
              <w:numPr>
                <w:ilvl w:val="0"/>
                <w:numId w:val="39"/>
              </w:numPr>
              <w:tabs>
                <w:tab w:val="left" w:pos="161"/>
              </w:tabs>
              <w:spacing w:before="120"/>
              <w:ind w:right="375" w:hanging="141"/>
              <w:rPr>
                <w:rFonts w:ascii="Garamond" w:hAnsi="Garamond"/>
                <w:sz w:val="18"/>
                <w:szCs w:val="18"/>
              </w:rPr>
            </w:pPr>
            <w:r w:rsidRPr="00E674D9">
              <w:rPr>
                <w:rFonts w:ascii="Garamond" w:hAnsi="Garamond"/>
                <w:sz w:val="18"/>
                <w:szCs w:val="18"/>
              </w:rPr>
              <w:t>Trajnime për të rritur cilësinë e shërbimeve</w:t>
            </w:r>
            <w:r w:rsidRPr="00E674D9">
              <w:rPr>
                <w:rFonts w:ascii="Garamond" w:hAnsi="Garamond"/>
                <w:spacing w:val="-9"/>
                <w:sz w:val="18"/>
                <w:szCs w:val="18"/>
              </w:rPr>
              <w:t xml:space="preserve"> </w:t>
            </w:r>
            <w:r w:rsidRPr="00E674D9">
              <w:rPr>
                <w:rFonts w:ascii="Garamond" w:hAnsi="Garamond"/>
                <w:sz w:val="18"/>
                <w:szCs w:val="18"/>
              </w:rPr>
              <w:t>në vendet kulturore</w:t>
            </w:r>
            <w:r w:rsidRPr="00E674D9">
              <w:rPr>
                <w:rFonts w:ascii="Garamond" w:hAnsi="Garamond"/>
                <w:spacing w:val="-10"/>
                <w:sz w:val="18"/>
                <w:szCs w:val="18"/>
              </w:rPr>
              <w:t xml:space="preserve"> </w:t>
            </w:r>
            <w:r w:rsidRPr="00E674D9">
              <w:rPr>
                <w:rFonts w:ascii="Garamond" w:hAnsi="Garamond"/>
                <w:sz w:val="18"/>
                <w:szCs w:val="18"/>
              </w:rPr>
              <w:t>dhe</w:t>
            </w:r>
          </w:p>
        </w:tc>
      </w:tr>
      <w:tr w:rsidR="00C61F48" w:rsidRPr="00E674D9" w14:paraId="162C4B4F" w14:textId="77777777" w:rsidTr="00E674D9">
        <w:trPr>
          <w:trHeight w:hRule="exact" w:val="1148"/>
        </w:trPr>
        <w:tc>
          <w:tcPr>
            <w:tcW w:w="1639" w:type="dxa"/>
          </w:tcPr>
          <w:p w14:paraId="6AF9BF7A" w14:textId="77777777" w:rsidR="00C61F48" w:rsidRPr="00E674D9" w:rsidRDefault="00C61F48" w:rsidP="00E674D9">
            <w:pPr>
              <w:spacing w:after="0" w:line="240" w:lineRule="auto"/>
              <w:rPr>
                <w:rFonts w:ascii="Garamond" w:hAnsi="Garamond"/>
                <w:sz w:val="18"/>
                <w:szCs w:val="18"/>
              </w:rPr>
            </w:pPr>
          </w:p>
        </w:tc>
        <w:tc>
          <w:tcPr>
            <w:tcW w:w="1349" w:type="dxa"/>
          </w:tcPr>
          <w:p w14:paraId="0A339187" w14:textId="77777777" w:rsidR="00C61F48" w:rsidRPr="00E674D9" w:rsidRDefault="00C61F48" w:rsidP="00E674D9">
            <w:pPr>
              <w:spacing w:after="0" w:line="240" w:lineRule="auto"/>
              <w:rPr>
                <w:rFonts w:ascii="Garamond" w:hAnsi="Garamond"/>
                <w:sz w:val="18"/>
                <w:szCs w:val="18"/>
              </w:rPr>
            </w:pPr>
          </w:p>
        </w:tc>
        <w:tc>
          <w:tcPr>
            <w:tcW w:w="2012" w:type="dxa"/>
          </w:tcPr>
          <w:p w14:paraId="77629239" w14:textId="77777777" w:rsidR="00C61F48" w:rsidRPr="00E674D9" w:rsidRDefault="00C61F48" w:rsidP="00E674D9">
            <w:pPr>
              <w:pStyle w:val="TableParagraph"/>
              <w:ind w:left="247" w:right="201"/>
              <w:rPr>
                <w:rFonts w:ascii="Garamond" w:hAnsi="Garamond"/>
                <w:sz w:val="18"/>
                <w:szCs w:val="18"/>
              </w:rPr>
            </w:pPr>
            <w:r w:rsidRPr="00E674D9">
              <w:rPr>
                <w:rFonts w:ascii="Garamond" w:hAnsi="Garamond"/>
                <w:sz w:val="18"/>
                <w:szCs w:val="18"/>
              </w:rPr>
              <w:t>rritur me 20%</w:t>
            </w:r>
          </w:p>
        </w:tc>
        <w:tc>
          <w:tcPr>
            <w:tcW w:w="2036" w:type="dxa"/>
            <w:shd w:val="clear" w:color="auto" w:fill="FFFF00"/>
          </w:tcPr>
          <w:p w14:paraId="1B909F07" w14:textId="77777777" w:rsidR="00C61F48" w:rsidRPr="002956AE" w:rsidRDefault="00C61F48" w:rsidP="00E674D9">
            <w:pPr>
              <w:spacing w:after="0" w:line="240" w:lineRule="auto"/>
              <w:rPr>
                <w:rFonts w:ascii="Garamond" w:hAnsi="Garamond"/>
                <w:sz w:val="18"/>
                <w:szCs w:val="18"/>
              </w:rPr>
            </w:pPr>
          </w:p>
        </w:tc>
        <w:tc>
          <w:tcPr>
            <w:tcW w:w="2542" w:type="dxa"/>
          </w:tcPr>
          <w:p w14:paraId="16318F03" w14:textId="77777777" w:rsidR="00C61F48" w:rsidRPr="00E674D9" w:rsidRDefault="00C61F48" w:rsidP="00E674D9">
            <w:pPr>
              <w:pStyle w:val="TableParagraph"/>
              <w:ind w:left="160"/>
              <w:rPr>
                <w:rFonts w:ascii="Garamond" w:hAnsi="Garamond"/>
                <w:sz w:val="18"/>
                <w:szCs w:val="18"/>
              </w:rPr>
            </w:pPr>
            <w:r w:rsidRPr="00E674D9">
              <w:rPr>
                <w:rFonts w:ascii="Garamond" w:hAnsi="Garamond"/>
                <w:sz w:val="18"/>
                <w:szCs w:val="18"/>
              </w:rPr>
              <w:t>natyrore</w:t>
            </w:r>
          </w:p>
          <w:p w14:paraId="064813CD" w14:textId="77777777" w:rsidR="00C61F48" w:rsidRPr="00E674D9" w:rsidRDefault="00C61F48" w:rsidP="00D8448F">
            <w:pPr>
              <w:pStyle w:val="TableParagraph"/>
              <w:numPr>
                <w:ilvl w:val="0"/>
                <w:numId w:val="38"/>
              </w:numPr>
              <w:tabs>
                <w:tab w:val="left" w:pos="161"/>
              </w:tabs>
              <w:spacing w:before="120"/>
              <w:ind w:right="174" w:hanging="141"/>
              <w:rPr>
                <w:rFonts w:ascii="Garamond" w:hAnsi="Garamond"/>
                <w:sz w:val="18"/>
                <w:szCs w:val="18"/>
              </w:rPr>
            </w:pPr>
            <w:r w:rsidRPr="00E674D9">
              <w:rPr>
                <w:rFonts w:ascii="Garamond" w:hAnsi="Garamond"/>
                <w:sz w:val="18"/>
                <w:szCs w:val="18"/>
              </w:rPr>
              <w:t>Aktivitete për të rritur ndërgjegjësimin e njerëzve mbi rëndësinë e trashëgimisë kulturore</w:t>
            </w:r>
            <w:r w:rsidRPr="00E674D9">
              <w:rPr>
                <w:rFonts w:ascii="Garamond" w:hAnsi="Garamond"/>
                <w:spacing w:val="-9"/>
                <w:sz w:val="18"/>
                <w:szCs w:val="18"/>
              </w:rPr>
              <w:t xml:space="preserve"> </w:t>
            </w:r>
            <w:r w:rsidRPr="00E674D9">
              <w:rPr>
                <w:rFonts w:ascii="Garamond" w:hAnsi="Garamond"/>
                <w:sz w:val="18"/>
                <w:szCs w:val="18"/>
              </w:rPr>
              <w:t>dhe natyrore, veçanërisht në shkolla</w:t>
            </w:r>
          </w:p>
        </w:tc>
      </w:tr>
    </w:tbl>
    <w:p w14:paraId="2DE06D67" w14:textId="4CFACCD1" w:rsidR="00E674D9" w:rsidRDefault="00E674D9" w:rsidP="00E674D9">
      <w:pPr>
        <w:pStyle w:val="TEKSTI"/>
      </w:pPr>
      <w:r>
        <w:t>*Bazuar në aktivitetet mbështetëse të programit deri në</w:t>
      </w:r>
      <w:r>
        <w:rPr>
          <w:spacing w:val="-28"/>
        </w:rPr>
        <w:t xml:space="preserve"> </w:t>
      </w:r>
      <w:r>
        <w:t>2022.</w:t>
      </w:r>
    </w:p>
    <w:p w14:paraId="3C51D324" w14:textId="77777777" w:rsidR="00C61F48" w:rsidRDefault="00C61F48" w:rsidP="00E674D9">
      <w:pPr>
        <w:pStyle w:val="TEKSTI"/>
        <w:rPr>
          <w:sz w:val="18"/>
        </w:rPr>
      </w:pPr>
      <w:r>
        <w:rPr>
          <w:sz w:val="18"/>
        </w:rPr>
        <w:t>*- Shumica e treguesve kanë si bazë ''0''. Përkatësisht, disponueshmëria e kufizuar e informacionit statistikor dhe burimeve nuk lejon përcaktimin e saktë të treguesve në nivelin bazë. E njëjta qasje vlen për të tri prioritetet tematike. Ju lutem kini parasysh se kudo ka synime, ato janë thjesht tentativë, pasi shumat e alokimeve të programit janë ende të</w:t>
      </w:r>
      <w:r>
        <w:rPr>
          <w:spacing w:val="-24"/>
          <w:sz w:val="18"/>
        </w:rPr>
        <w:t xml:space="preserve"> </w:t>
      </w:r>
      <w:r>
        <w:rPr>
          <w:sz w:val="18"/>
        </w:rPr>
        <w:t>panjohura.</w:t>
      </w:r>
    </w:p>
    <w:p w14:paraId="2A1DE3D2" w14:textId="77777777" w:rsidR="00C61F48" w:rsidRDefault="00C61F48" w:rsidP="00C61F48">
      <w:pPr>
        <w:pStyle w:val="BodyText"/>
        <w:rPr>
          <w:sz w:val="20"/>
        </w:rPr>
      </w:pPr>
    </w:p>
    <w:p w14:paraId="57B9BDAA" w14:textId="77777777" w:rsidR="00C61F48" w:rsidRDefault="00C61F48" w:rsidP="00C61F48">
      <w:pPr>
        <w:pStyle w:val="BodyText"/>
        <w:rPr>
          <w:sz w:val="20"/>
        </w:rPr>
      </w:pPr>
    </w:p>
    <w:p w14:paraId="0BADFC73" w14:textId="77777777" w:rsidR="00C61F48" w:rsidRDefault="00C61F48" w:rsidP="00C61F48">
      <w:pPr>
        <w:pStyle w:val="BodyText"/>
        <w:spacing w:before="4"/>
        <w:rPr>
          <w:sz w:val="11"/>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532"/>
        <w:gridCol w:w="2148"/>
        <w:gridCol w:w="2002"/>
        <w:gridCol w:w="2531"/>
      </w:tblGrid>
      <w:tr w:rsidR="00C61F48" w:rsidRPr="00C64471" w14:paraId="0B87023A" w14:textId="77777777" w:rsidTr="00E674D9">
        <w:trPr>
          <w:trHeight w:hRule="exact" w:val="665"/>
        </w:trPr>
        <w:tc>
          <w:tcPr>
            <w:tcW w:w="9583" w:type="dxa"/>
            <w:gridSpan w:val="5"/>
            <w:tcBorders>
              <w:bottom w:val="single" w:sz="49" w:space="0" w:color="DBE4F0"/>
            </w:tcBorders>
            <w:shd w:val="clear" w:color="auto" w:fill="C5D9F0"/>
          </w:tcPr>
          <w:p w14:paraId="2CBA8B84" w14:textId="77777777" w:rsidR="00C61F48" w:rsidRPr="00C64471" w:rsidRDefault="00C61F48" w:rsidP="00BA13DB">
            <w:pPr>
              <w:pStyle w:val="TableParagraph"/>
              <w:ind w:left="2230" w:right="223" w:hanging="2000"/>
              <w:rPr>
                <w:rFonts w:ascii="Garamond" w:hAnsi="Garamond"/>
                <w:b/>
                <w:sz w:val="18"/>
                <w:szCs w:val="18"/>
              </w:rPr>
            </w:pPr>
            <w:r w:rsidRPr="00C64471">
              <w:rPr>
                <w:rFonts w:ascii="Garamond" w:hAnsi="Garamond"/>
                <w:b/>
                <w:sz w:val="18"/>
                <w:szCs w:val="18"/>
              </w:rPr>
              <w:t>PRIORITETI 2 – MBROJTJA E MJEDISIT, NXITJA E PËRSHTATJES DHE LEHTËSIMIT NDAJ NDRYSHIMEVE KLIMATIKE, PARANDALIMI DHE MENAXHIMI I RREZIKUT</w:t>
            </w:r>
          </w:p>
        </w:tc>
      </w:tr>
      <w:tr w:rsidR="00C61F48" w:rsidRPr="00C64471" w14:paraId="3B11CCEC" w14:textId="77777777" w:rsidTr="00E674D9">
        <w:trPr>
          <w:trHeight w:hRule="exact" w:val="624"/>
        </w:trPr>
        <w:tc>
          <w:tcPr>
            <w:tcW w:w="1370" w:type="dxa"/>
            <w:shd w:val="clear" w:color="auto" w:fill="DBE4F0"/>
          </w:tcPr>
          <w:p w14:paraId="556D122F" w14:textId="77777777" w:rsidR="00C61F48" w:rsidRPr="00C64471" w:rsidRDefault="00C61F48" w:rsidP="00BA13DB">
            <w:pPr>
              <w:pStyle w:val="TableParagraph"/>
              <w:spacing w:before="4"/>
              <w:ind w:left="364" w:right="96" w:hanging="63"/>
              <w:rPr>
                <w:rFonts w:ascii="Garamond" w:hAnsi="Garamond"/>
                <w:b/>
                <w:sz w:val="18"/>
                <w:szCs w:val="18"/>
              </w:rPr>
            </w:pPr>
            <w:r w:rsidRPr="00C64471">
              <w:rPr>
                <w:rFonts w:ascii="Garamond" w:hAnsi="Garamond"/>
                <w:b/>
                <w:w w:val="95"/>
                <w:sz w:val="18"/>
                <w:szCs w:val="18"/>
              </w:rPr>
              <w:t xml:space="preserve">Objektivi </w:t>
            </w:r>
            <w:r w:rsidRPr="00C64471">
              <w:rPr>
                <w:rFonts w:ascii="Garamond" w:hAnsi="Garamond"/>
                <w:b/>
                <w:sz w:val="18"/>
                <w:szCs w:val="18"/>
              </w:rPr>
              <w:t>specifik</w:t>
            </w:r>
          </w:p>
        </w:tc>
        <w:tc>
          <w:tcPr>
            <w:tcW w:w="1532" w:type="dxa"/>
            <w:shd w:val="clear" w:color="auto" w:fill="DBE4F0"/>
          </w:tcPr>
          <w:p w14:paraId="545F67DE" w14:textId="77777777" w:rsidR="00C61F48" w:rsidRPr="00C64471" w:rsidRDefault="00C61F48" w:rsidP="00BA13DB">
            <w:pPr>
              <w:pStyle w:val="TableParagraph"/>
              <w:spacing w:before="126"/>
              <w:ind w:left="331" w:right="122"/>
              <w:rPr>
                <w:rFonts w:ascii="Garamond" w:hAnsi="Garamond"/>
                <w:b/>
                <w:sz w:val="18"/>
                <w:szCs w:val="18"/>
              </w:rPr>
            </w:pPr>
            <w:r w:rsidRPr="00C64471">
              <w:rPr>
                <w:rFonts w:ascii="Garamond" w:hAnsi="Garamond"/>
                <w:b/>
                <w:sz w:val="18"/>
                <w:szCs w:val="18"/>
              </w:rPr>
              <w:t>Rezultatet</w:t>
            </w:r>
          </w:p>
        </w:tc>
        <w:tc>
          <w:tcPr>
            <w:tcW w:w="2148" w:type="dxa"/>
            <w:shd w:val="clear" w:color="auto" w:fill="DBE4F0"/>
          </w:tcPr>
          <w:p w14:paraId="6B20A4D5" w14:textId="77777777" w:rsidR="00C61F48" w:rsidRPr="00C64471" w:rsidRDefault="00C61F48" w:rsidP="00BA13DB">
            <w:pPr>
              <w:pStyle w:val="TableParagraph"/>
              <w:spacing w:before="116"/>
              <w:ind w:left="640" w:right="122"/>
              <w:rPr>
                <w:rFonts w:ascii="Garamond" w:hAnsi="Garamond"/>
                <w:b/>
                <w:sz w:val="18"/>
                <w:szCs w:val="18"/>
              </w:rPr>
            </w:pPr>
            <w:r w:rsidRPr="00C64471">
              <w:rPr>
                <w:rFonts w:ascii="Garamond" w:hAnsi="Garamond"/>
                <w:b/>
                <w:sz w:val="18"/>
                <w:szCs w:val="18"/>
              </w:rPr>
              <w:t>Treguesit</w:t>
            </w:r>
            <w:r w:rsidRPr="00C64471">
              <w:rPr>
                <w:rFonts w:ascii="Garamond" w:hAnsi="Garamond"/>
                <w:b/>
                <w:position w:val="6"/>
                <w:sz w:val="18"/>
                <w:szCs w:val="18"/>
              </w:rPr>
              <w:t>*</w:t>
            </w:r>
          </w:p>
        </w:tc>
        <w:tc>
          <w:tcPr>
            <w:tcW w:w="2002" w:type="dxa"/>
            <w:tcBorders>
              <w:left w:val="single" w:sz="45" w:space="0" w:color="DBE4F0"/>
              <w:right w:val="single" w:sz="41" w:space="0" w:color="DBE4F0"/>
            </w:tcBorders>
            <w:shd w:val="clear" w:color="auto" w:fill="FFFF00"/>
          </w:tcPr>
          <w:p w14:paraId="5E6082E0" w14:textId="77777777" w:rsidR="00C61F48" w:rsidRPr="00C64471" w:rsidRDefault="00C61F48" w:rsidP="00BA13DB">
            <w:pPr>
              <w:pStyle w:val="TableParagraph"/>
              <w:spacing w:before="126"/>
              <w:ind w:left="85"/>
              <w:rPr>
                <w:rFonts w:ascii="Garamond" w:hAnsi="Garamond"/>
                <w:b/>
                <w:sz w:val="18"/>
                <w:szCs w:val="18"/>
              </w:rPr>
            </w:pPr>
            <w:r w:rsidRPr="00C64471">
              <w:rPr>
                <w:rFonts w:ascii="Garamond" w:hAnsi="Garamond"/>
                <w:b/>
                <w:sz w:val="18"/>
                <w:szCs w:val="18"/>
              </w:rPr>
              <w:t>Burimet e verifikimit</w:t>
            </w:r>
          </w:p>
        </w:tc>
        <w:tc>
          <w:tcPr>
            <w:tcW w:w="2531" w:type="dxa"/>
            <w:shd w:val="clear" w:color="auto" w:fill="DBE4F0"/>
          </w:tcPr>
          <w:p w14:paraId="3789C330" w14:textId="77777777" w:rsidR="00C61F48" w:rsidRPr="00C64471" w:rsidRDefault="00C61F48" w:rsidP="00BA13DB">
            <w:pPr>
              <w:pStyle w:val="TableParagraph"/>
              <w:spacing w:before="126"/>
              <w:ind w:left="434" w:right="81"/>
              <w:rPr>
                <w:rFonts w:ascii="Garamond" w:hAnsi="Garamond"/>
                <w:b/>
                <w:sz w:val="18"/>
                <w:szCs w:val="18"/>
              </w:rPr>
            </w:pPr>
            <w:r w:rsidRPr="00C64471">
              <w:rPr>
                <w:rFonts w:ascii="Garamond" w:hAnsi="Garamond"/>
                <w:b/>
                <w:sz w:val="18"/>
                <w:szCs w:val="18"/>
              </w:rPr>
              <w:t>Llojet e aktiviteteve</w:t>
            </w:r>
          </w:p>
        </w:tc>
      </w:tr>
      <w:tr w:rsidR="00C61F48" w:rsidRPr="00C64471" w14:paraId="423EC53A" w14:textId="77777777" w:rsidTr="00E674D9">
        <w:trPr>
          <w:trHeight w:hRule="exact" w:val="4824"/>
        </w:trPr>
        <w:tc>
          <w:tcPr>
            <w:tcW w:w="1370" w:type="dxa"/>
          </w:tcPr>
          <w:p w14:paraId="34EF5453" w14:textId="77777777" w:rsidR="00C61F48" w:rsidRPr="00C64471" w:rsidRDefault="00C61F48" w:rsidP="00BA13DB">
            <w:pPr>
              <w:pStyle w:val="TableParagraph"/>
              <w:rPr>
                <w:rFonts w:ascii="Garamond" w:hAnsi="Garamond"/>
                <w:sz w:val="18"/>
                <w:szCs w:val="18"/>
              </w:rPr>
            </w:pPr>
          </w:p>
          <w:p w14:paraId="5C82BEC8" w14:textId="77777777" w:rsidR="00C61F48" w:rsidRPr="00C64471" w:rsidRDefault="00C61F48" w:rsidP="00BA13DB">
            <w:pPr>
              <w:pStyle w:val="TableParagraph"/>
              <w:rPr>
                <w:rFonts w:ascii="Garamond" w:hAnsi="Garamond"/>
                <w:sz w:val="18"/>
                <w:szCs w:val="18"/>
              </w:rPr>
            </w:pPr>
          </w:p>
          <w:p w14:paraId="1EDDD533" w14:textId="77777777" w:rsidR="00C61F48" w:rsidRPr="00C64471" w:rsidRDefault="00C61F48" w:rsidP="00BA13DB">
            <w:pPr>
              <w:pStyle w:val="TableParagraph"/>
              <w:rPr>
                <w:rFonts w:ascii="Garamond" w:hAnsi="Garamond"/>
                <w:sz w:val="18"/>
                <w:szCs w:val="18"/>
              </w:rPr>
            </w:pPr>
          </w:p>
          <w:p w14:paraId="3F48D780" w14:textId="77777777" w:rsidR="00C61F48" w:rsidRPr="00C64471" w:rsidRDefault="00C61F48" w:rsidP="00BA13DB">
            <w:pPr>
              <w:pStyle w:val="TableParagraph"/>
              <w:rPr>
                <w:rFonts w:ascii="Garamond" w:hAnsi="Garamond"/>
                <w:sz w:val="18"/>
                <w:szCs w:val="18"/>
              </w:rPr>
            </w:pPr>
          </w:p>
          <w:p w14:paraId="68801866" w14:textId="77777777" w:rsidR="00C61F48" w:rsidRPr="00C64471" w:rsidRDefault="00C61F48" w:rsidP="00BA13DB">
            <w:pPr>
              <w:pStyle w:val="TableParagraph"/>
              <w:rPr>
                <w:rFonts w:ascii="Garamond" w:hAnsi="Garamond"/>
                <w:sz w:val="18"/>
                <w:szCs w:val="18"/>
              </w:rPr>
            </w:pPr>
          </w:p>
          <w:p w14:paraId="1534E529" w14:textId="77777777" w:rsidR="00C61F48" w:rsidRPr="00C64471" w:rsidRDefault="00C61F48" w:rsidP="00BA13DB">
            <w:pPr>
              <w:pStyle w:val="TableParagraph"/>
              <w:rPr>
                <w:rFonts w:ascii="Garamond" w:hAnsi="Garamond"/>
                <w:sz w:val="18"/>
                <w:szCs w:val="18"/>
              </w:rPr>
            </w:pPr>
          </w:p>
          <w:p w14:paraId="29482326" w14:textId="77777777" w:rsidR="00C61F48" w:rsidRPr="00C64471" w:rsidRDefault="00C61F48" w:rsidP="00BA13DB">
            <w:pPr>
              <w:pStyle w:val="TableParagraph"/>
              <w:rPr>
                <w:rFonts w:ascii="Garamond" w:hAnsi="Garamond"/>
                <w:sz w:val="18"/>
                <w:szCs w:val="18"/>
              </w:rPr>
            </w:pPr>
          </w:p>
          <w:p w14:paraId="4F7926B2" w14:textId="77777777" w:rsidR="00C61F48" w:rsidRPr="00C64471" w:rsidRDefault="00C61F48" w:rsidP="00BA13DB">
            <w:pPr>
              <w:pStyle w:val="TableParagraph"/>
              <w:rPr>
                <w:rFonts w:ascii="Garamond" w:hAnsi="Garamond"/>
                <w:sz w:val="18"/>
                <w:szCs w:val="18"/>
              </w:rPr>
            </w:pPr>
          </w:p>
          <w:p w14:paraId="75CE55D9" w14:textId="77777777" w:rsidR="00C61F48" w:rsidRPr="00C64471" w:rsidRDefault="00C61F48" w:rsidP="00BA13DB">
            <w:pPr>
              <w:pStyle w:val="TableParagraph"/>
              <w:rPr>
                <w:rFonts w:ascii="Garamond" w:hAnsi="Garamond"/>
                <w:sz w:val="18"/>
                <w:szCs w:val="18"/>
              </w:rPr>
            </w:pPr>
          </w:p>
          <w:p w14:paraId="07C06836" w14:textId="77777777" w:rsidR="00C61F48" w:rsidRPr="00C64471" w:rsidRDefault="00C61F48" w:rsidP="00BA13DB">
            <w:pPr>
              <w:pStyle w:val="TableParagraph"/>
              <w:rPr>
                <w:rFonts w:ascii="Garamond" w:hAnsi="Garamond"/>
                <w:sz w:val="18"/>
                <w:szCs w:val="18"/>
              </w:rPr>
            </w:pPr>
          </w:p>
          <w:p w14:paraId="7B6A9530" w14:textId="77777777" w:rsidR="00C61F48" w:rsidRPr="00C64471" w:rsidRDefault="00C61F48" w:rsidP="00BA13DB">
            <w:pPr>
              <w:pStyle w:val="TableParagraph"/>
              <w:spacing w:before="6"/>
              <w:rPr>
                <w:rFonts w:ascii="Garamond" w:hAnsi="Garamond"/>
                <w:sz w:val="18"/>
                <w:szCs w:val="18"/>
              </w:rPr>
            </w:pPr>
          </w:p>
          <w:p w14:paraId="42EA4DC5" w14:textId="77777777" w:rsidR="00C61F48" w:rsidRPr="00C64471" w:rsidRDefault="00C61F48" w:rsidP="00BA13DB">
            <w:pPr>
              <w:pStyle w:val="TableParagraph"/>
              <w:ind w:left="103" w:right="96"/>
              <w:rPr>
                <w:rFonts w:ascii="Garamond" w:hAnsi="Garamond"/>
                <w:b/>
                <w:sz w:val="18"/>
                <w:szCs w:val="18"/>
              </w:rPr>
            </w:pPr>
            <w:r w:rsidRPr="00C64471">
              <w:rPr>
                <w:rFonts w:ascii="Garamond" w:hAnsi="Garamond"/>
                <w:b/>
                <w:sz w:val="18"/>
                <w:szCs w:val="18"/>
                <w:u w:val="single"/>
              </w:rPr>
              <w:t>Objektivi Specifik 2</w:t>
            </w:r>
          </w:p>
          <w:p w14:paraId="31B657CF" w14:textId="77777777" w:rsidR="00C61F48" w:rsidRPr="00C64471" w:rsidRDefault="00C61F48" w:rsidP="00BA13DB">
            <w:pPr>
              <w:pStyle w:val="TableParagraph"/>
              <w:rPr>
                <w:rFonts w:ascii="Garamond" w:hAnsi="Garamond"/>
                <w:sz w:val="18"/>
                <w:szCs w:val="18"/>
              </w:rPr>
            </w:pPr>
          </w:p>
          <w:p w14:paraId="3B53607D" w14:textId="77777777" w:rsidR="00C61F48" w:rsidRPr="00C64471" w:rsidRDefault="00C61F48" w:rsidP="00BA13DB">
            <w:pPr>
              <w:pStyle w:val="TableParagraph"/>
              <w:spacing w:before="7"/>
              <w:rPr>
                <w:rFonts w:ascii="Garamond" w:hAnsi="Garamond"/>
                <w:sz w:val="18"/>
                <w:szCs w:val="18"/>
              </w:rPr>
            </w:pPr>
          </w:p>
          <w:p w14:paraId="08A96F69" w14:textId="77777777" w:rsidR="00C61F48" w:rsidRPr="00C64471" w:rsidRDefault="00C61F48" w:rsidP="00BA13DB">
            <w:pPr>
              <w:pStyle w:val="TableParagraph"/>
              <w:ind w:left="103" w:right="96"/>
              <w:rPr>
                <w:rFonts w:ascii="Garamond" w:hAnsi="Garamond"/>
                <w:b/>
                <w:sz w:val="18"/>
                <w:szCs w:val="18"/>
              </w:rPr>
            </w:pPr>
            <w:r w:rsidRPr="00C64471">
              <w:rPr>
                <w:rFonts w:ascii="Garamond" w:hAnsi="Garamond"/>
                <w:b/>
                <w:sz w:val="18"/>
                <w:szCs w:val="18"/>
              </w:rPr>
              <w:t>Mbrojtja e burimeve mjedisore tek liqeni dhe zonat alpine, çohet më tej</w:t>
            </w:r>
          </w:p>
        </w:tc>
        <w:tc>
          <w:tcPr>
            <w:tcW w:w="1532" w:type="dxa"/>
            <w:tcBorders>
              <w:top w:val="single" w:sz="49" w:space="0" w:color="DBE4F0"/>
            </w:tcBorders>
          </w:tcPr>
          <w:p w14:paraId="6723B402" w14:textId="77777777" w:rsidR="00C61F48" w:rsidRPr="00C64471" w:rsidRDefault="00C61F48" w:rsidP="00BA13DB">
            <w:pPr>
              <w:pStyle w:val="TableParagraph"/>
              <w:rPr>
                <w:rFonts w:ascii="Garamond" w:hAnsi="Garamond"/>
                <w:sz w:val="18"/>
                <w:szCs w:val="18"/>
              </w:rPr>
            </w:pPr>
          </w:p>
          <w:p w14:paraId="5FBD98A7" w14:textId="77777777" w:rsidR="00C61F48" w:rsidRPr="00C64471" w:rsidRDefault="00C61F48" w:rsidP="00BA13DB">
            <w:pPr>
              <w:pStyle w:val="TableParagraph"/>
              <w:rPr>
                <w:rFonts w:ascii="Garamond" w:hAnsi="Garamond"/>
                <w:sz w:val="18"/>
                <w:szCs w:val="18"/>
              </w:rPr>
            </w:pPr>
          </w:p>
          <w:p w14:paraId="0796160A" w14:textId="77777777" w:rsidR="00C61F48" w:rsidRPr="00C64471" w:rsidRDefault="00C61F48" w:rsidP="00BA13DB">
            <w:pPr>
              <w:pStyle w:val="TableParagraph"/>
              <w:rPr>
                <w:rFonts w:ascii="Garamond" w:hAnsi="Garamond"/>
                <w:sz w:val="18"/>
                <w:szCs w:val="18"/>
              </w:rPr>
            </w:pPr>
          </w:p>
          <w:p w14:paraId="23D8292B" w14:textId="77777777" w:rsidR="00C61F48" w:rsidRPr="00C64471" w:rsidRDefault="00C61F48" w:rsidP="00BA13DB">
            <w:pPr>
              <w:pStyle w:val="TableParagraph"/>
              <w:rPr>
                <w:rFonts w:ascii="Garamond" w:hAnsi="Garamond"/>
                <w:sz w:val="18"/>
                <w:szCs w:val="18"/>
              </w:rPr>
            </w:pPr>
          </w:p>
          <w:p w14:paraId="36B01E8E" w14:textId="77777777" w:rsidR="00C61F48" w:rsidRPr="00C64471" w:rsidRDefault="00C61F48" w:rsidP="00BA13DB">
            <w:pPr>
              <w:pStyle w:val="TableParagraph"/>
              <w:rPr>
                <w:rFonts w:ascii="Garamond" w:hAnsi="Garamond"/>
                <w:sz w:val="18"/>
                <w:szCs w:val="18"/>
              </w:rPr>
            </w:pPr>
          </w:p>
          <w:p w14:paraId="1D90EF73" w14:textId="77777777" w:rsidR="00C61F48" w:rsidRPr="00C64471" w:rsidRDefault="00C61F48" w:rsidP="00BA13DB">
            <w:pPr>
              <w:pStyle w:val="TableParagraph"/>
              <w:rPr>
                <w:rFonts w:ascii="Garamond" w:hAnsi="Garamond"/>
                <w:sz w:val="18"/>
                <w:szCs w:val="18"/>
              </w:rPr>
            </w:pPr>
          </w:p>
          <w:p w14:paraId="5C3EDBA7" w14:textId="77777777" w:rsidR="00C61F48" w:rsidRPr="00C64471" w:rsidRDefault="00C61F48" w:rsidP="00BA13DB">
            <w:pPr>
              <w:pStyle w:val="TableParagraph"/>
              <w:rPr>
                <w:rFonts w:ascii="Garamond" w:hAnsi="Garamond"/>
                <w:sz w:val="18"/>
                <w:szCs w:val="18"/>
              </w:rPr>
            </w:pPr>
          </w:p>
          <w:p w14:paraId="727D7D71" w14:textId="77777777" w:rsidR="00C61F48" w:rsidRPr="00C64471" w:rsidRDefault="00C61F48" w:rsidP="00BA13DB">
            <w:pPr>
              <w:pStyle w:val="TableParagraph"/>
              <w:rPr>
                <w:rFonts w:ascii="Garamond" w:hAnsi="Garamond"/>
                <w:sz w:val="18"/>
                <w:szCs w:val="18"/>
              </w:rPr>
            </w:pPr>
          </w:p>
          <w:p w14:paraId="534247D8" w14:textId="77777777" w:rsidR="00C61F48" w:rsidRPr="00C64471" w:rsidRDefault="00C61F48" w:rsidP="00BA13DB">
            <w:pPr>
              <w:pStyle w:val="TableParagraph"/>
              <w:rPr>
                <w:rFonts w:ascii="Garamond" w:hAnsi="Garamond"/>
                <w:sz w:val="18"/>
                <w:szCs w:val="18"/>
              </w:rPr>
            </w:pPr>
          </w:p>
          <w:p w14:paraId="30CB039C" w14:textId="77777777" w:rsidR="00C61F48" w:rsidRPr="00C64471" w:rsidRDefault="00C61F48" w:rsidP="00BA13DB">
            <w:pPr>
              <w:pStyle w:val="TableParagraph"/>
              <w:rPr>
                <w:rFonts w:ascii="Garamond" w:hAnsi="Garamond"/>
                <w:sz w:val="18"/>
                <w:szCs w:val="18"/>
              </w:rPr>
            </w:pPr>
          </w:p>
          <w:p w14:paraId="77563EDA" w14:textId="77777777" w:rsidR="00C61F48" w:rsidRPr="00C64471" w:rsidRDefault="00C61F48" w:rsidP="00BA13DB">
            <w:pPr>
              <w:pStyle w:val="TableParagraph"/>
              <w:spacing w:before="9"/>
              <w:rPr>
                <w:rFonts w:ascii="Garamond" w:hAnsi="Garamond"/>
                <w:sz w:val="18"/>
                <w:szCs w:val="18"/>
              </w:rPr>
            </w:pPr>
          </w:p>
          <w:p w14:paraId="42B62077" w14:textId="77777777" w:rsidR="00C61F48" w:rsidRPr="00C64471" w:rsidRDefault="00C61F48" w:rsidP="00BA13DB">
            <w:pPr>
              <w:pStyle w:val="TableParagraph"/>
              <w:ind w:left="103" w:right="122"/>
              <w:rPr>
                <w:rFonts w:ascii="Garamond" w:hAnsi="Garamond"/>
                <w:b/>
                <w:sz w:val="18"/>
                <w:szCs w:val="18"/>
              </w:rPr>
            </w:pPr>
            <w:r w:rsidRPr="00C64471">
              <w:rPr>
                <w:rFonts w:ascii="Garamond" w:hAnsi="Garamond"/>
                <w:b/>
                <w:sz w:val="18"/>
                <w:szCs w:val="18"/>
                <w:u w:val="single"/>
              </w:rPr>
              <w:t>Rezultati 2.1</w:t>
            </w:r>
          </w:p>
          <w:p w14:paraId="60084507" w14:textId="77777777" w:rsidR="00C61F48" w:rsidRPr="00C64471" w:rsidRDefault="00C61F48" w:rsidP="00BA13DB">
            <w:pPr>
              <w:pStyle w:val="TableParagraph"/>
              <w:rPr>
                <w:rFonts w:ascii="Garamond" w:hAnsi="Garamond"/>
                <w:sz w:val="18"/>
                <w:szCs w:val="18"/>
              </w:rPr>
            </w:pPr>
          </w:p>
          <w:p w14:paraId="384D088B" w14:textId="77777777" w:rsidR="00C61F48" w:rsidRPr="00C64471" w:rsidRDefault="00C61F48" w:rsidP="00BA13DB">
            <w:pPr>
              <w:pStyle w:val="TableParagraph"/>
              <w:spacing w:before="9"/>
              <w:rPr>
                <w:rFonts w:ascii="Garamond" w:hAnsi="Garamond"/>
                <w:sz w:val="18"/>
                <w:szCs w:val="18"/>
              </w:rPr>
            </w:pPr>
          </w:p>
          <w:p w14:paraId="7E4D7EA8" w14:textId="77777777" w:rsidR="00C61F48" w:rsidRPr="00C64471" w:rsidRDefault="00C61F48" w:rsidP="00BA13DB">
            <w:pPr>
              <w:pStyle w:val="TableParagraph"/>
              <w:ind w:left="103" w:right="122"/>
              <w:rPr>
                <w:rFonts w:ascii="Garamond" w:hAnsi="Garamond"/>
                <w:sz w:val="18"/>
                <w:szCs w:val="18"/>
              </w:rPr>
            </w:pPr>
            <w:r w:rsidRPr="00C64471">
              <w:rPr>
                <w:rFonts w:ascii="Garamond" w:hAnsi="Garamond"/>
                <w:sz w:val="18"/>
                <w:szCs w:val="18"/>
              </w:rPr>
              <w:t>Ndërgjegjësimi mbi përdorimin e qëndrueshëm të burimeve mjedisore në zonën e liqenit dhe zonat alpine, ka avancuar</w:t>
            </w:r>
          </w:p>
        </w:tc>
        <w:tc>
          <w:tcPr>
            <w:tcW w:w="2148" w:type="dxa"/>
            <w:tcBorders>
              <w:top w:val="single" w:sz="45" w:space="0" w:color="DBE4F0"/>
            </w:tcBorders>
          </w:tcPr>
          <w:p w14:paraId="7E00DBC7" w14:textId="77777777" w:rsidR="00C61F48" w:rsidRPr="00C64471" w:rsidRDefault="00C61F48" w:rsidP="00D8448F">
            <w:pPr>
              <w:pStyle w:val="TableParagraph"/>
              <w:numPr>
                <w:ilvl w:val="0"/>
                <w:numId w:val="37"/>
              </w:numPr>
              <w:tabs>
                <w:tab w:val="left" w:pos="245"/>
              </w:tabs>
              <w:spacing w:line="192" w:lineRule="exact"/>
              <w:ind w:hanging="129"/>
              <w:rPr>
                <w:rFonts w:ascii="Garamond" w:hAnsi="Garamond"/>
                <w:sz w:val="18"/>
                <w:szCs w:val="18"/>
              </w:rPr>
            </w:pPr>
            <w:r w:rsidRPr="00C64471">
              <w:rPr>
                <w:rFonts w:ascii="Garamond" w:hAnsi="Garamond"/>
                <w:sz w:val="18"/>
                <w:szCs w:val="18"/>
              </w:rPr>
              <w:t>2.1.1  Të paktën</w:t>
            </w:r>
            <w:r w:rsidRPr="00C64471">
              <w:rPr>
                <w:rFonts w:ascii="Garamond" w:hAnsi="Garamond"/>
                <w:spacing w:val="-5"/>
                <w:sz w:val="18"/>
                <w:szCs w:val="18"/>
              </w:rPr>
              <w:t xml:space="preserve"> </w:t>
            </w:r>
            <w:r w:rsidRPr="00C64471">
              <w:rPr>
                <w:rFonts w:ascii="Garamond" w:hAnsi="Garamond"/>
                <w:sz w:val="18"/>
                <w:szCs w:val="18"/>
              </w:rPr>
              <w:t>40%</w:t>
            </w:r>
          </w:p>
          <w:p w14:paraId="01FC5F1A" w14:textId="77777777" w:rsidR="00C61F48" w:rsidRPr="00C64471" w:rsidRDefault="00C61F48" w:rsidP="00BA13DB">
            <w:pPr>
              <w:pStyle w:val="TableParagraph"/>
              <w:ind w:left="244" w:right="122"/>
              <w:rPr>
                <w:rFonts w:ascii="Garamond" w:hAnsi="Garamond"/>
                <w:sz w:val="18"/>
                <w:szCs w:val="18"/>
              </w:rPr>
            </w:pPr>
            <w:r w:rsidRPr="00C64471">
              <w:rPr>
                <w:rFonts w:ascii="Garamond" w:hAnsi="Garamond"/>
                <w:sz w:val="18"/>
                <w:szCs w:val="18"/>
              </w:rPr>
              <w:t>e popullsisë (të ndarë sipas gjinisë dhe moshës) në zonën e programit ka qenë subjekt i aktiviteteve ndërgjegjësuese mbi mjedisin.</w:t>
            </w:r>
          </w:p>
          <w:p w14:paraId="49D91B06" w14:textId="77777777" w:rsidR="00C61F48" w:rsidRPr="00C64471" w:rsidRDefault="00C61F48" w:rsidP="00D8448F">
            <w:pPr>
              <w:pStyle w:val="TableParagraph"/>
              <w:numPr>
                <w:ilvl w:val="0"/>
                <w:numId w:val="37"/>
              </w:numPr>
              <w:tabs>
                <w:tab w:val="left" w:pos="245"/>
              </w:tabs>
              <w:spacing w:before="120"/>
              <w:ind w:right="214" w:hanging="129"/>
              <w:rPr>
                <w:rFonts w:ascii="Garamond" w:hAnsi="Garamond"/>
                <w:sz w:val="18"/>
                <w:szCs w:val="18"/>
              </w:rPr>
            </w:pPr>
            <w:r w:rsidRPr="00C64471">
              <w:rPr>
                <w:rFonts w:ascii="Garamond" w:hAnsi="Garamond"/>
                <w:sz w:val="18"/>
                <w:szCs w:val="18"/>
              </w:rPr>
              <w:t>2.1.2 Kontrolli i niveleve të ndotjes në zonën e</w:t>
            </w:r>
            <w:r w:rsidRPr="00C64471">
              <w:rPr>
                <w:rFonts w:ascii="Garamond" w:hAnsi="Garamond"/>
                <w:spacing w:val="-11"/>
                <w:sz w:val="18"/>
                <w:szCs w:val="18"/>
              </w:rPr>
              <w:t xml:space="preserve"> </w:t>
            </w:r>
            <w:r w:rsidRPr="00C64471">
              <w:rPr>
                <w:rFonts w:ascii="Garamond" w:hAnsi="Garamond"/>
                <w:sz w:val="18"/>
                <w:szCs w:val="18"/>
              </w:rPr>
              <w:t>Shkodrës</w:t>
            </w:r>
          </w:p>
          <w:p w14:paraId="28EE7FF6" w14:textId="77777777" w:rsidR="00C61F48" w:rsidRPr="00C64471" w:rsidRDefault="00C61F48" w:rsidP="00BA13DB">
            <w:pPr>
              <w:pStyle w:val="TableParagraph"/>
              <w:ind w:left="244"/>
              <w:rPr>
                <w:rFonts w:ascii="Garamond" w:hAnsi="Garamond"/>
                <w:sz w:val="18"/>
                <w:szCs w:val="18"/>
              </w:rPr>
            </w:pPr>
            <w:r w:rsidRPr="00C64471">
              <w:rPr>
                <w:rFonts w:ascii="Garamond" w:hAnsi="Garamond"/>
                <w:sz w:val="18"/>
                <w:szCs w:val="18"/>
              </w:rPr>
              <w:t>/ Liqenin e Shkodrës është bërë më i saktë dhe më i rregullt teknikisht</w:t>
            </w:r>
          </w:p>
          <w:p w14:paraId="60AFD57C" w14:textId="77777777" w:rsidR="00C61F48" w:rsidRPr="00C64471" w:rsidRDefault="00C61F48" w:rsidP="00D8448F">
            <w:pPr>
              <w:pStyle w:val="TableParagraph"/>
              <w:numPr>
                <w:ilvl w:val="0"/>
                <w:numId w:val="37"/>
              </w:numPr>
              <w:tabs>
                <w:tab w:val="left" w:pos="245"/>
              </w:tabs>
              <w:spacing w:before="120"/>
              <w:ind w:right="151" w:hanging="129"/>
              <w:rPr>
                <w:rFonts w:ascii="Garamond" w:hAnsi="Garamond"/>
                <w:sz w:val="18"/>
                <w:szCs w:val="18"/>
              </w:rPr>
            </w:pPr>
            <w:r w:rsidRPr="00C64471">
              <w:rPr>
                <w:rFonts w:ascii="Garamond" w:hAnsi="Garamond"/>
                <w:sz w:val="18"/>
                <w:szCs w:val="18"/>
              </w:rPr>
              <w:t>2.1.3 Shkodra / Baseni i Liqenit të Shkodrës plotëson kushtet për t'u bërë pjesë e zonave të mbrojtura në Listën</w:t>
            </w:r>
            <w:r w:rsidRPr="00C64471">
              <w:rPr>
                <w:rFonts w:ascii="Garamond" w:hAnsi="Garamond"/>
                <w:spacing w:val="-10"/>
                <w:sz w:val="18"/>
                <w:szCs w:val="18"/>
              </w:rPr>
              <w:t xml:space="preserve"> </w:t>
            </w:r>
            <w:r w:rsidRPr="00C64471">
              <w:rPr>
                <w:rFonts w:ascii="Garamond" w:hAnsi="Garamond"/>
                <w:sz w:val="18"/>
                <w:szCs w:val="18"/>
              </w:rPr>
              <w:t>e Rezervës së Biosferës të</w:t>
            </w:r>
            <w:r w:rsidRPr="00C64471">
              <w:rPr>
                <w:rFonts w:ascii="Garamond" w:hAnsi="Garamond"/>
                <w:spacing w:val="-5"/>
                <w:sz w:val="18"/>
                <w:szCs w:val="18"/>
              </w:rPr>
              <w:t xml:space="preserve"> </w:t>
            </w:r>
            <w:r w:rsidRPr="00C64471">
              <w:rPr>
                <w:rFonts w:ascii="Garamond" w:hAnsi="Garamond"/>
                <w:sz w:val="18"/>
                <w:szCs w:val="18"/>
              </w:rPr>
              <w:t>UNESCO-s</w:t>
            </w:r>
          </w:p>
          <w:p w14:paraId="549DDD13" w14:textId="77777777" w:rsidR="00C61F48" w:rsidRPr="00C64471" w:rsidRDefault="00C61F48" w:rsidP="00D8448F">
            <w:pPr>
              <w:pStyle w:val="TableParagraph"/>
              <w:numPr>
                <w:ilvl w:val="0"/>
                <w:numId w:val="37"/>
              </w:numPr>
              <w:tabs>
                <w:tab w:val="left" w:pos="245"/>
              </w:tabs>
              <w:spacing w:before="120"/>
              <w:ind w:right="294" w:hanging="129"/>
              <w:rPr>
                <w:rFonts w:ascii="Garamond" w:hAnsi="Garamond"/>
                <w:sz w:val="18"/>
                <w:szCs w:val="18"/>
              </w:rPr>
            </w:pPr>
            <w:r w:rsidRPr="00C64471">
              <w:rPr>
                <w:rFonts w:ascii="Garamond" w:hAnsi="Garamond"/>
                <w:sz w:val="18"/>
                <w:szCs w:val="18"/>
              </w:rPr>
              <w:t>2.1.4 Të paktën një kurrikul</w:t>
            </w:r>
            <w:r w:rsidRPr="00C64471">
              <w:rPr>
                <w:rFonts w:ascii="Garamond" w:hAnsi="Garamond"/>
                <w:spacing w:val="-2"/>
                <w:sz w:val="18"/>
                <w:szCs w:val="18"/>
              </w:rPr>
              <w:t xml:space="preserve"> </w:t>
            </w:r>
            <w:r w:rsidRPr="00C64471">
              <w:rPr>
                <w:rFonts w:ascii="Garamond" w:hAnsi="Garamond"/>
                <w:sz w:val="18"/>
                <w:szCs w:val="18"/>
              </w:rPr>
              <w:t>e</w:t>
            </w:r>
          </w:p>
        </w:tc>
        <w:tc>
          <w:tcPr>
            <w:tcW w:w="2002" w:type="dxa"/>
            <w:shd w:val="clear" w:color="auto" w:fill="FFFF00"/>
          </w:tcPr>
          <w:p w14:paraId="4736F260" w14:textId="77777777" w:rsidR="00C61F48" w:rsidRPr="00C64471" w:rsidRDefault="00C61F48" w:rsidP="00BA13DB">
            <w:pPr>
              <w:pStyle w:val="TableParagraph"/>
              <w:spacing w:before="9"/>
              <w:rPr>
                <w:rFonts w:ascii="Garamond" w:hAnsi="Garamond"/>
                <w:sz w:val="18"/>
                <w:szCs w:val="18"/>
              </w:rPr>
            </w:pPr>
          </w:p>
          <w:p w14:paraId="21FD29DD" w14:textId="77777777" w:rsidR="00C61F48" w:rsidRPr="00C64471" w:rsidRDefault="00C61F48" w:rsidP="00BA13DB">
            <w:pPr>
              <w:pStyle w:val="TableParagraph"/>
              <w:spacing w:before="1"/>
              <w:ind w:left="103" w:right="93"/>
              <w:rPr>
                <w:rFonts w:ascii="Garamond" w:hAnsi="Garamond"/>
                <w:sz w:val="18"/>
                <w:szCs w:val="18"/>
              </w:rPr>
            </w:pPr>
            <w:r w:rsidRPr="00C64471">
              <w:rPr>
                <w:rFonts w:ascii="Garamond" w:hAnsi="Garamond"/>
                <w:sz w:val="18"/>
                <w:szCs w:val="18"/>
              </w:rPr>
              <w:t>Statistikat zyrtare</w:t>
            </w:r>
          </w:p>
          <w:p w14:paraId="083BC6B9" w14:textId="77777777" w:rsidR="00C61F48" w:rsidRPr="00C64471" w:rsidRDefault="00C61F48" w:rsidP="00BA13DB">
            <w:pPr>
              <w:pStyle w:val="TableParagraph"/>
              <w:rPr>
                <w:rFonts w:ascii="Garamond" w:hAnsi="Garamond"/>
                <w:sz w:val="18"/>
                <w:szCs w:val="18"/>
              </w:rPr>
            </w:pPr>
          </w:p>
          <w:p w14:paraId="78436CF6" w14:textId="77777777" w:rsidR="00C61F48" w:rsidRPr="00C64471" w:rsidRDefault="00C61F48" w:rsidP="00BA13DB">
            <w:pPr>
              <w:pStyle w:val="TableParagraph"/>
              <w:rPr>
                <w:rFonts w:ascii="Garamond" w:hAnsi="Garamond"/>
                <w:sz w:val="18"/>
                <w:szCs w:val="18"/>
              </w:rPr>
            </w:pPr>
          </w:p>
          <w:p w14:paraId="4DB81DB1" w14:textId="77777777" w:rsidR="00C61F48" w:rsidRPr="00C64471" w:rsidRDefault="00C61F48" w:rsidP="00BA13DB">
            <w:pPr>
              <w:pStyle w:val="TableParagraph"/>
              <w:rPr>
                <w:rFonts w:ascii="Garamond" w:hAnsi="Garamond"/>
                <w:sz w:val="18"/>
                <w:szCs w:val="18"/>
              </w:rPr>
            </w:pPr>
          </w:p>
          <w:p w14:paraId="2B57E0C0" w14:textId="77777777" w:rsidR="00C61F48" w:rsidRPr="00C64471" w:rsidRDefault="00C61F48" w:rsidP="00BA13DB">
            <w:pPr>
              <w:pStyle w:val="TableParagraph"/>
              <w:rPr>
                <w:rFonts w:ascii="Garamond" w:hAnsi="Garamond"/>
                <w:sz w:val="18"/>
                <w:szCs w:val="18"/>
              </w:rPr>
            </w:pPr>
          </w:p>
          <w:p w14:paraId="6555EA3C" w14:textId="77777777" w:rsidR="00C61F48" w:rsidRPr="00C64471" w:rsidRDefault="00C61F48" w:rsidP="00BA13DB">
            <w:pPr>
              <w:pStyle w:val="TableParagraph"/>
              <w:spacing w:before="4"/>
              <w:rPr>
                <w:rFonts w:ascii="Garamond" w:hAnsi="Garamond"/>
                <w:sz w:val="18"/>
                <w:szCs w:val="18"/>
              </w:rPr>
            </w:pPr>
          </w:p>
          <w:p w14:paraId="2C07DA63" w14:textId="77777777" w:rsidR="00C61F48" w:rsidRPr="00C64471" w:rsidRDefault="00C61F48" w:rsidP="00BA13DB">
            <w:pPr>
              <w:pStyle w:val="TableParagraph"/>
              <w:ind w:left="136" w:right="93"/>
              <w:rPr>
                <w:rFonts w:ascii="Garamond" w:hAnsi="Garamond"/>
                <w:sz w:val="18"/>
                <w:szCs w:val="18"/>
              </w:rPr>
            </w:pPr>
            <w:r w:rsidRPr="00C64471">
              <w:rPr>
                <w:rFonts w:ascii="Garamond" w:hAnsi="Garamond"/>
                <w:sz w:val="18"/>
                <w:szCs w:val="18"/>
              </w:rPr>
              <w:t xml:space="preserve">Raportet nga </w:t>
            </w:r>
            <w:r w:rsidRPr="00C64471">
              <w:rPr>
                <w:rFonts w:ascii="Garamond" w:hAnsi="Garamond"/>
                <w:w w:val="95"/>
                <w:sz w:val="18"/>
                <w:szCs w:val="18"/>
              </w:rPr>
              <w:t xml:space="preserve">ministritë/autoritetet </w:t>
            </w:r>
            <w:r w:rsidRPr="00C64471">
              <w:rPr>
                <w:rFonts w:ascii="Garamond" w:hAnsi="Garamond"/>
                <w:sz w:val="18"/>
                <w:szCs w:val="18"/>
              </w:rPr>
              <w:t>përkatëse kombëtare</w:t>
            </w:r>
          </w:p>
          <w:p w14:paraId="4451D298" w14:textId="77777777" w:rsidR="00C61F48" w:rsidRPr="00C64471" w:rsidRDefault="00C61F48" w:rsidP="00BA13DB">
            <w:pPr>
              <w:pStyle w:val="TableParagraph"/>
              <w:rPr>
                <w:rFonts w:ascii="Garamond" w:hAnsi="Garamond"/>
                <w:sz w:val="18"/>
                <w:szCs w:val="18"/>
              </w:rPr>
            </w:pPr>
          </w:p>
          <w:p w14:paraId="1208E7C4" w14:textId="77777777" w:rsidR="00C61F48" w:rsidRPr="00C64471" w:rsidRDefault="00C61F48" w:rsidP="00BA13DB">
            <w:pPr>
              <w:pStyle w:val="TableParagraph"/>
              <w:spacing w:before="7"/>
              <w:rPr>
                <w:rFonts w:ascii="Garamond" w:hAnsi="Garamond"/>
                <w:sz w:val="18"/>
                <w:szCs w:val="18"/>
              </w:rPr>
            </w:pPr>
          </w:p>
          <w:p w14:paraId="7AAFF5CF" w14:textId="77777777" w:rsidR="00C61F48" w:rsidRPr="00C64471" w:rsidRDefault="00C61F48" w:rsidP="00BA13DB">
            <w:pPr>
              <w:pStyle w:val="TableParagraph"/>
              <w:ind w:left="136" w:right="140"/>
              <w:rPr>
                <w:rFonts w:ascii="Garamond" w:hAnsi="Garamond"/>
                <w:sz w:val="18"/>
                <w:szCs w:val="18"/>
              </w:rPr>
            </w:pPr>
            <w:r w:rsidRPr="00C64471">
              <w:rPr>
                <w:rFonts w:ascii="Garamond" w:hAnsi="Garamond"/>
                <w:sz w:val="18"/>
                <w:szCs w:val="18"/>
              </w:rPr>
              <w:t>Raportet e bashkive/ institucioneve lokale</w:t>
            </w:r>
          </w:p>
          <w:p w14:paraId="4B75FB76" w14:textId="77777777" w:rsidR="00C61F48" w:rsidRPr="00C64471" w:rsidRDefault="00C61F48" w:rsidP="00BA13DB">
            <w:pPr>
              <w:pStyle w:val="TableParagraph"/>
              <w:rPr>
                <w:rFonts w:ascii="Garamond" w:hAnsi="Garamond"/>
                <w:sz w:val="18"/>
                <w:szCs w:val="18"/>
              </w:rPr>
            </w:pPr>
          </w:p>
          <w:p w14:paraId="083CC20D" w14:textId="77777777" w:rsidR="00C61F48" w:rsidRPr="00C64471" w:rsidRDefault="00C61F48" w:rsidP="00BA13DB">
            <w:pPr>
              <w:pStyle w:val="TableParagraph"/>
              <w:spacing w:before="9"/>
              <w:rPr>
                <w:rFonts w:ascii="Garamond" w:hAnsi="Garamond"/>
                <w:sz w:val="18"/>
                <w:szCs w:val="18"/>
              </w:rPr>
            </w:pPr>
          </w:p>
          <w:p w14:paraId="1DED1A95" w14:textId="77777777" w:rsidR="00C61F48" w:rsidRPr="00C64471" w:rsidRDefault="00C61F48" w:rsidP="00BA13DB">
            <w:pPr>
              <w:pStyle w:val="TableParagraph"/>
              <w:ind w:left="160" w:right="713"/>
              <w:rPr>
                <w:rFonts w:ascii="Garamond" w:hAnsi="Garamond"/>
                <w:sz w:val="18"/>
                <w:szCs w:val="18"/>
              </w:rPr>
            </w:pPr>
            <w:r w:rsidRPr="00C64471">
              <w:rPr>
                <w:rFonts w:ascii="Garamond" w:hAnsi="Garamond"/>
                <w:sz w:val="18"/>
                <w:szCs w:val="18"/>
              </w:rPr>
              <w:t>Raportet e monitorimit / projektit</w:t>
            </w:r>
          </w:p>
        </w:tc>
        <w:tc>
          <w:tcPr>
            <w:tcW w:w="2531" w:type="dxa"/>
            <w:tcBorders>
              <w:top w:val="single" w:sz="49" w:space="0" w:color="DBE4F0"/>
            </w:tcBorders>
          </w:tcPr>
          <w:p w14:paraId="2C217FE6" w14:textId="77777777" w:rsidR="00C61F48" w:rsidRPr="00C64471" w:rsidRDefault="00C61F48" w:rsidP="00D8448F">
            <w:pPr>
              <w:pStyle w:val="TableParagraph"/>
              <w:numPr>
                <w:ilvl w:val="0"/>
                <w:numId w:val="36"/>
              </w:numPr>
              <w:tabs>
                <w:tab w:val="left" w:pos="161"/>
              </w:tabs>
              <w:spacing w:line="187" w:lineRule="exact"/>
              <w:ind w:hanging="141"/>
              <w:rPr>
                <w:rFonts w:ascii="Garamond" w:hAnsi="Garamond"/>
                <w:sz w:val="18"/>
                <w:szCs w:val="18"/>
              </w:rPr>
            </w:pPr>
            <w:r w:rsidRPr="00C64471">
              <w:rPr>
                <w:rFonts w:ascii="Garamond" w:hAnsi="Garamond"/>
                <w:sz w:val="18"/>
                <w:szCs w:val="18"/>
              </w:rPr>
              <w:t>Aktivitete të</w:t>
            </w:r>
            <w:r w:rsidRPr="00C64471">
              <w:rPr>
                <w:rFonts w:ascii="Garamond" w:hAnsi="Garamond"/>
                <w:spacing w:val="-12"/>
                <w:sz w:val="18"/>
                <w:szCs w:val="18"/>
              </w:rPr>
              <w:t xml:space="preserve"> </w:t>
            </w:r>
            <w:r w:rsidRPr="00C64471">
              <w:rPr>
                <w:rFonts w:ascii="Garamond" w:hAnsi="Garamond"/>
                <w:sz w:val="18"/>
                <w:szCs w:val="18"/>
              </w:rPr>
              <w:t>projektuara</w:t>
            </w:r>
          </w:p>
          <w:p w14:paraId="1C34761F" w14:textId="77777777" w:rsidR="00C61F48" w:rsidRPr="00C64471" w:rsidRDefault="00C61F48" w:rsidP="00BA13DB">
            <w:pPr>
              <w:pStyle w:val="TableParagraph"/>
              <w:ind w:left="160" w:right="81"/>
              <w:rPr>
                <w:rFonts w:ascii="Garamond" w:hAnsi="Garamond"/>
                <w:sz w:val="18"/>
                <w:szCs w:val="18"/>
              </w:rPr>
            </w:pPr>
            <w:r w:rsidRPr="00C64471">
              <w:rPr>
                <w:rFonts w:ascii="Garamond" w:hAnsi="Garamond"/>
                <w:sz w:val="18"/>
                <w:szCs w:val="18"/>
              </w:rPr>
              <w:t>për të trajtuar së bashku mbrojtjen dhe promovimin e mjedisit në zonën e programit</w:t>
            </w:r>
          </w:p>
          <w:p w14:paraId="23A43564" w14:textId="77777777" w:rsidR="00C61F48" w:rsidRPr="00C64471" w:rsidRDefault="00C61F48" w:rsidP="00D8448F">
            <w:pPr>
              <w:pStyle w:val="TableParagraph"/>
              <w:numPr>
                <w:ilvl w:val="0"/>
                <w:numId w:val="36"/>
              </w:numPr>
              <w:tabs>
                <w:tab w:val="left" w:pos="161"/>
              </w:tabs>
              <w:spacing w:before="121"/>
              <w:ind w:right="132" w:hanging="141"/>
              <w:rPr>
                <w:rFonts w:ascii="Garamond" w:hAnsi="Garamond"/>
                <w:sz w:val="18"/>
                <w:szCs w:val="18"/>
              </w:rPr>
            </w:pPr>
            <w:r w:rsidRPr="00C64471">
              <w:rPr>
                <w:rFonts w:ascii="Garamond" w:hAnsi="Garamond"/>
                <w:sz w:val="18"/>
                <w:szCs w:val="18"/>
              </w:rPr>
              <w:t>Mbështetje për mbrojtjen dhe menaxhimin e integruar të ekosistemeve të ndjeshme duke i dhënë përparësi zonave të mbrojtura dhe mbrojtjes</w:t>
            </w:r>
            <w:r w:rsidRPr="00C64471">
              <w:rPr>
                <w:rFonts w:ascii="Garamond" w:hAnsi="Garamond"/>
                <w:spacing w:val="-14"/>
                <w:sz w:val="18"/>
                <w:szCs w:val="18"/>
              </w:rPr>
              <w:t xml:space="preserve"> </w:t>
            </w:r>
            <w:r w:rsidRPr="00C64471">
              <w:rPr>
                <w:rFonts w:ascii="Garamond" w:hAnsi="Garamond"/>
                <w:sz w:val="18"/>
                <w:szCs w:val="18"/>
              </w:rPr>
              <w:t>së zonës së</w:t>
            </w:r>
            <w:r w:rsidRPr="00C64471">
              <w:rPr>
                <w:rFonts w:ascii="Garamond" w:hAnsi="Garamond"/>
                <w:spacing w:val="-8"/>
                <w:sz w:val="18"/>
                <w:szCs w:val="18"/>
              </w:rPr>
              <w:t xml:space="preserve"> </w:t>
            </w:r>
            <w:r w:rsidRPr="00C64471">
              <w:rPr>
                <w:rFonts w:ascii="Garamond" w:hAnsi="Garamond"/>
                <w:sz w:val="18"/>
                <w:szCs w:val="18"/>
              </w:rPr>
              <w:t>programit</w:t>
            </w:r>
          </w:p>
          <w:p w14:paraId="6DA104A8" w14:textId="77777777" w:rsidR="00C61F48" w:rsidRPr="00C64471" w:rsidRDefault="00C61F48" w:rsidP="00D8448F">
            <w:pPr>
              <w:pStyle w:val="TableParagraph"/>
              <w:numPr>
                <w:ilvl w:val="0"/>
                <w:numId w:val="36"/>
              </w:numPr>
              <w:tabs>
                <w:tab w:val="left" w:pos="161"/>
              </w:tabs>
              <w:spacing w:before="120"/>
              <w:ind w:right="118" w:hanging="141"/>
              <w:rPr>
                <w:rFonts w:ascii="Garamond" w:hAnsi="Garamond"/>
                <w:sz w:val="18"/>
                <w:szCs w:val="18"/>
              </w:rPr>
            </w:pPr>
            <w:r w:rsidRPr="00C64471">
              <w:rPr>
                <w:rFonts w:ascii="Garamond" w:hAnsi="Garamond"/>
                <w:sz w:val="18"/>
                <w:szCs w:val="18"/>
              </w:rPr>
              <w:t>Aktivitete të projektuara për të inkurajuar</w:t>
            </w:r>
            <w:r w:rsidRPr="00C64471">
              <w:rPr>
                <w:rFonts w:ascii="Garamond" w:hAnsi="Garamond"/>
                <w:spacing w:val="-11"/>
                <w:sz w:val="18"/>
                <w:szCs w:val="18"/>
              </w:rPr>
              <w:t xml:space="preserve"> </w:t>
            </w:r>
            <w:r w:rsidRPr="00C64471">
              <w:rPr>
                <w:rFonts w:ascii="Garamond" w:hAnsi="Garamond"/>
                <w:sz w:val="18"/>
                <w:szCs w:val="18"/>
              </w:rPr>
              <w:t>aktivitetet ekonomike ekologjikisht miqësore në zonën e programit</w:t>
            </w:r>
          </w:p>
          <w:p w14:paraId="553C9E3C" w14:textId="77777777" w:rsidR="00C61F48" w:rsidRPr="00C64471" w:rsidRDefault="00C61F48" w:rsidP="00D8448F">
            <w:pPr>
              <w:pStyle w:val="TableParagraph"/>
              <w:numPr>
                <w:ilvl w:val="0"/>
                <w:numId w:val="36"/>
              </w:numPr>
              <w:tabs>
                <w:tab w:val="left" w:pos="161"/>
              </w:tabs>
              <w:spacing w:before="120"/>
              <w:ind w:right="164" w:hanging="141"/>
              <w:rPr>
                <w:rFonts w:ascii="Garamond" w:hAnsi="Garamond"/>
                <w:sz w:val="18"/>
                <w:szCs w:val="18"/>
              </w:rPr>
            </w:pPr>
            <w:r w:rsidRPr="00C64471">
              <w:rPr>
                <w:rFonts w:ascii="Garamond" w:hAnsi="Garamond"/>
                <w:sz w:val="18"/>
                <w:szCs w:val="18"/>
              </w:rPr>
              <w:t>Aktivitete të projektuara për të parandaluar dhe</w:t>
            </w:r>
            <w:r w:rsidRPr="00C64471">
              <w:rPr>
                <w:rFonts w:ascii="Garamond" w:hAnsi="Garamond"/>
                <w:spacing w:val="-8"/>
                <w:sz w:val="18"/>
                <w:szCs w:val="18"/>
              </w:rPr>
              <w:t xml:space="preserve"> </w:t>
            </w:r>
            <w:r w:rsidRPr="00C64471">
              <w:rPr>
                <w:rFonts w:ascii="Garamond" w:hAnsi="Garamond"/>
                <w:sz w:val="18"/>
                <w:szCs w:val="18"/>
              </w:rPr>
              <w:t>për të menaxhuar fatkeqësitë natyrore dhe rreziqet mjedisore të bëra nga njeriu, të cilat ndikojnë në zonën e</w:t>
            </w:r>
            <w:r w:rsidRPr="00C64471">
              <w:rPr>
                <w:rFonts w:ascii="Garamond" w:hAnsi="Garamond"/>
                <w:spacing w:val="-7"/>
                <w:sz w:val="18"/>
                <w:szCs w:val="18"/>
              </w:rPr>
              <w:t xml:space="preserve"> </w:t>
            </w:r>
            <w:r w:rsidRPr="00C64471">
              <w:rPr>
                <w:rFonts w:ascii="Garamond" w:hAnsi="Garamond"/>
                <w:sz w:val="18"/>
                <w:szCs w:val="18"/>
              </w:rPr>
              <w:t>programit</w:t>
            </w:r>
          </w:p>
          <w:p w14:paraId="118F51B8" w14:textId="77777777" w:rsidR="00C61F48" w:rsidRPr="00C64471" w:rsidRDefault="00C61F48" w:rsidP="00D8448F">
            <w:pPr>
              <w:pStyle w:val="TableParagraph"/>
              <w:numPr>
                <w:ilvl w:val="0"/>
                <w:numId w:val="36"/>
              </w:numPr>
              <w:tabs>
                <w:tab w:val="left" w:pos="161"/>
              </w:tabs>
              <w:spacing w:before="118"/>
              <w:ind w:hanging="141"/>
              <w:rPr>
                <w:rFonts w:ascii="Garamond" w:hAnsi="Garamond"/>
                <w:sz w:val="18"/>
                <w:szCs w:val="18"/>
              </w:rPr>
            </w:pPr>
            <w:r w:rsidRPr="00C64471">
              <w:rPr>
                <w:rFonts w:ascii="Garamond" w:hAnsi="Garamond"/>
                <w:sz w:val="18"/>
                <w:szCs w:val="18"/>
              </w:rPr>
              <w:t>Mbështetje</w:t>
            </w:r>
            <w:r w:rsidRPr="00C64471">
              <w:rPr>
                <w:rFonts w:ascii="Garamond" w:hAnsi="Garamond"/>
                <w:spacing w:val="-6"/>
                <w:sz w:val="18"/>
                <w:szCs w:val="18"/>
              </w:rPr>
              <w:t xml:space="preserve"> </w:t>
            </w:r>
            <w:r w:rsidRPr="00C64471">
              <w:rPr>
                <w:rFonts w:ascii="Garamond" w:hAnsi="Garamond"/>
                <w:sz w:val="18"/>
                <w:szCs w:val="18"/>
              </w:rPr>
              <w:t>për</w:t>
            </w:r>
          </w:p>
        </w:tc>
      </w:tr>
      <w:tr w:rsidR="00C61F48" w:rsidRPr="00C64471" w14:paraId="7B5DBE1F" w14:textId="77777777" w:rsidTr="00C64471">
        <w:trPr>
          <w:trHeight w:hRule="exact" w:val="76"/>
        </w:trPr>
        <w:tc>
          <w:tcPr>
            <w:tcW w:w="9583" w:type="dxa"/>
            <w:gridSpan w:val="5"/>
            <w:tcBorders>
              <w:left w:val="nil"/>
              <w:bottom w:val="nil"/>
              <w:right w:val="nil"/>
            </w:tcBorders>
          </w:tcPr>
          <w:p w14:paraId="7D21238C" w14:textId="77777777" w:rsidR="00C61F48" w:rsidRPr="00C64471" w:rsidRDefault="00C61F48" w:rsidP="00BA13DB">
            <w:pPr>
              <w:rPr>
                <w:rFonts w:ascii="Garamond" w:hAnsi="Garamond"/>
                <w:sz w:val="18"/>
                <w:szCs w:val="18"/>
              </w:rPr>
            </w:pPr>
          </w:p>
        </w:tc>
      </w:tr>
      <w:tr w:rsidR="00C61F48" w:rsidRPr="00C64471" w14:paraId="4F41430E" w14:textId="77777777" w:rsidTr="00E674D9">
        <w:trPr>
          <w:trHeight w:hRule="exact" w:val="1839"/>
        </w:trPr>
        <w:tc>
          <w:tcPr>
            <w:tcW w:w="1368" w:type="dxa"/>
          </w:tcPr>
          <w:p w14:paraId="0459F1F6" w14:textId="77777777" w:rsidR="00C61F48" w:rsidRPr="00C64471" w:rsidRDefault="00C61F48" w:rsidP="00BA13DB">
            <w:pPr>
              <w:rPr>
                <w:rFonts w:ascii="Garamond" w:hAnsi="Garamond"/>
                <w:sz w:val="18"/>
                <w:szCs w:val="18"/>
              </w:rPr>
            </w:pPr>
          </w:p>
        </w:tc>
        <w:tc>
          <w:tcPr>
            <w:tcW w:w="1532" w:type="dxa"/>
          </w:tcPr>
          <w:p w14:paraId="09A41C0C" w14:textId="77777777" w:rsidR="00C61F48" w:rsidRPr="00C64471" w:rsidRDefault="00C61F48" w:rsidP="00BA13DB">
            <w:pPr>
              <w:rPr>
                <w:rFonts w:ascii="Garamond" w:hAnsi="Garamond"/>
                <w:sz w:val="18"/>
                <w:szCs w:val="18"/>
              </w:rPr>
            </w:pPr>
          </w:p>
        </w:tc>
        <w:tc>
          <w:tcPr>
            <w:tcW w:w="2148" w:type="dxa"/>
          </w:tcPr>
          <w:p w14:paraId="77D4BC3E" w14:textId="77777777" w:rsidR="00C61F48" w:rsidRPr="00C64471" w:rsidRDefault="00C61F48" w:rsidP="00BA13DB">
            <w:pPr>
              <w:pStyle w:val="TableParagraph"/>
              <w:ind w:left="244" w:right="235"/>
              <w:rPr>
                <w:rFonts w:ascii="Garamond" w:hAnsi="Garamond"/>
                <w:sz w:val="18"/>
                <w:szCs w:val="18"/>
              </w:rPr>
            </w:pPr>
            <w:r w:rsidRPr="00C64471">
              <w:rPr>
                <w:rFonts w:ascii="Garamond" w:hAnsi="Garamond"/>
                <w:sz w:val="18"/>
                <w:szCs w:val="18"/>
              </w:rPr>
              <w:t>harmonizuar mbi edukimin mjedisor dhe / ose një program ekstra- kurrikular, i futur në arsimin e mesëm në të dyja anët e kufirit</w:t>
            </w:r>
          </w:p>
        </w:tc>
        <w:tc>
          <w:tcPr>
            <w:tcW w:w="2002" w:type="dxa"/>
            <w:shd w:val="clear" w:color="auto" w:fill="FFFF00"/>
          </w:tcPr>
          <w:p w14:paraId="37468618" w14:textId="77777777" w:rsidR="00C61F48" w:rsidRPr="00C64471" w:rsidRDefault="00C61F48" w:rsidP="00BA13DB">
            <w:pPr>
              <w:rPr>
                <w:rFonts w:ascii="Garamond" w:hAnsi="Garamond"/>
                <w:sz w:val="18"/>
                <w:szCs w:val="18"/>
              </w:rPr>
            </w:pPr>
          </w:p>
        </w:tc>
        <w:tc>
          <w:tcPr>
            <w:tcW w:w="2528" w:type="dxa"/>
          </w:tcPr>
          <w:p w14:paraId="27930C07" w14:textId="77777777" w:rsidR="00C61F48" w:rsidRPr="00C64471" w:rsidRDefault="00C61F48" w:rsidP="00BA13DB">
            <w:pPr>
              <w:pStyle w:val="TableParagraph"/>
              <w:ind w:left="160" w:right="273"/>
              <w:rPr>
                <w:rFonts w:ascii="Garamond" w:hAnsi="Garamond"/>
                <w:sz w:val="18"/>
                <w:szCs w:val="18"/>
              </w:rPr>
            </w:pPr>
            <w:r w:rsidRPr="00C64471">
              <w:rPr>
                <w:rFonts w:ascii="Garamond" w:hAnsi="Garamond"/>
                <w:sz w:val="18"/>
                <w:szCs w:val="18"/>
              </w:rPr>
              <w:t>ndërgjegjësimin e popullsisë lidhur me rëndësinë, mbrojtjen dhe promovimin e burimeve mjedisore të zonës së programit</w:t>
            </w:r>
          </w:p>
        </w:tc>
      </w:tr>
    </w:tbl>
    <w:p w14:paraId="4B5EB302" w14:textId="77777777" w:rsidR="00E674D9" w:rsidRDefault="00E674D9" w:rsidP="00D8448F">
      <w:pPr>
        <w:pStyle w:val="ListParagraph"/>
        <w:widowControl w:val="0"/>
        <w:numPr>
          <w:ilvl w:val="0"/>
          <w:numId w:val="43"/>
        </w:numPr>
        <w:tabs>
          <w:tab w:val="left" w:pos="346"/>
        </w:tabs>
        <w:spacing w:before="100" w:after="0" w:line="240" w:lineRule="auto"/>
        <w:rPr>
          <w:rFonts w:ascii="Arial" w:hAnsi="Arial"/>
          <w:sz w:val="16"/>
        </w:rPr>
      </w:pPr>
      <w:r>
        <w:rPr>
          <w:rFonts w:ascii="Arial" w:hAnsi="Arial"/>
          <w:sz w:val="16"/>
        </w:rPr>
        <w:t>Bazuar në aktivitetet mbështetëse të programit deri në</w:t>
      </w:r>
      <w:r>
        <w:rPr>
          <w:rFonts w:ascii="Arial" w:hAnsi="Arial"/>
          <w:spacing w:val="-28"/>
          <w:sz w:val="16"/>
        </w:rPr>
        <w:t xml:space="preserve"> </w:t>
      </w:r>
      <w:r>
        <w:rPr>
          <w:rFonts w:ascii="Arial" w:hAnsi="Arial"/>
          <w:sz w:val="16"/>
        </w:rPr>
        <w:t>2022.</w:t>
      </w:r>
    </w:p>
    <w:p w14:paraId="15B65A1D" w14:textId="77777777" w:rsidR="00C61F48" w:rsidRDefault="00C61F48" w:rsidP="00C61F48">
      <w:pPr>
        <w:pStyle w:val="BodyText"/>
        <w:rPr>
          <w:rFonts w:ascii="Arial"/>
          <w:sz w:val="20"/>
        </w:rPr>
      </w:pPr>
    </w:p>
    <w:p w14:paraId="0FABBED7" w14:textId="77777777" w:rsidR="00C61F48" w:rsidRDefault="00C61F48" w:rsidP="00C61F48">
      <w:pPr>
        <w:pStyle w:val="BodyText"/>
        <w:rPr>
          <w:rFonts w:ascii="Arial"/>
          <w:sz w:val="20"/>
        </w:rPr>
      </w:pPr>
    </w:p>
    <w:p w14:paraId="5D3A30A6" w14:textId="77777777" w:rsidR="00C64471" w:rsidRDefault="00C64471" w:rsidP="00C61F48">
      <w:pPr>
        <w:pStyle w:val="BodyText"/>
        <w:rPr>
          <w:rFonts w:ascii="Arial"/>
          <w:sz w:val="20"/>
        </w:rPr>
      </w:pPr>
    </w:p>
    <w:p w14:paraId="1C693F0D" w14:textId="77777777" w:rsidR="00C64471" w:rsidRDefault="00C64471" w:rsidP="00C61F48">
      <w:pPr>
        <w:pStyle w:val="BodyText"/>
        <w:rPr>
          <w:rFonts w:ascii="Arial"/>
          <w:sz w:val="20"/>
        </w:rPr>
      </w:pPr>
    </w:p>
    <w:p w14:paraId="0CA49B09" w14:textId="77777777" w:rsidR="00C64471" w:rsidRDefault="00C64471" w:rsidP="00C61F48">
      <w:pPr>
        <w:pStyle w:val="BodyText"/>
        <w:rPr>
          <w:rFonts w:ascii="Arial"/>
          <w:sz w:val="20"/>
        </w:rPr>
      </w:pPr>
    </w:p>
    <w:p w14:paraId="21DC5C6C" w14:textId="77777777" w:rsidR="00C64471" w:rsidRDefault="00C64471" w:rsidP="00C61F48">
      <w:pPr>
        <w:pStyle w:val="BodyText"/>
        <w:rPr>
          <w:rFonts w:ascii="Arial"/>
          <w:sz w:val="20"/>
        </w:rPr>
      </w:pPr>
    </w:p>
    <w:p w14:paraId="1DD25EE6" w14:textId="77777777" w:rsidR="00C64471" w:rsidRDefault="00C64471" w:rsidP="00C61F48">
      <w:pPr>
        <w:pStyle w:val="BodyText"/>
        <w:rPr>
          <w:rFonts w:ascii="Arial"/>
          <w:sz w:val="20"/>
        </w:rPr>
      </w:pPr>
    </w:p>
    <w:p w14:paraId="2A8F51DB" w14:textId="77777777" w:rsidR="00C64471" w:rsidRDefault="00C64471" w:rsidP="00C61F48">
      <w:pPr>
        <w:pStyle w:val="BodyText"/>
        <w:rPr>
          <w:rFonts w:ascii="Arial"/>
          <w:sz w:val="20"/>
        </w:rPr>
      </w:pPr>
    </w:p>
    <w:p w14:paraId="57441028" w14:textId="77777777" w:rsidR="00C64471" w:rsidRDefault="00C64471" w:rsidP="00C61F48">
      <w:pPr>
        <w:pStyle w:val="BodyText"/>
        <w:rPr>
          <w:rFonts w:ascii="Arial"/>
          <w:sz w:val="20"/>
        </w:rPr>
      </w:pPr>
    </w:p>
    <w:p w14:paraId="692CA0F3" w14:textId="77777777" w:rsidR="00C64471" w:rsidRDefault="00C64471" w:rsidP="00C61F48">
      <w:pPr>
        <w:pStyle w:val="BodyText"/>
        <w:rPr>
          <w:rFonts w:ascii="Arial"/>
          <w:sz w:val="20"/>
        </w:rPr>
      </w:pPr>
    </w:p>
    <w:p w14:paraId="702782FC" w14:textId="77777777" w:rsidR="00C64471" w:rsidRDefault="00C64471" w:rsidP="00C61F48">
      <w:pPr>
        <w:pStyle w:val="BodyText"/>
        <w:rPr>
          <w:rFonts w:ascii="Arial"/>
          <w:sz w:val="20"/>
        </w:rPr>
      </w:pPr>
    </w:p>
    <w:p w14:paraId="4AC4E957" w14:textId="77777777" w:rsidR="00C61F48" w:rsidRDefault="00C61F48" w:rsidP="00C61F48">
      <w:pPr>
        <w:pStyle w:val="BodyText"/>
        <w:rPr>
          <w:rFonts w:ascii="Arial"/>
          <w:sz w:val="20"/>
        </w:rPr>
      </w:pPr>
    </w:p>
    <w:p w14:paraId="7F388106" w14:textId="77777777" w:rsidR="00C61F48" w:rsidRDefault="00C61F48" w:rsidP="00C61F48">
      <w:pPr>
        <w:pStyle w:val="BodyText"/>
        <w:spacing w:before="6"/>
        <w:rPr>
          <w:rFonts w:ascii="Arial"/>
          <w:sz w:val="20"/>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1414"/>
        <w:gridCol w:w="1892"/>
        <w:gridCol w:w="1979"/>
        <w:gridCol w:w="2719"/>
      </w:tblGrid>
      <w:tr w:rsidR="00C61F48" w:rsidRPr="00C64471" w14:paraId="57C6E548" w14:textId="77777777" w:rsidTr="00BA13DB">
        <w:trPr>
          <w:trHeight w:hRule="exact" w:val="824"/>
        </w:trPr>
        <w:tc>
          <w:tcPr>
            <w:tcW w:w="9578" w:type="dxa"/>
            <w:gridSpan w:val="5"/>
            <w:tcBorders>
              <w:bottom w:val="single" w:sz="49" w:space="0" w:color="DBE4F0"/>
            </w:tcBorders>
            <w:shd w:val="clear" w:color="auto" w:fill="C5D9F0"/>
          </w:tcPr>
          <w:p w14:paraId="35BABBE4" w14:textId="77777777" w:rsidR="00C61F48" w:rsidRPr="00C64471" w:rsidRDefault="00C61F48" w:rsidP="00BA13DB">
            <w:pPr>
              <w:pStyle w:val="TableParagraph"/>
              <w:spacing w:line="278" w:lineRule="auto"/>
              <w:ind w:left="4402" w:right="422" w:hanging="3968"/>
              <w:rPr>
                <w:rFonts w:ascii="Garamond" w:hAnsi="Garamond"/>
                <w:b/>
                <w:sz w:val="16"/>
                <w:szCs w:val="16"/>
              </w:rPr>
            </w:pPr>
            <w:r w:rsidRPr="00C64471">
              <w:rPr>
                <w:rFonts w:ascii="Garamond" w:hAnsi="Garamond"/>
                <w:b/>
                <w:sz w:val="16"/>
                <w:szCs w:val="16"/>
              </w:rPr>
              <w:t>PRIORITETI 3 – NXITJA E PUNËSIMIT, LËVIZJES GJEOGRAFIKE TË PUNONJËSVE, DHE PËRFSHIRJES SOCIALE</w:t>
            </w:r>
          </w:p>
        </w:tc>
      </w:tr>
      <w:tr w:rsidR="00C61F48" w:rsidRPr="00C64471" w14:paraId="7082A649" w14:textId="77777777" w:rsidTr="00BA13DB">
        <w:trPr>
          <w:trHeight w:hRule="exact" w:val="624"/>
        </w:trPr>
        <w:tc>
          <w:tcPr>
            <w:tcW w:w="1574" w:type="dxa"/>
            <w:shd w:val="clear" w:color="auto" w:fill="DBE4F0"/>
          </w:tcPr>
          <w:p w14:paraId="0456D1A1" w14:textId="77777777" w:rsidR="00C61F48" w:rsidRPr="00C64471" w:rsidRDefault="00C61F48" w:rsidP="00BA13DB">
            <w:pPr>
              <w:pStyle w:val="TableParagraph"/>
              <w:spacing w:before="4"/>
              <w:ind w:left="467" w:right="318" w:hanging="63"/>
              <w:rPr>
                <w:rFonts w:ascii="Garamond" w:hAnsi="Garamond"/>
                <w:b/>
                <w:sz w:val="16"/>
                <w:szCs w:val="16"/>
              </w:rPr>
            </w:pPr>
            <w:r w:rsidRPr="00C64471">
              <w:rPr>
                <w:rFonts w:ascii="Garamond" w:hAnsi="Garamond"/>
                <w:b/>
                <w:w w:val="95"/>
                <w:sz w:val="16"/>
                <w:szCs w:val="16"/>
              </w:rPr>
              <w:t xml:space="preserve">Objektivi </w:t>
            </w:r>
            <w:r w:rsidRPr="00C64471">
              <w:rPr>
                <w:rFonts w:ascii="Garamond" w:hAnsi="Garamond"/>
                <w:b/>
                <w:sz w:val="16"/>
                <w:szCs w:val="16"/>
              </w:rPr>
              <w:t>specifik</w:t>
            </w:r>
          </w:p>
        </w:tc>
        <w:tc>
          <w:tcPr>
            <w:tcW w:w="1414" w:type="dxa"/>
            <w:shd w:val="clear" w:color="auto" w:fill="DBE4F0"/>
          </w:tcPr>
          <w:p w14:paraId="11B4B222" w14:textId="77777777" w:rsidR="00C61F48" w:rsidRPr="00C64471" w:rsidRDefault="00C61F48" w:rsidP="00BA13DB">
            <w:pPr>
              <w:pStyle w:val="TableParagraph"/>
              <w:spacing w:before="126"/>
              <w:ind w:left="273" w:right="143"/>
              <w:rPr>
                <w:rFonts w:ascii="Garamond" w:hAnsi="Garamond"/>
                <w:b/>
                <w:sz w:val="16"/>
                <w:szCs w:val="16"/>
              </w:rPr>
            </w:pPr>
            <w:r w:rsidRPr="00C64471">
              <w:rPr>
                <w:rFonts w:ascii="Garamond" w:hAnsi="Garamond"/>
                <w:b/>
                <w:sz w:val="16"/>
                <w:szCs w:val="16"/>
              </w:rPr>
              <w:t>Rezultatet</w:t>
            </w:r>
          </w:p>
        </w:tc>
        <w:tc>
          <w:tcPr>
            <w:tcW w:w="1892" w:type="dxa"/>
            <w:shd w:val="clear" w:color="auto" w:fill="DBE4F0"/>
          </w:tcPr>
          <w:p w14:paraId="5C226F02" w14:textId="77777777" w:rsidR="00C61F48" w:rsidRPr="00C64471" w:rsidRDefault="00C61F48" w:rsidP="00BA13DB">
            <w:pPr>
              <w:pStyle w:val="TableParagraph"/>
              <w:spacing w:before="116"/>
              <w:ind w:left="513" w:right="92"/>
              <w:rPr>
                <w:rFonts w:ascii="Garamond" w:hAnsi="Garamond"/>
                <w:b/>
                <w:sz w:val="16"/>
                <w:szCs w:val="16"/>
              </w:rPr>
            </w:pPr>
            <w:r w:rsidRPr="00C64471">
              <w:rPr>
                <w:rFonts w:ascii="Garamond" w:hAnsi="Garamond"/>
                <w:b/>
                <w:sz w:val="16"/>
                <w:szCs w:val="16"/>
              </w:rPr>
              <w:t>Treguesit</w:t>
            </w:r>
            <w:r w:rsidRPr="00C64471">
              <w:rPr>
                <w:rFonts w:ascii="Garamond" w:hAnsi="Garamond"/>
                <w:b/>
                <w:position w:val="6"/>
                <w:sz w:val="16"/>
                <w:szCs w:val="16"/>
              </w:rPr>
              <w:t>*</w:t>
            </w:r>
          </w:p>
        </w:tc>
        <w:tc>
          <w:tcPr>
            <w:tcW w:w="1979" w:type="dxa"/>
            <w:tcBorders>
              <w:left w:val="thickThinMediumGap" w:sz="23" w:space="0" w:color="DBE4F0"/>
              <w:right w:val="single" w:sz="41" w:space="0" w:color="DBE4F0"/>
            </w:tcBorders>
            <w:shd w:val="clear" w:color="auto" w:fill="FFFF00"/>
          </w:tcPr>
          <w:p w14:paraId="30098375" w14:textId="77777777" w:rsidR="00C61F48" w:rsidRPr="00C64471" w:rsidRDefault="00C61F48" w:rsidP="00BA13DB">
            <w:pPr>
              <w:pStyle w:val="TableParagraph"/>
              <w:spacing w:before="126"/>
              <w:ind w:left="69"/>
              <w:rPr>
                <w:rFonts w:ascii="Garamond" w:hAnsi="Garamond"/>
                <w:b/>
                <w:sz w:val="16"/>
                <w:szCs w:val="16"/>
              </w:rPr>
            </w:pPr>
            <w:r w:rsidRPr="00C64471">
              <w:rPr>
                <w:rFonts w:ascii="Garamond" w:hAnsi="Garamond"/>
                <w:b/>
                <w:sz w:val="16"/>
                <w:szCs w:val="16"/>
              </w:rPr>
              <w:t>Burimet e verifikimit</w:t>
            </w:r>
          </w:p>
        </w:tc>
        <w:tc>
          <w:tcPr>
            <w:tcW w:w="2719" w:type="dxa"/>
            <w:shd w:val="clear" w:color="auto" w:fill="DBE4F0"/>
          </w:tcPr>
          <w:p w14:paraId="7804F046" w14:textId="77777777" w:rsidR="00C61F48" w:rsidRPr="00C64471" w:rsidRDefault="00C61F48" w:rsidP="00BA13DB">
            <w:pPr>
              <w:pStyle w:val="TableParagraph"/>
              <w:spacing w:before="126"/>
              <w:ind w:left="529" w:right="112"/>
              <w:rPr>
                <w:rFonts w:ascii="Garamond" w:hAnsi="Garamond"/>
                <w:b/>
                <w:sz w:val="16"/>
                <w:szCs w:val="16"/>
              </w:rPr>
            </w:pPr>
            <w:r w:rsidRPr="00C64471">
              <w:rPr>
                <w:rFonts w:ascii="Garamond" w:hAnsi="Garamond"/>
                <w:b/>
                <w:sz w:val="16"/>
                <w:szCs w:val="16"/>
              </w:rPr>
              <w:t>Llojet e aktiviteteve</w:t>
            </w:r>
          </w:p>
        </w:tc>
      </w:tr>
      <w:tr w:rsidR="00C61F48" w:rsidRPr="00C64471" w14:paraId="51E268B1" w14:textId="77777777" w:rsidTr="00C64471">
        <w:trPr>
          <w:trHeight w:hRule="exact" w:val="4752"/>
        </w:trPr>
        <w:tc>
          <w:tcPr>
            <w:tcW w:w="1574" w:type="dxa"/>
          </w:tcPr>
          <w:p w14:paraId="5F323E45" w14:textId="77777777" w:rsidR="00C61F48" w:rsidRPr="00C64471" w:rsidRDefault="00C61F48" w:rsidP="00BA13DB">
            <w:pPr>
              <w:pStyle w:val="TableParagraph"/>
              <w:rPr>
                <w:rFonts w:ascii="Garamond" w:hAnsi="Garamond"/>
                <w:sz w:val="16"/>
                <w:szCs w:val="16"/>
              </w:rPr>
            </w:pPr>
          </w:p>
          <w:p w14:paraId="258BD1BB" w14:textId="77777777" w:rsidR="00C61F48" w:rsidRPr="00C64471" w:rsidRDefault="00C61F48" w:rsidP="00BA13DB">
            <w:pPr>
              <w:pStyle w:val="TableParagraph"/>
              <w:rPr>
                <w:rFonts w:ascii="Garamond" w:hAnsi="Garamond"/>
                <w:sz w:val="16"/>
                <w:szCs w:val="16"/>
              </w:rPr>
            </w:pPr>
          </w:p>
          <w:p w14:paraId="7FF9C5A7" w14:textId="77777777" w:rsidR="00C61F48" w:rsidRPr="00C64471" w:rsidRDefault="00C61F48" w:rsidP="00BA13DB">
            <w:pPr>
              <w:pStyle w:val="TableParagraph"/>
              <w:rPr>
                <w:rFonts w:ascii="Garamond" w:hAnsi="Garamond"/>
                <w:sz w:val="16"/>
                <w:szCs w:val="16"/>
              </w:rPr>
            </w:pPr>
          </w:p>
          <w:p w14:paraId="2C2085E4" w14:textId="77777777" w:rsidR="00C61F48" w:rsidRPr="00C64471" w:rsidRDefault="00C61F48" w:rsidP="00BA13DB">
            <w:pPr>
              <w:pStyle w:val="TableParagraph"/>
              <w:rPr>
                <w:rFonts w:ascii="Garamond" w:hAnsi="Garamond"/>
                <w:sz w:val="16"/>
                <w:szCs w:val="16"/>
              </w:rPr>
            </w:pPr>
          </w:p>
          <w:p w14:paraId="76BD36CB" w14:textId="77777777" w:rsidR="00C61F48" w:rsidRPr="00C64471" w:rsidRDefault="00C61F48" w:rsidP="00BA13DB">
            <w:pPr>
              <w:pStyle w:val="TableParagraph"/>
              <w:rPr>
                <w:rFonts w:ascii="Garamond" w:hAnsi="Garamond"/>
                <w:sz w:val="16"/>
                <w:szCs w:val="16"/>
              </w:rPr>
            </w:pPr>
          </w:p>
          <w:p w14:paraId="53EC0813" w14:textId="77777777" w:rsidR="00C61F48" w:rsidRPr="00C64471" w:rsidRDefault="00C61F48" w:rsidP="00BA13DB">
            <w:pPr>
              <w:pStyle w:val="TableParagraph"/>
              <w:rPr>
                <w:rFonts w:ascii="Garamond" w:hAnsi="Garamond"/>
                <w:sz w:val="16"/>
                <w:szCs w:val="16"/>
              </w:rPr>
            </w:pPr>
          </w:p>
          <w:p w14:paraId="20FEA456" w14:textId="77777777" w:rsidR="00C61F48" w:rsidRPr="00C64471" w:rsidRDefault="00C61F48" w:rsidP="00BA13DB">
            <w:pPr>
              <w:pStyle w:val="TableParagraph"/>
              <w:rPr>
                <w:rFonts w:ascii="Garamond" w:hAnsi="Garamond"/>
                <w:sz w:val="16"/>
                <w:szCs w:val="16"/>
              </w:rPr>
            </w:pPr>
          </w:p>
          <w:p w14:paraId="63F32C24" w14:textId="77777777" w:rsidR="00C61F48" w:rsidRPr="00C64471" w:rsidRDefault="00C61F48" w:rsidP="00BA13DB">
            <w:pPr>
              <w:pStyle w:val="TableParagraph"/>
              <w:rPr>
                <w:rFonts w:ascii="Garamond" w:hAnsi="Garamond"/>
                <w:sz w:val="16"/>
                <w:szCs w:val="16"/>
              </w:rPr>
            </w:pPr>
          </w:p>
          <w:p w14:paraId="02F14410" w14:textId="77777777" w:rsidR="00C61F48" w:rsidRPr="00C64471" w:rsidRDefault="00C61F48" w:rsidP="00BA13DB">
            <w:pPr>
              <w:pStyle w:val="TableParagraph"/>
              <w:rPr>
                <w:rFonts w:ascii="Garamond" w:hAnsi="Garamond"/>
                <w:sz w:val="16"/>
                <w:szCs w:val="16"/>
              </w:rPr>
            </w:pPr>
          </w:p>
          <w:p w14:paraId="7CCCCB43" w14:textId="77777777" w:rsidR="00C61F48" w:rsidRPr="00C64471" w:rsidRDefault="00C61F48" w:rsidP="00BA13DB">
            <w:pPr>
              <w:pStyle w:val="TableParagraph"/>
              <w:rPr>
                <w:rFonts w:ascii="Garamond" w:hAnsi="Garamond"/>
                <w:sz w:val="16"/>
                <w:szCs w:val="16"/>
              </w:rPr>
            </w:pPr>
          </w:p>
          <w:p w14:paraId="579EC50C" w14:textId="77777777" w:rsidR="00C61F48" w:rsidRPr="00C64471" w:rsidRDefault="00C61F48" w:rsidP="00BA13DB">
            <w:pPr>
              <w:pStyle w:val="TableParagraph"/>
              <w:ind w:left="103" w:right="318"/>
              <w:rPr>
                <w:rFonts w:ascii="Garamond" w:hAnsi="Garamond"/>
                <w:b/>
                <w:sz w:val="16"/>
                <w:szCs w:val="16"/>
              </w:rPr>
            </w:pPr>
            <w:r w:rsidRPr="00C64471">
              <w:rPr>
                <w:rFonts w:ascii="Garamond" w:hAnsi="Garamond"/>
                <w:b/>
                <w:sz w:val="16"/>
                <w:szCs w:val="16"/>
                <w:u w:val="single"/>
              </w:rPr>
              <w:t>Objektivi Specifik 3</w:t>
            </w:r>
          </w:p>
          <w:p w14:paraId="00FA49EF" w14:textId="77777777" w:rsidR="00C61F48" w:rsidRPr="00C64471" w:rsidRDefault="00C61F48" w:rsidP="00BA13DB">
            <w:pPr>
              <w:pStyle w:val="TableParagraph"/>
              <w:rPr>
                <w:rFonts w:ascii="Garamond" w:hAnsi="Garamond"/>
                <w:sz w:val="16"/>
                <w:szCs w:val="16"/>
              </w:rPr>
            </w:pPr>
          </w:p>
          <w:p w14:paraId="1CF310DF" w14:textId="77777777" w:rsidR="00C61F48" w:rsidRPr="00C64471" w:rsidRDefault="00C61F48" w:rsidP="00BA13DB">
            <w:pPr>
              <w:pStyle w:val="TableParagraph"/>
              <w:rPr>
                <w:rFonts w:ascii="Garamond" w:hAnsi="Garamond"/>
                <w:sz w:val="16"/>
                <w:szCs w:val="16"/>
              </w:rPr>
            </w:pPr>
          </w:p>
          <w:p w14:paraId="33DAF396" w14:textId="77777777" w:rsidR="00C61F48" w:rsidRPr="00C64471" w:rsidRDefault="00C61F48" w:rsidP="00BA13DB">
            <w:pPr>
              <w:pStyle w:val="TableParagraph"/>
              <w:ind w:left="103" w:right="318"/>
              <w:rPr>
                <w:rFonts w:ascii="Garamond" w:hAnsi="Garamond"/>
                <w:b/>
                <w:sz w:val="16"/>
                <w:szCs w:val="16"/>
              </w:rPr>
            </w:pPr>
            <w:r w:rsidRPr="00C64471">
              <w:rPr>
                <w:rFonts w:ascii="Garamond" w:hAnsi="Garamond"/>
                <w:b/>
                <w:sz w:val="16"/>
                <w:szCs w:val="16"/>
              </w:rPr>
              <w:t>Punësimi dhe përfshirja sociale nxitet</w:t>
            </w:r>
          </w:p>
        </w:tc>
        <w:tc>
          <w:tcPr>
            <w:tcW w:w="1414" w:type="dxa"/>
            <w:tcBorders>
              <w:top w:val="single" w:sz="49" w:space="0" w:color="DBE4F0"/>
            </w:tcBorders>
          </w:tcPr>
          <w:p w14:paraId="71BF85C9" w14:textId="77777777" w:rsidR="00C61F48" w:rsidRPr="00C64471" w:rsidRDefault="00C61F48" w:rsidP="00BA13DB">
            <w:pPr>
              <w:pStyle w:val="TableParagraph"/>
              <w:spacing w:before="10"/>
              <w:rPr>
                <w:rFonts w:ascii="Garamond" w:hAnsi="Garamond"/>
                <w:sz w:val="16"/>
                <w:szCs w:val="16"/>
              </w:rPr>
            </w:pPr>
          </w:p>
          <w:p w14:paraId="5B7C72BB" w14:textId="77777777" w:rsidR="00C61F48" w:rsidRPr="00C64471" w:rsidRDefault="00C61F48" w:rsidP="00BA13DB">
            <w:pPr>
              <w:pStyle w:val="TableParagraph"/>
              <w:ind w:left="103" w:right="143"/>
              <w:rPr>
                <w:rFonts w:ascii="Garamond" w:hAnsi="Garamond"/>
                <w:b/>
                <w:sz w:val="16"/>
                <w:szCs w:val="16"/>
              </w:rPr>
            </w:pPr>
            <w:r w:rsidRPr="00C64471">
              <w:rPr>
                <w:rFonts w:ascii="Garamond" w:hAnsi="Garamond"/>
                <w:b/>
                <w:sz w:val="16"/>
                <w:szCs w:val="16"/>
                <w:u w:val="single"/>
              </w:rPr>
              <w:t>Rezultati 3.1</w:t>
            </w:r>
          </w:p>
          <w:p w14:paraId="504A5828" w14:textId="77777777" w:rsidR="00C61F48" w:rsidRPr="00C64471" w:rsidRDefault="00C61F48" w:rsidP="00BA13DB">
            <w:pPr>
              <w:pStyle w:val="TableParagraph"/>
              <w:spacing w:before="120"/>
              <w:ind w:left="103" w:right="143"/>
              <w:rPr>
                <w:rFonts w:ascii="Garamond" w:hAnsi="Garamond"/>
                <w:sz w:val="16"/>
                <w:szCs w:val="16"/>
              </w:rPr>
            </w:pPr>
            <w:r w:rsidRPr="00C64471">
              <w:rPr>
                <w:rFonts w:ascii="Garamond" w:hAnsi="Garamond"/>
                <w:sz w:val="16"/>
                <w:szCs w:val="16"/>
              </w:rPr>
              <w:t xml:space="preserve">Aksesi në tregun e punës i </w:t>
            </w:r>
            <w:r w:rsidRPr="00C64471">
              <w:rPr>
                <w:rFonts w:ascii="Garamond" w:hAnsi="Garamond"/>
                <w:w w:val="95"/>
                <w:sz w:val="16"/>
                <w:szCs w:val="16"/>
              </w:rPr>
              <w:t xml:space="preserve">përmirësuar, </w:t>
            </w:r>
            <w:r w:rsidRPr="00C64471">
              <w:rPr>
                <w:rFonts w:ascii="Garamond" w:hAnsi="Garamond"/>
                <w:sz w:val="16"/>
                <w:szCs w:val="16"/>
              </w:rPr>
              <w:t>veçanërisht për grupet vulnerabël</w:t>
            </w:r>
          </w:p>
        </w:tc>
        <w:tc>
          <w:tcPr>
            <w:tcW w:w="1892" w:type="dxa"/>
            <w:tcBorders>
              <w:top w:val="single" w:sz="44" w:space="0" w:color="DBE4F0"/>
            </w:tcBorders>
          </w:tcPr>
          <w:p w14:paraId="4F24E9C5" w14:textId="77777777" w:rsidR="00C61F48" w:rsidRPr="00C64471" w:rsidRDefault="00C61F48" w:rsidP="00D8448F">
            <w:pPr>
              <w:pStyle w:val="TableParagraph"/>
              <w:numPr>
                <w:ilvl w:val="0"/>
                <w:numId w:val="35"/>
              </w:numPr>
              <w:tabs>
                <w:tab w:val="left" w:pos="267"/>
              </w:tabs>
              <w:spacing w:line="193" w:lineRule="exact"/>
              <w:ind w:hanging="163"/>
              <w:rPr>
                <w:rFonts w:ascii="Garamond" w:hAnsi="Garamond"/>
                <w:sz w:val="16"/>
                <w:szCs w:val="16"/>
              </w:rPr>
            </w:pPr>
            <w:r w:rsidRPr="00C64471">
              <w:rPr>
                <w:rFonts w:ascii="Garamond" w:hAnsi="Garamond"/>
                <w:sz w:val="16"/>
                <w:szCs w:val="16"/>
              </w:rPr>
              <w:t>3.1.1. Të paktën</w:t>
            </w:r>
            <w:r w:rsidRPr="00C64471">
              <w:rPr>
                <w:rFonts w:ascii="Garamond" w:hAnsi="Garamond"/>
                <w:spacing w:val="-5"/>
                <w:sz w:val="16"/>
                <w:szCs w:val="16"/>
              </w:rPr>
              <w:t xml:space="preserve"> </w:t>
            </w:r>
            <w:r w:rsidRPr="00C64471">
              <w:rPr>
                <w:rFonts w:ascii="Garamond" w:hAnsi="Garamond"/>
                <w:sz w:val="16"/>
                <w:szCs w:val="16"/>
              </w:rPr>
              <w:t>5</w:t>
            </w:r>
          </w:p>
          <w:p w14:paraId="56291257" w14:textId="77777777" w:rsidR="00C61F48" w:rsidRPr="00C64471" w:rsidRDefault="00C61F48" w:rsidP="00BA13DB">
            <w:pPr>
              <w:pStyle w:val="TableParagraph"/>
              <w:ind w:left="266" w:right="92"/>
              <w:rPr>
                <w:rFonts w:ascii="Garamond" w:hAnsi="Garamond"/>
                <w:sz w:val="16"/>
                <w:szCs w:val="16"/>
              </w:rPr>
            </w:pPr>
            <w:r w:rsidRPr="00C64471">
              <w:rPr>
                <w:rFonts w:ascii="Garamond" w:hAnsi="Garamond"/>
                <w:sz w:val="16"/>
                <w:szCs w:val="16"/>
              </w:rPr>
              <w:t>iniciativa të reja të biznesit që nxisin lëvizjen e fuqisë punëtore përtej kufirit</w:t>
            </w:r>
          </w:p>
          <w:p w14:paraId="00B18367" w14:textId="77777777" w:rsidR="00C61F48" w:rsidRPr="00C64471" w:rsidRDefault="00C61F48" w:rsidP="00D8448F">
            <w:pPr>
              <w:pStyle w:val="TableParagraph"/>
              <w:numPr>
                <w:ilvl w:val="0"/>
                <w:numId w:val="35"/>
              </w:numPr>
              <w:tabs>
                <w:tab w:val="left" w:pos="267"/>
              </w:tabs>
              <w:spacing w:before="118"/>
              <w:ind w:right="130" w:hanging="163"/>
              <w:rPr>
                <w:rFonts w:ascii="Garamond" w:hAnsi="Garamond"/>
                <w:sz w:val="16"/>
                <w:szCs w:val="16"/>
              </w:rPr>
            </w:pPr>
            <w:r w:rsidRPr="00C64471">
              <w:rPr>
                <w:rFonts w:ascii="Garamond" w:hAnsi="Garamond"/>
                <w:sz w:val="16"/>
                <w:szCs w:val="16"/>
              </w:rPr>
              <w:t>3.1.2. Të paktën 20% e të papunëve (të ndarë sipas</w:t>
            </w:r>
            <w:r w:rsidRPr="00C64471">
              <w:rPr>
                <w:rFonts w:ascii="Garamond" w:hAnsi="Garamond"/>
                <w:spacing w:val="-7"/>
                <w:sz w:val="16"/>
                <w:szCs w:val="16"/>
              </w:rPr>
              <w:t xml:space="preserve"> </w:t>
            </w:r>
            <w:r w:rsidRPr="00C64471">
              <w:rPr>
                <w:rFonts w:ascii="Garamond" w:hAnsi="Garamond"/>
                <w:sz w:val="16"/>
                <w:szCs w:val="16"/>
              </w:rPr>
              <w:t>gjinisë dhe moshës) pjesëmarrës në iniciativat BNK, ia dalin për të gjetur një</w:t>
            </w:r>
            <w:r w:rsidRPr="00C64471">
              <w:rPr>
                <w:rFonts w:ascii="Garamond" w:hAnsi="Garamond"/>
                <w:spacing w:val="-4"/>
                <w:sz w:val="16"/>
                <w:szCs w:val="16"/>
              </w:rPr>
              <w:t xml:space="preserve"> </w:t>
            </w:r>
            <w:r w:rsidRPr="00C64471">
              <w:rPr>
                <w:rFonts w:ascii="Garamond" w:hAnsi="Garamond"/>
                <w:sz w:val="16"/>
                <w:szCs w:val="16"/>
              </w:rPr>
              <w:t>punë</w:t>
            </w:r>
          </w:p>
          <w:p w14:paraId="350ABA32" w14:textId="77777777" w:rsidR="00C61F48" w:rsidRPr="00C64471" w:rsidRDefault="00C61F48" w:rsidP="00D8448F">
            <w:pPr>
              <w:pStyle w:val="TableParagraph"/>
              <w:numPr>
                <w:ilvl w:val="0"/>
                <w:numId w:val="35"/>
              </w:numPr>
              <w:tabs>
                <w:tab w:val="left" w:pos="267"/>
              </w:tabs>
              <w:spacing w:before="120"/>
              <w:ind w:right="113" w:hanging="163"/>
              <w:rPr>
                <w:rFonts w:ascii="Garamond" w:hAnsi="Garamond"/>
                <w:sz w:val="16"/>
                <w:szCs w:val="16"/>
              </w:rPr>
            </w:pPr>
            <w:r w:rsidRPr="00C64471">
              <w:rPr>
                <w:rFonts w:ascii="Garamond" w:hAnsi="Garamond"/>
                <w:sz w:val="16"/>
                <w:szCs w:val="16"/>
              </w:rPr>
              <w:t>3.1.3. Të paktën 300 të rinj (të ndarë sipas gjinisë) të trajnuar nëpërmjet shërbimeve  të reja të të</w:t>
            </w:r>
            <w:r w:rsidRPr="00C64471">
              <w:rPr>
                <w:rFonts w:ascii="Garamond" w:hAnsi="Garamond"/>
                <w:spacing w:val="-9"/>
                <w:sz w:val="16"/>
                <w:szCs w:val="16"/>
              </w:rPr>
              <w:t xml:space="preserve"> </w:t>
            </w:r>
            <w:r w:rsidRPr="00C64471">
              <w:rPr>
                <w:rFonts w:ascii="Garamond" w:hAnsi="Garamond"/>
                <w:sz w:val="16"/>
                <w:szCs w:val="16"/>
              </w:rPr>
              <w:t>mësuarit gjatë gjithë</w:t>
            </w:r>
            <w:r w:rsidRPr="00C64471">
              <w:rPr>
                <w:rFonts w:ascii="Garamond" w:hAnsi="Garamond"/>
                <w:spacing w:val="-8"/>
                <w:sz w:val="16"/>
                <w:szCs w:val="16"/>
              </w:rPr>
              <w:t xml:space="preserve"> </w:t>
            </w:r>
            <w:r w:rsidRPr="00C64471">
              <w:rPr>
                <w:rFonts w:ascii="Garamond" w:hAnsi="Garamond"/>
                <w:sz w:val="16"/>
                <w:szCs w:val="16"/>
              </w:rPr>
              <w:t>jetës</w:t>
            </w:r>
          </w:p>
          <w:p w14:paraId="7795D758" w14:textId="77777777" w:rsidR="00C61F48" w:rsidRPr="00C64471" w:rsidRDefault="00C61F48" w:rsidP="00D8448F">
            <w:pPr>
              <w:pStyle w:val="TableParagraph"/>
              <w:numPr>
                <w:ilvl w:val="0"/>
                <w:numId w:val="35"/>
              </w:numPr>
              <w:tabs>
                <w:tab w:val="left" w:pos="267"/>
              </w:tabs>
              <w:spacing w:before="120"/>
              <w:ind w:right="102" w:hanging="163"/>
              <w:rPr>
                <w:rFonts w:ascii="Garamond" w:hAnsi="Garamond"/>
                <w:sz w:val="16"/>
                <w:szCs w:val="16"/>
              </w:rPr>
            </w:pPr>
            <w:r w:rsidRPr="00C64471">
              <w:rPr>
                <w:rFonts w:ascii="Garamond" w:hAnsi="Garamond"/>
                <w:sz w:val="16"/>
                <w:szCs w:val="16"/>
              </w:rPr>
              <w:t>3.1.4. Të paktën 10% e NVM-ve të reja të krijuara në zonat</w:t>
            </w:r>
            <w:r w:rsidRPr="00C64471">
              <w:rPr>
                <w:rFonts w:ascii="Garamond" w:hAnsi="Garamond"/>
                <w:spacing w:val="-7"/>
                <w:sz w:val="16"/>
                <w:szCs w:val="16"/>
              </w:rPr>
              <w:t xml:space="preserve"> </w:t>
            </w:r>
            <w:r w:rsidRPr="00C64471">
              <w:rPr>
                <w:rFonts w:ascii="Garamond" w:hAnsi="Garamond"/>
                <w:sz w:val="16"/>
                <w:szCs w:val="16"/>
              </w:rPr>
              <w:t>ndërkufitare</w:t>
            </w:r>
          </w:p>
        </w:tc>
        <w:tc>
          <w:tcPr>
            <w:tcW w:w="1979" w:type="dxa"/>
            <w:shd w:val="clear" w:color="auto" w:fill="FFFF00"/>
          </w:tcPr>
          <w:p w14:paraId="4A7345BD" w14:textId="77777777" w:rsidR="00C61F48" w:rsidRPr="00C64471" w:rsidRDefault="00C61F48" w:rsidP="00BA13DB">
            <w:pPr>
              <w:pStyle w:val="TableParagraph"/>
              <w:rPr>
                <w:rFonts w:ascii="Garamond" w:hAnsi="Garamond"/>
                <w:sz w:val="16"/>
                <w:szCs w:val="16"/>
              </w:rPr>
            </w:pPr>
          </w:p>
          <w:p w14:paraId="43474225" w14:textId="77777777" w:rsidR="00C61F48" w:rsidRPr="00C64471" w:rsidRDefault="00C61F48" w:rsidP="00BA13DB">
            <w:pPr>
              <w:pStyle w:val="TableParagraph"/>
              <w:spacing w:before="134"/>
              <w:ind w:left="100" w:right="169"/>
              <w:rPr>
                <w:rFonts w:ascii="Garamond" w:hAnsi="Garamond"/>
                <w:sz w:val="16"/>
                <w:szCs w:val="16"/>
              </w:rPr>
            </w:pPr>
            <w:r w:rsidRPr="00C64471">
              <w:rPr>
                <w:rFonts w:ascii="Garamond" w:hAnsi="Garamond"/>
                <w:sz w:val="16"/>
                <w:szCs w:val="16"/>
              </w:rPr>
              <w:t>Statistikat zyrtare</w:t>
            </w:r>
          </w:p>
          <w:p w14:paraId="1FC16128" w14:textId="77777777" w:rsidR="00C61F48" w:rsidRPr="00C64471" w:rsidRDefault="00C61F48" w:rsidP="00BA13DB">
            <w:pPr>
              <w:pStyle w:val="TableParagraph"/>
              <w:rPr>
                <w:rFonts w:ascii="Garamond" w:hAnsi="Garamond"/>
                <w:sz w:val="16"/>
                <w:szCs w:val="16"/>
              </w:rPr>
            </w:pPr>
          </w:p>
          <w:p w14:paraId="58B8FB98" w14:textId="77777777" w:rsidR="00C61F48" w:rsidRPr="00C64471" w:rsidRDefault="00C61F48" w:rsidP="00BA13DB">
            <w:pPr>
              <w:pStyle w:val="TableParagraph"/>
              <w:rPr>
                <w:rFonts w:ascii="Garamond" w:hAnsi="Garamond"/>
                <w:sz w:val="16"/>
                <w:szCs w:val="16"/>
              </w:rPr>
            </w:pPr>
          </w:p>
          <w:p w14:paraId="4B98DBAC" w14:textId="77777777" w:rsidR="00C61F48" w:rsidRPr="00C64471" w:rsidRDefault="00C61F48" w:rsidP="00BA13DB">
            <w:pPr>
              <w:pStyle w:val="TableParagraph"/>
              <w:ind w:left="134" w:right="169"/>
              <w:rPr>
                <w:rFonts w:ascii="Garamond" w:hAnsi="Garamond"/>
                <w:sz w:val="16"/>
                <w:szCs w:val="16"/>
              </w:rPr>
            </w:pPr>
            <w:r w:rsidRPr="00C64471">
              <w:rPr>
                <w:rFonts w:ascii="Garamond" w:hAnsi="Garamond"/>
                <w:sz w:val="16"/>
                <w:szCs w:val="16"/>
              </w:rPr>
              <w:t xml:space="preserve">Raportet nga </w:t>
            </w:r>
            <w:r w:rsidRPr="00C64471">
              <w:rPr>
                <w:rFonts w:ascii="Garamond" w:hAnsi="Garamond"/>
                <w:w w:val="95"/>
                <w:sz w:val="16"/>
                <w:szCs w:val="16"/>
              </w:rPr>
              <w:t xml:space="preserve">ministritë/autoritete </w:t>
            </w:r>
            <w:r w:rsidRPr="00C64471">
              <w:rPr>
                <w:rFonts w:ascii="Garamond" w:hAnsi="Garamond"/>
                <w:sz w:val="16"/>
                <w:szCs w:val="16"/>
              </w:rPr>
              <w:t>t përkatëse kombëtare</w:t>
            </w:r>
          </w:p>
          <w:p w14:paraId="42302D13" w14:textId="77777777" w:rsidR="00C61F48" w:rsidRPr="00C64471" w:rsidRDefault="00C61F48" w:rsidP="00BA13DB">
            <w:pPr>
              <w:pStyle w:val="TableParagraph"/>
              <w:rPr>
                <w:rFonts w:ascii="Garamond" w:hAnsi="Garamond"/>
                <w:sz w:val="16"/>
                <w:szCs w:val="16"/>
              </w:rPr>
            </w:pPr>
          </w:p>
          <w:p w14:paraId="4D3E18B4" w14:textId="77777777" w:rsidR="00C61F48" w:rsidRPr="00C64471" w:rsidRDefault="00C61F48" w:rsidP="00BA13DB">
            <w:pPr>
              <w:pStyle w:val="TableParagraph"/>
              <w:rPr>
                <w:rFonts w:ascii="Garamond" w:hAnsi="Garamond"/>
                <w:sz w:val="16"/>
                <w:szCs w:val="16"/>
              </w:rPr>
            </w:pPr>
          </w:p>
          <w:p w14:paraId="62469352" w14:textId="77777777" w:rsidR="00C61F48" w:rsidRPr="00C64471" w:rsidRDefault="00C61F48" w:rsidP="00BA13DB">
            <w:pPr>
              <w:pStyle w:val="TableParagraph"/>
              <w:rPr>
                <w:rFonts w:ascii="Garamond" w:hAnsi="Garamond"/>
                <w:sz w:val="16"/>
                <w:szCs w:val="16"/>
              </w:rPr>
            </w:pPr>
          </w:p>
          <w:p w14:paraId="488E9A23" w14:textId="77777777" w:rsidR="00C61F48" w:rsidRPr="00C64471" w:rsidRDefault="00C61F48" w:rsidP="00BA13DB">
            <w:pPr>
              <w:pStyle w:val="TableParagraph"/>
              <w:spacing w:before="158"/>
              <w:ind w:left="134"/>
              <w:rPr>
                <w:rFonts w:ascii="Garamond" w:hAnsi="Garamond"/>
                <w:sz w:val="16"/>
                <w:szCs w:val="16"/>
              </w:rPr>
            </w:pPr>
            <w:r w:rsidRPr="00C64471">
              <w:rPr>
                <w:rFonts w:ascii="Garamond" w:hAnsi="Garamond"/>
                <w:sz w:val="16"/>
                <w:szCs w:val="16"/>
              </w:rPr>
              <w:t>Regjistrat e agjencive të punësimit</w:t>
            </w:r>
          </w:p>
          <w:p w14:paraId="21BC1964" w14:textId="77777777" w:rsidR="00C61F48" w:rsidRPr="00C64471" w:rsidRDefault="00C61F48" w:rsidP="00BA13DB">
            <w:pPr>
              <w:pStyle w:val="TableParagraph"/>
              <w:rPr>
                <w:rFonts w:ascii="Garamond" w:hAnsi="Garamond"/>
                <w:sz w:val="16"/>
                <w:szCs w:val="16"/>
              </w:rPr>
            </w:pPr>
          </w:p>
          <w:p w14:paraId="4826E1A7" w14:textId="77777777" w:rsidR="00C61F48" w:rsidRPr="00C64471" w:rsidRDefault="00C61F48" w:rsidP="00BA13DB">
            <w:pPr>
              <w:pStyle w:val="TableParagraph"/>
              <w:spacing w:before="2"/>
              <w:rPr>
                <w:rFonts w:ascii="Garamond" w:hAnsi="Garamond"/>
                <w:sz w:val="16"/>
                <w:szCs w:val="16"/>
              </w:rPr>
            </w:pPr>
          </w:p>
          <w:p w14:paraId="16AB92B8" w14:textId="77777777" w:rsidR="00C61F48" w:rsidRPr="00C64471" w:rsidRDefault="00C61F48" w:rsidP="00BA13DB">
            <w:pPr>
              <w:pStyle w:val="TableParagraph"/>
              <w:ind w:left="134" w:right="157"/>
              <w:rPr>
                <w:rFonts w:ascii="Garamond" w:hAnsi="Garamond"/>
                <w:sz w:val="16"/>
                <w:szCs w:val="16"/>
              </w:rPr>
            </w:pPr>
            <w:r w:rsidRPr="00C64471">
              <w:rPr>
                <w:rFonts w:ascii="Garamond" w:hAnsi="Garamond"/>
                <w:sz w:val="16"/>
                <w:szCs w:val="16"/>
              </w:rPr>
              <w:t>Regjistrat e Dhomave të tregtisë</w:t>
            </w:r>
          </w:p>
          <w:p w14:paraId="4F286885" w14:textId="77777777" w:rsidR="00C61F48" w:rsidRPr="00C64471" w:rsidRDefault="00C61F48" w:rsidP="00BA13DB">
            <w:pPr>
              <w:pStyle w:val="TableParagraph"/>
              <w:rPr>
                <w:rFonts w:ascii="Garamond" w:hAnsi="Garamond"/>
                <w:sz w:val="16"/>
                <w:szCs w:val="16"/>
              </w:rPr>
            </w:pPr>
          </w:p>
          <w:p w14:paraId="5C3EA1B0" w14:textId="77777777" w:rsidR="00C61F48" w:rsidRPr="00C64471" w:rsidRDefault="00C61F48" w:rsidP="00BA13DB">
            <w:pPr>
              <w:pStyle w:val="TableParagraph"/>
              <w:spacing w:before="3"/>
              <w:rPr>
                <w:rFonts w:ascii="Garamond" w:hAnsi="Garamond"/>
                <w:sz w:val="16"/>
                <w:szCs w:val="16"/>
              </w:rPr>
            </w:pPr>
          </w:p>
          <w:p w14:paraId="69CDC1F0" w14:textId="77777777" w:rsidR="00C61F48" w:rsidRPr="00C64471" w:rsidRDefault="00C61F48" w:rsidP="00BA13DB">
            <w:pPr>
              <w:pStyle w:val="TableParagraph"/>
              <w:ind w:left="134" w:right="169"/>
              <w:rPr>
                <w:rFonts w:ascii="Garamond" w:hAnsi="Garamond"/>
                <w:sz w:val="16"/>
                <w:szCs w:val="16"/>
              </w:rPr>
            </w:pPr>
            <w:r w:rsidRPr="00C64471">
              <w:rPr>
                <w:rFonts w:ascii="Garamond" w:hAnsi="Garamond"/>
                <w:sz w:val="16"/>
                <w:szCs w:val="16"/>
              </w:rPr>
              <w:t>Raportet e monitorimit / projektit</w:t>
            </w:r>
          </w:p>
        </w:tc>
        <w:tc>
          <w:tcPr>
            <w:tcW w:w="2719" w:type="dxa"/>
            <w:tcBorders>
              <w:top w:val="single" w:sz="49" w:space="0" w:color="DBE4F0"/>
            </w:tcBorders>
          </w:tcPr>
          <w:p w14:paraId="15960EB3" w14:textId="77777777" w:rsidR="00C61F48" w:rsidRPr="00C64471" w:rsidRDefault="00C61F48" w:rsidP="00D8448F">
            <w:pPr>
              <w:pStyle w:val="TableParagraph"/>
              <w:numPr>
                <w:ilvl w:val="0"/>
                <w:numId w:val="34"/>
              </w:numPr>
              <w:tabs>
                <w:tab w:val="left" w:pos="161"/>
              </w:tabs>
              <w:spacing w:line="187" w:lineRule="exact"/>
              <w:ind w:hanging="142"/>
              <w:rPr>
                <w:rFonts w:ascii="Garamond" w:hAnsi="Garamond"/>
                <w:sz w:val="16"/>
                <w:szCs w:val="16"/>
              </w:rPr>
            </w:pPr>
            <w:r w:rsidRPr="00C64471">
              <w:rPr>
                <w:rFonts w:ascii="Garamond" w:hAnsi="Garamond"/>
                <w:sz w:val="16"/>
                <w:szCs w:val="16"/>
              </w:rPr>
              <w:t>Mbështetja e</w:t>
            </w:r>
            <w:r w:rsidRPr="00C64471">
              <w:rPr>
                <w:rFonts w:ascii="Garamond" w:hAnsi="Garamond"/>
                <w:spacing w:val="-10"/>
                <w:sz w:val="16"/>
                <w:szCs w:val="16"/>
              </w:rPr>
              <w:t xml:space="preserve"> </w:t>
            </w:r>
            <w:r w:rsidRPr="00C64471">
              <w:rPr>
                <w:rFonts w:ascii="Garamond" w:hAnsi="Garamond"/>
                <w:sz w:val="16"/>
                <w:szCs w:val="16"/>
              </w:rPr>
              <w:t>bashkëpunimit</w:t>
            </w:r>
          </w:p>
          <w:p w14:paraId="38BE9BD4" w14:textId="77777777" w:rsidR="00C61F48" w:rsidRPr="00C64471" w:rsidRDefault="00C61F48" w:rsidP="00BA13DB">
            <w:pPr>
              <w:pStyle w:val="TableParagraph"/>
              <w:ind w:left="160" w:right="112"/>
              <w:rPr>
                <w:rFonts w:ascii="Garamond" w:hAnsi="Garamond"/>
                <w:sz w:val="16"/>
                <w:szCs w:val="16"/>
              </w:rPr>
            </w:pPr>
            <w:r w:rsidRPr="00C64471">
              <w:rPr>
                <w:rFonts w:ascii="Garamond" w:hAnsi="Garamond"/>
                <w:sz w:val="16"/>
                <w:szCs w:val="16"/>
              </w:rPr>
              <w:t>midis dhe ndërmjet institucioneve të arsimit (profesional) dhe sektorit privat për të përmirësuar përputhjen e kurrikulave të trajnimit për grupet në nevojë, me kërkesën e tregut të punës, duke përfshirë programet e mësimit virtual dhe përdorimin e TIK</w:t>
            </w:r>
          </w:p>
          <w:p w14:paraId="036CF3B4" w14:textId="77777777" w:rsidR="00C61F48" w:rsidRPr="00C64471" w:rsidRDefault="00C61F48" w:rsidP="00D8448F">
            <w:pPr>
              <w:pStyle w:val="TableParagraph"/>
              <w:numPr>
                <w:ilvl w:val="0"/>
                <w:numId w:val="34"/>
              </w:numPr>
              <w:tabs>
                <w:tab w:val="left" w:pos="161"/>
              </w:tabs>
              <w:spacing w:before="120"/>
              <w:ind w:right="148" w:hanging="142"/>
              <w:rPr>
                <w:rFonts w:ascii="Garamond" w:hAnsi="Garamond"/>
                <w:sz w:val="16"/>
                <w:szCs w:val="16"/>
              </w:rPr>
            </w:pPr>
            <w:r w:rsidRPr="00C64471">
              <w:rPr>
                <w:rFonts w:ascii="Garamond" w:hAnsi="Garamond"/>
                <w:sz w:val="16"/>
                <w:szCs w:val="16"/>
              </w:rPr>
              <w:t>Iniciativa mbështetëse dhe fushata për vetë-punësim, veçanërisht në zonat rurale, duke përfshirë mbështetjen</w:t>
            </w:r>
            <w:r w:rsidRPr="00C64471">
              <w:rPr>
                <w:rFonts w:ascii="Garamond" w:hAnsi="Garamond"/>
                <w:spacing w:val="-11"/>
                <w:sz w:val="16"/>
                <w:szCs w:val="16"/>
              </w:rPr>
              <w:t xml:space="preserve"> </w:t>
            </w:r>
            <w:r w:rsidRPr="00C64471">
              <w:rPr>
                <w:rFonts w:ascii="Garamond" w:hAnsi="Garamond"/>
                <w:sz w:val="16"/>
                <w:szCs w:val="16"/>
              </w:rPr>
              <w:t>e grupeve vulnerabël për të nisur një</w:t>
            </w:r>
            <w:r w:rsidRPr="00C64471">
              <w:rPr>
                <w:rFonts w:ascii="Garamond" w:hAnsi="Garamond"/>
                <w:spacing w:val="-7"/>
                <w:sz w:val="16"/>
                <w:szCs w:val="16"/>
              </w:rPr>
              <w:t xml:space="preserve"> </w:t>
            </w:r>
            <w:r w:rsidRPr="00C64471">
              <w:rPr>
                <w:rFonts w:ascii="Garamond" w:hAnsi="Garamond"/>
                <w:sz w:val="16"/>
                <w:szCs w:val="16"/>
              </w:rPr>
              <w:t>biznes</w:t>
            </w:r>
          </w:p>
          <w:p w14:paraId="05CDF226" w14:textId="77777777" w:rsidR="00C61F48" w:rsidRPr="00C64471" w:rsidRDefault="00C61F48" w:rsidP="00D8448F">
            <w:pPr>
              <w:pStyle w:val="TableParagraph"/>
              <w:numPr>
                <w:ilvl w:val="0"/>
                <w:numId w:val="34"/>
              </w:numPr>
              <w:tabs>
                <w:tab w:val="left" w:pos="161"/>
              </w:tabs>
              <w:spacing w:before="118"/>
              <w:ind w:right="107" w:hanging="142"/>
              <w:rPr>
                <w:rFonts w:ascii="Garamond" w:hAnsi="Garamond"/>
                <w:sz w:val="16"/>
                <w:szCs w:val="16"/>
              </w:rPr>
            </w:pPr>
            <w:r w:rsidRPr="00C64471">
              <w:rPr>
                <w:rFonts w:ascii="Garamond" w:hAnsi="Garamond"/>
                <w:sz w:val="16"/>
                <w:szCs w:val="16"/>
              </w:rPr>
              <w:t>Mbështetja e forcimit të kapaciteteve të</w:t>
            </w:r>
            <w:r w:rsidRPr="00C64471">
              <w:rPr>
                <w:rFonts w:ascii="Garamond" w:hAnsi="Garamond"/>
                <w:spacing w:val="-7"/>
                <w:sz w:val="16"/>
                <w:szCs w:val="16"/>
              </w:rPr>
              <w:t xml:space="preserve"> </w:t>
            </w:r>
            <w:r w:rsidRPr="00C64471">
              <w:rPr>
                <w:rFonts w:ascii="Garamond" w:hAnsi="Garamond"/>
                <w:sz w:val="16"/>
                <w:szCs w:val="16"/>
              </w:rPr>
              <w:t>institucioneve të promovimit të punës, shkëmbimi i eksperiencave dhe modeleve më të mira për të rritur punësimin (veçanërisht të grupet vulnerabël) brenda dhe përtej kufijve</w:t>
            </w:r>
          </w:p>
          <w:p w14:paraId="48CF404B" w14:textId="77777777" w:rsidR="00C61F48" w:rsidRPr="00C64471" w:rsidRDefault="00C61F48" w:rsidP="00D8448F">
            <w:pPr>
              <w:pStyle w:val="TableParagraph"/>
              <w:numPr>
                <w:ilvl w:val="0"/>
                <w:numId w:val="34"/>
              </w:numPr>
              <w:tabs>
                <w:tab w:val="left" w:pos="161"/>
              </w:tabs>
              <w:spacing w:before="120"/>
              <w:ind w:hanging="142"/>
              <w:rPr>
                <w:rFonts w:ascii="Garamond" w:hAnsi="Garamond"/>
                <w:sz w:val="16"/>
                <w:szCs w:val="16"/>
              </w:rPr>
            </w:pPr>
            <w:r w:rsidRPr="00C64471">
              <w:rPr>
                <w:rFonts w:ascii="Garamond" w:hAnsi="Garamond"/>
                <w:sz w:val="16"/>
                <w:szCs w:val="16"/>
              </w:rPr>
              <w:t>Aktivitete që synojnë</w:t>
            </w:r>
            <w:r w:rsidRPr="00C64471">
              <w:rPr>
                <w:rFonts w:ascii="Garamond" w:hAnsi="Garamond"/>
                <w:spacing w:val="-10"/>
                <w:sz w:val="16"/>
                <w:szCs w:val="16"/>
              </w:rPr>
              <w:t xml:space="preserve"> </w:t>
            </w:r>
            <w:r w:rsidRPr="00C64471">
              <w:rPr>
                <w:rFonts w:ascii="Garamond" w:hAnsi="Garamond"/>
                <w:sz w:val="16"/>
                <w:szCs w:val="16"/>
              </w:rPr>
              <w:t>krijimin</w:t>
            </w:r>
          </w:p>
        </w:tc>
      </w:tr>
      <w:tr w:rsidR="00C61F48" w:rsidRPr="00C64471" w14:paraId="0918195D" w14:textId="77777777" w:rsidTr="00C64471">
        <w:trPr>
          <w:trHeight w:hRule="exact" w:val="3841"/>
        </w:trPr>
        <w:tc>
          <w:tcPr>
            <w:tcW w:w="1574" w:type="dxa"/>
          </w:tcPr>
          <w:p w14:paraId="5429CDB1" w14:textId="77777777" w:rsidR="00C61F48" w:rsidRPr="00C64471" w:rsidRDefault="00C61F48" w:rsidP="00BA13DB">
            <w:pPr>
              <w:rPr>
                <w:rFonts w:ascii="Garamond" w:hAnsi="Garamond"/>
                <w:sz w:val="16"/>
                <w:szCs w:val="16"/>
              </w:rPr>
            </w:pPr>
          </w:p>
        </w:tc>
        <w:tc>
          <w:tcPr>
            <w:tcW w:w="1414" w:type="dxa"/>
          </w:tcPr>
          <w:p w14:paraId="62C4D923" w14:textId="77777777" w:rsidR="00C61F48" w:rsidRPr="00C64471" w:rsidRDefault="00C61F48" w:rsidP="00BA13DB">
            <w:pPr>
              <w:rPr>
                <w:rFonts w:ascii="Garamond" w:hAnsi="Garamond"/>
                <w:sz w:val="16"/>
                <w:szCs w:val="16"/>
              </w:rPr>
            </w:pPr>
          </w:p>
        </w:tc>
        <w:tc>
          <w:tcPr>
            <w:tcW w:w="1892" w:type="dxa"/>
          </w:tcPr>
          <w:p w14:paraId="34CB0BC0" w14:textId="77777777" w:rsidR="00C61F48" w:rsidRPr="00C64471" w:rsidRDefault="00C61F48" w:rsidP="00BA13DB">
            <w:pPr>
              <w:pStyle w:val="TableParagraph"/>
              <w:ind w:left="266" w:right="137"/>
              <w:rPr>
                <w:rFonts w:ascii="Garamond" w:hAnsi="Garamond"/>
                <w:sz w:val="16"/>
                <w:szCs w:val="16"/>
              </w:rPr>
            </w:pPr>
            <w:r w:rsidRPr="00C64471">
              <w:rPr>
                <w:rFonts w:ascii="Garamond" w:hAnsi="Garamond"/>
                <w:sz w:val="16"/>
                <w:szCs w:val="16"/>
              </w:rPr>
              <w:t>janë në pronësi të të rinjve dhe anëtarëve të grupeve të margjinalizuara (të ndarë sipas gjinisë dhe grupit vulnerabël)</w:t>
            </w:r>
          </w:p>
        </w:tc>
        <w:tc>
          <w:tcPr>
            <w:tcW w:w="1979" w:type="dxa"/>
            <w:shd w:val="clear" w:color="auto" w:fill="FFFF00"/>
          </w:tcPr>
          <w:p w14:paraId="6C8E9E23" w14:textId="77777777" w:rsidR="00C61F48" w:rsidRPr="00C64471" w:rsidRDefault="00C61F48" w:rsidP="00BA13DB">
            <w:pPr>
              <w:rPr>
                <w:rFonts w:ascii="Garamond" w:hAnsi="Garamond"/>
                <w:sz w:val="16"/>
                <w:szCs w:val="16"/>
              </w:rPr>
            </w:pPr>
          </w:p>
        </w:tc>
        <w:tc>
          <w:tcPr>
            <w:tcW w:w="2719" w:type="dxa"/>
          </w:tcPr>
          <w:p w14:paraId="3655994E" w14:textId="77777777" w:rsidR="00C61F48" w:rsidRPr="00C64471" w:rsidRDefault="00C61F48" w:rsidP="00BA13DB">
            <w:pPr>
              <w:pStyle w:val="TableParagraph"/>
              <w:ind w:left="160" w:right="161"/>
              <w:jc w:val="both"/>
              <w:rPr>
                <w:rFonts w:ascii="Garamond" w:hAnsi="Garamond"/>
                <w:sz w:val="16"/>
                <w:szCs w:val="16"/>
              </w:rPr>
            </w:pPr>
            <w:r w:rsidRPr="00C64471">
              <w:rPr>
                <w:rFonts w:ascii="Garamond" w:hAnsi="Garamond"/>
                <w:sz w:val="16"/>
                <w:szCs w:val="16"/>
              </w:rPr>
              <w:t>e mundësive dhe aftësive</w:t>
            </w:r>
            <w:r w:rsidRPr="00C64471">
              <w:rPr>
                <w:rFonts w:ascii="Garamond" w:hAnsi="Garamond"/>
                <w:spacing w:val="-11"/>
                <w:sz w:val="16"/>
                <w:szCs w:val="16"/>
              </w:rPr>
              <w:t xml:space="preserve"> </w:t>
            </w:r>
            <w:r w:rsidRPr="00C64471">
              <w:rPr>
                <w:rFonts w:ascii="Garamond" w:hAnsi="Garamond"/>
                <w:sz w:val="16"/>
                <w:szCs w:val="16"/>
              </w:rPr>
              <w:t>për punë për grupet në nevojë të shoqërisë</w:t>
            </w:r>
          </w:p>
          <w:p w14:paraId="0CE71118" w14:textId="77777777" w:rsidR="00C61F48" w:rsidRPr="00C64471" w:rsidRDefault="00C61F48" w:rsidP="00D8448F">
            <w:pPr>
              <w:pStyle w:val="TableParagraph"/>
              <w:numPr>
                <w:ilvl w:val="0"/>
                <w:numId w:val="33"/>
              </w:numPr>
              <w:tabs>
                <w:tab w:val="left" w:pos="161"/>
              </w:tabs>
              <w:spacing w:before="120"/>
              <w:ind w:right="203" w:hanging="142"/>
              <w:rPr>
                <w:rFonts w:ascii="Garamond" w:hAnsi="Garamond"/>
                <w:sz w:val="16"/>
                <w:szCs w:val="16"/>
              </w:rPr>
            </w:pPr>
            <w:r w:rsidRPr="00C64471">
              <w:rPr>
                <w:rFonts w:ascii="Garamond" w:hAnsi="Garamond"/>
                <w:sz w:val="16"/>
                <w:szCs w:val="16"/>
              </w:rPr>
              <w:t>Punë kërkimore për të</w:t>
            </w:r>
            <w:r w:rsidRPr="00C64471">
              <w:rPr>
                <w:rFonts w:ascii="Garamond" w:hAnsi="Garamond"/>
                <w:spacing w:val="-11"/>
                <w:sz w:val="16"/>
                <w:szCs w:val="16"/>
              </w:rPr>
              <w:t xml:space="preserve"> </w:t>
            </w:r>
            <w:r w:rsidRPr="00C64471">
              <w:rPr>
                <w:rFonts w:ascii="Garamond" w:hAnsi="Garamond"/>
                <w:sz w:val="16"/>
                <w:szCs w:val="16"/>
              </w:rPr>
              <w:t>nxitur punësimin, lëvizjen e fuqisë punëtore dhe përfshirjen sociale</w:t>
            </w:r>
          </w:p>
          <w:p w14:paraId="17876B56" w14:textId="77777777" w:rsidR="00C61F48" w:rsidRPr="00C64471" w:rsidRDefault="00C61F48" w:rsidP="00D8448F">
            <w:pPr>
              <w:pStyle w:val="TableParagraph"/>
              <w:numPr>
                <w:ilvl w:val="0"/>
                <w:numId w:val="33"/>
              </w:numPr>
              <w:tabs>
                <w:tab w:val="left" w:pos="161"/>
              </w:tabs>
              <w:spacing w:before="120"/>
              <w:ind w:right="197" w:hanging="142"/>
              <w:rPr>
                <w:rFonts w:ascii="Garamond" w:hAnsi="Garamond"/>
                <w:sz w:val="16"/>
                <w:szCs w:val="16"/>
              </w:rPr>
            </w:pPr>
            <w:r w:rsidRPr="00C64471">
              <w:rPr>
                <w:rFonts w:ascii="Garamond" w:hAnsi="Garamond"/>
                <w:sz w:val="16"/>
                <w:szCs w:val="16"/>
              </w:rPr>
              <w:t>Inkurajimi i partneritet pushtet lokal - OSHC mbi përfshirjen sociale (plane veprimi në nivel lokal për grupet në nevojë, rritja e kapaciteteve të pushtetit vendor për të menaxhuar programet sociale dhe për</w:t>
            </w:r>
            <w:r w:rsidRPr="00C64471">
              <w:rPr>
                <w:rFonts w:ascii="Garamond" w:hAnsi="Garamond"/>
                <w:spacing w:val="-10"/>
                <w:sz w:val="16"/>
                <w:szCs w:val="16"/>
              </w:rPr>
              <w:t xml:space="preserve"> </w:t>
            </w:r>
            <w:r w:rsidRPr="00C64471">
              <w:rPr>
                <w:rFonts w:ascii="Garamond" w:hAnsi="Garamond"/>
                <w:sz w:val="16"/>
                <w:szCs w:val="16"/>
              </w:rPr>
              <w:t>të siguruar qëndrueshmërinë e aksioneve të</w:t>
            </w:r>
            <w:r w:rsidRPr="00C64471">
              <w:rPr>
                <w:rFonts w:ascii="Garamond" w:hAnsi="Garamond"/>
                <w:spacing w:val="-9"/>
                <w:sz w:val="16"/>
                <w:szCs w:val="16"/>
              </w:rPr>
              <w:t xml:space="preserve"> </w:t>
            </w:r>
            <w:r w:rsidRPr="00C64471">
              <w:rPr>
                <w:rFonts w:ascii="Garamond" w:hAnsi="Garamond"/>
                <w:sz w:val="16"/>
                <w:szCs w:val="16"/>
              </w:rPr>
              <w:t>ndërmarra)</w:t>
            </w:r>
          </w:p>
          <w:p w14:paraId="412D7CC3" w14:textId="77777777" w:rsidR="00C61F48" w:rsidRPr="00C64471" w:rsidRDefault="00C61F48" w:rsidP="00D8448F">
            <w:pPr>
              <w:pStyle w:val="TableParagraph"/>
              <w:numPr>
                <w:ilvl w:val="0"/>
                <w:numId w:val="33"/>
              </w:numPr>
              <w:tabs>
                <w:tab w:val="left" w:pos="161"/>
              </w:tabs>
              <w:spacing w:before="118"/>
              <w:ind w:right="298" w:hanging="142"/>
              <w:rPr>
                <w:rFonts w:ascii="Garamond" w:hAnsi="Garamond"/>
                <w:sz w:val="16"/>
                <w:szCs w:val="16"/>
              </w:rPr>
            </w:pPr>
            <w:r w:rsidRPr="00C64471">
              <w:rPr>
                <w:rFonts w:ascii="Garamond" w:hAnsi="Garamond"/>
                <w:sz w:val="16"/>
                <w:szCs w:val="16"/>
              </w:rPr>
              <w:t>Organizimi i programeve të shkëmbimit të të rinjve,</w:t>
            </w:r>
            <w:r w:rsidRPr="00C64471">
              <w:rPr>
                <w:rFonts w:ascii="Garamond" w:hAnsi="Garamond"/>
                <w:spacing w:val="-11"/>
                <w:sz w:val="16"/>
                <w:szCs w:val="16"/>
              </w:rPr>
              <w:t xml:space="preserve"> </w:t>
            </w:r>
            <w:r w:rsidRPr="00C64471">
              <w:rPr>
                <w:rFonts w:ascii="Garamond" w:hAnsi="Garamond"/>
                <w:sz w:val="16"/>
                <w:szCs w:val="16"/>
              </w:rPr>
              <w:t>për shembull, nëpërmjet programeve të shkëmbimit shkollor ose iniciativave të tjera të</w:t>
            </w:r>
            <w:r w:rsidRPr="00C64471">
              <w:rPr>
                <w:rFonts w:ascii="Garamond" w:hAnsi="Garamond"/>
                <w:spacing w:val="-5"/>
                <w:sz w:val="16"/>
                <w:szCs w:val="16"/>
              </w:rPr>
              <w:t xml:space="preserve"> </w:t>
            </w:r>
            <w:r w:rsidRPr="00C64471">
              <w:rPr>
                <w:rFonts w:ascii="Garamond" w:hAnsi="Garamond"/>
                <w:sz w:val="16"/>
                <w:szCs w:val="16"/>
              </w:rPr>
              <w:t>OJQ-ve</w:t>
            </w:r>
          </w:p>
        </w:tc>
      </w:tr>
    </w:tbl>
    <w:p w14:paraId="7C91B410" w14:textId="77777777" w:rsidR="00C61F48" w:rsidRDefault="00C61F48" w:rsidP="00C61F48">
      <w:pPr>
        <w:pStyle w:val="BodyText"/>
        <w:rPr>
          <w:rFonts w:ascii="Arial"/>
          <w:sz w:val="20"/>
        </w:rPr>
      </w:pPr>
    </w:p>
    <w:p w14:paraId="6027821B" w14:textId="77777777" w:rsidR="00C64471" w:rsidRDefault="00C64471" w:rsidP="00C64471">
      <w:pPr>
        <w:pStyle w:val="TEKSTI"/>
      </w:pPr>
      <w:r>
        <w:t>*Bazuar në aktivitetet mbështetëse të programit deri në</w:t>
      </w:r>
      <w:r>
        <w:rPr>
          <w:spacing w:val="-28"/>
        </w:rPr>
        <w:t xml:space="preserve"> </w:t>
      </w:r>
      <w:r>
        <w:t>2022.</w:t>
      </w:r>
    </w:p>
    <w:p w14:paraId="7CB5BB40" w14:textId="77777777" w:rsidR="00C61F48" w:rsidRDefault="00C61F48" w:rsidP="00C64471">
      <w:pPr>
        <w:pStyle w:val="TEKSTI"/>
      </w:pPr>
    </w:p>
    <w:p w14:paraId="62DD86C0" w14:textId="77777777" w:rsidR="00C61F48" w:rsidRDefault="00C61F48" w:rsidP="00C64471">
      <w:pPr>
        <w:pStyle w:val="TEKSTI"/>
      </w:pPr>
      <w:r>
        <w:t>Në rastet kur është e mundur, zbatimi i prioriteteve tematike dhe objektivave specifike të programit duhet të bëhet në përputhje me objektivat e vendosura nga Strategjia e BE-së për Rajonin Adriatik dhe Jonian “COM (2014) 357”.</w:t>
      </w:r>
    </w:p>
    <w:p w14:paraId="6787615E" w14:textId="77777777" w:rsidR="00C61F48" w:rsidRDefault="00C61F48" w:rsidP="00C64471">
      <w:pPr>
        <w:pStyle w:val="TEKSTI"/>
      </w:pPr>
    </w:p>
    <w:p w14:paraId="4FAF4962" w14:textId="77777777" w:rsidR="00C61F48" w:rsidRPr="00C64471" w:rsidRDefault="00C61F48" w:rsidP="00C64471">
      <w:pPr>
        <w:pStyle w:val="TEKSTI"/>
        <w:rPr>
          <w:b/>
        </w:rPr>
      </w:pPr>
      <w:r w:rsidRPr="00C64471">
        <w:rPr>
          <w:b/>
        </w:rPr>
        <w:t>PRIORITETI 4 – ASISTENCA TEKNIKE</w:t>
      </w:r>
    </w:p>
    <w:p w14:paraId="7E976D14" w14:textId="77777777" w:rsidR="00C61F48" w:rsidRPr="00C64471" w:rsidRDefault="00C61F48" w:rsidP="00C64471">
      <w:pPr>
        <w:pStyle w:val="TEKSTI"/>
        <w:rPr>
          <w:b/>
        </w:rPr>
      </w:pPr>
      <w:r w:rsidRPr="00C64471">
        <w:rPr>
          <w:b/>
        </w:rPr>
        <w:t>Objektivi specifik:</w:t>
      </w:r>
    </w:p>
    <w:p w14:paraId="4FB0AD2C" w14:textId="77777777" w:rsidR="00C61F48" w:rsidRDefault="00C61F48" w:rsidP="00C64471">
      <w:pPr>
        <w:pStyle w:val="TEKSTI"/>
      </w:pPr>
      <w:r>
        <w:t>Objektivi specifik i asistencës teknike është 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 vendet përfitues të IPA II. Për më tepër, siç ka treguar përvoja në ciklin e programit 2007-2013, ky prioritet do të forcojë kapacitetin administrativ të autoriteteve dhe përfituesve që do të zbatojnë programin, me qëllim për të përmirësuar pronësinë dhe përshtatshmërinë e programit me rezultatet e projekteve.</w:t>
      </w:r>
    </w:p>
    <w:p w14:paraId="79CA7F4B" w14:textId="04CB4509" w:rsidR="00C61F48" w:rsidRDefault="00C61F48" w:rsidP="00C64471">
      <w:pPr>
        <w:pStyle w:val="TEKSTI"/>
      </w:pPr>
      <w:r>
        <w:t>Alokimi për asistencën teknike do të përdoret për të mbështetur punën e Strukturave Kombëtare Operative (SO) dhe të Komitetit të Përbashkët të Monitorimit (KPM), në sigurimin e fillimit, zbatimit, monitorimit dhe vlerësimit efikas të programeve, si dhe për një përdorim optimal të burimeve. Kjo do të</w:t>
      </w:r>
      <w:r w:rsidR="00C64471">
        <w:t xml:space="preserve"> </w:t>
      </w:r>
      <w:r>
        <w:t>arrihet nëpërmjet krijimit dhe funksionimit të një Sekretariati të Përbashkët Teknik (SPT) me bazë në territorin e Malit të Zi dhe një Zyrë Antena në Shqipëri. SPT do të jetë në krye të menaxhimit të përditshëm të programit dhe do ti raportojë mbi ecurinë e tij SO-ve dhe KPM-së.</w:t>
      </w:r>
    </w:p>
    <w:p w14:paraId="6E531B28" w14:textId="77777777" w:rsidR="00C61F48" w:rsidRPr="00C64471" w:rsidRDefault="00C61F48" w:rsidP="00C64471">
      <w:pPr>
        <w:pStyle w:val="TEKSTI"/>
        <w:rPr>
          <w:b/>
        </w:rPr>
      </w:pPr>
      <w:r w:rsidRPr="00C64471">
        <w:rPr>
          <w:b/>
        </w:rPr>
        <w:t>Rezultatet e synuar:</w:t>
      </w:r>
    </w:p>
    <w:p w14:paraId="6176DC87" w14:textId="18860E70" w:rsidR="00C61F48" w:rsidRDefault="00D26EA6" w:rsidP="00C64471">
      <w:pPr>
        <w:pStyle w:val="TEKSTI"/>
        <w:rPr>
          <w:b/>
        </w:rPr>
      </w:pPr>
      <w:r>
        <w:rPr>
          <w:b/>
        </w:rPr>
        <w:t xml:space="preserve">1. </w:t>
      </w:r>
      <w:r w:rsidR="00C61F48">
        <w:rPr>
          <w:b/>
        </w:rPr>
        <w:t>Mbështetja administrative për Strukturat Operative (SO) dhe Komitetin e Përbashkët të Monitorimit (KPM) të programit është</w:t>
      </w:r>
      <w:r w:rsidR="00C61F48">
        <w:rPr>
          <w:b/>
          <w:spacing w:val="-15"/>
        </w:rPr>
        <w:t xml:space="preserve"> </w:t>
      </w:r>
      <w:r w:rsidR="00C61F48">
        <w:rPr>
          <w:b/>
        </w:rPr>
        <w:t>rritur</w:t>
      </w:r>
    </w:p>
    <w:p w14:paraId="27F71830" w14:textId="77777777" w:rsidR="00C61F48" w:rsidRDefault="00C61F48" w:rsidP="00C64471">
      <w:pPr>
        <w:pStyle w:val="TEKSTI"/>
      </w:pPr>
      <w:r>
        <w:t xml:space="preserve">Ky prioritet do të sigurojë një zbatim normal të programit gjatë të gjitha fazave </w:t>
      </w:r>
      <w:r>
        <w:rPr>
          <w:spacing w:val="3"/>
        </w:rPr>
        <w:t xml:space="preserve">të </w:t>
      </w:r>
      <w:r>
        <w:t>tij. Ai përfshin disponueshmërinë e mjeteve financiare dhe vendosjen e personelit të kualifikuar përgjegjës për të ndihmuar Strukturat Operative dhe Komitetin e Përbashkët të Monitorimit, si dhe krijimin dhe zbatimin e mekanizmave dhe procedurave të menaxhimit, monitorimit dhe kontrollit. Nëse kërkohet, ai  gjithashtu do të kontribuojë në përgatitjen e ciklit pasardhës financiar</w:t>
      </w:r>
      <w:r>
        <w:rPr>
          <w:spacing w:val="-28"/>
        </w:rPr>
        <w:t xml:space="preserve"> </w:t>
      </w:r>
      <w:r>
        <w:t>(2021-2027).</w:t>
      </w:r>
    </w:p>
    <w:p w14:paraId="1C93BC51" w14:textId="77777777" w:rsidR="00C61F48" w:rsidRPr="00DD3BD5" w:rsidRDefault="00C61F48" w:rsidP="00C64471">
      <w:pPr>
        <w:pStyle w:val="TEKSTI"/>
        <w:rPr>
          <w:b/>
        </w:rPr>
      </w:pPr>
      <w:r w:rsidRPr="00DD3BD5">
        <w:rPr>
          <w:b/>
        </w:rPr>
        <w:t>Treguesit e rezultatit:</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72"/>
        <w:gridCol w:w="1464"/>
        <w:gridCol w:w="1172"/>
        <w:gridCol w:w="1813"/>
      </w:tblGrid>
      <w:tr w:rsidR="00C61F48" w:rsidRPr="00C64471" w14:paraId="2CD49793" w14:textId="77777777" w:rsidTr="00DD3BD5">
        <w:trPr>
          <w:trHeight w:hRule="exact" w:val="554"/>
        </w:trPr>
        <w:tc>
          <w:tcPr>
            <w:tcW w:w="5372" w:type="dxa"/>
            <w:shd w:val="clear" w:color="auto" w:fill="FFFF00"/>
          </w:tcPr>
          <w:p w14:paraId="6CFC98F6" w14:textId="77777777" w:rsidR="00C61F48" w:rsidRPr="00C64471" w:rsidRDefault="00C61F48" w:rsidP="00DD3BD5">
            <w:pPr>
              <w:pStyle w:val="TableParagraph"/>
              <w:rPr>
                <w:rFonts w:ascii="Garamond" w:hAnsi="Garamond"/>
                <w:b/>
                <w:i/>
                <w:sz w:val="20"/>
                <w:szCs w:val="20"/>
              </w:rPr>
            </w:pPr>
            <w:r w:rsidRPr="00C64471">
              <w:rPr>
                <w:rFonts w:ascii="Garamond" w:hAnsi="Garamond"/>
                <w:b/>
                <w:i/>
                <w:sz w:val="20"/>
                <w:szCs w:val="20"/>
              </w:rPr>
              <w:t>Treguesi</w:t>
            </w:r>
          </w:p>
        </w:tc>
        <w:tc>
          <w:tcPr>
            <w:tcW w:w="1464" w:type="dxa"/>
            <w:shd w:val="clear" w:color="auto" w:fill="FFFF00"/>
          </w:tcPr>
          <w:p w14:paraId="31850623" w14:textId="77777777" w:rsidR="00C61F48" w:rsidRPr="00C64471" w:rsidRDefault="00C61F48" w:rsidP="00BA13DB">
            <w:pPr>
              <w:pStyle w:val="TableParagraph"/>
              <w:spacing w:line="268" w:lineRule="exact"/>
              <w:ind w:left="103"/>
              <w:rPr>
                <w:rFonts w:ascii="Garamond" w:hAnsi="Garamond"/>
                <w:b/>
                <w:i/>
                <w:sz w:val="20"/>
                <w:szCs w:val="20"/>
              </w:rPr>
            </w:pPr>
            <w:r w:rsidRPr="00C64471">
              <w:rPr>
                <w:rFonts w:ascii="Garamond" w:hAnsi="Garamond"/>
                <w:b/>
                <w:i/>
                <w:sz w:val="20"/>
                <w:szCs w:val="20"/>
              </w:rPr>
              <w:t>Njësia</w:t>
            </w:r>
          </w:p>
        </w:tc>
        <w:tc>
          <w:tcPr>
            <w:tcW w:w="1172" w:type="dxa"/>
            <w:shd w:val="clear" w:color="auto" w:fill="FFFF00"/>
          </w:tcPr>
          <w:p w14:paraId="57492E6D" w14:textId="77777777" w:rsidR="00C61F48" w:rsidRPr="00C64471" w:rsidRDefault="00C61F48" w:rsidP="00BA13DB">
            <w:pPr>
              <w:pStyle w:val="TableParagraph"/>
              <w:spacing w:line="268" w:lineRule="exact"/>
              <w:ind w:left="103" w:right="140"/>
              <w:rPr>
                <w:rFonts w:ascii="Garamond" w:hAnsi="Garamond"/>
                <w:b/>
                <w:i/>
                <w:sz w:val="20"/>
                <w:szCs w:val="20"/>
              </w:rPr>
            </w:pPr>
            <w:r w:rsidRPr="00C64471">
              <w:rPr>
                <w:rFonts w:ascii="Garamond" w:hAnsi="Garamond"/>
                <w:b/>
                <w:i/>
                <w:sz w:val="20"/>
                <w:szCs w:val="20"/>
              </w:rPr>
              <w:t>Baza</w:t>
            </w:r>
          </w:p>
        </w:tc>
        <w:tc>
          <w:tcPr>
            <w:tcW w:w="1813" w:type="dxa"/>
            <w:shd w:val="clear" w:color="auto" w:fill="FFFF00"/>
          </w:tcPr>
          <w:p w14:paraId="2D86F0E7" w14:textId="77777777" w:rsidR="00C61F48" w:rsidRPr="00C64471" w:rsidRDefault="00C61F48" w:rsidP="00BA13DB">
            <w:pPr>
              <w:pStyle w:val="TableParagraph"/>
              <w:spacing w:line="276" w:lineRule="auto"/>
              <w:ind w:left="556" w:right="121" w:hanging="423"/>
              <w:rPr>
                <w:rFonts w:ascii="Garamond" w:hAnsi="Garamond"/>
                <w:b/>
                <w:i/>
                <w:sz w:val="20"/>
                <w:szCs w:val="20"/>
              </w:rPr>
            </w:pPr>
            <w:r w:rsidRPr="00C64471">
              <w:rPr>
                <w:rFonts w:ascii="Garamond" w:hAnsi="Garamond"/>
                <w:b/>
                <w:i/>
                <w:sz w:val="20"/>
                <w:szCs w:val="20"/>
              </w:rPr>
              <w:t>Synimi deri në 2022</w:t>
            </w:r>
          </w:p>
        </w:tc>
      </w:tr>
      <w:tr w:rsidR="00C61F48" w:rsidRPr="00C64471" w14:paraId="294A91A7" w14:textId="77777777" w:rsidTr="00DD3BD5">
        <w:trPr>
          <w:trHeight w:hRule="exact" w:val="491"/>
        </w:trPr>
        <w:tc>
          <w:tcPr>
            <w:tcW w:w="5372" w:type="dxa"/>
            <w:shd w:val="clear" w:color="auto" w:fill="FFFF00"/>
          </w:tcPr>
          <w:p w14:paraId="72C7AB14" w14:textId="0D45E149" w:rsidR="00C61F48" w:rsidRPr="00C64471" w:rsidRDefault="00C61F48" w:rsidP="00DD3BD5">
            <w:pPr>
              <w:pStyle w:val="TableParagraph"/>
              <w:rPr>
                <w:rFonts w:ascii="Garamond" w:hAnsi="Garamond"/>
                <w:sz w:val="20"/>
                <w:szCs w:val="20"/>
              </w:rPr>
            </w:pPr>
            <w:r w:rsidRPr="00C64471">
              <w:rPr>
                <w:rFonts w:ascii="Garamond" w:hAnsi="Garamond"/>
                <w:sz w:val="20"/>
                <w:szCs w:val="20"/>
              </w:rPr>
              <w:t>Përqindja mesatare e përfituesve të kënaqur me mbështetjen nga programi i zbatuar</w:t>
            </w:r>
            <w:r w:rsidR="00D26EA6">
              <w:rPr>
                <w:rStyle w:val="FootnoteReference"/>
                <w:rFonts w:ascii="Garamond" w:hAnsi="Garamond"/>
                <w:sz w:val="20"/>
                <w:szCs w:val="20"/>
              </w:rPr>
              <w:footnoteReference w:id="35"/>
            </w:r>
            <w:r w:rsidRPr="00C64471">
              <w:rPr>
                <w:rFonts w:ascii="Garamond" w:hAnsi="Garamond"/>
                <w:position w:val="6"/>
                <w:sz w:val="20"/>
                <w:szCs w:val="20"/>
              </w:rPr>
              <w:t>**</w:t>
            </w:r>
          </w:p>
        </w:tc>
        <w:tc>
          <w:tcPr>
            <w:tcW w:w="1464" w:type="dxa"/>
            <w:shd w:val="clear" w:color="auto" w:fill="FFFF00"/>
          </w:tcPr>
          <w:p w14:paraId="70FB25CF" w14:textId="77777777" w:rsidR="00C61F48" w:rsidRPr="00C64471" w:rsidRDefault="00C61F48" w:rsidP="00BA13DB">
            <w:pPr>
              <w:pStyle w:val="TableParagraph"/>
              <w:spacing w:line="268" w:lineRule="exact"/>
              <w:ind w:left="103"/>
              <w:rPr>
                <w:rFonts w:ascii="Garamond" w:hAnsi="Garamond"/>
                <w:sz w:val="20"/>
                <w:szCs w:val="20"/>
              </w:rPr>
            </w:pPr>
            <w:r w:rsidRPr="00C64471">
              <w:rPr>
                <w:rFonts w:ascii="Garamond" w:hAnsi="Garamond"/>
                <w:sz w:val="20"/>
                <w:szCs w:val="20"/>
              </w:rPr>
              <w:t>Përqindje</w:t>
            </w:r>
          </w:p>
        </w:tc>
        <w:tc>
          <w:tcPr>
            <w:tcW w:w="1172" w:type="dxa"/>
            <w:shd w:val="clear" w:color="auto" w:fill="FFFF00"/>
          </w:tcPr>
          <w:p w14:paraId="6DE666AA" w14:textId="77777777" w:rsidR="00C61F48" w:rsidRPr="00C64471" w:rsidRDefault="00C61F48" w:rsidP="00BA13DB">
            <w:pPr>
              <w:pStyle w:val="TableParagraph"/>
              <w:spacing w:line="278" w:lineRule="auto"/>
              <w:ind w:left="300" w:right="140" w:hanging="144"/>
              <w:rPr>
                <w:rFonts w:ascii="Garamond" w:hAnsi="Garamond"/>
                <w:sz w:val="20"/>
                <w:szCs w:val="20"/>
              </w:rPr>
            </w:pPr>
            <w:r w:rsidRPr="00C64471">
              <w:rPr>
                <w:rFonts w:ascii="Garamond" w:hAnsi="Garamond"/>
                <w:sz w:val="20"/>
                <w:szCs w:val="20"/>
              </w:rPr>
              <w:t>Nuk ka të dhëna</w:t>
            </w:r>
          </w:p>
        </w:tc>
        <w:tc>
          <w:tcPr>
            <w:tcW w:w="1813" w:type="dxa"/>
            <w:shd w:val="clear" w:color="auto" w:fill="FFFF00"/>
          </w:tcPr>
          <w:p w14:paraId="3AFD7A53" w14:textId="77777777" w:rsidR="00C61F48" w:rsidRPr="00C64471" w:rsidRDefault="00C61F48" w:rsidP="00BA13DB">
            <w:pPr>
              <w:pStyle w:val="TableParagraph"/>
              <w:spacing w:line="268" w:lineRule="exact"/>
              <w:ind w:left="570" w:right="569"/>
              <w:jc w:val="center"/>
              <w:rPr>
                <w:rFonts w:ascii="Garamond" w:hAnsi="Garamond"/>
                <w:sz w:val="20"/>
                <w:szCs w:val="20"/>
              </w:rPr>
            </w:pPr>
            <w:r w:rsidRPr="00C64471">
              <w:rPr>
                <w:rFonts w:ascii="Garamond" w:hAnsi="Garamond"/>
                <w:sz w:val="20"/>
                <w:szCs w:val="20"/>
              </w:rPr>
              <w:t>80%</w:t>
            </w:r>
          </w:p>
        </w:tc>
      </w:tr>
    </w:tbl>
    <w:p w14:paraId="21B77B95" w14:textId="70CCA102" w:rsidR="00C61F48" w:rsidRPr="00D26EA6" w:rsidRDefault="00D26EA6" w:rsidP="00D26EA6">
      <w:pPr>
        <w:pStyle w:val="TEKSTI"/>
        <w:rPr>
          <w:b/>
        </w:rPr>
      </w:pPr>
      <w:r w:rsidRPr="00D26EA6">
        <w:rPr>
          <w:b/>
        </w:rPr>
        <w:t xml:space="preserve">2. </w:t>
      </w:r>
      <w:r w:rsidR="00C61F48" w:rsidRPr="00D26EA6">
        <w:rPr>
          <w:b/>
        </w:rPr>
        <w:t>Kapaciteti</w:t>
      </w:r>
      <w:r w:rsidR="00C61F48" w:rsidRPr="00D26EA6">
        <w:rPr>
          <w:b/>
          <w:spacing w:val="-5"/>
        </w:rPr>
        <w:t xml:space="preserve"> </w:t>
      </w:r>
      <w:r w:rsidR="00C61F48" w:rsidRPr="00D26EA6">
        <w:rPr>
          <w:b/>
        </w:rPr>
        <w:t>teknik</w:t>
      </w:r>
      <w:r w:rsidR="00C61F48" w:rsidRPr="00D26EA6">
        <w:rPr>
          <w:b/>
          <w:spacing w:val="-4"/>
        </w:rPr>
        <w:t xml:space="preserve"> </w:t>
      </w:r>
      <w:r w:rsidR="00C61F48" w:rsidRPr="00D26EA6">
        <w:rPr>
          <w:b/>
        </w:rPr>
        <w:t>dhe</w:t>
      </w:r>
      <w:r w:rsidR="00C61F48" w:rsidRPr="00D26EA6">
        <w:rPr>
          <w:b/>
          <w:spacing w:val="-4"/>
        </w:rPr>
        <w:t xml:space="preserve"> </w:t>
      </w:r>
      <w:r w:rsidR="00C61F48" w:rsidRPr="00D26EA6">
        <w:rPr>
          <w:b/>
        </w:rPr>
        <w:t>administrativ</w:t>
      </w:r>
      <w:r w:rsidR="00C61F48" w:rsidRPr="00D26EA6">
        <w:rPr>
          <w:b/>
          <w:spacing w:val="-3"/>
        </w:rPr>
        <w:t xml:space="preserve"> </w:t>
      </w:r>
      <w:r w:rsidR="00C61F48" w:rsidRPr="00D26EA6">
        <w:rPr>
          <w:b/>
        </w:rPr>
        <w:t>për</w:t>
      </w:r>
      <w:r w:rsidR="00C61F48" w:rsidRPr="00D26EA6">
        <w:rPr>
          <w:b/>
          <w:spacing w:val="-4"/>
        </w:rPr>
        <w:t xml:space="preserve"> </w:t>
      </w:r>
      <w:r w:rsidR="00C61F48" w:rsidRPr="00D26EA6">
        <w:rPr>
          <w:b/>
        </w:rPr>
        <w:t>menaxhimin</w:t>
      </w:r>
      <w:r w:rsidR="00C61F48" w:rsidRPr="00D26EA6">
        <w:rPr>
          <w:b/>
          <w:spacing w:val="-4"/>
        </w:rPr>
        <w:t xml:space="preserve"> </w:t>
      </w:r>
      <w:r w:rsidR="00C61F48" w:rsidRPr="00D26EA6">
        <w:rPr>
          <w:b/>
        </w:rPr>
        <w:t>dhe</w:t>
      </w:r>
      <w:r w:rsidR="00C61F48" w:rsidRPr="00D26EA6">
        <w:rPr>
          <w:b/>
          <w:spacing w:val="-4"/>
        </w:rPr>
        <w:t xml:space="preserve"> </w:t>
      </w:r>
      <w:r w:rsidR="00C61F48" w:rsidRPr="00D26EA6">
        <w:rPr>
          <w:b/>
        </w:rPr>
        <w:t>zbatimin</w:t>
      </w:r>
      <w:r w:rsidR="00C61F48" w:rsidRPr="00D26EA6">
        <w:rPr>
          <w:b/>
          <w:spacing w:val="-4"/>
        </w:rPr>
        <w:t xml:space="preserve"> </w:t>
      </w:r>
      <w:r w:rsidR="00C61F48" w:rsidRPr="00D26EA6">
        <w:rPr>
          <w:b/>
        </w:rPr>
        <w:t>e</w:t>
      </w:r>
      <w:r w:rsidR="00C61F48" w:rsidRPr="00D26EA6">
        <w:rPr>
          <w:b/>
          <w:spacing w:val="-4"/>
        </w:rPr>
        <w:t xml:space="preserve"> </w:t>
      </w:r>
      <w:r w:rsidR="00C61F48" w:rsidRPr="00D26EA6">
        <w:rPr>
          <w:b/>
        </w:rPr>
        <w:t>programit</w:t>
      </w:r>
      <w:r w:rsidR="00C61F48" w:rsidRPr="00D26EA6">
        <w:rPr>
          <w:b/>
          <w:spacing w:val="-4"/>
        </w:rPr>
        <w:t xml:space="preserve"> </w:t>
      </w:r>
      <w:r w:rsidR="00C61F48" w:rsidRPr="00D26EA6">
        <w:rPr>
          <w:b/>
        </w:rPr>
        <w:t>është</w:t>
      </w:r>
      <w:r w:rsidR="00C61F48" w:rsidRPr="00D26EA6">
        <w:rPr>
          <w:b/>
          <w:spacing w:val="-4"/>
        </w:rPr>
        <w:t xml:space="preserve"> </w:t>
      </w:r>
      <w:r w:rsidR="00C61F48" w:rsidRPr="00D26EA6">
        <w:rPr>
          <w:b/>
        </w:rPr>
        <w:t>rritur</w:t>
      </w:r>
    </w:p>
    <w:p w14:paraId="170CC225" w14:textId="77777777" w:rsidR="00C61F48" w:rsidRDefault="00C61F48" w:rsidP="00D26EA6">
      <w:pPr>
        <w:pStyle w:val="TEKSTI"/>
      </w:pPr>
      <w:r>
        <w:t>Ky prioritet do të ofrojë mundësi për përmirësimin e kompetencave dhe aftësive të strukturave menaxhuese të programeve, si dhe të aplikantëve të mundshëm dhe përfituesve të granteve. Aktivitete specifike për ngritjen e kapaciteteve do të planifikohen dhe zbatohen në bazë të nevojave të identifikuara gjatë zbatimit të programit. Si pjesë e mësimeve të nxjerra nga cikli i programit 2007-2013,</w:t>
      </w:r>
    </w:p>
    <w:p w14:paraId="5F80D610" w14:textId="77777777" w:rsidR="00C61F48" w:rsidRPr="00D26EA6" w:rsidRDefault="00C61F48" w:rsidP="00D26EA6">
      <w:pPr>
        <w:pStyle w:val="TEKSTI"/>
        <w:rPr>
          <w:b/>
        </w:rPr>
      </w:pPr>
      <w:r>
        <w:t xml:space="preserve">(i) do të pritet një pjesëmarrje në rritje e anëtarëve të KPM në detyrat e përcaktuara nën kuadrin ligjor  të IPA II; (ii) kapaciteti i aplikantëve të mundshëm për zhvillimin e partneriteteve të qëndrueshme ndërkufitare do të rritet; dhe (iii) kapaciteti i përfituesve të granteve për të përmbushur detyrimet e kontratave të tyre në </w:t>
      </w:r>
      <w:r w:rsidRPr="00D26EA6">
        <w:rPr>
          <w:b/>
        </w:rPr>
        <w:t>mënyrë të kënaqshme, të do të</w:t>
      </w:r>
      <w:r w:rsidRPr="00D26EA6">
        <w:rPr>
          <w:b/>
          <w:spacing w:val="-15"/>
        </w:rPr>
        <w:t xml:space="preserve"> </w:t>
      </w:r>
      <w:r w:rsidRPr="00D26EA6">
        <w:rPr>
          <w:b/>
        </w:rPr>
        <w:t>përforcohet.</w:t>
      </w:r>
    </w:p>
    <w:p w14:paraId="79BF23DA" w14:textId="77777777" w:rsidR="00C61F48" w:rsidRPr="00D26EA6" w:rsidRDefault="00C61F48" w:rsidP="00D26EA6">
      <w:pPr>
        <w:pStyle w:val="TEKSTI"/>
      </w:pPr>
      <w:r w:rsidRPr="00D26EA6">
        <w:rPr>
          <w:b/>
        </w:rPr>
        <w:t>Treguesit</w:t>
      </w:r>
      <w:r w:rsidRPr="00D26EA6">
        <w:t xml:space="preserve"> e rezultatit:</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7"/>
        <w:gridCol w:w="1162"/>
        <w:gridCol w:w="1081"/>
        <w:gridCol w:w="2079"/>
      </w:tblGrid>
      <w:tr w:rsidR="00C61F48" w:rsidRPr="00D26EA6" w14:paraId="78B744E4" w14:textId="77777777" w:rsidTr="00D26EA6">
        <w:trPr>
          <w:trHeight w:hRule="exact" w:val="284"/>
        </w:trPr>
        <w:tc>
          <w:tcPr>
            <w:tcW w:w="5427" w:type="dxa"/>
            <w:shd w:val="clear" w:color="auto" w:fill="FFFF00"/>
          </w:tcPr>
          <w:p w14:paraId="22B88DC4" w14:textId="77777777" w:rsidR="00C61F48" w:rsidRPr="00D26EA6" w:rsidRDefault="00C61F48" w:rsidP="00BA13DB">
            <w:pPr>
              <w:pStyle w:val="TableParagraph"/>
              <w:spacing w:line="268" w:lineRule="exact"/>
              <w:ind w:left="103"/>
              <w:rPr>
                <w:rFonts w:ascii="Garamond" w:hAnsi="Garamond"/>
                <w:sz w:val="16"/>
                <w:szCs w:val="16"/>
              </w:rPr>
            </w:pPr>
            <w:r w:rsidRPr="00D26EA6">
              <w:rPr>
                <w:rFonts w:ascii="Garamond" w:hAnsi="Garamond"/>
                <w:sz w:val="16"/>
                <w:szCs w:val="16"/>
              </w:rPr>
              <w:t>Treguesi</w:t>
            </w:r>
          </w:p>
        </w:tc>
        <w:tc>
          <w:tcPr>
            <w:tcW w:w="1162" w:type="dxa"/>
            <w:shd w:val="clear" w:color="auto" w:fill="FFFF00"/>
          </w:tcPr>
          <w:p w14:paraId="1D235712" w14:textId="77777777" w:rsidR="00C61F48" w:rsidRPr="00D26EA6" w:rsidRDefault="00C61F48" w:rsidP="00BA13DB">
            <w:pPr>
              <w:pStyle w:val="TableParagraph"/>
              <w:spacing w:line="268" w:lineRule="exact"/>
              <w:ind w:left="103"/>
              <w:rPr>
                <w:rFonts w:ascii="Garamond" w:hAnsi="Garamond"/>
                <w:sz w:val="16"/>
                <w:szCs w:val="16"/>
              </w:rPr>
            </w:pPr>
            <w:r w:rsidRPr="00D26EA6">
              <w:rPr>
                <w:rFonts w:ascii="Garamond" w:hAnsi="Garamond"/>
                <w:sz w:val="16"/>
                <w:szCs w:val="16"/>
              </w:rPr>
              <w:t>Njësia</w:t>
            </w:r>
          </w:p>
        </w:tc>
        <w:tc>
          <w:tcPr>
            <w:tcW w:w="1081" w:type="dxa"/>
            <w:shd w:val="clear" w:color="auto" w:fill="FFFF00"/>
          </w:tcPr>
          <w:p w14:paraId="6FD01039" w14:textId="77777777" w:rsidR="00C61F48" w:rsidRPr="00D26EA6" w:rsidRDefault="00C61F48" w:rsidP="00BA13DB">
            <w:pPr>
              <w:pStyle w:val="TableParagraph"/>
              <w:spacing w:line="268" w:lineRule="exact"/>
              <w:ind w:right="548"/>
              <w:jc w:val="right"/>
              <w:rPr>
                <w:rFonts w:ascii="Garamond" w:hAnsi="Garamond"/>
                <w:sz w:val="16"/>
                <w:szCs w:val="16"/>
              </w:rPr>
            </w:pPr>
            <w:r w:rsidRPr="00D26EA6">
              <w:rPr>
                <w:rFonts w:ascii="Garamond" w:hAnsi="Garamond"/>
                <w:sz w:val="16"/>
                <w:szCs w:val="16"/>
              </w:rPr>
              <w:t>Baza</w:t>
            </w:r>
          </w:p>
        </w:tc>
        <w:tc>
          <w:tcPr>
            <w:tcW w:w="2079" w:type="dxa"/>
            <w:shd w:val="clear" w:color="auto" w:fill="FFFF00"/>
          </w:tcPr>
          <w:p w14:paraId="1C0B4DE0" w14:textId="77777777" w:rsidR="00C61F48" w:rsidRPr="00D26EA6" w:rsidRDefault="00C61F48" w:rsidP="00BA13DB">
            <w:pPr>
              <w:pStyle w:val="TableParagraph"/>
              <w:spacing w:line="268" w:lineRule="exact"/>
              <w:ind w:right="196"/>
              <w:jc w:val="right"/>
              <w:rPr>
                <w:rFonts w:ascii="Garamond" w:hAnsi="Garamond"/>
                <w:sz w:val="16"/>
                <w:szCs w:val="16"/>
              </w:rPr>
            </w:pPr>
            <w:r w:rsidRPr="00D26EA6">
              <w:rPr>
                <w:rFonts w:ascii="Garamond" w:hAnsi="Garamond"/>
                <w:sz w:val="16"/>
                <w:szCs w:val="16"/>
              </w:rPr>
              <w:t>Synimi deri në 2022</w:t>
            </w:r>
          </w:p>
        </w:tc>
      </w:tr>
      <w:tr w:rsidR="00C61F48" w:rsidRPr="00D26EA6" w14:paraId="2A24E108" w14:textId="77777777" w:rsidTr="00D26EA6">
        <w:trPr>
          <w:trHeight w:hRule="exact" w:val="476"/>
        </w:trPr>
        <w:tc>
          <w:tcPr>
            <w:tcW w:w="5427" w:type="dxa"/>
            <w:shd w:val="clear" w:color="auto" w:fill="FFFF00"/>
          </w:tcPr>
          <w:p w14:paraId="29DAD9B6" w14:textId="77777777" w:rsidR="00C61F48" w:rsidRPr="00D26EA6" w:rsidRDefault="00C61F48" w:rsidP="00BA13DB">
            <w:pPr>
              <w:pStyle w:val="TableParagraph"/>
              <w:spacing w:line="278" w:lineRule="auto"/>
              <w:ind w:left="103"/>
              <w:rPr>
                <w:rFonts w:ascii="Garamond" w:hAnsi="Garamond"/>
                <w:sz w:val="16"/>
                <w:szCs w:val="16"/>
              </w:rPr>
            </w:pPr>
            <w:r w:rsidRPr="00D26EA6">
              <w:rPr>
                <w:rFonts w:ascii="Garamond" w:hAnsi="Garamond"/>
                <w:sz w:val="16"/>
                <w:szCs w:val="16"/>
              </w:rPr>
              <w:t>Rritja mesatare e numrit të propozimeve të marra në kuadër të çdo thirrje të njëpasnjëshme*</w:t>
            </w:r>
          </w:p>
        </w:tc>
        <w:tc>
          <w:tcPr>
            <w:tcW w:w="1162" w:type="dxa"/>
            <w:shd w:val="clear" w:color="auto" w:fill="FFFF00"/>
          </w:tcPr>
          <w:p w14:paraId="4BDEF0C3" w14:textId="77777777" w:rsidR="00C61F48" w:rsidRPr="00D26EA6" w:rsidRDefault="00C61F48" w:rsidP="00BA13DB">
            <w:pPr>
              <w:pStyle w:val="TableParagraph"/>
              <w:spacing w:line="268" w:lineRule="exact"/>
              <w:ind w:left="103"/>
              <w:rPr>
                <w:rFonts w:ascii="Garamond" w:hAnsi="Garamond"/>
                <w:sz w:val="16"/>
                <w:szCs w:val="16"/>
              </w:rPr>
            </w:pPr>
            <w:r w:rsidRPr="00D26EA6">
              <w:rPr>
                <w:rFonts w:ascii="Garamond" w:hAnsi="Garamond"/>
                <w:sz w:val="16"/>
                <w:szCs w:val="16"/>
              </w:rPr>
              <w:t>Përqindje</w:t>
            </w:r>
          </w:p>
        </w:tc>
        <w:tc>
          <w:tcPr>
            <w:tcW w:w="1081" w:type="dxa"/>
            <w:shd w:val="clear" w:color="auto" w:fill="FFFF00"/>
          </w:tcPr>
          <w:p w14:paraId="42C733EB" w14:textId="77777777" w:rsidR="00C61F48" w:rsidRPr="00D26EA6" w:rsidRDefault="00C61F48" w:rsidP="00BA13DB">
            <w:pPr>
              <w:pStyle w:val="TableParagraph"/>
              <w:spacing w:line="278" w:lineRule="auto"/>
              <w:ind w:left="254" w:right="95" w:hanging="144"/>
              <w:rPr>
                <w:rFonts w:ascii="Garamond" w:hAnsi="Garamond"/>
                <w:sz w:val="16"/>
                <w:szCs w:val="16"/>
              </w:rPr>
            </w:pPr>
            <w:r w:rsidRPr="00D26EA6">
              <w:rPr>
                <w:rFonts w:ascii="Garamond" w:hAnsi="Garamond"/>
                <w:sz w:val="16"/>
                <w:szCs w:val="16"/>
              </w:rPr>
              <w:t>Nuk ka të dhëna</w:t>
            </w:r>
          </w:p>
        </w:tc>
        <w:tc>
          <w:tcPr>
            <w:tcW w:w="2079" w:type="dxa"/>
            <w:shd w:val="clear" w:color="auto" w:fill="FFFF00"/>
          </w:tcPr>
          <w:p w14:paraId="6F1F985C" w14:textId="77777777" w:rsidR="00C61F48" w:rsidRPr="00D26EA6" w:rsidRDefault="00C61F48" w:rsidP="00BA13DB">
            <w:pPr>
              <w:pStyle w:val="TableParagraph"/>
              <w:spacing w:line="268" w:lineRule="exact"/>
              <w:ind w:right="248"/>
              <w:jc w:val="right"/>
              <w:rPr>
                <w:rFonts w:ascii="Garamond" w:hAnsi="Garamond"/>
                <w:sz w:val="16"/>
                <w:szCs w:val="16"/>
              </w:rPr>
            </w:pPr>
            <w:r w:rsidRPr="00D26EA6">
              <w:rPr>
                <w:rFonts w:ascii="Garamond" w:hAnsi="Garamond"/>
                <w:sz w:val="16"/>
                <w:szCs w:val="16"/>
              </w:rPr>
              <w:t>Nuk ka të dhëna*</w:t>
            </w:r>
          </w:p>
        </w:tc>
      </w:tr>
      <w:tr w:rsidR="00C61F48" w:rsidRPr="00D26EA6" w14:paraId="43CC45D4" w14:textId="77777777" w:rsidTr="00D26EA6">
        <w:trPr>
          <w:trHeight w:hRule="exact" w:val="425"/>
        </w:trPr>
        <w:tc>
          <w:tcPr>
            <w:tcW w:w="5427" w:type="dxa"/>
            <w:shd w:val="clear" w:color="auto" w:fill="FFFF00"/>
          </w:tcPr>
          <w:p w14:paraId="63D9C10D" w14:textId="77777777" w:rsidR="00C61F48" w:rsidRPr="00D26EA6" w:rsidRDefault="00C61F48" w:rsidP="00BA13DB">
            <w:pPr>
              <w:pStyle w:val="TableParagraph"/>
              <w:spacing w:line="278" w:lineRule="auto"/>
              <w:ind w:left="103"/>
              <w:rPr>
                <w:rFonts w:ascii="Garamond" w:hAnsi="Garamond"/>
                <w:sz w:val="16"/>
                <w:szCs w:val="16"/>
              </w:rPr>
            </w:pPr>
            <w:r w:rsidRPr="00D26EA6">
              <w:rPr>
                <w:rFonts w:ascii="Garamond" w:hAnsi="Garamond"/>
                <w:sz w:val="16"/>
                <w:szCs w:val="16"/>
              </w:rPr>
              <w:t>Rritja mesatare e numrit të koncept ideve që do të kualifikohen për vlerësim të mëtejshëm</w:t>
            </w:r>
          </w:p>
        </w:tc>
        <w:tc>
          <w:tcPr>
            <w:tcW w:w="1162" w:type="dxa"/>
            <w:shd w:val="clear" w:color="auto" w:fill="FFFF00"/>
          </w:tcPr>
          <w:p w14:paraId="33D00510" w14:textId="77777777" w:rsidR="00C61F48" w:rsidRPr="00D26EA6" w:rsidRDefault="00C61F48" w:rsidP="00BA13DB">
            <w:pPr>
              <w:pStyle w:val="TableParagraph"/>
              <w:spacing w:line="268" w:lineRule="exact"/>
              <w:ind w:left="103"/>
              <w:rPr>
                <w:rFonts w:ascii="Garamond" w:hAnsi="Garamond"/>
                <w:sz w:val="16"/>
                <w:szCs w:val="16"/>
              </w:rPr>
            </w:pPr>
            <w:r w:rsidRPr="00D26EA6">
              <w:rPr>
                <w:rFonts w:ascii="Garamond" w:hAnsi="Garamond"/>
                <w:sz w:val="16"/>
                <w:szCs w:val="16"/>
              </w:rPr>
              <w:t>Përqindje</w:t>
            </w:r>
          </w:p>
        </w:tc>
        <w:tc>
          <w:tcPr>
            <w:tcW w:w="1081" w:type="dxa"/>
            <w:shd w:val="clear" w:color="auto" w:fill="FFFF00"/>
          </w:tcPr>
          <w:p w14:paraId="4E5EFB85" w14:textId="77777777" w:rsidR="00C61F48" w:rsidRPr="00D26EA6" w:rsidRDefault="00C61F48" w:rsidP="00BA13DB">
            <w:pPr>
              <w:pStyle w:val="TableParagraph"/>
              <w:spacing w:line="268" w:lineRule="exact"/>
              <w:ind w:right="476"/>
              <w:jc w:val="right"/>
              <w:rPr>
                <w:rFonts w:ascii="Garamond" w:hAnsi="Garamond"/>
                <w:sz w:val="16"/>
                <w:szCs w:val="16"/>
              </w:rPr>
            </w:pPr>
            <w:r w:rsidRPr="00D26EA6">
              <w:rPr>
                <w:rFonts w:ascii="Garamond" w:hAnsi="Garamond"/>
                <w:sz w:val="16"/>
                <w:szCs w:val="16"/>
              </w:rPr>
              <w:t>0</w:t>
            </w:r>
          </w:p>
        </w:tc>
        <w:tc>
          <w:tcPr>
            <w:tcW w:w="2079" w:type="dxa"/>
            <w:shd w:val="clear" w:color="auto" w:fill="FFFF00"/>
          </w:tcPr>
          <w:p w14:paraId="2CE40CD0" w14:textId="77777777" w:rsidR="00C61F48" w:rsidRPr="00D26EA6" w:rsidRDefault="00C61F48" w:rsidP="00BA13DB">
            <w:pPr>
              <w:pStyle w:val="TableParagraph"/>
              <w:spacing w:line="268" w:lineRule="exact"/>
              <w:ind w:left="824" w:right="823"/>
              <w:jc w:val="center"/>
              <w:rPr>
                <w:rFonts w:ascii="Garamond" w:hAnsi="Garamond"/>
                <w:sz w:val="16"/>
                <w:szCs w:val="16"/>
              </w:rPr>
            </w:pPr>
            <w:r w:rsidRPr="00D26EA6">
              <w:rPr>
                <w:rFonts w:ascii="Garamond" w:hAnsi="Garamond"/>
                <w:sz w:val="16"/>
                <w:szCs w:val="16"/>
              </w:rPr>
              <w:t>10%</w:t>
            </w:r>
          </w:p>
        </w:tc>
      </w:tr>
    </w:tbl>
    <w:p w14:paraId="1ED6D9FC" w14:textId="77777777" w:rsidR="00C61F48" w:rsidRPr="00DD3BD5" w:rsidRDefault="00C61F48" w:rsidP="00C61F48">
      <w:pPr>
        <w:spacing w:before="64"/>
        <w:ind w:left="220" w:right="394"/>
        <w:jc w:val="both"/>
        <w:rPr>
          <w:rFonts w:ascii="Garamond" w:hAnsi="Garamond"/>
          <w:i/>
          <w:sz w:val="20"/>
          <w:szCs w:val="20"/>
        </w:rPr>
      </w:pPr>
      <w:r w:rsidRPr="00DD3BD5">
        <w:rPr>
          <w:rFonts w:ascii="Garamond" w:hAnsi="Garamond"/>
          <w:i/>
          <w:sz w:val="20"/>
          <w:szCs w:val="20"/>
        </w:rPr>
        <w:t>[*]Ju lutemi të vini re se në perspektivën financiare 2014-2020, thirrjet e mundshme të përshtatura/ strategjike për propozime janë parashikuar me fokus të qartë dhe / ose kërkesa të caktuara në lidhje me përfituesit e mundshëm. Gjithashtu, Thirrjet për Projekt Propozime mund të përdorin parimin e rotacionit për përzgjedhjen e prioriteteve tematike (PT) dhe objektivave të tyre specifike, dhe në këtë aspekt numri i propozimeve jo domosdoshmërisht mund të rritet. Për këto arsye, rritja e pritshme e numrit të aplikimeve të marra mund të llogaritet për çdo thirrje të njëpasnjëshme në mënyrë individuale, dhe do të ndikohet nga një faktor që mund të llogaritet në bazë të: 1) Buxheti i përgjithshëm në dispozicion, 2) Prioritetet tematike, objektivat specifike dhe rezultatet e përfshira në Thirrjen për Projekt Propozime, 3) Shumat minimale dhe maksimale të lejuara të granteve, 4) Numri i aplikimeve dhe granteve të lejuara për aplikues / bashkë-aplikues / entet e lidhur dhe 5) Çdo dispozitë tjetër e veçantë që ndikon në kritere të ndryshme të pranueshmërisë, të zbatueshme për një thirrje specifike për projekt propozime.</w:t>
      </w:r>
    </w:p>
    <w:p w14:paraId="1A9B0277" w14:textId="2B8D337A" w:rsidR="00C61F48" w:rsidRDefault="00DD3BD5" w:rsidP="00DD3BD5">
      <w:pPr>
        <w:pStyle w:val="TEKSTI"/>
        <w:rPr>
          <w:b/>
        </w:rPr>
      </w:pPr>
      <w:r>
        <w:t xml:space="preserve">4.1.3 </w:t>
      </w:r>
      <w:r w:rsidR="00C61F48">
        <w:t>Vizibiliteti i programit dhe i rezultateve të tij,</w:t>
      </w:r>
      <w:r w:rsidR="00C61F48">
        <w:rPr>
          <w:spacing w:val="-27"/>
        </w:rPr>
        <w:t xml:space="preserve"> </w:t>
      </w:r>
      <w:r w:rsidR="00C61F48">
        <w:t>garantohet</w:t>
      </w:r>
      <w:r w:rsidR="00C61F48">
        <w:rPr>
          <w:b/>
        </w:rPr>
        <w:t>.</w:t>
      </w:r>
    </w:p>
    <w:p w14:paraId="47BA6027" w14:textId="77777777" w:rsidR="00C61F48" w:rsidRDefault="00C61F48" w:rsidP="00DD3BD5">
      <w:pPr>
        <w:pStyle w:val="TEKSTI"/>
        <w:rPr>
          <w:sz w:val="19"/>
        </w:rPr>
      </w:pPr>
    </w:p>
    <w:p w14:paraId="5407A41A" w14:textId="77777777" w:rsidR="00C61F48" w:rsidRDefault="00C61F48" w:rsidP="00DD3BD5">
      <w:pPr>
        <w:pStyle w:val="TEKSTI"/>
      </w:pPr>
      <w:r>
        <w:t xml:space="preserve">Programet BNK kanë qenë shumë të famshëm në zonat përfituese, përveç të tjerave, falë veprimeve të vizibilitetit të ndërmarra gjatë ciklit të programit 2007-2013. Duke parë numrin e aplikuesve në thirrjet pasuese, është vënë re se ka një interes në rritje për iniciativat e bashkëpunimit. Këto arritje duhet të ruhen dhe të përmirësohen edhe gjatë zbatimit të perspektivës financiare 2014-2020. Një shumëllojshmëri e kanaleve të komunikimit dhe mjeteve të publicitetit duhet të zhvillohet për të  siguruar informacion të rregullt midis palëve të interesuara të programit dhe një audience më të gjerë, duke përfshirë edhe pjesëmarrjen në evente që lidhen </w:t>
      </w:r>
      <w:r w:rsidRPr="00DD3BD5">
        <w:t xml:space="preserve">me </w:t>
      </w:r>
      <w:r w:rsidRPr="00DD3BD5">
        <w:rPr>
          <w:shd w:val="clear" w:color="auto" w:fill="FFFFFF" w:themeFill="background1"/>
        </w:rPr>
        <w:t>Strategjinë e BE-së për Rajonin e Adriatikut dhe Jonit.</w:t>
      </w:r>
    </w:p>
    <w:p w14:paraId="677DFEF9" w14:textId="77777777" w:rsidR="00C61F48" w:rsidRPr="00DD3BD5" w:rsidRDefault="00C61F48" w:rsidP="00DD3BD5">
      <w:pPr>
        <w:pStyle w:val="TEKSTI"/>
        <w:rPr>
          <w:b/>
        </w:rPr>
      </w:pPr>
      <w:r w:rsidRPr="00DD3BD5">
        <w:rPr>
          <w:b/>
        </w:rPr>
        <w:t>Treguesit e rezultatit:</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1226"/>
        <w:gridCol w:w="1546"/>
        <w:gridCol w:w="2129"/>
      </w:tblGrid>
      <w:tr w:rsidR="00C61F48" w:rsidRPr="00DD3BD5" w14:paraId="0BDBE653" w14:textId="77777777" w:rsidTr="00BA13DB">
        <w:trPr>
          <w:trHeight w:hRule="exact" w:val="520"/>
        </w:trPr>
        <w:tc>
          <w:tcPr>
            <w:tcW w:w="4676" w:type="dxa"/>
            <w:shd w:val="clear" w:color="auto" w:fill="FFFF00"/>
          </w:tcPr>
          <w:p w14:paraId="39E2A40C" w14:textId="77777777" w:rsidR="00C61F48" w:rsidRPr="00DD3BD5" w:rsidRDefault="00C61F48" w:rsidP="00BA13DB">
            <w:pPr>
              <w:pStyle w:val="TableParagraph"/>
              <w:spacing w:line="268" w:lineRule="exact"/>
              <w:ind w:left="103" w:right="309"/>
              <w:rPr>
                <w:rFonts w:ascii="Garamond" w:hAnsi="Garamond"/>
                <w:sz w:val="16"/>
                <w:szCs w:val="16"/>
              </w:rPr>
            </w:pPr>
            <w:r w:rsidRPr="00DD3BD5">
              <w:rPr>
                <w:rFonts w:ascii="Garamond" w:hAnsi="Garamond"/>
                <w:sz w:val="16"/>
                <w:szCs w:val="16"/>
              </w:rPr>
              <w:t>Treguesi</w:t>
            </w:r>
          </w:p>
        </w:tc>
        <w:tc>
          <w:tcPr>
            <w:tcW w:w="1226" w:type="dxa"/>
            <w:shd w:val="clear" w:color="auto" w:fill="FFFF00"/>
          </w:tcPr>
          <w:p w14:paraId="46BC2272" w14:textId="77777777" w:rsidR="00C61F48" w:rsidRPr="00DD3BD5" w:rsidRDefault="00C61F48" w:rsidP="00BA13DB">
            <w:pPr>
              <w:pStyle w:val="TableParagraph"/>
              <w:spacing w:line="268" w:lineRule="exact"/>
              <w:ind w:left="103"/>
              <w:rPr>
                <w:rFonts w:ascii="Garamond" w:hAnsi="Garamond"/>
                <w:sz w:val="16"/>
                <w:szCs w:val="16"/>
              </w:rPr>
            </w:pPr>
            <w:r w:rsidRPr="00DD3BD5">
              <w:rPr>
                <w:rFonts w:ascii="Garamond" w:hAnsi="Garamond"/>
                <w:sz w:val="16"/>
                <w:szCs w:val="16"/>
              </w:rPr>
              <w:t>Njësia</w:t>
            </w:r>
          </w:p>
        </w:tc>
        <w:tc>
          <w:tcPr>
            <w:tcW w:w="1546" w:type="dxa"/>
            <w:shd w:val="clear" w:color="auto" w:fill="FFFF00"/>
          </w:tcPr>
          <w:p w14:paraId="3A825132" w14:textId="77777777" w:rsidR="00C61F48" w:rsidRPr="00DD3BD5" w:rsidRDefault="00C61F48" w:rsidP="00BA13DB">
            <w:pPr>
              <w:pStyle w:val="TableParagraph"/>
              <w:spacing w:line="268" w:lineRule="exact"/>
              <w:ind w:left="103"/>
              <w:rPr>
                <w:rFonts w:ascii="Garamond" w:hAnsi="Garamond"/>
                <w:sz w:val="16"/>
                <w:szCs w:val="16"/>
              </w:rPr>
            </w:pPr>
            <w:r w:rsidRPr="00DD3BD5">
              <w:rPr>
                <w:rFonts w:ascii="Garamond" w:hAnsi="Garamond"/>
                <w:sz w:val="16"/>
                <w:szCs w:val="16"/>
              </w:rPr>
              <w:t>Baza</w:t>
            </w:r>
          </w:p>
        </w:tc>
        <w:tc>
          <w:tcPr>
            <w:tcW w:w="2129" w:type="dxa"/>
            <w:shd w:val="clear" w:color="auto" w:fill="FFFF00"/>
          </w:tcPr>
          <w:p w14:paraId="3471C694" w14:textId="77777777" w:rsidR="00C61F48" w:rsidRPr="00DD3BD5" w:rsidRDefault="00C61F48" w:rsidP="00BA13DB">
            <w:pPr>
              <w:pStyle w:val="TableParagraph"/>
              <w:spacing w:line="268" w:lineRule="exact"/>
              <w:ind w:left="103"/>
              <w:rPr>
                <w:rFonts w:ascii="Garamond" w:hAnsi="Garamond"/>
                <w:sz w:val="16"/>
                <w:szCs w:val="16"/>
              </w:rPr>
            </w:pPr>
            <w:r w:rsidRPr="00DD3BD5">
              <w:rPr>
                <w:rFonts w:ascii="Garamond" w:hAnsi="Garamond"/>
                <w:sz w:val="16"/>
                <w:szCs w:val="16"/>
              </w:rPr>
              <w:t>Synimi deri në 2022</w:t>
            </w:r>
          </w:p>
        </w:tc>
      </w:tr>
      <w:tr w:rsidR="00C61F48" w:rsidRPr="00DD3BD5" w14:paraId="7938D8A9" w14:textId="77777777" w:rsidTr="00DD3BD5">
        <w:trPr>
          <w:trHeight w:hRule="exact" w:val="397"/>
        </w:trPr>
        <w:tc>
          <w:tcPr>
            <w:tcW w:w="4676" w:type="dxa"/>
            <w:shd w:val="clear" w:color="auto" w:fill="FFFF00"/>
          </w:tcPr>
          <w:p w14:paraId="0E1FA75E" w14:textId="77777777" w:rsidR="00C61F48" w:rsidRPr="00DD3BD5" w:rsidRDefault="00C61F48" w:rsidP="00BA13DB">
            <w:pPr>
              <w:pStyle w:val="TableParagraph"/>
              <w:spacing w:line="276" w:lineRule="auto"/>
              <w:ind w:left="103" w:right="309"/>
              <w:rPr>
                <w:rFonts w:ascii="Garamond" w:hAnsi="Garamond"/>
                <w:sz w:val="16"/>
                <w:szCs w:val="16"/>
              </w:rPr>
            </w:pPr>
            <w:r w:rsidRPr="00DD3BD5">
              <w:rPr>
                <w:rFonts w:ascii="Garamond" w:hAnsi="Garamond"/>
                <w:sz w:val="16"/>
                <w:szCs w:val="16"/>
              </w:rPr>
              <w:t>Rritja e numrit të personave që marrin pjesë në eventet promocionale</w:t>
            </w:r>
          </w:p>
        </w:tc>
        <w:tc>
          <w:tcPr>
            <w:tcW w:w="1226" w:type="dxa"/>
            <w:shd w:val="clear" w:color="auto" w:fill="FFFF00"/>
          </w:tcPr>
          <w:p w14:paraId="6F6470E0" w14:textId="77777777" w:rsidR="00C61F48" w:rsidRPr="00DD3BD5" w:rsidRDefault="00C61F48" w:rsidP="00BA13DB">
            <w:pPr>
              <w:pStyle w:val="TableParagraph"/>
              <w:ind w:left="177"/>
              <w:rPr>
                <w:rFonts w:ascii="Garamond" w:hAnsi="Garamond"/>
                <w:sz w:val="16"/>
                <w:szCs w:val="16"/>
              </w:rPr>
            </w:pPr>
            <w:r w:rsidRPr="00DD3BD5">
              <w:rPr>
                <w:rFonts w:ascii="Garamond" w:hAnsi="Garamond"/>
                <w:sz w:val="16"/>
                <w:szCs w:val="16"/>
              </w:rPr>
              <w:t>Përqindje</w:t>
            </w:r>
          </w:p>
        </w:tc>
        <w:tc>
          <w:tcPr>
            <w:tcW w:w="1546" w:type="dxa"/>
            <w:shd w:val="clear" w:color="auto" w:fill="FFFF00"/>
          </w:tcPr>
          <w:p w14:paraId="7B4B3643" w14:textId="77777777" w:rsidR="00C61F48" w:rsidRPr="00DD3BD5" w:rsidRDefault="00C61F48" w:rsidP="00BA13DB">
            <w:pPr>
              <w:pStyle w:val="TableParagraph"/>
              <w:ind w:right="515"/>
              <w:jc w:val="right"/>
              <w:rPr>
                <w:rFonts w:ascii="Garamond" w:hAnsi="Garamond"/>
                <w:sz w:val="16"/>
                <w:szCs w:val="16"/>
              </w:rPr>
            </w:pPr>
            <w:r w:rsidRPr="00DD3BD5">
              <w:rPr>
                <w:rFonts w:ascii="Garamond" w:hAnsi="Garamond"/>
                <w:sz w:val="16"/>
                <w:szCs w:val="16"/>
              </w:rPr>
              <w:t>1,682</w:t>
            </w:r>
          </w:p>
        </w:tc>
        <w:tc>
          <w:tcPr>
            <w:tcW w:w="2129" w:type="dxa"/>
            <w:shd w:val="clear" w:color="auto" w:fill="FFFF00"/>
          </w:tcPr>
          <w:p w14:paraId="0F6D8FF8" w14:textId="77777777" w:rsidR="00C61F48" w:rsidRPr="00DD3BD5" w:rsidRDefault="00C61F48" w:rsidP="00BA13DB">
            <w:pPr>
              <w:pStyle w:val="TableParagraph"/>
              <w:ind w:left="732" w:right="733"/>
              <w:jc w:val="center"/>
              <w:rPr>
                <w:rFonts w:ascii="Garamond" w:hAnsi="Garamond"/>
                <w:sz w:val="16"/>
                <w:szCs w:val="16"/>
              </w:rPr>
            </w:pPr>
            <w:r w:rsidRPr="00DD3BD5">
              <w:rPr>
                <w:rFonts w:ascii="Garamond" w:hAnsi="Garamond"/>
                <w:sz w:val="16"/>
                <w:szCs w:val="16"/>
              </w:rPr>
              <w:t>20%</w:t>
            </w:r>
          </w:p>
        </w:tc>
      </w:tr>
      <w:tr w:rsidR="00C61F48" w:rsidRPr="00DD3BD5" w14:paraId="371EDE36" w14:textId="77777777" w:rsidTr="00DD3BD5">
        <w:trPr>
          <w:trHeight w:hRule="exact" w:val="418"/>
        </w:trPr>
        <w:tc>
          <w:tcPr>
            <w:tcW w:w="4676" w:type="dxa"/>
            <w:shd w:val="clear" w:color="auto" w:fill="FFFF00"/>
          </w:tcPr>
          <w:p w14:paraId="14DCB4BF" w14:textId="77777777" w:rsidR="00C61F48" w:rsidRPr="00DD3BD5" w:rsidRDefault="00C61F48" w:rsidP="00BA13DB">
            <w:pPr>
              <w:pStyle w:val="TableParagraph"/>
              <w:spacing w:line="268" w:lineRule="exact"/>
              <w:ind w:left="103" w:right="309"/>
              <w:rPr>
                <w:rFonts w:ascii="Garamond" w:hAnsi="Garamond"/>
                <w:sz w:val="16"/>
                <w:szCs w:val="16"/>
              </w:rPr>
            </w:pPr>
            <w:r w:rsidRPr="00DD3BD5">
              <w:rPr>
                <w:rFonts w:ascii="Garamond" w:hAnsi="Garamond"/>
                <w:sz w:val="16"/>
                <w:szCs w:val="16"/>
              </w:rPr>
              <w:t>Vizita në faqen e internetit të programit</w:t>
            </w:r>
          </w:p>
        </w:tc>
        <w:tc>
          <w:tcPr>
            <w:tcW w:w="1226" w:type="dxa"/>
            <w:shd w:val="clear" w:color="auto" w:fill="FFFF00"/>
          </w:tcPr>
          <w:p w14:paraId="720EC5D8" w14:textId="77777777" w:rsidR="00C61F48" w:rsidRPr="00DD3BD5" w:rsidRDefault="00C61F48" w:rsidP="00BA13DB">
            <w:pPr>
              <w:pStyle w:val="TableParagraph"/>
              <w:spacing w:line="268" w:lineRule="exact"/>
              <w:ind w:left="297"/>
              <w:rPr>
                <w:rFonts w:ascii="Garamond" w:hAnsi="Garamond"/>
                <w:sz w:val="16"/>
                <w:szCs w:val="16"/>
              </w:rPr>
            </w:pPr>
            <w:r w:rsidRPr="00DD3BD5">
              <w:rPr>
                <w:rFonts w:ascii="Garamond" w:hAnsi="Garamond"/>
                <w:sz w:val="16"/>
                <w:szCs w:val="16"/>
              </w:rPr>
              <w:t>Numër</w:t>
            </w:r>
          </w:p>
        </w:tc>
        <w:tc>
          <w:tcPr>
            <w:tcW w:w="1546" w:type="dxa"/>
            <w:shd w:val="clear" w:color="auto" w:fill="FFFF00"/>
          </w:tcPr>
          <w:p w14:paraId="3BC8F418" w14:textId="77777777" w:rsidR="00C61F48" w:rsidRPr="00DD3BD5" w:rsidRDefault="00C61F48" w:rsidP="00BA13DB">
            <w:pPr>
              <w:pStyle w:val="TableParagraph"/>
              <w:spacing w:line="268" w:lineRule="exact"/>
              <w:ind w:right="515"/>
              <w:jc w:val="right"/>
              <w:rPr>
                <w:rFonts w:ascii="Garamond" w:hAnsi="Garamond"/>
                <w:sz w:val="16"/>
                <w:szCs w:val="16"/>
              </w:rPr>
            </w:pPr>
            <w:r w:rsidRPr="00DD3BD5">
              <w:rPr>
                <w:rFonts w:ascii="Garamond" w:hAnsi="Garamond"/>
                <w:sz w:val="16"/>
                <w:szCs w:val="16"/>
              </w:rPr>
              <w:t>3,244</w:t>
            </w:r>
          </w:p>
        </w:tc>
        <w:tc>
          <w:tcPr>
            <w:tcW w:w="2129" w:type="dxa"/>
            <w:shd w:val="clear" w:color="auto" w:fill="FFFF00"/>
          </w:tcPr>
          <w:p w14:paraId="274903AD" w14:textId="77777777" w:rsidR="00C61F48" w:rsidRPr="00DD3BD5" w:rsidRDefault="00C61F48" w:rsidP="00BA13DB">
            <w:pPr>
              <w:pStyle w:val="TableParagraph"/>
              <w:spacing w:line="268" w:lineRule="exact"/>
              <w:ind w:left="733" w:right="733"/>
              <w:jc w:val="center"/>
              <w:rPr>
                <w:rFonts w:ascii="Garamond" w:hAnsi="Garamond"/>
                <w:sz w:val="16"/>
                <w:szCs w:val="16"/>
              </w:rPr>
            </w:pPr>
            <w:r w:rsidRPr="00DD3BD5">
              <w:rPr>
                <w:rFonts w:ascii="Garamond" w:hAnsi="Garamond"/>
                <w:sz w:val="16"/>
                <w:szCs w:val="16"/>
              </w:rPr>
              <w:t>50,000</w:t>
            </w:r>
          </w:p>
        </w:tc>
      </w:tr>
    </w:tbl>
    <w:p w14:paraId="363F99B4" w14:textId="77777777" w:rsidR="00C61F48" w:rsidRDefault="00C61F48" w:rsidP="00C61F48">
      <w:pPr>
        <w:pStyle w:val="BodyText"/>
        <w:rPr>
          <w:sz w:val="20"/>
        </w:rPr>
      </w:pPr>
    </w:p>
    <w:p w14:paraId="161F4176" w14:textId="77777777" w:rsidR="00C61F48" w:rsidRPr="00DD3BD5" w:rsidRDefault="00C61F48" w:rsidP="00DD3BD5">
      <w:pPr>
        <w:pStyle w:val="TEKSTI"/>
        <w:rPr>
          <w:b/>
        </w:rPr>
      </w:pPr>
      <w:r w:rsidRPr="00DD3BD5">
        <w:rPr>
          <w:b/>
        </w:rPr>
        <w:t>Lloji i aktiviteteve:</w:t>
      </w:r>
    </w:p>
    <w:p w14:paraId="7B4F674D" w14:textId="77777777" w:rsidR="00C61F48" w:rsidRDefault="00C61F48" w:rsidP="00DD3BD5">
      <w:pPr>
        <w:pStyle w:val="TEKSTI"/>
      </w:pPr>
      <w:r>
        <w:t>Një listë jo shteruese e aktiviteteve të mundshme të mbuluara nga alokimi i asistencës teknike do të përfshijë:</w:t>
      </w:r>
    </w:p>
    <w:p w14:paraId="303AF8C6" w14:textId="7BFAB095" w:rsidR="00C61F48" w:rsidRDefault="00D23CCE" w:rsidP="00DD3BD5">
      <w:pPr>
        <w:pStyle w:val="TEKSTI"/>
      </w:pPr>
      <w:r>
        <w:t>-</w:t>
      </w:r>
      <w:r w:rsidR="00C61F48">
        <w:t>Ngritja dhe funksionimi i Sekretariatit të Përbashkët Teknik dhe Antena-s së</w:t>
      </w:r>
      <w:r w:rsidR="00C61F48">
        <w:rPr>
          <w:spacing w:val="-21"/>
        </w:rPr>
        <w:t xml:space="preserve"> </w:t>
      </w:r>
      <w:r w:rsidR="00C61F48">
        <w:t>tij.</w:t>
      </w:r>
    </w:p>
    <w:p w14:paraId="61668AE3" w14:textId="5B5530B3" w:rsidR="00C61F48" w:rsidRDefault="00D23CCE" w:rsidP="00DD3BD5">
      <w:pPr>
        <w:pStyle w:val="TEKSTI"/>
      </w:pPr>
      <w:r>
        <w:t>-</w:t>
      </w:r>
      <w:r w:rsidR="00C61F48">
        <w:t xml:space="preserve">Organizimi i eventeve, takimeve, trajnimeve, vizitave studimore apo vizitave </w:t>
      </w:r>
      <w:r w:rsidR="00C61F48">
        <w:rPr>
          <w:spacing w:val="2"/>
        </w:rPr>
        <w:t xml:space="preserve">të </w:t>
      </w:r>
      <w:r w:rsidR="00C61F48">
        <w:t>shkëmbimit, për të mësuar nga praktikat më të mira të nismave të tjera të zhvillimit</w:t>
      </w:r>
      <w:r w:rsidR="00C61F48">
        <w:rPr>
          <w:spacing w:val="-26"/>
        </w:rPr>
        <w:t xml:space="preserve"> </w:t>
      </w:r>
      <w:r w:rsidR="00C61F48">
        <w:t>territorial.</w:t>
      </w:r>
    </w:p>
    <w:p w14:paraId="35EB00D4" w14:textId="38DBF3D9" w:rsidR="00C61F48" w:rsidRDefault="00D23CCE" w:rsidP="00DD3BD5">
      <w:pPr>
        <w:pStyle w:val="TEKSTI"/>
      </w:pPr>
      <w:r>
        <w:t>-</w:t>
      </w:r>
      <w:r w:rsidR="00C61F48">
        <w:t>Pjesëmarrja e stafit të strukturave të menaxhimit në forumet e Ballkanit Perëndimor apo të BE- së.</w:t>
      </w:r>
    </w:p>
    <w:p w14:paraId="138BA11B" w14:textId="6926AB4A" w:rsidR="00C61F48" w:rsidRDefault="00D23CCE" w:rsidP="00DD3BD5">
      <w:pPr>
        <w:pStyle w:val="TEKSTI"/>
      </w:pPr>
      <w:r>
        <w:t>-</w:t>
      </w:r>
      <w:r w:rsidR="00C61F48">
        <w:t>Përgatitja e manualeve / doracakëve të brendshëm dhe / ose të</w:t>
      </w:r>
      <w:r w:rsidR="00C61F48">
        <w:rPr>
          <w:spacing w:val="-15"/>
        </w:rPr>
        <w:t xml:space="preserve"> </w:t>
      </w:r>
      <w:r w:rsidR="00C61F48">
        <w:t>jashtëm.</w:t>
      </w:r>
    </w:p>
    <w:p w14:paraId="6EB04559" w14:textId="0B861F76" w:rsidR="00C61F48" w:rsidRDefault="00D23CCE" w:rsidP="00DD3BD5">
      <w:pPr>
        <w:pStyle w:val="TEKSTI"/>
      </w:pPr>
      <w:r>
        <w:t>-</w:t>
      </w:r>
      <w:r w:rsidR="00C61F48">
        <w:t>Asistencë për aplikuesit e mundshëm në partneritet dhe për zhvillimin e projektit (forume për kërkimin e partnerëve,</w:t>
      </w:r>
      <w:r w:rsidR="00C61F48">
        <w:rPr>
          <w:spacing w:val="-16"/>
        </w:rPr>
        <w:t xml:space="preserve"> </w:t>
      </w:r>
      <w:r w:rsidR="00C61F48">
        <w:t>etj.).</w:t>
      </w:r>
    </w:p>
    <w:p w14:paraId="7B615E8A" w14:textId="3371A2B9" w:rsidR="00C61F48" w:rsidRDefault="00D23CCE" w:rsidP="00DD3BD5">
      <w:pPr>
        <w:pStyle w:val="TEKSTI"/>
      </w:pPr>
      <w:r>
        <w:t>-</w:t>
      </w:r>
      <w:r w:rsidR="00C61F48">
        <w:t>Këshilla për përfituesit e granteve mbi çështje lidhur me zbatimin e</w:t>
      </w:r>
      <w:r w:rsidR="00C61F48">
        <w:rPr>
          <w:spacing w:val="-32"/>
        </w:rPr>
        <w:t xml:space="preserve"> </w:t>
      </w:r>
      <w:r w:rsidR="00C61F48">
        <w:t>projektit.</w:t>
      </w:r>
    </w:p>
    <w:p w14:paraId="6174D409" w14:textId="297C572B" w:rsidR="00C61F48" w:rsidRDefault="00D23CCE" w:rsidP="00DD3BD5">
      <w:pPr>
        <w:pStyle w:val="TEKSTI"/>
      </w:pPr>
      <w:r>
        <w:t>-</w:t>
      </w:r>
      <w:r w:rsidR="00C61F48">
        <w:t>Monitorimi i zbatimit të projektit dhe programit, duke përfshirë krijimin e një sistemi të monitorimit dhe raportimit</w:t>
      </w:r>
      <w:r w:rsidR="00C61F48">
        <w:rPr>
          <w:spacing w:val="-9"/>
        </w:rPr>
        <w:t xml:space="preserve"> </w:t>
      </w:r>
      <w:r w:rsidR="00C61F48">
        <w:t>përkatës.</w:t>
      </w:r>
    </w:p>
    <w:p w14:paraId="59F73981" w14:textId="2228DCCC" w:rsidR="00C61F48" w:rsidRDefault="00D23CCE" w:rsidP="00DD3BD5">
      <w:pPr>
        <w:pStyle w:val="TEKSTI"/>
      </w:pPr>
      <w:r>
        <w:t>-</w:t>
      </w:r>
      <w:r w:rsidR="00C61F48">
        <w:t>Organizimi i aktiviteteve të vlerësimit, analizave, sondazheve dhe / ose</w:t>
      </w:r>
      <w:r w:rsidR="00C61F48">
        <w:rPr>
          <w:spacing w:val="-27"/>
        </w:rPr>
        <w:t xml:space="preserve"> </w:t>
      </w:r>
      <w:r w:rsidR="00C61F48">
        <w:t>studimeve.</w:t>
      </w:r>
    </w:p>
    <w:p w14:paraId="7C65FAB4" w14:textId="14AB3F3A" w:rsidR="00C61F48" w:rsidRDefault="00D23CCE" w:rsidP="00DD3BD5">
      <w:pPr>
        <w:pStyle w:val="TEKSTI"/>
      </w:pPr>
      <w:r>
        <w:t>-</w:t>
      </w:r>
      <w:r w:rsidR="00C61F48">
        <w:t>Informim dhe publicitet, duke përfshirë përgatitjen, miratimin dhe rishikimin e rregullt të një plani vizibiliteti dhe komunikimi, shpërndarjen e informacionit (ditë informimi, mësimet e nxjerra, studimet e rasteve më të mira, artikuj dhe deklarata për shtyp), ngjarje promocionale dhe artikuj të shtypur, zhvillimi i mjeteve të komunikimit, mirëmbajtja, përditësimi dhe përmirësimi i faqes së internetit të programit,</w:t>
      </w:r>
      <w:r w:rsidR="00C61F48">
        <w:rPr>
          <w:spacing w:val="-15"/>
        </w:rPr>
        <w:t xml:space="preserve"> </w:t>
      </w:r>
      <w:r w:rsidR="00C61F48">
        <w:t>etj.</w:t>
      </w:r>
    </w:p>
    <w:p w14:paraId="6F4FBA5B" w14:textId="08A541A1" w:rsidR="00C61F48" w:rsidRDefault="00D23CCE" w:rsidP="00DD3BD5">
      <w:pPr>
        <w:pStyle w:val="TEKSTI"/>
      </w:pPr>
      <w:r>
        <w:t>-</w:t>
      </w:r>
      <w:r w:rsidR="00C61F48">
        <w:t>Mbështetje për punën e Task Forcës së Përbashkët të ngarkuar me përgatitjen e ciklit të programit</w:t>
      </w:r>
      <w:r w:rsidR="00C61F48">
        <w:rPr>
          <w:spacing w:val="-5"/>
        </w:rPr>
        <w:t xml:space="preserve"> </w:t>
      </w:r>
      <w:r w:rsidR="00C61F48">
        <w:t>2021-2026.</w:t>
      </w:r>
    </w:p>
    <w:p w14:paraId="60AD35B5" w14:textId="46D381BF" w:rsidR="00C61F48" w:rsidRDefault="00D23CCE" w:rsidP="00DD3BD5">
      <w:pPr>
        <w:pStyle w:val="TEKSTI"/>
      </w:pPr>
      <w:r>
        <w:t>-</w:t>
      </w:r>
      <w:r w:rsidR="00C61F48">
        <w:t>Pjesëmarrja në forume vjetore dhe aktivitete të tjera që lidhen me Strategjinë e BE-së për Rajonin e Adriatikut dhe</w:t>
      </w:r>
      <w:r w:rsidR="00C61F48">
        <w:rPr>
          <w:spacing w:val="-7"/>
        </w:rPr>
        <w:t xml:space="preserve"> </w:t>
      </w:r>
      <w:r w:rsidR="00C61F48">
        <w:t>Jonit.</w:t>
      </w:r>
    </w:p>
    <w:p w14:paraId="6FF25C4F" w14:textId="77777777" w:rsidR="00C61F48" w:rsidRPr="00D23CCE" w:rsidRDefault="00C61F48" w:rsidP="00D23CCE">
      <w:pPr>
        <w:pStyle w:val="TEKSTI"/>
        <w:rPr>
          <w:b/>
        </w:rPr>
      </w:pPr>
      <w:r w:rsidRPr="00D23CCE">
        <w:rPr>
          <w:b/>
        </w:rPr>
        <w:t>Grupet e synuara dhe përfituesit përfundimtarë (listë jo shteruese):</w:t>
      </w:r>
    </w:p>
    <w:p w14:paraId="1774E905" w14:textId="63C99AAE" w:rsidR="00C61F48" w:rsidRPr="00D23CCE" w:rsidRDefault="00D23CCE" w:rsidP="00D23CCE">
      <w:pPr>
        <w:pStyle w:val="TEKSTI"/>
      </w:pPr>
      <w:r>
        <w:t>-</w:t>
      </w:r>
      <w:r w:rsidR="00C61F48" w:rsidRPr="00D23CCE">
        <w:t>Strukturat e menaxhimit të programit, duke përfshirë autoritetet kontraktuese</w:t>
      </w:r>
    </w:p>
    <w:p w14:paraId="7B1C1BCF" w14:textId="483FE724" w:rsidR="00C61F48" w:rsidRDefault="00D23CCE" w:rsidP="00DD3BD5">
      <w:pPr>
        <w:pStyle w:val="TEKSTI"/>
      </w:pPr>
      <w:r>
        <w:t>-</w:t>
      </w:r>
      <w:r w:rsidR="00C61F48">
        <w:t>Aplikuesit e</w:t>
      </w:r>
      <w:r w:rsidR="00C61F48">
        <w:rPr>
          <w:spacing w:val="-5"/>
        </w:rPr>
        <w:t xml:space="preserve"> </w:t>
      </w:r>
      <w:r w:rsidR="00C61F48">
        <w:t>mundshëm</w:t>
      </w:r>
    </w:p>
    <w:p w14:paraId="0063E0D8" w14:textId="5693396D" w:rsidR="00C61F48" w:rsidRDefault="00D23CCE" w:rsidP="00DD3BD5">
      <w:pPr>
        <w:pStyle w:val="TEKSTI"/>
      </w:pPr>
      <w:r>
        <w:t>-</w:t>
      </w:r>
      <w:r w:rsidR="00C61F48">
        <w:t>Përfituesit e</w:t>
      </w:r>
      <w:r w:rsidR="00C61F48">
        <w:rPr>
          <w:spacing w:val="-4"/>
        </w:rPr>
        <w:t xml:space="preserve"> </w:t>
      </w:r>
      <w:r w:rsidR="00C61F48">
        <w:t>granteve</w:t>
      </w:r>
    </w:p>
    <w:p w14:paraId="12B56FB3" w14:textId="690EF345" w:rsidR="00C61F48" w:rsidRDefault="00D23CCE" w:rsidP="00DD3BD5">
      <w:pPr>
        <w:pStyle w:val="TEKSTI"/>
      </w:pPr>
      <w:r>
        <w:t>-</w:t>
      </w:r>
      <w:r w:rsidR="00C61F48">
        <w:t>Përfituesit përfundimtarë të</w:t>
      </w:r>
      <w:r w:rsidR="00C61F48">
        <w:rPr>
          <w:spacing w:val="-8"/>
        </w:rPr>
        <w:t xml:space="preserve"> </w:t>
      </w:r>
      <w:r w:rsidR="00C61F48">
        <w:t>projektit</w:t>
      </w:r>
    </w:p>
    <w:p w14:paraId="558AE677" w14:textId="7D9794C0" w:rsidR="00C61F48" w:rsidRDefault="00D23CCE" w:rsidP="00DD3BD5">
      <w:pPr>
        <w:pStyle w:val="TEKSTI"/>
      </w:pPr>
      <w:r>
        <w:t>-</w:t>
      </w:r>
      <w:r w:rsidR="00C61F48">
        <w:t>Publiku i</w:t>
      </w:r>
      <w:r w:rsidR="00C61F48">
        <w:rPr>
          <w:spacing w:val="-2"/>
        </w:rPr>
        <w:t xml:space="preserve"> </w:t>
      </w:r>
      <w:r w:rsidR="00C61F48">
        <w:t>gjerë</w:t>
      </w:r>
    </w:p>
    <w:p w14:paraId="158CC006" w14:textId="77777777" w:rsidR="00713D52" w:rsidRDefault="00713D52" w:rsidP="00DD3BD5">
      <w:pPr>
        <w:pStyle w:val="TEKSTI"/>
        <w:rPr>
          <w:b/>
        </w:rPr>
      </w:pPr>
      <w:bookmarkStart w:id="30" w:name="_bookmark27"/>
      <w:bookmarkEnd w:id="30"/>
    </w:p>
    <w:p w14:paraId="53AF5D53" w14:textId="77777777" w:rsidR="00713D52" w:rsidRDefault="00713D52" w:rsidP="00DD3BD5">
      <w:pPr>
        <w:pStyle w:val="TEKSTI"/>
        <w:rPr>
          <w:b/>
        </w:rPr>
      </w:pPr>
    </w:p>
    <w:p w14:paraId="56694E77" w14:textId="1B453A03" w:rsidR="00C61F48" w:rsidRPr="00D23CCE" w:rsidRDefault="00D23CCE" w:rsidP="00DD3BD5">
      <w:pPr>
        <w:pStyle w:val="TEKSTI"/>
        <w:rPr>
          <w:b/>
        </w:rPr>
      </w:pPr>
      <w:r w:rsidRPr="00D23CCE">
        <w:rPr>
          <w:b/>
        </w:rPr>
        <w:t xml:space="preserve">3.3 </w:t>
      </w:r>
      <w:r w:rsidR="00C61F48" w:rsidRPr="00D23CCE">
        <w:rPr>
          <w:b/>
        </w:rPr>
        <w:t>Çështjet horizontale dhe të</w:t>
      </w:r>
      <w:r w:rsidR="00C61F48" w:rsidRPr="00D23CCE">
        <w:rPr>
          <w:b/>
          <w:spacing w:val="-13"/>
        </w:rPr>
        <w:t xml:space="preserve"> </w:t>
      </w:r>
      <w:r w:rsidR="00C61F48" w:rsidRPr="00D23CCE">
        <w:rPr>
          <w:b/>
        </w:rPr>
        <w:t>ndërthurura</w:t>
      </w:r>
    </w:p>
    <w:p w14:paraId="20F3FEB4" w14:textId="77777777" w:rsidR="00C61F48" w:rsidRDefault="00C61F48" w:rsidP="00DD3BD5">
      <w:pPr>
        <w:pStyle w:val="TEKSTI"/>
      </w:pPr>
      <w:r>
        <w:t>Çështjet e ndërthurura përcaktohen në një sërë konventash, deklaratash dhe traktatesh ndërkombëtare mbi zhvillimin, dhe janë të detyrueshme për vendet e BE-së dhe shumicën e vendeve përfituese. Ato duhet të merren në konsideratë në të gjitha fazat e ciklit të financimit.</w:t>
      </w:r>
    </w:p>
    <w:p w14:paraId="0D45A7A0" w14:textId="2B6B45F8" w:rsidR="00C61F48" w:rsidRDefault="00C61F48" w:rsidP="00D23CCE">
      <w:pPr>
        <w:pStyle w:val="TEKSTI"/>
      </w:pPr>
      <w:r>
        <w:t>Prandaj, në përputhje me objektivat dhe politikat e BE-së, programi do të përfshijë parimet horizontale të partneritetit ndërkufitar, pronësinë lokale dhe mundësitë e barabarta, dhe do të sigurojë që çështjet</w:t>
      </w:r>
      <w:r>
        <w:rPr>
          <w:spacing w:val="-30"/>
        </w:rPr>
        <w:t xml:space="preserve"> </w:t>
      </w:r>
      <w:r w:rsidR="00D23CCE">
        <w:t xml:space="preserve">e </w:t>
      </w:r>
      <w:r>
        <w:t>ndërthurura, siç janë: mos-diskriminimi i minoriteteve dhe grupeve vulnerabël, pjesëmarrja e organizatave të shoqërisë civile, mbrojtja e mjedisit, të drejtat gjinore, dhe qeverisja e mirë, respektohen dhe nxiten në hartimin dhe zbatimin e projekteve. Të gjitha çështjet e mësipërme synohen nëpërmjet 3 prioriteteve kryesore të programit.</w:t>
      </w:r>
    </w:p>
    <w:p w14:paraId="443C59E0" w14:textId="77777777" w:rsidR="00C61F48" w:rsidRDefault="00C61F48" w:rsidP="00D23CCE">
      <w:pPr>
        <w:pStyle w:val="TEKSTI"/>
      </w:pPr>
      <w:r>
        <w:t>Kuadri aktual i Politikës së Kohezionit të BE-së e bën zhvillimin mjedisor dhe të qëndrueshëm një nga temat horizontale që duhet të integrohet në të gjitha prioritetet, masat dhe projektet. Programi synon  në mënyrë të drejtpërdrejtë mbrojtjen e mjedisit si një nga çështjet kryesore me interes për zonat ndërkufitare të synuara nëpërmjet prioritetit 2: Mbrojtja e mjedisit, nxitja e përshtatjes dhe lehtësimit ndaj ndryshimeve klimatike, parandalimi dhe menaxhimi i rrezikut. Projektet që rrjedhin në kuadër të këtij prioriteti duhet të hartohen në mënyrë të tillë që të sigurojnë që mjedisi nuk dëmtohet, por shndërrohet në një mundësi për zhvillimin</w:t>
      </w:r>
      <w:r>
        <w:rPr>
          <w:spacing w:val="-15"/>
        </w:rPr>
        <w:t xml:space="preserve"> </w:t>
      </w:r>
      <w:r>
        <w:t>rajonal.</w:t>
      </w:r>
    </w:p>
    <w:p w14:paraId="5A50BB6B" w14:textId="77777777" w:rsidR="00C61F48" w:rsidRDefault="00C61F48" w:rsidP="00D23CCE">
      <w:pPr>
        <w:pStyle w:val="TEKSTI"/>
      </w:pPr>
      <w:r>
        <w:t>BE-ja ka pranuar në mënyrë të përsëritur se barazia gjinore është çelësi për arritjen e objektivave të zhvillimit. Për më tepër barazia gjinore është një prioritet për BE-në. Programi synon në mënyrë të drejtpërdrejtë promovimin e punësimit dhe mundësive në bazë të perspektivës gjinore nëpërmjet prioritet 3 "promovimi i punësimit, lëvizja e fuqisë punëtore dhe përfshirja sociale", por perspektiva dhe barazia gjinore duhet të trajtohen edhe nëpërmjet 2 prioriteteve të tjera të programit, në aspektin e pjesëmarrjes dhe kontributit të balancuar.</w:t>
      </w:r>
    </w:p>
    <w:p w14:paraId="6632D7ED" w14:textId="77777777" w:rsidR="00C61F48" w:rsidRDefault="00C61F48" w:rsidP="00D23CCE">
      <w:pPr>
        <w:pStyle w:val="TEKSTI"/>
      </w:pPr>
      <w:r>
        <w:t>Projektet e përgatitur në bazë të qasjes së Zhvillimit të Bazuar në Zonë (ZhBZ) për të lehtësuar rritjen e qëndrueshme në zonat gjeografike të përcaktuara në rajonet ndërkufitare në Ballkanin Perëndimor, në zona të veçanta rurale që karakterizohen nga probleme të veçanta zhvillimore komplekse, mund të konsiderohen për financim sipas këtij programi të bashkëpunimit ndërkufitar. Puna përgatitore për qasjen ZhBZ tashmë e kryer në rajonin ndërkufitar që mbulon Malin e Zi dhe Shqipërinë, do të merret në konsideratë.</w:t>
      </w:r>
    </w:p>
    <w:p w14:paraId="47929A0E" w14:textId="77777777" w:rsidR="00C61F48" w:rsidRDefault="00C61F48" w:rsidP="00D23CCE">
      <w:pPr>
        <w:pStyle w:val="TEKSTI"/>
      </w:pPr>
      <w:r>
        <w:t>Financimi i dyfishtë duhet të shmanget dhe duhet të sigurohet plotësimi i aktiviteteve me programet e tjera.</w:t>
      </w:r>
    </w:p>
    <w:p w14:paraId="5E2CE7B2" w14:textId="77777777" w:rsidR="00C61F48" w:rsidRDefault="00C61F48" w:rsidP="000436FB">
      <w:pPr>
        <w:pStyle w:val="TEKSTI"/>
      </w:pPr>
    </w:p>
    <w:p w14:paraId="054573E3" w14:textId="77777777" w:rsidR="00C61F48" w:rsidRPr="000436FB" w:rsidRDefault="00C61F48" w:rsidP="000436FB">
      <w:pPr>
        <w:pStyle w:val="TEKSTI"/>
        <w:rPr>
          <w:b/>
        </w:rPr>
      </w:pPr>
      <w:bookmarkStart w:id="31" w:name="_bookmark28"/>
      <w:bookmarkEnd w:id="31"/>
      <w:r w:rsidRPr="000436FB">
        <w:rPr>
          <w:b/>
        </w:rPr>
        <w:t>Seksioni 4: Plani Financiar</w:t>
      </w:r>
    </w:p>
    <w:p w14:paraId="547B6F94" w14:textId="77777777" w:rsidR="00C61F48" w:rsidRDefault="00C61F48" w:rsidP="000436FB">
      <w:pPr>
        <w:pStyle w:val="TEKSTI"/>
      </w:pPr>
      <w:r>
        <w:t>Tabela 1 tregon sasinë indikative vjetore të kontributit të Bashkimit Evropian për programin e bashkëpunimit ndërkufitar për periudhën 2014-2020. Tabela 2 ofron një shpërndarje indikative për alokimet për secilin prioritet tematik si dhe një indikacion mbi shumën maksimale të bashkë-financimit të Bashkimit Evropian.</w:t>
      </w:r>
    </w:p>
    <w:p w14:paraId="1E746FBD" w14:textId="77777777" w:rsidR="00C61F48" w:rsidRDefault="00C61F48" w:rsidP="000436FB">
      <w:pPr>
        <w:pStyle w:val="TEKSTI"/>
        <w:rPr>
          <w:sz w:val="16"/>
        </w:rPr>
      </w:pPr>
    </w:p>
    <w:p w14:paraId="73EF5982" w14:textId="77777777" w:rsidR="00C61F48" w:rsidRPr="000436FB" w:rsidRDefault="00C61F48" w:rsidP="000436FB">
      <w:pPr>
        <w:pStyle w:val="TEKSTI"/>
        <w:rPr>
          <w:b/>
        </w:rPr>
      </w:pPr>
      <w:r w:rsidRPr="000436FB">
        <w:rPr>
          <w:b/>
        </w:rPr>
        <w:t>Tabela 1 Alokimet indikative financiare në vit për programin e bashkëpunimit ndërkufitar 2014-2020</w:t>
      </w:r>
    </w:p>
    <w:p w14:paraId="4049C4BE" w14:textId="77777777" w:rsidR="00C61F48" w:rsidRDefault="00C61F48" w:rsidP="00C61F48">
      <w:pPr>
        <w:pStyle w:val="BodyText"/>
        <w:rPr>
          <w:b/>
          <w:sz w:val="10"/>
        </w:rPr>
      </w:pPr>
    </w:p>
    <w:tbl>
      <w:tblPr>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left w:w="0" w:type="dxa"/>
          <w:right w:w="0" w:type="dxa"/>
        </w:tblCellMar>
        <w:tblLook w:val="01E0" w:firstRow="1" w:lastRow="1" w:firstColumn="1" w:lastColumn="1" w:noHBand="0" w:noVBand="0"/>
      </w:tblPr>
      <w:tblGrid>
        <w:gridCol w:w="1234"/>
        <w:gridCol w:w="1004"/>
        <w:gridCol w:w="968"/>
        <w:gridCol w:w="991"/>
        <w:gridCol w:w="981"/>
        <w:gridCol w:w="1011"/>
        <w:gridCol w:w="998"/>
        <w:gridCol w:w="893"/>
        <w:gridCol w:w="1021"/>
      </w:tblGrid>
      <w:tr w:rsidR="00C61F48" w:rsidRPr="000436FB" w14:paraId="17D6C4CF" w14:textId="77777777" w:rsidTr="000436FB">
        <w:trPr>
          <w:trHeight w:hRule="exact" w:val="790"/>
          <w:jc w:val="center"/>
        </w:trPr>
        <w:tc>
          <w:tcPr>
            <w:tcW w:w="609" w:type="pct"/>
            <w:vMerge w:val="restart"/>
            <w:shd w:val="clear" w:color="auto" w:fill="C0C0C0"/>
          </w:tcPr>
          <w:p w14:paraId="690D71E1" w14:textId="77777777" w:rsidR="00C61F48" w:rsidRPr="000436FB" w:rsidRDefault="00C61F48" w:rsidP="00BA13DB">
            <w:pPr>
              <w:pStyle w:val="TableParagraph"/>
              <w:rPr>
                <w:rFonts w:ascii="Garamond" w:hAnsi="Garamond"/>
                <w:b/>
                <w:sz w:val="14"/>
                <w:szCs w:val="14"/>
              </w:rPr>
            </w:pPr>
          </w:p>
          <w:p w14:paraId="43D6C22B" w14:textId="77777777" w:rsidR="00C61F48" w:rsidRPr="000436FB" w:rsidRDefault="00C61F48" w:rsidP="00BA13DB">
            <w:pPr>
              <w:pStyle w:val="TableParagraph"/>
              <w:spacing w:before="174"/>
              <w:ind w:left="476" w:right="477"/>
              <w:jc w:val="center"/>
              <w:rPr>
                <w:rFonts w:ascii="Garamond" w:hAnsi="Garamond"/>
                <w:b/>
                <w:sz w:val="14"/>
                <w:szCs w:val="14"/>
              </w:rPr>
            </w:pPr>
            <w:r w:rsidRPr="000436FB">
              <w:rPr>
                <w:rFonts w:ascii="Garamond" w:hAnsi="Garamond"/>
                <w:b/>
                <w:sz w:val="14"/>
                <w:szCs w:val="14"/>
              </w:rPr>
              <w:t>Viti</w:t>
            </w:r>
          </w:p>
        </w:tc>
        <w:tc>
          <w:tcPr>
            <w:tcW w:w="3822" w:type="pct"/>
            <w:gridSpan w:val="7"/>
            <w:tcBorders>
              <w:left w:val="single" w:sz="40" w:space="0" w:color="C0C0C0"/>
            </w:tcBorders>
            <w:shd w:val="clear" w:color="auto" w:fill="CCCCFF"/>
          </w:tcPr>
          <w:p w14:paraId="20E3C803" w14:textId="77777777" w:rsidR="00C61F48" w:rsidRPr="000436FB" w:rsidRDefault="00C61F48" w:rsidP="00BA13DB">
            <w:pPr>
              <w:pStyle w:val="TableParagraph"/>
              <w:spacing w:before="151"/>
              <w:ind w:left="1096"/>
              <w:rPr>
                <w:rFonts w:ascii="Garamond" w:hAnsi="Garamond"/>
                <w:b/>
                <w:sz w:val="14"/>
                <w:szCs w:val="14"/>
              </w:rPr>
            </w:pPr>
            <w:r w:rsidRPr="000436FB">
              <w:rPr>
                <w:rFonts w:ascii="Garamond" w:hAnsi="Garamond"/>
                <w:b/>
                <w:sz w:val="14"/>
                <w:szCs w:val="14"/>
              </w:rPr>
              <w:t>PROGRAMI I BASHKËPUNIMIT NDËRKUFITAR IPA II_MAL I ZI - SHQIPËRI</w:t>
            </w:r>
          </w:p>
        </w:tc>
        <w:tc>
          <w:tcPr>
            <w:tcW w:w="569" w:type="pct"/>
            <w:shd w:val="clear" w:color="auto" w:fill="CCFFFF"/>
          </w:tcPr>
          <w:p w14:paraId="5D7CCD24" w14:textId="77777777" w:rsidR="00C61F48" w:rsidRPr="000436FB" w:rsidRDefault="00C61F48" w:rsidP="00BA13DB">
            <w:pPr>
              <w:pStyle w:val="TableParagraph"/>
              <w:spacing w:before="29"/>
              <w:ind w:left="295" w:firstLine="64"/>
              <w:rPr>
                <w:rFonts w:ascii="Garamond" w:hAnsi="Garamond"/>
                <w:b/>
                <w:sz w:val="14"/>
                <w:szCs w:val="14"/>
              </w:rPr>
            </w:pPr>
            <w:r w:rsidRPr="000436FB">
              <w:rPr>
                <w:rFonts w:ascii="Garamond" w:hAnsi="Garamond"/>
                <w:b/>
                <w:sz w:val="14"/>
                <w:szCs w:val="14"/>
              </w:rPr>
              <w:t xml:space="preserve">Totali </w:t>
            </w:r>
            <w:r w:rsidRPr="000436FB">
              <w:rPr>
                <w:rFonts w:ascii="Garamond" w:hAnsi="Garamond"/>
                <w:b/>
                <w:w w:val="95"/>
                <w:sz w:val="14"/>
                <w:szCs w:val="14"/>
              </w:rPr>
              <w:t>(EURO)</w:t>
            </w:r>
          </w:p>
        </w:tc>
      </w:tr>
      <w:tr w:rsidR="00C61F48" w:rsidRPr="000436FB" w14:paraId="6CE3525F" w14:textId="77777777" w:rsidTr="000436FB">
        <w:trPr>
          <w:trHeight w:hRule="exact" w:val="518"/>
          <w:jc w:val="center"/>
        </w:trPr>
        <w:tc>
          <w:tcPr>
            <w:tcW w:w="609" w:type="pct"/>
            <w:vMerge/>
            <w:shd w:val="clear" w:color="auto" w:fill="C0C0C0"/>
          </w:tcPr>
          <w:p w14:paraId="2548EDCD" w14:textId="77777777" w:rsidR="00C61F48" w:rsidRPr="000436FB" w:rsidRDefault="00C61F48" w:rsidP="00BA13DB">
            <w:pPr>
              <w:rPr>
                <w:rFonts w:ascii="Garamond" w:hAnsi="Garamond"/>
                <w:sz w:val="14"/>
                <w:szCs w:val="14"/>
              </w:rPr>
            </w:pPr>
          </w:p>
        </w:tc>
        <w:tc>
          <w:tcPr>
            <w:tcW w:w="558" w:type="pct"/>
            <w:tcBorders>
              <w:left w:val="single" w:sz="40" w:space="0" w:color="C0C0C0"/>
            </w:tcBorders>
            <w:shd w:val="clear" w:color="auto" w:fill="CCCCFF"/>
          </w:tcPr>
          <w:p w14:paraId="79D79894" w14:textId="77777777" w:rsidR="00C61F48" w:rsidRPr="000436FB" w:rsidRDefault="00C61F48" w:rsidP="00BA13DB">
            <w:pPr>
              <w:pStyle w:val="TableParagraph"/>
              <w:spacing w:before="17"/>
              <w:ind w:left="325" w:right="361"/>
              <w:jc w:val="center"/>
              <w:rPr>
                <w:rFonts w:ascii="Garamond" w:hAnsi="Garamond"/>
                <w:b/>
                <w:sz w:val="14"/>
                <w:szCs w:val="14"/>
              </w:rPr>
            </w:pPr>
            <w:r w:rsidRPr="000436FB">
              <w:rPr>
                <w:rFonts w:ascii="Garamond" w:hAnsi="Garamond"/>
                <w:b/>
                <w:sz w:val="14"/>
                <w:szCs w:val="14"/>
              </w:rPr>
              <w:t>2014</w:t>
            </w:r>
          </w:p>
        </w:tc>
        <w:tc>
          <w:tcPr>
            <w:tcW w:w="543" w:type="pct"/>
            <w:shd w:val="clear" w:color="auto" w:fill="CCCCFF"/>
          </w:tcPr>
          <w:p w14:paraId="5F054E10" w14:textId="77777777" w:rsidR="00C61F48" w:rsidRPr="000436FB" w:rsidRDefault="00C61F48" w:rsidP="00BA13DB">
            <w:pPr>
              <w:pStyle w:val="TableParagraph"/>
              <w:spacing w:before="17"/>
              <w:ind w:left="192" w:right="192"/>
              <w:jc w:val="center"/>
              <w:rPr>
                <w:rFonts w:ascii="Garamond" w:hAnsi="Garamond"/>
                <w:b/>
                <w:sz w:val="14"/>
                <w:szCs w:val="14"/>
              </w:rPr>
            </w:pPr>
            <w:r w:rsidRPr="000436FB">
              <w:rPr>
                <w:rFonts w:ascii="Garamond" w:hAnsi="Garamond"/>
                <w:b/>
                <w:sz w:val="14"/>
                <w:szCs w:val="14"/>
              </w:rPr>
              <w:t>2015</w:t>
            </w:r>
          </w:p>
        </w:tc>
        <w:tc>
          <w:tcPr>
            <w:tcW w:w="553" w:type="pct"/>
            <w:shd w:val="clear" w:color="auto" w:fill="CCCCFF"/>
          </w:tcPr>
          <w:p w14:paraId="6990B605" w14:textId="77777777" w:rsidR="00C61F48" w:rsidRPr="000436FB" w:rsidRDefault="00C61F48" w:rsidP="00BA13DB">
            <w:pPr>
              <w:pStyle w:val="TableParagraph"/>
              <w:spacing w:before="17"/>
              <w:ind w:left="203" w:right="203"/>
              <w:jc w:val="center"/>
              <w:rPr>
                <w:rFonts w:ascii="Garamond" w:hAnsi="Garamond"/>
                <w:b/>
                <w:sz w:val="14"/>
                <w:szCs w:val="14"/>
              </w:rPr>
            </w:pPr>
            <w:r w:rsidRPr="000436FB">
              <w:rPr>
                <w:rFonts w:ascii="Garamond" w:hAnsi="Garamond"/>
                <w:b/>
                <w:sz w:val="14"/>
                <w:szCs w:val="14"/>
              </w:rPr>
              <w:t>2016</w:t>
            </w:r>
          </w:p>
        </w:tc>
        <w:tc>
          <w:tcPr>
            <w:tcW w:w="548" w:type="pct"/>
            <w:shd w:val="clear" w:color="auto" w:fill="CCCCFF"/>
          </w:tcPr>
          <w:p w14:paraId="6FA3C178" w14:textId="77777777" w:rsidR="00C61F48" w:rsidRPr="000436FB" w:rsidRDefault="00C61F48" w:rsidP="00BA13DB">
            <w:pPr>
              <w:pStyle w:val="TableParagraph"/>
              <w:spacing w:before="17"/>
              <w:ind w:left="196" w:right="196"/>
              <w:jc w:val="center"/>
              <w:rPr>
                <w:rFonts w:ascii="Garamond" w:hAnsi="Garamond"/>
                <w:b/>
                <w:sz w:val="14"/>
                <w:szCs w:val="14"/>
              </w:rPr>
            </w:pPr>
            <w:r w:rsidRPr="000436FB">
              <w:rPr>
                <w:rFonts w:ascii="Garamond" w:hAnsi="Garamond"/>
                <w:b/>
                <w:sz w:val="14"/>
                <w:szCs w:val="14"/>
              </w:rPr>
              <w:t>2017</w:t>
            </w:r>
          </w:p>
        </w:tc>
        <w:tc>
          <w:tcPr>
            <w:tcW w:w="564" w:type="pct"/>
            <w:shd w:val="clear" w:color="auto" w:fill="CCCCFF"/>
          </w:tcPr>
          <w:p w14:paraId="784208C2" w14:textId="77777777" w:rsidR="00C61F48" w:rsidRPr="000436FB" w:rsidRDefault="00C61F48" w:rsidP="00BA13DB">
            <w:pPr>
              <w:pStyle w:val="TableParagraph"/>
              <w:spacing w:before="17"/>
              <w:ind w:left="215" w:right="215"/>
              <w:jc w:val="center"/>
              <w:rPr>
                <w:rFonts w:ascii="Garamond" w:hAnsi="Garamond"/>
                <w:b/>
                <w:sz w:val="14"/>
                <w:szCs w:val="14"/>
              </w:rPr>
            </w:pPr>
            <w:r w:rsidRPr="000436FB">
              <w:rPr>
                <w:rFonts w:ascii="Garamond" w:hAnsi="Garamond"/>
                <w:b/>
                <w:sz w:val="14"/>
                <w:szCs w:val="14"/>
              </w:rPr>
              <w:t>2018</w:t>
            </w:r>
          </w:p>
        </w:tc>
        <w:tc>
          <w:tcPr>
            <w:tcW w:w="557" w:type="pct"/>
            <w:shd w:val="clear" w:color="auto" w:fill="CCCCFF"/>
          </w:tcPr>
          <w:p w14:paraId="1856F789" w14:textId="77777777" w:rsidR="00C61F48" w:rsidRPr="000436FB" w:rsidRDefault="00C61F48" w:rsidP="00BA13DB">
            <w:pPr>
              <w:pStyle w:val="TableParagraph"/>
              <w:spacing w:before="17"/>
              <w:ind w:left="205" w:right="207"/>
              <w:jc w:val="center"/>
              <w:rPr>
                <w:rFonts w:ascii="Garamond" w:hAnsi="Garamond"/>
                <w:b/>
                <w:sz w:val="14"/>
                <w:szCs w:val="14"/>
              </w:rPr>
            </w:pPr>
            <w:r w:rsidRPr="000436FB">
              <w:rPr>
                <w:rFonts w:ascii="Garamond" w:hAnsi="Garamond"/>
                <w:b/>
                <w:sz w:val="14"/>
                <w:szCs w:val="14"/>
              </w:rPr>
              <w:t>2019</w:t>
            </w:r>
          </w:p>
        </w:tc>
        <w:tc>
          <w:tcPr>
            <w:tcW w:w="498" w:type="pct"/>
            <w:tcBorders>
              <w:right w:val="single" w:sz="52" w:space="0" w:color="CCFFFF"/>
            </w:tcBorders>
            <w:shd w:val="clear" w:color="auto" w:fill="CCCCFF"/>
          </w:tcPr>
          <w:p w14:paraId="5B62FC63" w14:textId="77777777" w:rsidR="00C61F48" w:rsidRPr="000436FB" w:rsidRDefault="00C61F48" w:rsidP="00BA13DB">
            <w:pPr>
              <w:pStyle w:val="TableParagraph"/>
              <w:spacing w:before="17"/>
              <w:ind w:left="138" w:right="98"/>
              <w:jc w:val="center"/>
              <w:rPr>
                <w:rFonts w:ascii="Garamond" w:hAnsi="Garamond"/>
                <w:b/>
                <w:sz w:val="14"/>
                <w:szCs w:val="14"/>
              </w:rPr>
            </w:pPr>
            <w:r w:rsidRPr="000436FB">
              <w:rPr>
                <w:rFonts w:ascii="Garamond" w:hAnsi="Garamond"/>
                <w:b/>
                <w:sz w:val="14"/>
                <w:szCs w:val="14"/>
              </w:rPr>
              <w:t>2020</w:t>
            </w:r>
          </w:p>
        </w:tc>
        <w:tc>
          <w:tcPr>
            <w:tcW w:w="569" w:type="pct"/>
            <w:shd w:val="clear" w:color="auto" w:fill="CCFFFF"/>
          </w:tcPr>
          <w:p w14:paraId="7F7955F3" w14:textId="77777777" w:rsidR="00C61F48" w:rsidRPr="000436FB" w:rsidRDefault="00C61F48" w:rsidP="00BA13DB">
            <w:pPr>
              <w:pStyle w:val="TableParagraph"/>
              <w:spacing w:before="17"/>
              <w:ind w:left="140" w:right="140"/>
              <w:jc w:val="center"/>
              <w:rPr>
                <w:rFonts w:ascii="Garamond" w:hAnsi="Garamond"/>
                <w:b/>
                <w:sz w:val="14"/>
                <w:szCs w:val="14"/>
              </w:rPr>
            </w:pPr>
            <w:r w:rsidRPr="000436FB">
              <w:rPr>
                <w:rFonts w:ascii="Garamond" w:hAnsi="Garamond"/>
                <w:b/>
                <w:sz w:val="14"/>
                <w:szCs w:val="14"/>
              </w:rPr>
              <w:t>2014-2020</w:t>
            </w:r>
          </w:p>
        </w:tc>
      </w:tr>
      <w:tr w:rsidR="00C61F48" w:rsidRPr="000436FB" w14:paraId="408DDE3B" w14:textId="77777777" w:rsidTr="000436FB">
        <w:trPr>
          <w:trHeight w:hRule="exact" w:val="819"/>
          <w:jc w:val="center"/>
        </w:trPr>
        <w:tc>
          <w:tcPr>
            <w:tcW w:w="609" w:type="pct"/>
            <w:shd w:val="clear" w:color="auto" w:fill="C0C0C0"/>
          </w:tcPr>
          <w:p w14:paraId="67DBF388" w14:textId="77777777" w:rsidR="00C61F48" w:rsidRPr="000436FB" w:rsidRDefault="00C61F48" w:rsidP="00BA13DB">
            <w:pPr>
              <w:pStyle w:val="TableParagraph"/>
              <w:spacing w:before="30"/>
              <w:ind w:left="100"/>
              <w:rPr>
                <w:rFonts w:ascii="Garamond" w:hAnsi="Garamond"/>
                <w:sz w:val="14"/>
                <w:szCs w:val="14"/>
              </w:rPr>
            </w:pPr>
            <w:r w:rsidRPr="000436FB">
              <w:rPr>
                <w:rFonts w:ascii="Garamond" w:hAnsi="Garamond"/>
                <w:w w:val="95"/>
                <w:sz w:val="14"/>
                <w:szCs w:val="14"/>
              </w:rPr>
              <w:t xml:space="preserve">Operacionet </w:t>
            </w:r>
            <w:r w:rsidRPr="000436FB">
              <w:rPr>
                <w:rFonts w:ascii="Garamond" w:hAnsi="Garamond"/>
                <w:sz w:val="14"/>
                <w:szCs w:val="14"/>
              </w:rPr>
              <w:t>BNK</w:t>
            </w:r>
          </w:p>
          <w:p w14:paraId="7C1A8D55" w14:textId="77777777" w:rsidR="00C61F48" w:rsidRPr="000436FB" w:rsidRDefault="00C61F48" w:rsidP="00BA13DB">
            <w:pPr>
              <w:pStyle w:val="TableParagraph"/>
              <w:spacing w:line="242" w:lineRule="auto"/>
              <w:ind w:left="100"/>
              <w:rPr>
                <w:rFonts w:ascii="Garamond" w:hAnsi="Garamond"/>
                <w:i/>
                <w:sz w:val="14"/>
                <w:szCs w:val="14"/>
              </w:rPr>
            </w:pPr>
            <w:r w:rsidRPr="000436FB">
              <w:rPr>
                <w:rFonts w:ascii="Garamond" w:hAnsi="Garamond"/>
                <w:sz w:val="14"/>
                <w:szCs w:val="14"/>
              </w:rPr>
              <w:t>(</w:t>
            </w:r>
            <w:r w:rsidRPr="000436FB">
              <w:rPr>
                <w:rFonts w:ascii="Garamond" w:hAnsi="Garamond"/>
                <w:i/>
                <w:sz w:val="14"/>
                <w:szCs w:val="14"/>
              </w:rPr>
              <w:t xml:space="preserve">të gjitha </w:t>
            </w:r>
            <w:r w:rsidRPr="000436FB">
              <w:rPr>
                <w:rFonts w:ascii="Garamond" w:hAnsi="Garamond"/>
                <w:i/>
                <w:w w:val="95"/>
                <w:sz w:val="14"/>
                <w:szCs w:val="14"/>
              </w:rPr>
              <w:t xml:space="preserve">prioritetet </w:t>
            </w:r>
            <w:r w:rsidRPr="000436FB">
              <w:rPr>
                <w:rFonts w:ascii="Garamond" w:hAnsi="Garamond"/>
                <w:i/>
                <w:sz w:val="14"/>
                <w:szCs w:val="14"/>
              </w:rPr>
              <w:t>tematike)</w:t>
            </w:r>
          </w:p>
        </w:tc>
        <w:tc>
          <w:tcPr>
            <w:tcW w:w="558" w:type="pct"/>
            <w:shd w:val="clear" w:color="auto" w:fill="CCCCFF"/>
          </w:tcPr>
          <w:p w14:paraId="21ACE96C" w14:textId="77777777" w:rsidR="00C61F48" w:rsidRPr="000436FB" w:rsidRDefault="00C61F48" w:rsidP="00BA13DB">
            <w:pPr>
              <w:pStyle w:val="TableParagraph"/>
              <w:rPr>
                <w:rFonts w:ascii="Garamond" w:hAnsi="Garamond"/>
                <w:b/>
                <w:sz w:val="14"/>
                <w:szCs w:val="14"/>
              </w:rPr>
            </w:pPr>
          </w:p>
          <w:p w14:paraId="01838B50" w14:textId="77777777" w:rsidR="00C61F48" w:rsidRPr="000436FB" w:rsidRDefault="00C61F48" w:rsidP="00BA13DB">
            <w:pPr>
              <w:pStyle w:val="TableParagraph"/>
              <w:rPr>
                <w:rFonts w:ascii="Garamond" w:hAnsi="Garamond"/>
                <w:b/>
                <w:sz w:val="14"/>
                <w:szCs w:val="14"/>
              </w:rPr>
            </w:pPr>
          </w:p>
          <w:p w14:paraId="2E841C95" w14:textId="77777777" w:rsidR="00C61F48" w:rsidRPr="000436FB" w:rsidRDefault="00C61F48" w:rsidP="00BA13DB">
            <w:pPr>
              <w:pStyle w:val="TableParagraph"/>
              <w:spacing w:before="8"/>
              <w:rPr>
                <w:rFonts w:ascii="Garamond" w:hAnsi="Garamond"/>
                <w:b/>
                <w:sz w:val="14"/>
                <w:szCs w:val="14"/>
              </w:rPr>
            </w:pPr>
          </w:p>
          <w:p w14:paraId="1D495387" w14:textId="77777777" w:rsidR="00C61F48" w:rsidRPr="000436FB" w:rsidRDefault="00C61F48" w:rsidP="00BA13DB">
            <w:pPr>
              <w:pStyle w:val="TableParagraph"/>
              <w:spacing w:before="1"/>
              <w:ind w:left="153" w:right="208"/>
              <w:jc w:val="center"/>
              <w:rPr>
                <w:rFonts w:ascii="Garamond" w:hAnsi="Garamond"/>
                <w:sz w:val="14"/>
                <w:szCs w:val="14"/>
              </w:rPr>
            </w:pPr>
            <w:r w:rsidRPr="000436FB">
              <w:rPr>
                <w:rFonts w:ascii="Garamond" w:hAnsi="Garamond"/>
                <w:sz w:val="14"/>
                <w:szCs w:val="14"/>
              </w:rPr>
              <w:t>1 190 000</w:t>
            </w:r>
          </w:p>
        </w:tc>
        <w:tc>
          <w:tcPr>
            <w:tcW w:w="543" w:type="pct"/>
            <w:shd w:val="clear" w:color="auto" w:fill="CCCCFF"/>
          </w:tcPr>
          <w:p w14:paraId="21162764" w14:textId="77777777" w:rsidR="00C61F48" w:rsidRPr="000436FB" w:rsidRDefault="00C61F48" w:rsidP="00BA13DB">
            <w:pPr>
              <w:pStyle w:val="TableParagraph"/>
              <w:rPr>
                <w:rFonts w:ascii="Garamond" w:hAnsi="Garamond"/>
                <w:b/>
                <w:sz w:val="14"/>
                <w:szCs w:val="14"/>
              </w:rPr>
            </w:pPr>
          </w:p>
          <w:p w14:paraId="69F1F224" w14:textId="77777777" w:rsidR="00C61F48" w:rsidRPr="000436FB" w:rsidRDefault="00C61F48" w:rsidP="00BA13DB">
            <w:pPr>
              <w:pStyle w:val="TableParagraph"/>
              <w:rPr>
                <w:rFonts w:ascii="Garamond" w:hAnsi="Garamond"/>
                <w:b/>
                <w:sz w:val="14"/>
                <w:szCs w:val="14"/>
              </w:rPr>
            </w:pPr>
          </w:p>
          <w:p w14:paraId="01E34A3A" w14:textId="77777777" w:rsidR="00C61F48" w:rsidRPr="000436FB" w:rsidRDefault="00C61F48" w:rsidP="00BA13DB">
            <w:pPr>
              <w:pStyle w:val="TableParagraph"/>
              <w:spacing w:before="8"/>
              <w:rPr>
                <w:rFonts w:ascii="Garamond" w:hAnsi="Garamond"/>
                <w:b/>
                <w:sz w:val="14"/>
                <w:szCs w:val="14"/>
              </w:rPr>
            </w:pPr>
          </w:p>
          <w:p w14:paraId="07A34786" w14:textId="77777777" w:rsidR="00C61F48" w:rsidRPr="000436FB" w:rsidRDefault="00C61F48" w:rsidP="00BA13DB">
            <w:pPr>
              <w:pStyle w:val="TableParagraph"/>
              <w:spacing w:before="1"/>
              <w:ind w:left="193" w:right="192"/>
              <w:jc w:val="center"/>
              <w:rPr>
                <w:rFonts w:ascii="Garamond" w:hAnsi="Garamond"/>
                <w:sz w:val="14"/>
                <w:szCs w:val="14"/>
              </w:rPr>
            </w:pPr>
            <w:r w:rsidRPr="000436FB">
              <w:rPr>
                <w:rFonts w:ascii="Garamond" w:hAnsi="Garamond"/>
                <w:sz w:val="14"/>
                <w:szCs w:val="14"/>
              </w:rPr>
              <w:t>1 700 000</w:t>
            </w:r>
          </w:p>
        </w:tc>
        <w:tc>
          <w:tcPr>
            <w:tcW w:w="553" w:type="pct"/>
            <w:shd w:val="clear" w:color="auto" w:fill="CCCCFF"/>
          </w:tcPr>
          <w:p w14:paraId="1DFB98DB" w14:textId="77777777" w:rsidR="00C61F48" w:rsidRPr="000436FB" w:rsidRDefault="00C61F48" w:rsidP="00BA13DB">
            <w:pPr>
              <w:pStyle w:val="TableParagraph"/>
              <w:rPr>
                <w:rFonts w:ascii="Garamond" w:hAnsi="Garamond"/>
                <w:b/>
                <w:sz w:val="14"/>
                <w:szCs w:val="14"/>
              </w:rPr>
            </w:pPr>
          </w:p>
          <w:p w14:paraId="5823C45E" w14:textId="77777777" w:rsidR="00C61F48" w:rsidRPr="000436FB" w:rsidRDefault="00C61F48" w:rsidP="00BA13DB">
            <w:pPr>
              <w:pStyle w:val="TableParagraph"/>
              <w:rPr>
                <w:rFonts w:ascii="Garamond" w:hAnsi="Garamond"/>
                <w:b/>
                <w:sz w:val="14"/>
                <w:szCs w:val="14"/>
              </w:rPr>
            </w:pPr>
          </w:p>
          <w:p w14:paraId="6F312B4A" w14:textId="77777777" w:rsidR="00C61F48" w:rsidRPr="000436FB" w:rsidRDefault="00C61F48" w:rsidP="00BA13DB">
            <w:pPr>
              <w:pStyle w:val="TableParagraph"/>
              <w:spacing w:before="8"/>
              <w:rPr>
                <w:rFonts w:ascii="Garamond" w:hAnsi="Garamond"/>
                <w:b/>
                <w:sz w:val="14"/>
                <w:szCs w:val="14"/>
              </w:rPr>
            </w:pPr>
          </w:p>
          <w:p w14:paraId="4C56B603" w14:textId="77777777" w:rsidR="00C61F48" w:rsidRPr="000436FB" w:rsidRDefault="00C61F48" w:rsidP="00BA13DB">
            <w:pPr>
              <w:pStyle w:val="TableParagraph"/>
              <w:spacing w:before="1"/>
              <w:ind w:left="203" w:right="203"/>
              <w:jc w:val="center"/>
              <w:rPr>
                <w:rFonts w:ascii="Garamond" w:hAnsi="Garamond"/>
                <w:sz w:val="14"/>
                <w:szCs w:val="14"/>
              </w:rPr>
            </w:pPr>
            <w:r w:rsidRPr="000436FB">
              <w:rPr>
                <w:rFonts w:ascii="Garamond" w:hAnsi="Garamond"/>
                <w:sz w:val="14"/>
                <w:szCs w:val="14"/>
              </w:rPr>
              <w:t>1 700 000</w:t>
            </w:r>
          </w:p>
        </w:tc>
        <w:tc>
          <w:tcPr>
            <w:tcW w:w="548" w:type="pct"/>
            <w:shd w:val="clear" w:color="auto" w:fill="CCCCFF"/>
          </w:tcPr>
          <w:p w14:paraId="35915BF2" w14:textId="77777777" w:rsidR="00C61F48" w:rsidRPr="000436FB" w:rsidRDefault="00C61F48" w:rsidP="00BA13DB">
            <w:pPr>
              <w:pStyle w:val="TableParagraph"/>
              <w:rPr>
                <w:rFonts w:ascii="Garamond" w:hAnsi="Garamond"/>
                <w:b/>
                <w:sz w:val="14"/>
                <w:szCs w:val="14"/>
              </w:rPr>
            </w:pPr>
          </w:p>
          <w:p w14:paraId="24811800" w14:textId="77777777" w:rsidR="00C61F48" w:rsidRPr="000436FB" w:rsidRDefault="00C61F48" w:rsidP="00BA13DB">
            <w:pPr>
              <w:pStyle w:val="TableParagraph"/>
              <w:rPr>
                <w:rFonts w:ascii="Garamond" w:hAnsi="Garamond"/>
                <w:b/>
                <w:sz w:val="14"/>
                <w:szCs w:val="14"/>
              </w:rPr>
            </w:pPr>
          </w:p>
          <w:p w14:paraId="07827D9D" w14:textId="77777777" w:rsidR="00C61F48" w:rsidRPr="000436FB" w:rsidRDefault="00C61F48" w:rsidP="00BA13DB">
            <w:pPr>
              <w:pStyle w:val="TableParagraph"/>
              <w:spacing w:before="8"/>
              <w:rPr>
                <w:rFonts w:ascii="Garamond" w:hAnsi="Garamond"/>
                <w:b/>
                <w:sz w:val="14"/>
                <w:szCs w:val="14"/>
              </w:rPr>
            </w:pPr>
          </w:p>
          <w:p w14:paraId="341999B2" w14:textId="77777777" w:rsidR="00C61F48" w:rsidRPr="000436FB" w:rsidRDefault="00C61F48" w:rsidP="00BA13DB">
            <w:pPr>
              <w:pStyle w:val="TableParagraph"/>
              <w:spacing w:before="1"/>
              <w:ind w:left="198" w:right="196"/>
              <w:jc w:val="center"/>
              <w:rPr>
                <w:rFonts w:ascii="Garamond" w:hAnsi="Garamond"/>
                <w:sz w:val="14"/>
                <w:szCs w:val="14"/>
              </w:rPr>
            </w:pPr>
            <w:r w:rsidRPr="000436FB">
              <w:rPr>
                <w:rFonts w:ascii="Garamond" w:hAnsi="Garamond"/>
                <w:sz w:val="14"/>
                <w:szCs w:val="14"/>
              </w:rPr>
              <w:t>1 190 000</w:t>
            </w:r>
          </w:p>
        </w:tc>
        <w:tc>
          <w:tcPr>
            <w:tcW w:w="564" w:type="pct"/>
            <w:shd w:val="clear" w:color="auto" w:fill="CCCCFF"/>
          </w:tcPr>
          <w:p w14:paraId="552A1B34" w14:textId="77777777" w:rsidR="00C61F48" w:rsidRPr="000436FB" w:rsidRDefault="00C61F48" w:rsidP="00BA13DB">
            <w:pPr>
              <w:pStyle w:val="TableParagraph"/>
              <w:rPr>
                <w:rFonts w:ascii="Garamond" w:hAnsi="Garamond"/>
                <w:b/>
                <w:sz w:val="14"/>
                <w:szCs w:val="14"/>
              </w:rPr>
            </w:pPr>
          </w:p>
          <w:p w14:paraId="4B62760D" w14:textId="77777777" w:rsidR="00C61F48" w:rsidRPr="000436FB" w:rsidRDefault="00C61F48" w:rsidP="00BA13DB">
            <w:pPr>
              <w:pStyle w:val="TableParagraph"/>
              <w:rPr>
                <w:rFonts w:ascii="Garamond" w:hAnsi="Garamond"/>
                <w:b/>
                <w:sz w:val="14"/>
                <w:szCs w:val="14"/>
              </w:rPr>
            </w:pPr>
          </w:p>
          <w:p w14:paraId="1B57BA99" w14:textId="77777777" w:rsidR="00C61F48" w:rsidRPr="000436FB" w:rsidRDefault="00C61F48" w:rsidP="00BA13DB">
            <w:pPr>
              <w:pStyle w:val="TableParagraph"/>
              <w:spacing w:before="8"/>
              <w:rPr>
                <w:rFonts w:ascii="Garamond" w:hAnsi="Garamond"/>
                <w:b/>
                <w:sz w:val="14"/>
                <w:szCs w:val="14"/>
              </w:rPr>
            </w:pPr>
          </w:p>
          <w:p w14:paraId="0F9E4C50" w14:textId="77777777" w:rsidR="00C61F48" w:rsidRPr="000436FB" w:rsidRDefault="00C61F48" w:rsidP="00BA13DB">
            <w:pPr>
              <w:pStyle w:val="TableParagraph"/>
              <w:spacing w:before="1"/>
              <w:ind w:left="215" w:right="215"/>
              <w:jc w:val="center"/>
              <w:rPr>
                <w:rFonts w:ascii="Garamond" w:hAnsi="Garamond"/>
                <w:sz w:val="14"/>
                <w:szCs w:val="14"/>
              </w:rPr>
            </w:pPr>
            <w:r w:rsidRPr="000436FB">
              <w:rPr>
                <w:rFonts w:ascii="Garamond" w:hAnsi="Garamond"/>
                <w:sz w:val="14"/>
                <w:szCs w:val="14"/>
              </w:rPr>
              <w:t>1 700 000</w:t>
            </w:r>
          </w:p>
        </w:tc>
        <w:tc>
          <w:tcPr>
            <w:tcW w:w="557" w:type="pct"/>
            <w:shd w:val="clear" w:color="auto" w:fill="CCCCFF"/>
          </w:tcPr>
          <w:p w14:paraId="46E24C8A" w14:textId="77777777" w:rsidR="00C61F48" w:rsidRPr="000436FB" w:rsidRDefault="00C61F48" w:rsidP="00BA13DB">
            <w:pPr>
              <w:pStyle w:val="TableParagraph"/>
              <w:rPr>
                <w:rFonts w:ascii="Garamond" w:hAnsi="Garamond"/>
                <w:b/>
                <w:sz w:val="14"/>
                <w:szCs w:val="14"/>
              </w:rPr>
            </w:pPr>
          </w:p>
          <w:p w14:paraId="729F1BCD" w14:textId="77777777" w:rsidR="00C61F48" w:rsidRPr="000436FB" w:rsidRDefault="00C61F48" w:rsidP="00BA13DB">
            <w:pPr>
              <w:pStyle w:val="TableParagraph"/>
              <w:rPr>
                <w:rFonts w:ascii="Garamond" w:hAnsi="Garamond"/>
                <w:b/>
                <w:sz w:val="14"/>
                <w:szCs w:val="14"/>
              </w:rPr>
            </w:pPr>
          </w:p>
          <w:p w14:paraId="5CFA8739" w14:textId="77777777" w:rsidR="00C61F48" w:rsidRPr="000436FB" w:rsidRDefault="00C61F48" w:rsidP="00BA13DB">
            <w:pPr>
              <w:pStyle w:val="TableParagraph"/>
              <w:spacing w:before="8"/>
              <w:rPr>
                <w:rFonts w:ascii="Garamond" w:hAnsi="Garamond"/>
                <w:b/>
                <w:sz w:val="14"/>
                <w:szCs w:val="14"/>
              </w:rPr>
            </w:pPr>
          </w:p>
          <w:p w14:paraId="12228A60" w14:textId="77777777" w:rsidR="00C61F48" w:rsidRPr="000436FB" w:rsidRDefault="00C61F48" w:rsidP="00BA13DB">
            <w:pPr>
              <w:pStyle w:val="TableParagraph"/>
              <w:spacing w:before="1"/>
              <w:ind w:left="207" w:right="207"/>
              <w:jc w:val="center"/>
              <w:rPr>
                <w:rFonts w:ascii="Garamond" w:hAnsi="Garamond"/>
                <w:sz w:val="14"/>
                <w:szCs w:val="14"/>
              </w:rPr>
            </w:pPr>
            <w:r w:rsidRPr="000436FB">
              <w:rPr>
                <w:rFonts w:ascii="Garamond" w:hAnsi="Garamond"/>
                <w:sz w:val="14"/>
                <w:szCs w:val="14"/>
              </w:rPr>
              <w:t>1 700 000</w:t>
            </w:r>
          </w:p>
        </w:tc>
        <w:tc>
          <w:tcPr>
            <w:tcW w:w="498" w:type="pct"/>
            <w:tcBorders>
              <w:right w:val="single" w:sz="52" w:space="0" w:color="CCFFFF"/>
            </w:tcBorders>
            <w:shd w:val="clear" w:color="auto" w:fill="CCCCFF"/>
          </w:tcPr>
          <w:p w14:paraId="5223313B" w14:textId="77777777" w:rsidR="00C61F48" w:rsidRPr="000436FB" w:rsidRDefault="00C61F48" w:rsidP="00BA13DB">
            <w:pPr>
              <w:pStyle w:val="TableParagraph"/>
              <w:rPr>
                <w:rFonts w:ascii="Garamond" w:hAnsi="Garamond"/>
                <w:b/>
                <w:sz w:val="14"/>
                <w:szCs w:val="14"/>
              </w:rPr>
            </w:pPr>
          </w:p>
          <w:p w14:paraId="2B2492A8" w14:textId="77777777" w:rsidR="00C61F48" w:rsidRPr="000436FB" w:rsidRDefault="00C61F48" w:rsidP="00BA13DB">
            <w:pPr>
              <w:pStyle w:val="TableParagraph"/>
              <w:rPr>
                <w:rFonts w:ascii="Garamond" w:hAnsi="Garamond"/>
                <w:b/>
                <w:sz w:val="14"/>
                <w:szCs w:val="14"/>
              </w:rPr>
            </w:pPr>
          </w:p>
          <w:p w14:paraId="351AF1ED" w14:textId="77777777" w:rsidR="00C61F48" w:rsidRPr="000436FB" w:rsidRDefault="00C61F48" w:rsidP="00BA13DB">
            <w:pPr>
              <w:pStyle w:val="TableParagraph"/>
              <w:spacing w:before="8"/>
              <w:rPr>
                <w:rFonts w:ascii="Garamond" w:hAnsi="Garamond"/>
                <w:b/>
                <w:sz w:val="14"/>
                <w:szCs w:val="14"/>
              </w:rPr>
            </w:pPr>
          </w:p>
          <w:p w14:paraId="65BFE218" w14:textId="77777777" w:rsidR="00C61F48" w:rsidRPr="000436FB" w:rsidRDefault="00C61F48" w:rsidP="00BA13DB">
            <w:pPr>
              <w:pStyle w:val="TableParagraph"/>
              <w:spacing w:before="1"/>
              <w:ind w:left="141" w:right="98"/>
              <w:jc w:val="center"/>
              <w:rPr>
                <w:rFonts w:ascii="Garamond" w:hAnsi="Garamond"/>
                <w:sz w:val="14"/>
                <w:szCs w:val="14"/>
              </w:rPr>
            </w:pPr>
            <w:r w:rsidRPr="000436FB">
              <w:rPr>
                <w:rFonts w:ascii="Garamond" w:hAnsi="Garamond"/>
                <w:sz w:val="14"/>
                <w:szCs w:val="14"/>
              </w:rPr>
              <w:t>1 530 000</w:t>
            </w:r>
          </w:p>
        </w:tc>
        <w:tc>
          <w:tcPr>
            <w:tcW w:w="569" w:type="pct"/>
            <w:shd w:val="clear" w:color="auto" w:fill="CCFFFF"/>
          </w:tcPr>
          <w:p w14:paraId="0D519A20" w14:textId="77777777" w:rsidR="00C61F48" w:rsidRPr="000436FB" w:rsidRDefault="00C61F48" w:rsidP="00BA13DB">
            <w:pPr>
              <w:pStyle w:val="TableParagraph"/>
              <w:rPr>
                <w:rFonts w:ascii="Garamond" w:hAnsi="Garamond"/>
                <w:b/>
                <w:sz w:val="14"/>
                <w:szCs w:val="14"/>
              </w:rPr>
            </w:pPr>
          </w:p>
          <w:p w14:paraId="0E926437" w14:textId="77777777" w:rsidR="00C61F48" w:rsidRPr="000436FB" w:rsidRDefault="00C61F48" w:rsidP="00BA13DB">
            <w:pPr>
              <w:pStyle w:val="TableParagraph"/>
              <w:rPr>
                <w:rFonts w:ascii="Garamond" w:hAnsi="Garamond"/>
                <w:b/>
                <w:sz w:val="14"/>
                <w:szCs w:val="14"/>
              </w:rPr>
            </w:pPr>
          </w:p>
          <w:p w14:paraId="211B5A5D" w14:textId="77777777" w:rsidR="00C61F48" w:rsidRPr="000436FB" w:rsidRDefault="00C61F48" w:rsidP="00BA13DB">
            <w:pPr>
              <w:pStyle w:val="TableParagraph"/>
              <w:spacing w:before="8"/>
              <w:rPr>
                <w:rFonts w:ascii="Garamond" w:hAnsi="Garamond"/>
                <w:b/>
                <w:sz w:val="14"/>
                <w:szCs w:val="14"/>
              </w:rPr>
            </w:pPr>
          </w:p>
          <w:p w14:paraId="31666718" w14:textId="77777777" w:rsidR="00C61F48" w:rsidRPr="000436FB" w:rsidRDefault="00C61F48" w:rsidP="00BA13DB">
            <w:pPr>
              <w:pStyle w:val="TableParagraph"/>
              <w:spacing w:before="1"/>
              <w:ind w:left="140" w:right="140"/>
              <w:jc w:val="center"/>
              <w:rPr>
                <w:rFonts w:ascii="Garamond" w:hAnsi="Garamond"/>
                <w:sz w:val="14"/>
                <w:szCs w:val="14"/>
              </w:rPr>
            </w:pPr>
            <w:r w:rsidRPr="000436FB">
              <w:rPr>
                <w:rFonts w:ascii="Garamond" w:hAnsi="Garamond"/>
                <w:sz w:val="14"/>
                <w:szCs w:val="14"/>
              </w:rPr>
              <w:t>10 710 000</w:t>
            </w:r>
          </w:p>
        </w:tc>
      </w:tr>
      <w:tr w:rsidR="00C61F48" w:rsidRPr="000436FB" w14:paraId="25E7F86B" w14:textId="77777777" w:rsidTr="000436FB">
        <w:trPr>
          <w:trHeight w:hRule="exact" w:val="419"/>
          <w:jc w:val="center"/>
        </w:trPr>
        <w:tc>
          <w:tcPr>
            <w:tcW w:w="609" w:type="pct"/>
            <w:tcBorders>
              <w:bottom w:val="single" w:sz="24" w:space="0" w:color="CCFFFF"/>
            </w:tcBorders>
            <w:shd w:val="clear" w:color="auto" w:fill="C0C0C0"/>
          </w:tcPr>
          <w:p w14:paraId="1D936776" w14:textId="77777777" w:rsidR="00C61F48" w:rsidRPr="000436FB" w:rsidRDefault="00C61F48" w:rsidP="00BA13DB">
            <w:pPr>
              <w:pStyle w:val="TableParagraph"/>
              <w:spacing w:before="155" w:line="242" w:lineRule="auto"/>
              <w:ind w:left="100"/>
              <w:rPr>
                <w:rFonts w:ascii="Garamond" w:hAnsi="Garamond"/>
                <w:sz w:val="14"/>
                <w:szCs w:val="14"/>
              </w:rPr>
            </w:pPr>
            <w:r w:rsidRPr="000436FB">
              <w:rPr>
                <w:rFonts w:ascii="Garamond" w:hAnsi="Garamond"/>
                <w:w w:val="95"/>
                <w:sz w:val="14"/>
                <w:szCs w:val="14"/>
              </w:rPr>
              <w:t xml:space="preserve">Asistenca </w:t>
            </w:r>
            <w:r w:rsidRPr="000436FB">
              <w:rPr>
                <w:rFonts w:ascii="Garamond" w:hAnsi="Garamond"/>
                <w:sz w:val="14"/>
                <w:szCs w:val="14"/>
              </w:rPr>
              <w:t>Teknike</w:t>
            </w:r>
          </w:p>
        </w:tc>
        <w:tc>
          <w:tcPr>
            <w:tcW w:w="558" w:type="pct"/>
            <w:shd w:val="clear" w:color="auto" w:fill="CCCCFF"/>
          </w:tcPr>
          <w:p w14:paraId="3AF4CE2B" w14:textId="77777777" w:rsidR="00C61F48" w:rsidRPr="000436FB" w:rsidRDefault="00C61F48" w:rsidP="00BA13DB">
            <w:pPr>
              <w:pStyle w:val="TableParagraph"/>
              <w:spacing w:before="9"/>
              <w:rPr>
                <w:rFonts w:ascii="Garamond" w:hAnsi="Garamond"/>
                <w:b/>
                <w:sz w:val="14"/>
                <w:szCs w:val="14"/>
              </w:rPr>
            </w:pPr>
          </w:p>
          <w:p w14:paraId="5C961937" w14:textId="77777777" w:rsidR="00C61F48" w:rsidRPr="000436FB" w:rsidRDefault="00C61F48" w:rsidP="00BA13DB">
            <w:pPr>
              <w:pStyle w:val="TableParagraph"/>
              <w:ind w:left="181" w:right="181"/>
              <w:jc w:val="center"/>
              <w:rPr>
                <w:rFonts w:ascii="Garamond" w:hAnsi="Garamond"/>
                <w:sz w:val="14"/>
                <w:szCs w:val="14"/>
              </w:rPr>
            </w:pPr>
            <w:r w:rsidRPr="000436FB">
              <w:rPr>
                <w:rFonts w:ascii="Garamond" w:hAnsi="Garamond"/>
                <w:sz w:val="14"/>
                <w:szCs w:val="14"/>
              </w:rPr>
              <w:t>510 000</w:t>
            </w:r>
          </w:p>
        </w:tc>
        <w:tc>
          <w:tcPr>
            <w:tcW w:w="543" w:type="pct"/>
            <w:tcBorders>
              <w:bottom w:val="single" w:sz="24" w:space="0" w:color="CCFFFF"/>
            </w:tcBorders>
            <w:shd w:val="clear" w:color="auto" w:fill="CCCCFF"/>
          </w:tcPr>
          <w:p w14:paraId="05524BC5" w14:textId="77777777" w:rsidR="00C61F48" w:rsidRPr="000436FB" w:rsidRDefault="00C61F48" w:rsidP="00BA13DB">
            <w:pPr>
              <w:pStyle w:val="TableParagraph"/>
              <w:spacing w:before="10"/>
              <w:rPr>
                <w:rFonts w:ascii="Garamond" w:hAnsi="Garamond"/>
                <w:b/>
                <w:sz w:val="14"/>
                <w:szCs w:val="14"/>
              </w:rPr>
            </w:pPr>
          </w:p>
          <w:p w14:paraId="4131708D" w14:textId="77777777" w:rsidR="00C61F48" w:rsidRPr="000436FB" w:rsidRDefault="00C61F48" w:rsidP="00BA13DB">
            <w:pPr>
              <w:pStyle w:val="TableParagraph"/>
              <w:jc w:val="center"/>
              <w:rPr>
                <w:rFonts w:ascii="Garamond" w:hAnsi="Garamond"/>
                <w:sz w:val="14"/>
                <w:szCs w:val="14"/>
              </w:rPr>
            </w:pPr>
            <w:r w:rsidRPr="000436FB">
              <w:rPr>
                <w:rFonts w:ascii="Garamond" w:hAnsi="Garamond"/>
                <w:w w:val="99"/>
                <w:sz w:val="14"/>
                <w:szCs w:val="14"/>
              </w:rPr>
              <w:t>0</w:t>
            </w:r>
          </w:p>
        </w:tc>
        <w:tc>
          <w:tcPr>
            <w:tcW w:w="553" w:type="pct"/>
            <w:shd w:val="clear" w:color="auto" w:fill="CCCCFF"/>
          </w:tcPr>
          <w:p w14:paraId="20B79C9A" w14:textId="77777777" w:rsidR="00C61F48" w:rsidRPr="000436FB" w:rsidRDefault="00C61F48" w:rsidP="00BA13DB">
            <w:pPr>
              <w:pStyle w:val="TableParagraph"/>
              <w:spacing w:before="10"/>
              <w:rPr>
                <w:rFonts w:ascii="Garamond" w:hAnsi="Garamond"/>
                <w:b/>
                <w:sz w:val="14"/>
                <w:szCs w:val="14"/>
              </w:rPr>
            </w:pPr>
          </w:p>
          <w:p w14:paraId="3EFF8F72" w14:textId="77777777" w:rsidR="00C61F48" w:rsidRPr="000436FB" w:rsidRDefault="00C61F48" w:rsidP="00BA13DB">
            <w:pPr>
              <w:pStyle w:val="TableParagraph"/>
              <w:jc w:val="center"/>
              <w:rPr>
                <w:rFonts w:ascii="Garamond" w:hAnsi="Garamond"/>
                <w:sz w:val="14"/>
                <w:szCs w:val="14"/>
              </w:rPr>
            </w:pPr>
            <w:r w:rsidRPr="000436FB">
              <w:rPr>
                <w:rFonts w:ascii="Garamond" w:hAnsi="Garamond"/>
                <w:w w:val="99"/>
                <w:sz w:val="14"/>
                <w:szCs w:val="14"/>
              </w:rPr>
              <w:t>0</w:t>
            </w:r>
          </w:p>
        </w:tc>
        <w:tc>
          <w:tcPr>
            <w:tcW w:w="548" w:type="pct"/>
            <w:shd w:val="clear" w:color="auto" w:fill="CCCCFF"/>
          </w:tcPr>
          <w:p w14:paraId="6D2ED789" w14:textId="77777777" w:rsidR="00C61F48" w:rsidRPr="000436FB" w:rsidRDefault="00C61F48" w:rsidP="00BA13DB">
            <w:pPr>
              <w:pStyle w:val="TableParagraph"/>
              <w:spacing w:before="9"/>
              <w:rPr>
                <w:rFonts w:ascii="Garamond" w:hAnsi="Garamond"/>
                <w:b/>
                <w:sz w:val="14"/>
                <w:szCs w:val="14"/>
              </w:rPr>
            </w:pPr>
          </w:p>
          <w:p w14:paraId="390F9BC8" w14:textId="77777777" w:rsidR="00C61F48" w:rsidRPr="000436FB" w:rsidRDefault="00C61F48" w:rsidP="00BA13DB">
            <w:pPr>
              <w:pStyle w:val="TableParagraph"/>
              <w:ind w:left="198" w:right="196"/>
              <w:jc w:val="center"/>
              <w:rPr>
                <w:rFonts w:ascii="Garamond" w:hAnsi="Garamond"/>
                <w:sz w:val="14"/>
                <w:szCs w:val="14"/>
              </w:rPr>
            </w:pPr>
            <w:r w:rsidRPr="000436FB">
              <w:rPr>
                <w:rFonts w:ascii="Garamond" w:hAnsi="Garamond"/>
                <w:sz w:val="14"/>
                <w:szCs w:val="14"/>
              </w:rPr>
              <w:t>510 000</w:t>
            </w:r>
          </w:p>
        </w:tc>
        <w:tc>
          <w:tcPr>
            <w:tcW w:w="564" w:type="pct"/>
            <w:shd w:val="clear" w:color="auto" w:fill="CCCCFF"/>
          </w:tcPr>
          <w:p w14:paraId="26D8089F" w14:textId="77777777" w:rsidR="00C61F48" w:rsidRPr="000436FB" w:rsidRDefault="00C61F48" w:rsidP="00BA13DB">
            <w:pPr>
              <w:pStyle w:val="TableParagraph"/>
              <w:spacing w:before="10"/>
              <w:rPr>
                <w:rFonts w:ascii="Garamond" w:hAnsi="Garamond"/>
                <w:b/>
                <w:sz w:val="14"/>
                <w:szCs w:val="14"/>
              </w:rPr>
            </w:pPr>
          </w:p>
          <w:p w14:paraId="48CF81BF" w14:textId="77777777" w:rsidR="00C61F48" w:rsidRPr="000436FB" w:rsidRDefault="00C61F48" w:rsidP="00BA13DB">
            <w:pPr>
              <w:pStyle w:val="TableParagraph"/>
              <w:jc w:val="center"/>
              <w:rPr>
                <w:rFonts w:ascii="Garamond" w:hAnsi="Garamond"/>
                <w:sz w:val="14"/>
                <w:szCs w:val="14"/>
              </w:rPr>
            </w:pPr>
            <w:r w:rsidRPr="000436FB">
              <w:rPr>
                <w:rFonts w:ascii="Garamond" w:hAnsi="Garamond"/>
                <w:w w:val="99"/>
                <w:sz w:val="14"/>
                <w:szCs w:val="14"/>
              </w:rPr>
              <w:t>0</w:t>
            </w:r>
          </w:p>
        </w:tc>
        <w:tc>
          <w:tcPr>
            <w:tcW w:w="557" w:type="pct"/>
            <w:shd w:val="clear" w:color="auto" w:fill="CCCCFF"/>
          </w:tcPr>
          <w:p w14:paraId="5BB148E3" w14:textId="77777777" w:rsidR="00C61F48" w:rsidRPr="000436FB" w:rsidRDefault="00C61F48" w:rsidP="00BA13DB">
            <w:pPr>
              <w:pStyle w:val="TableParagraph"/>
              <w:spacing w:before="10"/>
              <w:rPr>
                <w:rFonts w:ascii="Garamond" w:hAnsi="Garamond"/>
                <w:b/>
                <w:sz w:val="14"/>
                <w:szCs w:val="14"/>
              </w:rPr>
            </w:pPr>
          </w:p>
          <w:p w14:paraId="3B4617C3" w14:textId="77777777" w:rsidR="00C61F48" w:rsidRPr="000436FB" w:rsidRDefault="00C61F48" w:rsidP="00BA13DB">
            <w:pPr>
              <w:pStyle w:val="TableParagraph"/>
              <w:jc w:val="center"/>
              <w:rPr>
                <w:rFonts w:ascii="Garamond" w:hAnsi="Garamond"/>
                <w:sz w:val="14"/>
                <w:szCs w:val="14"/>
              </w:rPr>
            </w:pPr>
            <w:r w:rsidRPr="000436FB">
              <w:rPr>
                <w:rFonts w:ascii="Garamond" w:hAnsi="Garamond"/>
                <w:w w:val="99"/>
                <w:sz w:val="14"/>
                <w:szCs w:val="14"/>
              </w:rPr>
              <w:t>0</w:t>
            </w:r>
          </w:p>
        </w:tc>
        <w:tc>
          <w:tcPr>
            <w:tcW w:w="498" w:type="pct"/>
            <w:tcBorders>
              <w:right w:val="single" w:sz="52" w:space="0" w:color="CCFFFF"/>
            </w:tcBorders>
            <w:shd w:val="clear" w:color="auto" w:fill="CCCCFF"/>
          </w:tcPr>
          <w:p w14:paraId="0B0A71E1" w14:textId="77777777" w:rsidR="00C61F48" w:rsidRPr="000436FB" w:rsidRDefault="00C61F48" w:rsidP="00BA13DB">
            <w:pPr>
              <w:pStyle w:val="TableParagraph"/>
              <w:spacing w:before="9"/>
              <w:rPr>
                <w:rFonts w:ascii="Garamond" w:hAnsi="Garamond"/>
                <w:b/>
                <w:sz w:val="14"/>
                <w:szCs w:val="14"/>
              </w:rPr>
            </w:pPr>
          </w:p>
          <w:p w14:paraId="2ABF76A4" w14:textId="77777777" w:rsidR="00C61F48" w:rsidRPr="000436FB" w:rsidRDefault="00C61F48" w:rsidP="00BA13DB">
            <w:pPr>
              <w:pStyle w:val="TableParagraph"/>
              <w:ind w:left="141" w:right="98"/>
              <w:jc w:val="center"/>
              <w:rPr>
                <w:rFonts w:ascii="Garamond" w:hAnsi="Garamond"/>
                <w:sz w:val="14"/>
                <w:szCs w:val="14"/>
              </w:rPr>
            </w:pPr>
            <w:r w:rsidRPr="000436FB">
              <w:rPr>
                <w:rFonts w:ascii="Garamond" w:hAnsi="Garamond"/>
                <w:sz w:val="14"/>
                <w:szCs w:val="14"/>
              </w:rPr>
              <w:t>170 000</w:t>
            </w:r>
          </w:p>
        </w:tc>
        <w:tc>
          <w:tcPr>
            <w:tcW w:w="569" w:type="pct"/>
            <w:shd w:val="clear" w:color="auto" w:fill="CCFFFF"/>
          </w:tcPr>
          <w:p w14:paraId="0E374A5F" w14:textId="77777777" w:rsidR="00C61F48" w:rsidRPr="000436FB" w:rsidRDefault="00C61F48" w:rsidP="00BA13DB">
            <w:pPr>
              <w:pStyle w:val="TableParagraph"/>
              <w:spacing w:before="9"/>
              <w:rPr>
                <w:rFonts w:ascii="Garamond" w:hAnsi="Garamond"/>
                <w:b/>
                <w:sz w:val="14"/>
                <w:szCs w:val="14"/>
              </w:rPr>
            </w:pPr>
          </w:p>
          <w:p w14:paraId="7A2CDB5A" w14:textId="77777777" w:rsidR="00C61F48" w:rsidRPr="000436FB" w:rsidRDefault="00C61F48" w:rsidP="00BA13DB">
            <w:pPr>
              <w:pStyle w:val="TableParagraph"/>
              <w:ind w:left="140" w:right="140"/>
              <w:jc w:val="center"/>
              <w:rPr>
                <w:rFonts w:ascii="Garamond" w:hAnsi="Garamond"/>
                <w:sz w:val="14"/>
                <w:szCs w:val="14"/>
              </w:rPr>
            </w:pPr>
            <w:r w:rsidRPr="000436FB">
              <w:rPr>
                <w:rFonts w:ascii="Garamond" w:hAnsi="Garamond"/>
                <w:sz w:val="14"/>
                <w:szCs w:val="14"/>
              </w:rPr>
              <w:t>1 190 000</w:t>
            </w:r>
          </w:p>
        </w:tc>
      </w:tr>
      <w:tr w:rsidR="00C61F48" w:rsidRPr="000436FB" w14:paraId="0C052469" w14:textId="77777777" w:rsidTr="000436FB">
        <w:trPr>
          <w:trHeight w:hRule="exact" w:val="777"/>
          <w:jc w:val="center"/>
        </w:trPr>
        <w:tc>
          <w:tcPr>
            <w:tcW w:w="609" w:type="pct"/>
            <w:shd w:val="clear" w:color="auto" w:fill="CCFFFF"/>
          </w:tcPr>
          <w:p w14:paraId="4F31E9ED" w14:textId="77777777" w:rsidR="00C61F48" w:rsidRPr="000436FB" w:rsidRDefault="00C61F48" w:rsidP="00BA13DB">
            <w:pPr>
              <w:pStyle w:val="TableParagraph"/>
              <w:spacing w:before="29"/>
              <w:ind w:left="340" w:firstLine="64"/>
              <w:rPr>
                <w:rFonts w:ascii="Garamond" w:hAnsi="Garamond"/>
                <w:b/>
                <w:sz w:val="14"/>
                <w:szCs w:val="14"/>
              </w:rPr>
            </w:pPr>
            <w:r w:rsidRPr="000436FB">
              <w:rPr>
                <w:rFonts w:ascii="Garamond" w:hAnsi="Garamond"/>
                <w:b/>
                <w:sz w:val="14"/>
                <w:szCs w:val="14"/>
              </w:rPr>
              <w:t xml:space="preserve">Totali </w:t>
            </w:r>
            <w:r w:rsidRPr="000436FB">
              <w:rPr>
                <w:rFonts w:ascii="Garamond" w:hAnsi="Garamond"/>
                <w:b/>
                <w:w w:val="95"/>
                <w:sz w:val="14"/>
                <w:szCs w:val="14"/>
              </w:rPr>
              <w:t>(EURO)</w:t>
            </w:r>
          </w:p>
        </w:tc>
        <w:tc>
          <w:tcPr>
            <w:tcW w:w="558" w:type="pct"/>
            <w:shd w:val="clear" w:color="auto" w:fill="CCFFFF"/>
          </w:tcPr>
          <w:p w14:paraId="48E806C2" w14:textId="77777777" w:rsidR="00C61F48" w:rsidRPr="000436FB" w:rsidRDefault="00C61F48" w:rsidP="00BA13DB">
            <w:pPr>
              <w:pStyle w:val="TableParagraph"/>
              <w:spacing w:before="4"/>
              <w:rPr>
                <w:rFonts w:ascii="Garamond" w:hAnsi="Garamond"/>
                <w:b/>
                <w:sz w:val="14"/>
                <w:szCs w:val="14"/>
              </w:rPr>
            </w:pPr>
          </w:p>
          <w:p w14:paraId="08581C44" w14:textId="77777777" w:rsidR="00C61F48" w:rsidRPr="000436FB" w:rsidRDefault="00C61F48" w:rsidP="00BA13DB">
            <w:pPr>
              <w:pStyle w:val="TableParagraph"/>
              <w:ind w:left="181" w:right="181"/>
              <w:jc w:val="center"/>
              <w:rPr>
                <w:rFonts w:ascii="Garamond" w:hAnsi="Garamond"/>
                <w:b/>
                <w:sz w:val="14"/>
                <w:szCs w:val="14"/>
              </w:rPr>
            </w:pPr>
            <w:r w:rsidRPr="000436FB">
              <w:rPr>
                <w:rFonts w:ascii="Garamond" w:hAnsi="Garamond"/>
                <w:b/>
                <w:sz w:val="14"/>
                <w:szCs w:val="14"/>
              </w:rPr>
              <w:t>1 700 000</w:t>
            </w:r>
          </w:p>
        </w:tc>
        <w:tc>
          <w:tcPr>
            <w:tcW w:w="543" w:type="pct"/>
            <w:shd w:val="clear" w:color="auto" w:fill="CCFFFF"/>
          </w:tcPr>
          <w:p w14:paraId="374123BC" w14:textId="77777777" w:rsidR="00C61F48" w:rsidRPr="000436FB" w:rsidRDefault="00C61F48" w:rsidP="00BA13DB">
            <w:pPr>
              <w:pStyle w:val="TableParagraph"/>
              <w:spacing w:before="4"/>
              <w:rPr>
                <w:rFonts w:ascii="Garamond" w:hAnsi="Garamond"/>
                <w:b/>
                <w:sz w:val="14"/>
                <w:szCs w:val="14"/>
              </w:rPr>
            </w:pPr>
          </w:p>
          <w:p w14:paraId="5904C4A1" w14:textId="77777777" w:rsidR="00C61F48" w:rsidRPr="000436FB" w:rsidRDefault="00C61F48" w:rsidP="00BA13DB">
            <w:pPr>
              <w:pStyle w:val="TableParagraph"/>
              <w:ind w:left="193" w:right="192"/>
              <w:jc w:val="center"/>
              <w:rPr>
                <w:rFonts w:ascii="Garamond" w:hAnsi="Garamond"/>
                <w:b/>
                <w:sz w:val="14"/>
                <w:szCs w:val="14"/>
              </w:rPr>
            </w:pPr>
            <w:r w:rsidRPr="000436FB">
              <w:rPr>
                <w:rFonts w:ascii="Garamond" w:hAnsi="Garamond"/>
                <w:b/>
                <w:sz w:val="14"/>
                <w:szCs w:val="14"/>
              </w:rPr>
              <w:t>1 700 000</w:t>
            </w:r>
          </w:p>
        </w:tc>
        <w:tc>
          <w:tcPr>
            <w:tcW w:w="553" w:type="pct"/>
            <w:shd w:val="clear" w:color="auto" w:fill="CCFFFF"/>
          </w:tcPr>
          <w:p w14:paraId="26F82C75" w14:textId="77777777" w:rsidR="00C61F48" w:rsidRPr="000436FB" w:rsidRDefault="00C61F48" w:rsidP="00BA13DB">
            <w:pPr>
              <w:pStyle w:val="TableParagraph"/>
              <w:spacing w:before="4"/>
              <w:rPr>
                <w:rFonts w:ascii="Garamond" w:hAnsi="Garamond"/>
                <w:b/>
                <w:sz w:val="14"/>
                <w:szCs w:val="14"/>
              </w:rPr>
            </w:pPr>
          </w:p>
          <w:p w14:paraId="19CE416C" w14:textId="77777777" w:rsidR="00C61F48" w:rsidRPr="000436FB" w:rsidRDefault="00C61F48" w:rsidP="00BA13DB">
            <w:pPr>
              <w:pStyle w:val="TableParagraph"/>
              <w:ind w:left="203" w:right="203"/>
              <w:jc w:val="center"/>
              <w:rPr>
                <w:rFonts w:ascii="Garamond" w:hAnsi="Garamond"/>
                <w:b/>
                <w:sz w:val="14"/>
                <w:szCs w:val="14"/>
              </w:rPr>
            </w:pPr>
            <w:r w:rsidRPr="000436FB">
              <w:rPr>
                <w:rFonts w:ascii="Garamond" w:hAnsi="Garamond"/>
                <w:b/>
                <w:sz w:val="14"/>
                <w:szCs w:val="14"/>
              </w:rPr>
              <w:t>1 700 000</w:t>
            </w:r>
          </w:p>
        </w:tc>
        <w:tc>
          <w:tcPr>
            <w:tcW w:w="548" w:type="pct"/>
            <w:shd w:val="clear" w:color="auto" w:fill="CCFFFF"/>
          </w:tcPr>
          <w:p w14:paraId="18B09990" w14:textId="77777777" w:rsidR="00C61F48" w:rsidRPr="000436FB" w:rsidRDefault="00C61F48" w:rsidP="00BA13DB">
            <w:pPr>
              <w:pStyle w:val="TableParagraph"/>
              <w:spacing w:before="4"/>
              <w:rPr>
                <w:rFonts w:ascii="Garamond" w:hAnsi="Garamond"/>
                <w:b/>
                <w:sz w:val="14"/>
                <w:szCs w:val="14"/>
              </w:rPr>
            </w:pPr>
          </w:p>
          <w:p w14:paraId="49FFEE2C" w14:textId="77777777" w:rsidR="00C61F48" w:rsidRPr="000436FB" w:rsidRDefault="00C61F48" w:rsidP="00BA13DB">
            <w:pPr>
              <w:pStyle w:val="TableParagraph"/>
              <w:ind w:left="198" w:right="196"/>
              <w:jc w:val="center"/>
              <w:rPr>
                <w:rFonts w:ascii="Garamond" w:hAnsi="Garamond"/>
                <w:b/>
                <w:sz w:val="14"/>
                <w:szCs w:val="14"/>
              </w:rPr>
            </w:pPr>
            <w:r w:rsidRPr="000436FB">
              <w:rPr>
                <w:rFonts w:ascii="Garamond" w:hAnsi="Garamond"/>
                <w:b/>
                <w:sz w:val="14"/>
                <w:szCs w:val="14"/>
              </w:rPr>
              <w:t>1 700 000</w:t>
            </w:r>
          </w:p>
        </w:tc>
        <w:tc>
          <w:tcPr>
            <w:tcW w:w="564" w:type="pct"/>
            <w:shd w:val="clear" w:color="auto" w:fill="CCFFFF"/>
          </w:tcPr>
          <w:p w14:paraId="7A60E50C" w14:textId="77777777" w:rsidR="00C61F48" w:rsidRPr="000436FB" w:rsidRDefault="00C61F48" w:rsidP="00BA13DB">
            <w:pPr>
              <w:pStyle w:val="TableParagraph"/>
              <w:spacing w:before="4"/>
              <w:rPr>
                <w:rFonts w:ascii="Garamond" w:hAnsi="Garamond"/>
                <w:b/>
                <w:sz w:val="14"/>
                <w:szCs w:val="14"/>
              </w:rPr>
            </w:pPr>
          </w:p>
          <w:p w14:paraId="7240001B" w14:textId="77777777" w:rsidR="00C61F48" w:rsidRPr="000436FB" w:rsidRDefault="00C61F48" w:rsidP="00BA13DB">
            <w:pPr>
              <w:pStyle w:val="TableParagraph"/>
              <w:ind w:left="215" w:right="215"/>
              <w:jc w:val="center"/>
              <w:rPr>
                <w:rFonts w:ascii="Garamond" w:hAnsi="Garamond"/>
                <w:b/>
                <w:sz w:val="14"/>
                <w:szCs w:val="14"/>
              </w:rPr>
            </w:pPr>
            <w:r w:rsidRPr="000436FB">
              <w:rPr>
                <w:rFonts w:ascii="Garamond" w:hAnsi="Garamond"/>
                <w:b/>
                <w:sz w:val="14"/>
                <w:szCs w:val="14"/>
              </w:rPr>
              <w:t>1 700 000</w:t>
            </w:r>
          </w:p>
        </w:tc>
        <w:tc>
          <w:tcPr>
            <w:tcW w:w="557" w:type="pct"/>
            <w:shd w:val="clear" w:color="auto" w:fill="CCFFFF"/>
          </w:tcPr>
          <w:p w14:paraId="1C510AAA" w14:textId="77777777" w:rsidR="00C61F48" w:rsidRPr="000436FB" w:rsidRDefault="00C61F48" w:rsidP="00BA13DB">
            <w:pPr>
              <w:pStyle w:val="TableParagraph"/>
              <w:spacing w:before="4"/>
              <w:rPr>
                <w:rFonts w:ascii="Garamond" w:hAnsi="Garamond"/>
                <w:b/>
                <w:sz w:val="14"/>
                <w:szCs w:val="14"/>
              </w:rPr>
            </w:pPr>
          </w:p>
          <w:p w14:paraId="6C12E32A" w14:textId="77777777" w:rsidR="00C61F48" w:rsidRPr="000436FB" w:rsidRDefault="00C61F48" w:rsidP="00BA13DB">
            <w:pPr>
              <w:pStyle w:val="TableParagraph"/>
              <w:ind w:left="207" w:right="207"/>
              <w:jc w:val="center"/>
              <w:rPr>
                <w:rFonts w:ascii="Garamond" w:hAnsi="Garamond"/>
                <w:b/>
                <w:sz w:val="14"/>
                <w:szCs w:val="14"/>
              </w:rPr>
            </w:pPr>
            <w:r w:rsidRPr="000436FB">
              <w:rPr>
                <w:rFonts w:ascii="Garamond" w:hAnsi="Garamond"/>
                <w:b/>
                <w:sz w:val="14"/>
                <w:szCs w:val="14"/>
              </w:rPr>
              <w:t>1 700 000</w:t>
            </w:r>
          </w:p>
        </w:tc>
        <w:tc>
          <w:tcPr>
            <w:tcW w:w="498" w:type="pct"/>
            <w:shd w:val="clear" w:color="auto" w:fill="CCFFFF"/>
          </w:tcPr>
          <w:p w14:paraId="2BA1A012" w14:textId="77777777" w:rsidR="00C61F48" w:rsidRPr="000436FB" w:rsidRDefault="00C61F48" w:rsidP="00BA13DB">
            <w:pPr>
              <w:pStyle w:val="TableParagraph"/>
              <w:spacing w:before="4"/>
              <w:rPr>
                <w:rFonts w:ascii="Garamond" w:hAnsi="Garamond"/>
                <w:b/>
                <w:sz w:val="14"/>
                <w:szCs w:val="14"/>
              </w:rPr>
            </w:pPr>
          </w:p>
          <w:p w14:paraId="728695E6" w14:textId="77777777" w:rsidR="00C61F48" w:rsidRPr="000436FB" w:rsidRDefault="00C61F48" w:rsidP="00BA13DB">
            <w:pPr>
              <w:pStyle w:val="TableParagraph"/>
              <w:ind w:left="142" w:right="147"/>
              <w:jc w:val="center"/>
              <w:rPr>
                <w:rFonts w:ascii="Garamond" w:hAnsi="Garamond"/>
                <w:b/>
                <w:sz w:val="14"/>
                <w:szCs w:val="14"/>
              </w:rPr>
            </w:pPr>
            <w:r w:rsidRPr="000436FB">
              <w:rPr>
                <w:rFonts w:ascii="Garamond" w:hAnsi="Garamond"/>
                <w:b/>
                <w:sz w:val="14"/>
                <w:szCs w:val="14"/>
              </w:rPr>
              <w:t>1 700 000</w:t>
            </w:r>
          </w:p>
        </w:tc>
        <w:tc>
          <w:tcPr>
            <w:tcW w:w="569" w:type="pct"/>
            <w:shd w:val="clear" w:color="auto" w:fill="CCFFFF"/>
          </w:tcPr>
          <w:p w14:paraId="30317DB6" w14:textId="77777777" w:rsidR="00C61F48" w:rsidRPr="000436FB" w:rsidRDefault="00C61F48" w:rsidP="00BA13DB">
            <w:pPr>
              <w:pStyle w:val="TableParagraph"/>
              <w:spacing w:before="7"/>
              <w:rPr>
                <w:rFonts w:ascii="Garamond" w:hAnsi="Garamond"/>
                <w:b/>
                <w:sz w:val="14"/>
                <w:szCs w:val="14"/>
              </w:rPr>
            </w:pPr>
          </w:p>
          <w:p w14:paraId="75B06AFB" w14:textId="77777777" w:rsidR="00C61F48" w:rsidRPr="000436FB" w:rsidRDefault="00C61F48" w:rsidP="00BA13DB">
            <w:pPr>
              <w:pStyle w:val="TableParagraph"/>
              <w:ind w:left="140" w:right="140"/>
              <w:jc w:val="center"/>
              <w:rPr>
                <w:rFonts w:ascii="Garamond" w:hAnsi="Garamond"/>
                <w:sz w:val="14"/>
                <w:szCs w:val="14"/>
              </w:rPr>
            </w:pPr>
            <w:r w:rsidRPr="000436FB">
              <w:rPr>
                <w:rFonts w:ascii="Garamond" w:hAnsi="Garamond"/>
                <w:sz w:val="14"/>
                <w:szCs w:val="14"/>
              </w:rPr>
              <w:t>11 900 000</w:t>
            </w:r>
          </w:p>
        </w:tc>
      </w:tr>
    </w:tbl>
    <w:p w14:paraId="3C52821F" w14:textId="77777777" w:rsidR="00C61F48" w:rsidRDefault="00C61F48" w:rsidP="00C61F48">
      <w:pPr>
        <w:pStyle w:val="BodyText"/>
        <w:spacing w:before="4"/>
        <w:rPr>
          <w:b/>
          <w:sz w:val="13"/>
        </w:rPr>
      </w:pPr>
    </w:p>
    <w:p w14:paraId="4456BF05" w14:textId="77777777" w:rsidR="00C61F48" w:rsidRDefault="00C61F48" w:rsidP="000436FB">
      <w:pPr>
        <w:pStyle w:val="TEKSTI"/>
      </w:pPr>
      <w:r>
        <w:t>Tabela 2: Alokimet indikative financiare për prioritet gjatë periudhës 2014-2020 dhe shkalla e kontributit të BE-së</w:t>
      </w:r>
    </w:p>
    <w:tbl>
      <w:tblPr>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left w:w="0" w:type="dxa"/>
          <w:right w:w="0" w:type="dxa"/>
        </w:tblCellMar>
        <w:tblLook w:val="01E0" w:firstRow="1" w:lastRow="1" w:firstColumn="1" w:lastColumn="1" w:noHBand="0" w:noVBand="0"/>
      </w:tblPr>
      <w:tblGrid>
        <w:gridCol w:w="4434"/>
        <w:gridCol w:w="1158"/>
        <w:gridCol w:w="1202"/>
        <w:gridCol w:w="1025"/>
        <w:gridCol w:w="1282"/>
      </w:tblGrid>
      <w:tr w:rsidR="00C61F48" w:rsidRPr="000436FB" w14:paraId="2C998810" w14:textId="77777777" w:rsidTr="000436FB">
        <w:trPr>
          <w:trHeight w:hRule="exact" w:val="533"/>
          <w:jc w:val="center"/>
        </w:trPr>
        <w:tc>
          <w:tcPr>
            <w:tcW w:w="2057" w:type="pct"/>
            <w:vMerge w:val="restart"/>
            <w:shd w:val="clear" w:color="auto" w:fill="C0C0C0"/>
          </w:tcPr>
          <w:p w14:paraId="4EEB01E6" w14:textId="77777777" w:rsidR="00C61F48" w:rsidRPr="000436FB" w:rsidRDefault="00C61F48" w:rsidP="00BA13DB">
            <w:pPr>
              <w:pStyle w:val="TableParagraph"/>
              <w:rPr>
                <w:rFonts w:ascii="Garamond" w:hAnsi="Garamond"/>
                <w:b/>
                <w:sz w:val="16"/>
                <w:szCs w:val="16"/>
              </w:rPr>
            </w:pPr>
          </w:p>
          <w:p w14:paraId="28B4C1A7" w14:textId="77777777" w:rsidR="00C61F48" w:rsidRPr="000436FB" w:rsidRDefault="00C61F48" w:rsidP="00BA13DB">
            <w:pPr>
              <w:pStyle w:val="TableParagraph"/>
              <w:rPr>
                <w:rFonts w:ascii="Garamond" w:hAnsi="Garamond"/>
                <w:b/>
                <w:sz w:val="16"/>
                <w:szCs w:val="16"/>
              </w:rPr>
            </w:pPr>
          </w:p>
          <w:p w14:paraId="3975E921" w14:textId="77777777" w:rsidR="00C61F48" w:rsidRPr="000436FB" w:rsidRDefault="00C61F48" w:rsidP="00BA13DB">
            <w:pPr>
              <w:pStyle w:val="TableParagraph"/>
              <w:spacing w:before="1"/>
              <w:rPr>
                <w:rFonts w:ascii="Garamond" w:hAnsi="Garamond"/>
                <w:b/>
                <w:sz w:val="16"/>
                <w:szCs w:val="16"/>
              </w:rPr>
            </w:pPr>
          </w:p>
          <w:p w14:paraId="7B7D5912" w14:textId="77777777" w:rsidR="00C61F48" w:rsidRPr="000436FB" w:rsidRDefault="00C61F48" w:rsidP="00BA13DB">
            <w:pPr>
              <w:pStyle w:val="TableParagraph"/>
              <w:spacing w:before="1"/>
              <w:ind w:left="1636" w:right="1636"/>
              <w:jc w:val="center"/>
              <w:rPr>
                <w:rFonts w:ascii="Garamond" w:hAnsi="Garamond"/>
                <w:b/>
                <w:sz w:val="16"/>
                <w:szCs w:val="16"/>
              </w:rPr>
            </w:pPr>
            <w:r w:rsidRPr="000436FB">
              <w:rPr>
                <w:rFonts w:ascii="Garamond" w:hAnsi="Garamond"/>
                <w:b/>
                <w:sz w:val="16"/>
                <w:szCs w:val="16"/>
              </w:rPr>
              <w:t>PRIORITETET</w:t>
            </w:r>
          </w:p>
        </w:tc>
        <w:tc>
          <w:tcPr>
            <w:tcW w:w="2943" w:type="pct"/>
            <w:gridSpan w:val="4"/>
            <w:shd w:val="clear" w:color="auto" w:fill="CCCCFF"/>
          </w:tcPr>
          <w:p w14:paraId="12CF0FB0" w14:textId="77777777" w:rsidR="00C61F48" w:rsidRPr="000436FB" w:rsidRDefault="00C61F48" w:rsidP="00BA13DB">
            <w:pPr>
              <w:pStyle w:val="TableParagraph"/>
              <w:spacing w:before="30"/>
              <w:ind w:left="1020"/>
              <w:rPr>
                <w:rFonts w:ascii="Garamond" w:hAnsi="Garamond"/>
                <w:b/>
                <w:sz w:val="16"/>
                <w:szCs w:val="16"/>
              </w:rPr>
            </w:pPr>
            <w:r w:rsidRPr="000436FB">
              <w:rPr>
                <w:rFonts w:ascii="Garamond" w:hAnsi="Garamond"/>
                <w:b/>
                <w:sz w:val="16"/>
                <w:szCs w:val="16"/>
              </w:rPr>
              <w:t>PROGRAMI IPA BNK MAL I ZI - SHQIPËRI 2014-2020</w:t>
            </w:r>
          </w:p>
        </w:tc>
      </w:tr>
      <w:tr w:rsidR="00C61F48" w:rsidRPr="000436FB" w14:paraId="24E1CBFF" w14:textId="77777777" w:rsidTr="000436FB">
        <w:trPr>
          <w:trHeight w:hRule="exact" w:val="775"/>
          <w:jc w:val="center"/>
        </w:trPr>
        <w:tc>
          <w:tcPr>
            <w:tcW w:w="2057" w:type="pct"/>
            <w:vMerge/>
            <w:shd w:val="clear" w:color="auto" w:fill="C0C0C0"/>
          </w:tcPr>
          <w:p w14:paraId="19059F56" w14:textId="77777777" w:rsidR="00C61F48" w:rsidRPr="000436FB" w:rsidRDefault="00C61F48" w:rsidP="00BA13DB">
            <w:pPr>
              <w:rPr>
                <w:rFonts w:ascii="Garamond" w:hAnsi="Garamond"/>
                <w:sz w:val="16"/>
                <w:szCs w:val="16"/>
              </w:rPr>
            </w:pPr>
          </w:p>
        </w:tc>
        <w:tc>
          <w:tcPr>
            <w:tcW w:w="661" w:type="pct"/>
            <w:shd w:val="clear" w:color="auto" w:fill="CCCCFF"/>
          </w:tcPr>
          <w:p w14:paraId="07BE71B3" w14:textId="77777777" w:rsidR="00C61F48" w:rsidRPr="000436FB" w:rsidRDefault="00C61F48" w:rsidP="00BA13DB">
            <w:pPr>
              <w:pStyle w:val="TableParagraph"/>
              <w:spacing w:before="28" w:line="242" w:lineRule="auto"/>
              <w:ind w:left="100" w:right="326"/>
              <w:rPr>
                <w:rFonts w:ascii="Garamond" w:hAnsi="Garamond"/>
                <w:b/>
                <w:sz w:val="16"/>
                <w:szCs w:val="16"/>
              </w:rPr>
            </w:pPr>
            <w:r w:rsidRPr="000436FB">
              <w:rPr>
                <w:rFonts w:ascii="Garamond" w:hAnsi="Garamond"/>
                <w:b/>
                <w:sz w:val="16"/>
                <w:szCs w:val="16"/>
              </w:rPr>
              <w:t>Kontributi i BE</w:t>
            </w:r>
          </w:p>
        </w:tc>
        <w:tc>
          <w:tcPr>
            <w:tcW w:w="811" w:type="pct"/>
            <w:tcBorders>
              <w:right w:val="single" w:sz="12" w:space="0" w:color="000080"/>
            </w:tcBorders>
            <w:shd w:val="clear" w:color="auto" w:fill="CCCCFF"/>
          </w:tcPr>
          <w:p w14:paraId="301C9022" w14:textId="77777777" w:rsidR="00C61F48" w:rsidRPr="000436FB" w:rsidRDefault="00C61F48" w:rsidP="00BA13DB">
            <w:pPr>
              <w:pStyle w:val="TableParagraph"/>
              <w:spacing w:before="28" w:line="242" w:lineRule="auto"/>
              <w:ind w:left="333" w:right="163" w:hanging="192"/>
              <w:rPr>
                <w:rFonts w:ascii="Garamond" w:hAnsi="Garamond"/>
                <w:b/>
                <w:sz w:val="16"/>
                <w:szCs w:val="16"/>
              </w:rPr>
            </w:pPr>
            <w:r w:rsidRPr="000436FB">
              <w:rPr>
                <w:rFonts w:ascii="Garamond" w:hAnsi="Garamond"/>
                <w:b/>
                <w:w w:val="95"/>
                <w:sz w:val="16"/>
                <w:szCs w:val="16"/>
              </w:rPr>
              <w:t xml:space="preserve">Bashkë-financimi </w:t>
            </w:r>
            <w:r w:rsidRPr="000436FB">
              <w:rPr>
                <w:rFonts w:ascii="Garamond" w:hAnsi="Garamond"/>
                <w:b/>
                <w:sz w:val="16"/>
                <w:szCs w:val="16"/>
              </w:rPr>
              <w:t>i</w:t>
            </w:r>
            <w:r w:rsidRPr="000436FB">
              <w:rPr>
                <w:rFonts w:ascii="Garamond" w:hAnsi="Garamond"/>
                <w:b/>
                <w:spacing w:val="-9"/>
                <w:sz w:val="16"/>
                <w:szCs w:val="16"/>
              </w:rPr>
              <w:t xml:space="preserve"> </w:t>
            </w:r>
            <w:r w:rsidRPr="000436FB">
              <w:rPr>
                <w:rFonts w:ascii="Garamond" w:hAnsi="Garamond"/>
                <w:b/>
                <w:sz w:val="16"/>
                <w:szCs w:val="16"/>
              </w:rPr>
              <w:t>përfituesve</w:t>
            </w:r>
          </w:p>
        </w:tc>
        <w:tc>
          <w:tcPr>
            <w:tcW w:w="672" w:type="pct"/>
            <w:tcBorders>
              <w:left w:val="single" w:sz="12" w:space="0" w:color="000080"/>
            </w:tcBorders>
            <w:shd w:val="clear" w:color="auto" w:fill="CCCCFF"/>
          </w:tcPr>
          <w:p w14:paraId="52D2335B" w14:textId="77777777" w:rsidR="00C61F48" w:rsidRPr="000436FB" w:rsidRDefault="00C61F48" w:rsidP="00BA13DB">
            <w:pPr>
              <w:pStyle w:val="TableParagraph"/>
              <w:spacing w:before="28" w:line="242" w:lineRule="auto"/>
              <w:ind w:left="506" w:hanging="202"/>
              <w:rPr>
                <w:rFonts w:ascii="Garamond" w:hAnsi="Garamond"/>
                <w:b/>
                <w:sz w:val="16"/>
                <w:szCs w:val="16"/>
              </w:rPr>
            </w:pPr>
            <w:r w:rsidRPr="000436FB">
              <w:rPr>
                <w:rFonts w:ascii="Garamond" w:hAnsi="Garamond"/>
                <w:b/>
                <w:w w:val="95"/>
                <w:sz w:val="16"/>
                <w:szCs w:val="16"/>
              </w:rPr>
              <w:t xml:space="preserve">Financimi </w:t>
            </w:r>
            <w:r w:rsidRPr="000436FB">
              <w:rPr>
                <w:rFonts w:ascii="Garamond" w:hAnsi="Garamond"/>
                <w:b/>
                <w:sz w:val="16"/>
                <w:szCs w:val="16"/>
              </w:rPr>
              <w:t>total</w:t>
            </w:r>
          </w:p>
        </w:tc>
        <w:tc>
          <w:tcPr>
            <w:tcW w:w="799" w:type="pct"/>
            <w:shd w:val="clear" w:color="auto" w:fill="CCCCFF"/>
          </w:tcPr>
          <w:p w14:paraId="6508FD14" w14:textId="77777777" w:rsidR="00C61F48" w:rsidRPr="000436FB" w:rsidRDefault="00C61F48" w:rsidP="00BA13DB">
            <w:pPr>
              <w:pStyle w:val="TableParagraph"/>
              <w:spacing w:before="28" w:line="242" w:lineRule="auto"/>
              <w:ind w:left="153" w:right="136" w:firstLine="316"/>
              <w:rPr>
                <w:rFonts w:ascii="Garamond" w:hAnsi="Garamond"/>
                <w:b/>
                <w:sz w:val="16"/>
                <w:szCs w:val="16"/>
              </w:rPr>
            </w:pPr>
            <w:r w:rsidRPr="000436FB">
              <w:rPr>
                <w:rFonts w:ascii="Garamond" w:hAnsi="Garamond"/>
                <w:b/>
                <w:sz w:val="16"/>
                <w:szCs w:val="16"/>
              </w:rPr>
              <w:t>Shkalla e kontributit të BE</w:t>
            </w:r>
          </w:p>
        </w:tc>
      </w:tr>
      <w:tr w:rsidR="00C61F48" w:rsidRPr="000436FB" w14:paraId="064F0146" w14:textId="77777777" w:rsidTr="000436FB">
        <w:trPr>
          <w:trHeight w:hRule="exact" w:val="533"/>
          <w:jc w:val="center"/>
        </w:trPr>
        <w:tc>
          <w:tcPr>
            <w:tcW w:w="2057" w:type="pct"/>
            <w:vMerge/>
            <w:shd w:val="clear" w:color="auto" w:fill="C0C0C0"/>
          </w:tcPr>
          <w:p w14:paraId="055BC66A" w14:textId="77777777" w:rsidR="00C61F48" w:rsidRPr="000436FB" w:rsidRDefault="00C61F48" w:rsidP="00BA13DB">
            <w:pPr>
              <w:rPr>
                <w:rFonts w:ascii="Garamond" w:hAnsi="Garamond"/>
                <w:sz w:val="16"/>
                <w:szCs w:val="16"/>
              </w:rPr>
            </w:pPr>
          </w:p>
        </w:tc>
        <w:tc>
          <w:tcPr>
            <w:tcW w:w="661" w:type="pct"/>
            <w:shd w:val="clear" w:color="auto" w:fill="CCCCFF"/>
          </w:tcPr>
          <w:p w14:paraId="2CD77CA4" w14:textId="77777777" w:rsidR="00C61F48" w:rsidRPr="000436FB" w:rsidRDefault="00C61F48" w:rsidP="00BA13DB">
            <w:pPr>
              <w:pStyle w:val="TableParagraph"/>
              <w:spacing w:before="33"/>
              <w:ind w:left="146" w:right="146"/>
              <w:jc w:val="center"/>
              <w:rPr>
                <w:rFonts w:ascii="Garamond" w:hAnsi="Garamond"/>
                <w:sz w:val="16"/>
                <w:szCs w:val="16"/>
              </w:rPr>
            </w:pPr>
            <w:r w:rsidRPr="000436FB">
              <w:rPr>
                <w:rFonts w:ascii="Garamond" w:hAnsi="Garamond"/>
                <w:sz w:val="16"/>
                <w:szCs w:val="16"/>
              </w:rPr>
              <w:t>(a)</w:t>
            </w:r>
          </w:p>
        </w:tc>
        <w:tc>
          <w:tcPr>
            <w:tcW w:w="811" w:type="pct"/>
            <w:tcBorders>
              <w:right w:val="single" w:sz="12" w:space="0" w:color="000080"/>
            </w:tcBorders>
            <w:shd w:val="clear" w:color="auto" w:fill="CCCCFF"/>
          </w:tcPr>
          <w:p w14:paraId="61D578E4" w14:textId="77777777" w:rsidR="00C61F48" w:rsidRPr="000436FB" w:rsidRDefault="00C61F48" w:rsidP="00BA13DB">
            <w:pPr>
              <w:pStyle w:val="TableParagraph"/>
              <w:spacing w:before="33"/>
              <w:ind w:left="381" w:right="381"/>
              <w:jc w:val="center"/>
              <w:rPr>
                <w:rFonts w:ascii="Garamond" w:hAnsi="Garamond"/>
                <w:sz w:val="16"/>
                <w:szCs w:val="16"/>
              </w:rPr>
            </w:pPr>
            <w:r w:rsidRPr="000436FB">
              <w:rPr>
                <w:rFonts w:ascii="Garamond" w:hAnsi="Garamond"/>
                <w:sz w:val="16"/>
                <w:szCs w:val="16"/>
              </w:rPr>
              <w:t>(b)</w:t>
            </w:r>
          </w:p>
        </w:tc>
        <w:tc>
          <w:tcPr>
            <w:tcW w:w="672" w:type="pct"/>
            <w:tcBorders>
              <w:left w:val="single" w:sz="12" w:space="0" w:color="000080"/>
            </w:tcBorders>
            <w:shd w:val="clear" w:color="auto" w:fill="CCCCFF"/>
          </w:tcPr>
          <w:p w14:paraId="558BB072" w14:textId="77777777" w:rsidR="00C61F48" w:rsidRPr="000436FB" w:rsidRDefault="00C61F48" w:rsidP="00BA13DB">
            <w:pPr>
              <w:pStyle w:val="TableParagraph"/>
              <w:spacing w:before="33"/>
              <w:ind w:left="158" w:right="160"/>
              <w:jc w:val="center"/>
              <w:rPr>
                <w:rFonts w:ascii="Garamond" w:hAnsi="Garamond"/>
                <w:sz w:val="16"/>
                <w:szCs w:val="16"/>
              </w:rPr>
            </w:pPr>
            <w:r w:rsidRPr="000436FB">
              <w:rPr>
                <w:rFonts w:ascii="Garamond" w:hAnsi="Garamond"/>
                <w:sz w:val="16"/>
                <w:szCs w:val="16"/>
              </w:rPr>
              <w:t>(c) = (a)+(b)</w:t>
            </w:r>
          </w:p>
        </w:tc>
        <w:tc>
          <w:tcPr>
            <w:tcW w:w="799" w:type="pct"/>
            <w:shd w:val="clear" w:color="auto" w:fill="CCCCFF"/>
          </w:tcPr>
          <w:p w14:paraId="6AFCFBA6" w14:textId="77777777" w:rsidR="00C61F48" w:rsidRPr="000436FB" w:rsidRDefault="00C61F48" w:rsidP="00BA13DB">
            <w:pPr>
              <w:pStyle w:val="TableParagraph"/>
              <w:spacing w:before="33"/>
              <w:ind w:left="361" w:right="365"/>
              <w:jc w:val="center"/>
              <w:rPr>
                <w:rFonts w:ascii="Garamond" w:hAnsi="Garamond"/>
                <w:sz w:val="16"/>
                <w:szCs w:val="16"/>
              </w:rPr>
            </w:pPr>
            <w:r w:rsidRPr="000436FB">
              <w:rPr>
                <w:rFonts w:ascii="Garamond" w:hAnsi="Garamond"/>
                <w:sz w:val="16"/>
                <w:szCs w:val="16"/>
              </w:rPr>
              <w:t>(d) = (a)/(c)</w:t>
            </w:r>
          </w:p>
        </w:tc>
      </w:tr>
      <w:tr w:rsidR="00C61F48" w:rsidRPr="000436FB" w14:paraId="28CD8AC5" w14:textId="77777777" w:rsidTr="000436FB">
        <w:trPr>
          <w:trHeight w:hRule="exact" w:val="425"/>
          <w:jc w:val="center"/>
        </w:trPr>
        <w:tc>
          <w:tcPr>
            <w:tcW w:w="2057" w:type="pct"/>
            <w:shd w:val="clear" w:color="auto" w:fill="C0C0C0"/>
          </w:tcPr>
          <w:p w14:paraId="1FF0988C" w14:textId="2532928C" w:rsidR="00C61F48" w:rsidRPr="000436FB" w:rsidRDefault="00C61F48" w:rsidP="00BA13DB">
            <w:pPr>
              <w:pStyle w:val="TableParagraph"/>
              <w:spacing w:before="28" w:line="276" w:lineRule="auto"/>
              <w:ind w:left="100" w:right="378" w:firstLine="45"/>
              <w:rPr>
                <w:rFonts w:ascii="Garamond" w:hAnsi="Garamond"/>
                <w:sz w:val="16"/>
                <w:szCs w:val="16"/>
              </w:rPr>
            </w:pPr>
            <w:r w:rsidRPr="000436FB">
              <w:rPr>
                <w:rFonts w:ascii="Garamond" w:hAnsi="Garamond"/>
                <w:sz w:val="16"/>
                <w:szCs w:val="16"/>
              </w:rPr>
              <w:t>1</w:t>
            </w:r>
            <w:r w:rsidR="00DB713E">
              <w:rPr>
                <w:rFonts w:ascii="Garamond" w:hAnsi="Garamond"/>
                <w:sz w:val="16"/>
                <w:szCs w:val="16"/>
              </w:rPr>
              <w:t>.</w:t>
            </w:r>
            <w:r w:rsidRPr="000436FB">
              <w:rPr>
                <w:rFonts w:ascii="Garamond" w:hAnsi="Garamond"/>
                <w:sz w:val="16"/>
                <w:szCs w:val="16"/>
              </w:rPr>
              <w:t xml:space="preserve"> Nxitja e turizmit dhe e trashëgimisë kulturore dhe natyrore</w:t>
            </w:r>
          </w:p>
        </w:tc>
        <w:tc>
          <w:tcPr>
            <w:tcW w:w="661" w:type="pct"/>
            <w:shd w:val="clear" w:color="auto" w:fill="CCCCFF"/>
          </w:tcPr>
          <w:p w14:paraId="6C18FC96" w14:textId="77777777" w:rsidR="00C61F48" w:rsidRPr="000436FB" w:rsidRDefault="00C61F48" w:rsidP="00BA13DB">
            <w:pPr>
              <w:pStyle w:val="TableParagraph"/>
              <w:spacing w:before="3"/>
              <w:rPr>
                <w:rFonts w:ascii="Garamond" w:hAnsi="Garamond"/>
                <w:b/>
                <w:sz w:val="16"/>
                <w:szCs w:val="16"/>
              </w:rPr>
            </w:pPr>
          </w:p>
          <w:p w14:paraId="159EFC82" w14:textId="77777777" w:rsidR="00C61F48" w:rsidRPr="000436FB" w:rsidRDefault="00C61F48" w:rsidP="00BA13DB">
            <w:pPr>
              <w:pStyle w:val="TableParagraph"/>
              <w:ind w:left="146" w:right="148"/>
              <w:jc w:val="center"/>
              <w:rPr>
                <w:rFonts w:ascii="Garamond" w:hAnsi="Garamond"/>
                <w:sz w:val="16"/>
                <w:szCs w:val="16"/>
              </w:rPr>
            </w:pPr>
            <w:r w:rsidRPr="000436FB">
              <w:rPr>
                <w:rFonts w:ascii="Garamond" w:hAnsi="Garamond"/>
                <w:sz w:val="16"/>
                <w:szCs w:val="16"/>
              </w:rPr>
              <w:t>4 165 000.00</w:t>
            </w:r>
          </w:p>
        </w:tc>
        <w:tc>
          <w:tcPr>
            <w:tcW w:w="811" w:type="pct"/>
            <w:tcBorders>
              <w:right w:val="single" w:sz="12" w:space="0" w:color="000080"/>
            </w:tcBorders>
            <w:shd w:val="clear" w:color="auto" w:fill="CCCCFF"/>
          </w:tcPr>
          <w:p w14:paraId="0F49BE01" w14:textId="77777777" w:rsidR="00C61F48" w:rsidRPr="000436FB" w:rsidRDefault="00C61F48" w:rsidP="00BA13DB">
            <w:pPr>
              <w:pStyle w:val="TableParagraph"/>
              <w:spacing w:before="3"/>
              <w:rPr>
                <w:rFonts w:ascii="Garamond" w:hAnsi="Garamond"/>
                <w:b/>
                <w:sz w:val="16"/>
                <w:szCs w:val="16"/>
              </w:rPr>
            </w:pPr>
          </w:p>
          <w:p w14:paraId="1B0AD760" w14:textId="77777777" w:rsidR="00C61F48" w:rsidRPr="000436FB" w:rsidRDefault="00C61F48" w:rsidP="00BA13DB">
            <w:pPr>
              <w:pStyle w:val="TableParagraph"/>
              <w:ind w:left="381" w:right="381"/>
              <w:jc w:val="center"/>
              <w:rPr>
                <w:rFonts w:ascii="Garamond" w:hAnsi="Garamond"/>
                <w:sz w:val="16"/>
                <w:szCs w:val="16"/>
              </w:rPr>
            </w:pPr>
            <w:r w:rsidRPr="000436FB">
              <w:rPr>
                <w:rFonts w:ascii="Garamond" w:hAnsi="Garamond"/>
                <w:sz w:val="16"/>
                <w:szCs w:val="16"/>
              </w:rPr>
              <w:t>735 000.00</w:t>
            </w:r>
          </w:p>
        </w:tc>
        <w:tc>
          <w:tcPr>
            <w:tcW w:w="672" w:type="pct"/>
            <w:tcBorders>
              <w:left w:val="single" w:sz="12" w:space="0" w:color="000080"/>
            </w:tcBorders>
            <w:shd w:val="clear" w:color="auto" w:fill="CCCCFF"/>
          </w:tcPr>
          <w:p w14:paraId="09F53B65" w14:textId="77777777" w:rsidR="00C61F48" w:rsidRPr="000436FB" w:rsidRDefault="00C61F48" w:rsidP="00BA13DB">
            <w:pPr>
              <w:pStyle w:val="TableParagraph"/>
              <w:spacing w:before="3"/>
              <w:rPr>
                <w:rFonts w:ascii="Garamond" w:hAnsi="Garamond"/>
                <w:b/>
                <w:sz w:val="16"/>
                <w:szCs w:val="16"/>
              </w:rPr>
            </w:pPr>
          </w:p>
          <w:p w14:paraId="1FF44A0A" w14:textId="77777777" w:rsidR="00C61F48" w:rsidRPr="000436FB" w:rsidRDefault="00C61F48" w:rsidP="00BA13DB">
            <w:pPr>
              <w:pStyle w:val="TableParagraph"/>
              <w:ind w:left="158" w:right="160"/>
              <w:jc w:val="center"/>
              <w:rPr>
                <w:rFonts w:ascii="Garamond" w:hAnsi="Garamond"/>
                <w:sz w:val="16"/>
                <w:szCs w:val="16"/>
              </w:rPr>
            </w:pPr>
            <w:r w:rsidRPr="000436FB">
              <w:rPr>
                <w:rFonts w:ascii="Garamond" w:hAnsi="Garamond"/>
                <w:sz w:val="16"/>
                <w:szCs w:val="16"/>
              </w:rPr>
              <w:t>4 900 000.00</w:t>
            </w:r>
          </w:p>
        </w:tc>
        <w:tc>
          <w:tcPr>
            <w:tcW w:w="799" w:type="pct"/>
            <w:shd w:val="clear" w:color="auto" w:fill="CCCCFF"/>
          </w:tcPr>
          <w:p w14:paraId="79C92BE2" w14:textId="77777777" w:rsidR="00C61F48" w:rsidRPr="000436FB" w:rsidRDefault="00C61F48" w:rsidP="00BA13DB">
            <w:pPr>
              <w:pStyle w:val="TableParagraph"/>
              <w:spacing w:before="3"/>
              <w:rPr>
                <w:rFonts w:ascii="Garamond" w:hAnsi="Garamond"/>
                <w:b/>
                <w:sz w:val="16"/>
                <w:szCs w:val="16"/>
              </w:rPr>
            </w:pPr>
          </w:p>
          <w:p w14:paraId="35A57D88" w14:textId="77777777" w:rsidR="00C61F48" w:rsidRPr="000436FB" w:rsidRDefault="00C61F48" w:rsidP="00BA13DB">
            <w:pPr>
              <w:pStyle w:val="TableParagraph"/>
              <w:ind w:left="361" w:right="363"/>
              <w:jc w:val="center"/>
              <w:rPr>
                <w:rFonts w:ascii="Garamond" w:hAnsi="Garamond"/>
                <w:sz w:val="16"/>
                <w:szCs w:val="16"/>
              </w:rPr>
            </w:pPr>
            <w:r w:rsidRPr="000436FB">
              <w:rPr>
                <w:rFonts w:ascii="Garamond" w:hAnsi="Garamond"/>
                <w:sz w:val="16"/>
                <w:szCs w:val="16"/>
              </w:rPr>
              <w:t>85%</w:t>
            </w:r>
          </w:p>
        </w:tc>
      </w:tr>
      <w:tr w:rsidR="00C61F48" w:rsidRPr="000436FB" w14:paraId="750FB765" w14:textId="77777777" w:rsidTr="000436FB">
        <w:trPr>
          <w:trHeight w:hRule="exact" w:val="618"/>
          <w:jc w:val="center"/>
        </w:trPr>
        <w:tc>
          <w:tcPr>
            <w:tcW w:w="2057" w:type="pct"/>
            <w:shd w:val="clear" w:color="auto" w:fill="C0C0C0"/>
          </w:tcPr>
          <w:p w14:paraId="70518287" w14:textId="202CD39C" w:rsidR="00C61F48" w:rsidRPr="000436FB" w:rsidRDefault="00C61F48" w:rsidP="00BA13DB">
            <w:pPr>
              <w:pStyle w:val="TableParagraph"/>
              <w:spacing w:before="30" w:line="276" w:lineRule="auto"/>
              <w:ind w:left="100" w:right="100"/>
              <w:rPr>
                <w:rFonts w:ascii="Garamond" w:hAnsi="Garamond"/>
                <w:sz w:val="16"/>
                <w:szCs w:val="16"/>
              </w:rPr>
            </w:pPr>
            <w:r w:rsidRPr="000436FB">
              <w:rPr>
                <w:rFonts w:ascii="Garamond" w:hAnsi="Garamond"/>
                <w:sz w:val="16"/>
                <w:szCs w:val="16"/>
              </w:rPr>
              <w:t>2</w:t>
            </w:r>
            <w:r w:rsidR="00DB713E">
              <w:rPr>
                <w:rFonts w:ascii="Garamond" w:hAnsi="Garamond"/>
                <w:sz w:val="16"/>
                <w:szCs w:val="16"/>
              </w:rPr>
              <w:t>.</w:t>
            </w:r>
            <w:r w:rsidRPr="000436FB">
              <w:rPr>
                <w:rFonts w:ascii="Garamond" w:hAnsi="Garamond"/>
                <w:sz w:val="16"/>
                <w:szCs w:val="16"/>
              </w:rPr>
              <w:t xml:space="preserve"> Mbrojtja e mjedisit, nxitja e përshtatjes dhe lehtësimit ndaj ndryshimeve klimatike, parandalimi dhe menaxhimi i rrezikut</w:t>
            </w:r>
          </w:p>
        </w:tc>
        <w:tc>
          <w:tcPr>
            <w:tcW w:w="661" w:type="pct"/>
            <w:shd w:val="clear" w:color="auto" w:fill="CCCCFF"/>
          </w:tcPr>
          <w:p w14:paraId="02096284" w14:textId="77777777" w:rsidR="00C61F48" w:rsidRPr="000436FB" w:rsidRDefault="00C61F48" w:rsidP="00BA13DB">
            <w:pPr>
              <w:pStyle w:val="TableParagraph"/>
              <w:rPr>
                <w:rFonts w:ascii="Garamond" w:hAnsi="Garamond"/>
                <w:b/>
                <w:sz w:val="16"/>
                <w:szCs w:val="16"/>
              </w:rPr>
            </w:pPr>
          </w:p>
          <w:p w14:paraId="3D1523F7" w14:textId="77777777" w:rsidR="00C61F48" w:rsidRPr="000436FB" w:rsidRDefault="00C61F48" w:rsidP="00BA13DB">
            <w:pPr>
              <w:pStyle w:val="TableParagraph"/>
              <w:ind w:left="146" w:right="148"/>
              <w:jc w:val="center"/>
              <w:rPr>
                <w:rFonts w:ascii="Garamond" w:hAnsi="Garamond"/>
                <w:sz w:val="16"/>
                <w:szCs w:val="16"/>
              </w:rPr>
            </w:pPr>
            <w:r w:rsidRPr="000436FB">
              <w:rPr>
                <w:rFonts w:ascii="Garamond" w:hAnsi="Garamond"/>
                <w:sz w:val="16"/>
                <w:szCs w:val="16"/>
              </w:rPr>
              <w:t>3 570 000.00</w:t>
            </w:r>
          </w:p>
        </w:tc>
        <w:tc>
          <w:tcPr>
            <w:tcW w:w="811" w:type="pct"/>
            <w:tcBorders>
              <w:right w:val="single" w:sz="12" w:space="0" w:color="000080"/>
            </w:tcBorders>
            <w:shd w:val="clear" w:color="auto" w:fill="CCCCFF"/>
          </w:tcPr>
          <w:p w14:paraId="6F11958B" w14:textId="77777777" w:rsidR="00C61F48" w:rsidRPr="000436FB" w:rsidRDefault="00C61F48" w:rsidP="00BA13DB">
            <w:pPr>
              <w:pStyle w:val="TableParagraph"/>
              <w:rPr>
                <w:rFonts w:ascii="Garamond" w:hAnsi="Garamond"/>
                <w:b/>
                <w:sz w:val="16"/>
                <w:szCs w:val="16"/>
              </w:rPr>
            </w:pPr>
          </w:p>
          <w:p w14:paraId="10A2EC09" w14:textId="77777777" w:rsidR="00C61F48" w:rsidRPr="000436FB" w:rsidRDefault="00C61F48" w:rsidP="00BA13DB">
            <w:pPr>
              <w:pStyle w:val="TableParagraph"/>
              <w:ind w:left="381" w:right="381"/>
              <w:jc w:val="center"/>
              <w:rPr>
                <w:rFonts w:ascii="Garamond" w:hAnsi="Garamond"/>
                <w:sz w:val="16"/>
                <w:szCs w:val="16"/>
              </w:rPr>
            </w:pPr>
            <w:r w:rsidRPr="000436FB">
              <w:rPr>
                <w:rFonts w:ascii="Garamond" w:hAnsi="Garamond"/>
                <w:sz w:val="16"/>
                <w:szCs w:val="16"/>
              </w:rPr>
              <w:t>630 000.00</w:t>
            </w:r>
          </w:p>
        </w:tc>
        <w:tc>
          <w:tcPr>
            <w:tcW w:w="672" w:type="pct"/>
            <w:tcBorders>
              <w:left w:val="single" w:sz="12" w:space="0" w:color="000080"/>
            </w:tcBorders>
            <w:shd w:val="clear" w:color="auto" w:fill="CCCCFF"/>
          </w:tcPr>
          <w:p w14:paraId="5545D688" w14:textId="77777777" w:rsidR="00C61F48" w:rsidRPr="000436FB" w:rsidRDefault="00C61F48" w:rsidP="00BA13DB">
            <w:pPr>
              <w:pStyle w:val="TableParagraph"/>
              <w:rPr>
                <w:rFonts w:ascii="Garamond" w:hAnsi="Garamond"/>
                <w:b/>
                <w:sz w:val="16"/>
                <w:szCs w:val="16"/>
              </w:rPr>
            </w:pPr>
          </w:p>
          <w:p w14:paraId="73440143" w14:textId="77777777" w:rsidR="00C61F48" w:rsidRPr="000436FB" w:rsidRDefault="00C61F48" w:rsidP="00BA13DB">
            <w:pPr>
              <w:pStyle w:val="TableParagraph"/>
              <w:ind w:left="158" w:right="160"/>
              <w:jc w:val="center"/>
              <w:rPr>
                <w:rFonts w:ascii="Garamond" w:hAnsi="Garamond"/>
                <w:sz w:val="16"/>
                <w:szCs w:val="16"/>
              </w:rPr>
            </w:pPr>
            <w:r w:rsidRPr="000436FB">
              <w:rPr>
                <w:rFonts w:ascii="Garamond" w:hAnsi="Garamond"/>
                <w:sz w:val="16"/>
                <w:szCs w:val="16"/>
              </w:rPr>
              <w:t>4 200 000.00</w:t>
            </w:r>
          </w:p>
        </w:tc>
        <w:tc>
          <w:tcPr>
            <w:tcW w:w="799" w:type="pct"/>
            <w:shd w:val="clear" w:color="auto" w:fill="CCCCFF"/>
          </w:tcPr>
          <w:p w14:paraId="12F149B9" w14:textId="77777777" w:rsidR="00C61F48" w:rsidRPr="000436FB" w:rsidRDefault="00C61F48" w:rsidP="00BA13DB">
            <w:pPr>
              <w:pStyle w:val="TableParagraph"/>
              <w:rPr>
                <w:rFonts w:ascii="Garamond" w:hAnsi="Garamond"/>
                <w:b/>
                <w:sz w:val="16"/>
                <w:szCs w:val="16"/>
              </w:rPr>
            </w:pPr>
          </w:p>
          <w:p w14:paraId="4DA604B7" w14:textId="77777777" w:rsidR="00C61F48" w:rsidRPr="000436FB" w:rsidRDefault="00C61F48" w:rsidP="00BA13DB">
            <w:pPr>
              <w:pStyle w:val="TableParagraph"/>
              <w:ind w:left="361" w:right="363"/>
              <w:jc w:val="center"/>
              <w:rPr>
                <w:rFonts w:ascii="Garamond" w:hAnsi="Garamond"/>
                <w:sz w:val="16"/>
                <w:szCs w:val="16"/>
              </w:rPr>
            </w:pPr>
            <w:r w:rsidRPr="000436FB">
              <w:rPr>
                <w:rFonts w:ascii="Garamond" w:hAnsi="Garamond"/>
                <w:sz w:val="16"/>
                <w:szCs w:val="16"/>
              </w:rPr>
              <w:t>85%</w:t>
            </w:r>
          </w:p>
        </w:tc>
      </w:tr>
      <w:tr w:rsidR="00C61F48" w:rsidRPr="000436FB" w14:paraId="77424FB0" w14:textId="77777777" w:rsidTr="000436FB">
        <w:trPr>
          <w:trHeight w:hRule="exact" w:val="652"/>
          <w:jc w:val="center"/>
        </w:trPr>
        <w:tc>
          <w:tcPr>
            <w:tcW w:w="2057" w:type="pct"/>
            <w:shd w:val="clear" w:color="auto" w:fill="C0C0C0"/>
          </w:tcPr>
          <w:p w14:paraId="76FB9280" w14:textId="72BEDDD6" w:rsidR="00C61F48" w:rsidRPr="000436FB" w:rsidRDefault="00C61F48" w:rsidP="00BA13DB">
            <w:pPr>
              <w:pStyle w:val="TableParagraph"/>
              <w:spacing w:before="30" w:line="276" w:lineRule="auto"/>
              <w:ind w:left="100" w:right="100"/>
              <w:rPr>
                <w:rFonts w:ascii="Garamond" w:hAnsi="Garamond"/>
                <w:sz w:val="16"/>
                <w:szCs w:val="16"/>
              </w:rPr>
            </w:pPr>
            <w:r w:rsidRPr="000436FB">
              <w:rPr>
                <w:rFonts w:ascii="Garamond" w:hAnsi="Garamond"/>
                <w:sz w:val="16"/>
                <w:szCs w:val="16"/>
              </w:rPr>
              <w:t>3</w:t>
            </w:r>
            <w:r w:rsidR="00DB713E">
              <w:rPr>
                <w:rFonts w:ascii="Garamond" w:hAnsi="Garamond"/>
                <w:sz w:val="16"/>
                <w:szCs w:val="16"/>
              </w:rPr>
              <w:t>.</w:t>
            </w:r>
            <w:r w:rsidRPr="000436FB">
              <w:rPr>
                <w:rFonts w:ascii="Garamond" w:hAnsi="Garamond"/>
                <w:sz w:val="16"/>
                <w:szCs w:val="16"/>
              </w:rPr>
              <w:t xml:space="preserve"> Nxitja e punësimit, lëvizjes gjeografike të punonjësve, dhe përfshirjes sociale dhe kulturore përtej kufirit</w:t>
            </w:r>
          </w:p>
        </w:tc>
        <w:tc>
          <w:tcPr>
            <w:tcW w:w="661" w:type="pct"/>
            <w:shd w:val="clear" w:color="auto" w:fill="CCCCFF"/>
          </w:tcPr>
          <w:p w14:paraId="2C303F99" w14:textId="77777777" w:rsidR="00C61F48" w:rsidRPr="000436FB" w:rsidRDefault="00C61F48" w:rsidP="00BA13DB">
            <w:pPr>
              <w:pStyle w:val="TableParagraph"/>
              <w:spacing w:before="10"/>
              <w:rPr>
                <w:rFonts w:ascii="Garamond" w:hAnsi="Garamond"/>
                <w:b/>
                <w:sz w:val="16"/>
                <w:szCs w:val="16"/>
              </w:rPr>
            </w:pPr>
          </w:p>
          <w:p w14:paraId="5204973D" w14:textId="77777777" w:rsidR="00C61F48" w:rsidRPr="000436FB" w:rsidRDefault="00C61F48" w:rsidP="00BA13DB">
            <w:pPr>
              <w:pStyle w:val="TableParagraph"/>
              <w:ind w:left="146" w:right="148"/>
              <w:jc w:val="center"/>
              <w:rPr>
                <w:rFonts w:ascii="Garamond" w:hAnsi="Garamond"/>
                <w:sz w:val="16"/>
                <w:szCs w:val="16"/>
              </w:rPr>
            </w:pPr>
            <w:r w:rsidRPr="000436FB">
              <w:rPr>
                <w:rFonts w:ascii="Garamond" w:hAnsi="Garamond"/>
                <w:sz w:val="16"/>
                <w:szCs w:val="16"/>
              </w:rPr>
              <w:t>2 975 000.00</w:t>
            </w:r>
          </w:p>
        </w:tc>
        <w:tc>
          <w:tcPr>
            <w:tcW w:w="811" w:type="pct"/>
            <w:tcBorders>
              <w:right w:val="single" w:sz="12" w:space="0" w:color="000080"/>
            </w:tcBorders>
            <w:shd w:val="clear" w:color="auto" w:fill="CCCCFF"/>
          </w:tcPr>
          <w:p w14:paraId="152AE404" w14:textId="77777777" w:rsidR="00C61F48" w:rsidRPr="000436FB" w:rsidRDefault="00C61F48" w:rsidP="00BA13DB">
            <w:pPr>
              <w:pStyle w:val="TableParagraph"/>
              <w:spacing w:before="10"/>
              <w:rPr>
                <w:rFonts w:ascii="Garamond" w:hAnsi="Garamond"/>
                <w:b/>
                <w:sz w:val="16"/>
                <w:szCs w:val="16"/>
              </w:rPr>
            </w:pPr>
          </w:p>
          <w:p w14:paraId="297A33AA" w14:textId="77777777" w:rsidR="00C61F48" w:rsidRPr="000436FB" w:rsidRDefault="00C61F48" w:rsidP="00BA13DB">
            <w:pPr>
              <w:pStyle w:val="TableParagraph"/>
              <w:ind w:left="381" w:right="381"/>
              <w:jc w:val="center"/>
              <w:rPr>
                <w:rFonts w:ascii="Garamond" w:hAnsi="Garamond"/>
                <w:sz w:val="16"/>
                <w:szCs w:val="16"/>
              </w:rPr>
            </w:pPr>
            <w:r w:rsidRPr="000436FB">
              <w:rPr>
                <w:rFonts w:ascii="Garamond" w:hAnsi="Garamond"/>
                <w:sz w:val="16"/>
                <w:szCs w:val="16"/>
              </w:rPr>
              <w:t>525 000.00</w:t>
            </w:r>
          </w:p>
        </w:tc>
        <w:tc>
          <w:tcPr>
            <w:tcW w:w="672" w:type="pct"/>
            <w:tcBorders>
              <w:left w:val="single" w:sz="12" w:space="0" w:color="000080"/>
            </w:tcBorders>
            <w:shd w:val="clear" w:color="auto" w:fill="CCCCFF"/>
          </w:tcPr>
          <w:p w14:paraId="501CBBCD" w14:textId="77777777" w:rsidR="00C61F48" w:rsidRPr="000436FB" w:rsidRDefault="00C61F48" w:rsidP="00BA13DB">
            <w:pPr>
              <w:pStyle w:val="TableParagraph"/>
              <w:spacing w:before="10"/>
              <w:rPr>
                <w:rFonts w:ascii="Garamond" w:hAnsi="Garamond"/>
                <w:b/>
                <w:sz w:val="16"/>
                <w:szCs w:val="16"/>
              </w:rPr>
            </w:pPr>
          </w:p>
          <w:p w14:paraId="795D8667" w14:textId="77777777" w:rsidR="00C61F48" w:rsidRPr="000436FB" w:rsidRDefault="00C61F48" w:rsidP="00BA13DB">
            <w:pPr>
              <w:pStyle w:val="TableParagraph"/>
              <w:ind w:left="158" w:right="160"/>
              <w:jc w:val="center"/>
              <w:rPr>
                <w:rFonts w:ascii="Garamond" w:hAnsi="Garamond"/>
                <w:sz w:val="16"/>
                <w:szCs w:val="16"/>
              </w:rPr>
            </w:pPr>
            <w:r w:rsidRPr="000436FB">
              <w:rPr>
                <w:rFonts w:ascii="Garamond" w:hAnsi="Garamond"/>
                <w:sz w:val="16"/>
                <w:szCs w:val="16"/>
              </w:rPr>
              <w:t>2 800 000.00</w:t>
            </w:r>
          </w:p>
        </w:tc>
        <w:tc>
          <w:tcPr>
            <w:tcW w:w="799" w:type="pct"/>
            <w:shd w:val="clear" w:color="auto" w:fill="CCCCFF"/>
          </w:tcPr>
          <w:p w14:paraId="13FA22F1" w14:textId="77777777" w:rsidR="00C61F48" w:rsidRPr="000436FB" w:rsidRDefault="00C61F48" w:rsidP="00BA13DB">
            <w:pPr>
              <w:pStyle w:val="TableParagraph"/>
              <w:spacing w:before="10"/>
              <w:rPr>
                <w:rFonts w:ascii="Garamond" w:hAnsi="Garamond"/>
                <w:b/>
                <w:sz w:val="16"/>
                <w:szCs w:val="16"/>
              </w:rPr>
            </w:pPr>
          </w:p>
          <w:p w14:paraId="7E1B4566" w14:textId="77777777" w:rsidR="00C61F48" w:rsidRPr="000436FB" w:rsidRDefault="00C61F48" w:rsidP="00BA13DB">
            <w:pPr>
              <w:pStyle w:val="TableParagraph"/>
              <w:ind w:left="361" w:right="363"/>
              <w:jc w:val="center"/>
              <w:rPr>
                <w:rFonts w:ascii="Garamond" w:hAnsi="Garamond"/>
                <w:sz w:val="16"/>
                <w:szCs w:val="16"/>
              </w:rPr>
            </w:pPr>
            <w:r w:rsidRPr="000436FB">
              <w:rPr>
                <w:rFonts w:ascii="Garamond" w:hAnsi="Garamond"/>
                <w:sz w:val="16"/>
                <w:szCs w:val="16"/>
              </w:rPr>
              <w:t>85%</w:t>
            </w:r>
          </w:p>
        </w:tc>
      </w:tr>
    </w:tbl>
    <w:p w14:paraId="5A0B91ED" w14:textId="77777777" w:rsidR="00C61F48" w:rsidRDefault="00C61F48" w:rsidP="00C61F48">
      <w:pPr>
        <w:pStyle w:val="BodyText"/>
        <w:rPr>
          <w:b/>
          <w:sz w:val="20"/>
        </w:rPr>
      </w:pPr>
    </w:p>
    <w:p w14:paraId="08EA15F4" w14:textId="77777777" w:rsidR="00C61F48" w:rsidRDefault="00C61F48" w:rsidP="00C61F48">
      <w:pPr>
        <w:pStyle w:val="BodyText"/>
        <w:spacing w:before="1"/>
        <w:rPr>
          <w:b/>
          <w:sz w:val="20"/>
        </w:rPr>
      </w:pPr>
    </w:p>
    <w:tbl>
      <w:tblPr>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left w:w="0" w:type="dxa"/>
          <w:right w:w="0" w:type="dxa"/>
        </w:tblCellMar>
        <w:tblLook w:val="01E0" w:firstRow="1" w:lastRow="1" w:firstColumn="1" w:lastColumn="1" w:noHBand="0" w:noVBand="0"/>
      </w:tblPr>
      <w:tblGrid>
        <w:gridCol w:w="3749"/>
        <w:gridCol w:w="1203"/>
        <w:gridCol w:w="1474"/>
        <w:gridCol w:w="1221"/>
        <w:gridCol w:w="1454"/>
      </w:tblGrid>
      <w:tr w:rsidR="00C61F48" w:rsidRPr="000436FB" w14:paraId="4F2B7063" w14:textId="77777777" w:rsidTr="000436FB">
        <w:trPr>
          <w:trHeight w:hRule="exact" w:val="341"/>
          <w:jc w:val="center"/>
        </w:trPr>
        <w:tc>
          <w:tcPr>
            <w:tcW w:w="2059" w:type="pct"/>
            <w:tcBorders>
              <w:bottom w:val="single" w:sz="12" w:space="0" w:color="CCFFFF"/>
              <w:right w:val="single" w:sz="40" w:space="0" w:color="CCCCFF"/>
            </w:tcBorders>
            <w:shd w:val="clear" w:color="auto" w:fill="C0C0C0"/>
          </w:tcPr>
          <w:p w14:paraId="1758F7DA" w14:textId="0E740F2A" w:rsidR="00C61F48" w:rsidRPr="000436FB" w:rsidRDefault="00DB713E" w:rsidP="00BA13DB">
            <w:pPr>
              <w:pStyle w:val="TableParagraph"/>
              <w:spacing w:before="40"/>
              <w:ind w:left="100"/>
              <w:rPr>
                <w:rFonts w:ascii="Garamond" w:hAnsi="Garamond"/>
                <w:sz w:val="16"/>
                <w:szCs w:val="16"/>
              </w:rPr>
            </w:pPr>
            <w:r>
              <w:rPr>
                <w:rFonts w:ascii="Garamond" w:hAnsi="Garamond"/>
                <w:sz w:val="16"/>
                <w:szCs w:val="16"/>
              </w:rPr>
              <w:t xml:space="preserve">4. </w:t>
            </w:r>
            <w:r w:rsidR="00C61F48" w:rsidRPr="000436FB">
              <w:rPr>
                <w:rFonts w:ascii="Garamond" w:hAnsi="Garamond"/>
                <w:sz w:val="16"/>
                <w:szCs w:val="16"/>
              </w:rPr>
              <w:t>Asistenca Teknike</w:t>
            </w:r>
          </w:p>
        </w:tc>
        <w:tc>
          <w:tcPr>
            <w:tcW w:w="661" w:type="pct"/>
            <w:tcBorders>
              <w:bottom w:val="single" w:sz="23" w:space="0" w:color="000080"/>
            </w:tcBorders>
            <w:shd w:val="clear" w:color="auto" w:fill="CCCCFF"/>
          </w:tcPr>
          <w:p w14:paraId="4B29213D" w14:textId="77777777" w:rsidR="00C61F48" w:rsidRPr="000436FB" w:rsidRDefault="00C61F48" w:rsidP="00BA13DB">
            <w:pPr>
              <w:pStyle w:val="TableParagraph"/>
              <w:spacing w:before="61"/>
              <w:ind w:left="139" w:right="148"/>
              <w:jc w:val="center"/>
              <w:rPr>
                <w:rFonts w:ascii="Garamond" w:hAnsi="Garamond"/>
                <w:sz w:val="16"/>
                <w:szCs w:val="16"/>
              </w:rPr>
            </w:pPr>
            <w:r w:rsidRPr="000436FB">
              <w:rPr>
                <w:rFonts w:ascii="Garamond" w:hAnsi="Garamond"/>
                <w:sz w:val="16"/>
                <w:szCs w:val="16"/>
              </w:rPr>
              <w:t>1 190 000.00</w:t>
            </w:r>
          </w:p>
        </w:tc>
        <w:tc>
          <w:tcPr>
            <w:tcW w:w="810" w:type="pct"/>
            <w:tcBorders>
              <w:bottom w:val="single" w:sz="12" w:space="0" w:color="CCFFFF"/>
              <w:right w:val="single" w:sz="12" w:space="0" w:color="000080"/>
            </w:tcBorders>
            <w:shd w:val="clear" w:color="auto" w:fill="CCCCFF"/>
          </w:tcPr>
          <w:p w14:paraId="03ED0019" w14:textId="77777777" w:rsidR="00C61F48" w:rsidRPr="000436FB" w:rsidRDefault="00C61F48" w:rsidP="00BA13DB">
            <w:pPr>
              <w:pStyle w:val="TableParagraph"/>
              <w:spacing w:before="35"/>
              <w:ind w:right="5"/>
              <w:jc w:val="center"/>
              <w:rPr>
                <w:rFonts w:ascii="Garamond" w:hAnsi="Garamond"/>
                <w:sz w:val="16"/>
                <w:szCs w:val="16"/>
              </w:rPr>
            </w:pPr>
            <w:r w:rsidRPr="000436FB">
              <w:rPr>
                <w:rFonts w:ascii="Garamond" w:hAnsi="Garamond"/>
                <w:w w:val="99"/>
                <w:sz w:val="16"/>
                <w:szCs w:val="16"/>
              </w:rPr>
              <w:t>0</w:t>
            </w:r>
          </w:p>
        </w:tc>
        <w:tc>
          <w:tcPr>
            <w:tcW w:w="671" w:type="pct"/>
            <w:tcBorders>
              <w:left w:val="single" w:sz="12" w:space="0" w:color="000080"/>
              <w:bottom w:val="single" w:sz="12" w:space="0" w:color="CCFFFF"/>
            </w:tcBorders>
            <w:shd w:val="clear" w:color="auto" w:fill="CCCCFF"/>
          </w:tcPr>
          <w:p w14:paraId="362977E1" w14:textId="77777777" w:rsidR="00C61F48" w:rsidRPr="000436FB" w:rsidRDefault="00C61F48" w:rsidP="00BA13DB">
            <w:pPr>
              <w:pStyle w:val="TableParagraph"/>
              <w:spacing w:before="61"/>
              <w:ind w:left="105" w:right="105"/>
              <w:jc w:val="center"/>
              <w:rPr>
                <w:rFonts w:ascii="Garamond" w:hAnsi="Garamond"/>
                <w:sz w:val="16"/>
                <w:szCs w:val="16"/>
              </w:rPr>
            </w:pPr>
            <w:r w:rsidRPr="000436FB">
              <w:rPr>
                <w:rFonts w:ascii="Garamond" w:hAnsi="Garamond"/>
                <w:sz w:val="16"/>
                <w:szCs w:val="16"/>
              </w:rPr>
              <w:t>1 190 000.00</w:t>
            </w:r>
          </w:p>
        </w:tc>
        <w:tc>
          <w:tcPr>
            <w:tcW w:w="799" w:type="pct"/>
            <w:tcBorders>
              <w:bottom w:val="single" w:sz="12" w:space="0" w:color="CCFFFF"/>
            </w:tcBorders>
            <w:shd w:val="clear" w:color="auto" w:fill="CCCCFF"/>
          </w:tcPr>
          <w:p w14:paraId="6FE8C070" w14:textId="77777777" w:rsidR="00C61F48" w:rsidRPr="000436FB" w:rsidRDefault="00C61F48" w:rsidP="00BA13DB">
            <w:pPr>
              <w:pStyle w:val="TableParagraph"/>
              <w:spacing w:before="35"/>
              <w:ind w:left="361" w:right="365"/>
              <w:jc w:val="center"/>
              <w:rPr>
                <w:rFonts w:ascii="Garamond" w:hAnsi="Garamond"/>
                <w:sz w:val="16"/>
                <w:szCs w:val="16"/>
              </w:rPr>
            </w:pPr>
            <w:r w:rsidRPr="000436FB">
              <w:rPr>
                <w:rFonts w:ascii="Garamond" w:hAnsi="Garamond"/>
                <w:sz w:val="16"/>
                <w:szCs w:val="16"/>
              </w:rPr>
              <w:t>100 %</w:t>
            </w:r>
          </w:p>
        </w:tc>
      </w:tr>
      <w:tr w:rsidR="00C61F48" w:rsidRPr="000436FB" w14:paraId="5D3F3401" w14:textId="77777777" w:rsidTr="000436FB">
        <w:trPr>
          <w:trHeight w:hRule="exact" w:val="565"/>
          <w:jc w:val="center"/>
        </w:trPr>
        <w:tc>
          <w:tcPr>
            <w:tcW w:w="2059" w:type="pct"/>
            <w:tcBorders>
              <w:top w:val="single" w:sz="23" w:space="0" w:color="000080"/>
            </w:tcBorders>
            <w:shd w:val="clear" w:color="auto" w:fill="CCFFFF"/>
          </w:tcPr>
          <w:p w14:paraId="50836ECA" w14:textId="77777777" w:rsidR="00C61F48" w:rsidRPr="000436FB" w:rsidRDefault="00C61F48" w:rsidP="00BA13DB">
            <w:pPr>
              <w:pStyle w:val="TableParagraph"/>
              <w:spacing w:before="49"/>
              <w:ind w:left="1253"/>
              <w:rPr>
                <w:rFonts w:ascii="Garamond" w:hAnsi="Garamond"/>
                <w:b/>
                <w:sz w:val="16"/>
                <w:szCs w:val="16"/>
              </w:rPr>
            </w:pPr>
            <w:r w:rsidRPr="000436FB">
              <w:rPr>
                <w:rFonts w:ascii="Garamond" w:hAnsi="Garamond"/>
                <w:b/>
                <w:sz w:val="16"/>
                <w:szCs w:val="16"/>
              </w:rPr>
              <w:t>GRANTI TOTAL (EURO)</w:t>
            </w:r>
          </w:p>
        </w:tc>
        <w:tc>
          <w:tcPr>
            <w:tcW w:w="661" w:type="pct"/>
            <w:tcBorders>
              <w:top w:val="single" w:sz="26" w:space="0" w:color="CCCCFF"/>
            </w:tcBorders>
            <w:shd w:val="clear" w:color="auto" w:fill="CCFFFF"/>
          </w:tcPr>
          <w:p w14:paraId="5D3E19A4" w14:textId="77777777" w:rsidR="00C61F48" w:rsidRPr="000436FB" w:rsidRDefault="00C61F48" w:rsidP="00BA13DB">
            <w:pPr>
              <w:pStyle w:val="TableParagraph"/>
              <w:spacing w:before="67"/>
              <w:ind w:left="146" w:right="145"/>
              <w:jc w:val="center"/>
              <w:rPr>
                <w:rFonts w:ascii="Garamond" w:hAnsi="Garamond"/>
                <w:b/>
                <w:sz w:val="16"/>
                <w:szCs w:val="16"/>
              </w:rPr>
            </w:pPr>
            <w:r w:rsidRPr="000436FB">
              <w:rPr>
                <w:rFonts w:ascii="Garamond" w:hAnsi="Garamond"/>
                <w:b/>
                <w:sz w:val="16"/>
                <w:szCs w:val="16"/>
              </w:rPr>
              <w:t>11 900 000.00</w:t>
            </w:r>
          </w:p>
        </w:tc>
        <w:tc>
          <w:tcPr>
            <w:tcW w:w="810" w:type="pct"/>
            <w:tcBorders>
              <w:top w:val="single" w:sz="14" w:space="0" w:color="CCCCFF"/>
              <w:right w:val="single" w:sz="12" w:space="0" w:color="000080"/>
            </w:tcBorders>
            <w:shd w:val="clear" w:color="auto" w:fill="CCFFFF"/>
          </w:tcPr>
          <w:p w14:paraId="326A95C0" w14:textId="77777777" w:rsidR="00C61F48" w:rsidRPr="000436FB" w:rsidRDefault="00C61F48" w:rsidP="00BA13DB">
            <w:pPr>
              <w:pStyle w:val="TableParagraph"/>
              <w:spacing w:before="60"/>
              <w:ind w:left="303" w:right="306"/>
              <w:jc w:val="center"/>
              <w:rPr>
                <w:rFonts w:ascii="Garamond" w:hAnsi="Garamond"/>
                <w:b/>
                <w:sz w:val="16"/>
                <w:szCs w:val="16"/>
              </w:rPr>
            </w:pPr>
            <w:r w:rsidRPr="000436FB">
              <w:rPr>
                <w:rFonts w:ascii="Garamond" w:hAnsi="Garamond"/>
                <w:b/>
                <w:sz w:val="16"/>
                <w:szCs w:val="16"/>
              </w:rPr>
              <w:t>1 890 000.00</w:t>
            </w:r>
          </w:p>
        </w:tc>
        <w:tc>
          <w:tcPr>
            <w:tcW w:w="671" w:type="pct"/>
            <w:tcBorders>
              <w:top w:val="single" w:sz="23" w:space="0" w:color="000080"/>
              <w:left w:val="single" w:sz="12" w:space="0" w:color="000080"/>
            </w:tcBorders>
            <w:shd w:val="clear" w:color="auto" w:fill="CCFFFF"/>
          </w:tcPr>
          <w:p w14:paraId="3DFFB32D" w14:textId="77777777" w:rsidR="00C61F48" w:rsidRPr="000436FB" w:rsidRDefault="00C61F48" w:rsidP="00BA13DB">
            <w:pPr>
              <w:pStyle w:val="TableParagraph"/>
              <w:spacing w:before="49"/>
              <w:ind w:left="105" w:right="105"/>
              <w:jc w:val="center"/>
              <w:rPr>
                <w:rFonts w:ascii="Garamond" w:hAnsi="Garamond"/>
                <w:b/>
                <w:sz w:val="16"/>
                <w:szCs w:val="16"/>
              </w:rPr>
            </w:pPr>
            <w:r w:rsidRPr="000436FB">
              <w:rPr>
                <w:rFonts w:ascii="Garamond" w:hAnsi="Garamond"/>
                <w:b/>
                <w:sz w:val="16"/>
                <w:szCs w:val="16"/>
              </w:rPr>
              <w:t>13 790 000.00</w:t>
            </w:r>
          </w:p>
        </w:tc>
        <w:tc>
          <w:tcPr>
            <w:tcW w:w="799" w:type="pct"/>
            <w:tcBorders>
              <w:top w:val="single" w:sz="14" w:space="0" w:color="CCCCFF"/>
            </w:tcBorders>
            <w:shd w:val="clear" w:color="auto" w:fill="CCFFFF"/>
          </w:tcPr>
          <w:p w14:paraId="1589A9AE" w14:textId="77777777" w:rsidR="00C61F48" w:rsidRPr="000436FB" w:rsidRDefault="00C61F48" w:rsidP="00BA13DB">
            <w:pPr>
              <w:rPr>
                <w:rFonts w:ascii="Garamond" w:hAnsi="Garamond"/>
                <w:sz w:val="16"/>
                <w:szCs w:val="16"/>
              </w:rPr>
            </w:pPr>
          </w:p>
        </w:tc>
      </w:tr>
    </w:tbl>
    <w:p w14:paraId="5CBAE241" w14:textId="77777777" w:rsidR="00C61F48" w:rsidRDefault="00C61F48" w:rsidP="00C61F48">
      <w:pPr>
        <w:pStyle w:val="BodyText"/>
        <w:spacing w:before="6"/>
        <w:rPr>
          <w:b/>
          <w:sz w:val="13"/>
        </w:rPr>
      </w:pPr>
    </w:p>
    <w:p w14:paraId="0886B3EE" w14:textId="77777777" w:rsidR="00C61F48" w:rsidRDefault="00C61F48" w:rsidP="000436FB">
      <w:pPr>
        <w:pStyle w:val="TEKSTI"/>
      </w:pPr>
      <w:r>
        <w:t>Kontributi i BE-së është llogaritur në raport me shpenzimet e pranueshme, të cilat bazohen në totalin e shpenzimeve të pranueshme, duke përfshirë shpenzimet publike dhe private. Shkalla e bashkë- financimit të BE në nivel të çdo prioriteti tematik nuk duhet të jetë më pak se 20% dhe jo më e lartë se 85% e shpenzimeve të pranueshme.</w:t>
      </w:r>
    </w:p>
    <w:p w14:paraId="32B15C8C" w14:textId="77777777" w:rsidR="00C61F48" w:rsidRDefault="00C61F48" w:rsidP="000436FB">
      <w:pPr>
        <w:pStyle w:val="TEKSTI"/>
      </w:pPr>
      <w:r>
        <w:t>Bashkë-financimi i prioriteteve tematike do të sigurohet nga përfituesit e granteve. Përfituesit e grantit duhet të kontribuojnë me një minimum prej 15% të totalit të shpenzimeve të pranueshme.</w:t>
      </w:r>
    </w:p>
    <w:p w14:paraId="59382B58" w14:textId="77777777" w:rsidR="00C61F48" w:rsidRDefault="00C61F48" w:rsidP="000436FB">
      <w:pPr>
        <w:pStyle w:val="TEKSTI"/>
      </w:pPr>
      <w:r>
        <w:t>Shuma e dedikuar për asistencën teknike do të kufizohet në 10% të shumës totale të caktuar për programin. Shkalla e bashkë-financimit të BE-së do të jetë 100%.</w:t>
      </w:r>
    </w:p>
    <w:p w14:paraId="5AE3A98E" w14:textId="77777777" w:rsidR="00C61F48" w:rsidRDefault="00C61F48" w:rsidP="000436FB">
      <w:pPr>
        <w:pStyle w:val="TEKSTI"/>
      </w:pPr>
      <w:r>
        <w:t>Fondet për prioritetet tematike do të jepen nëpërmjet Vendimeve të Komisionit Zbatues, duke mbuluar alokime një deri në tre vjeçare, sipas nevojës. Fondet për asistencën teknike do të jepen nëpërmjet një Vendimi të veçantë të Komisionit Zbatues.</w:t>
      </w:r>
    </w:p>
    <w:p w14:paraId="6AEC9D93" w14:textId="77777777" w:rsidR="00C61F48" w:rsidRDefault="00C61F48" w:rsidP="000436FB">
      <w:pPr>
        <w:pStyle w:val="TEKSTI"/>
        <w:rPr>
          <w:sz w:val="19"/>
        </w:rPr>
      </w:pPr>
    </w:p>
    <w:p w14:paraId="12660D50" w14:textId="77777777" w:rsidR="00C61F48" w:rsidRPr="000436FB" w:rsidRDefault="00C61F48" w:rsidP="000436FB">
      <w:pPr>
        <w:pStyle w:val="TEKSTI"/>
        <w:rPr>
          <w:b/>
        </w:rPr>
      </w:pPr>
      <w:bookmarkStart w:id="32" w:name="_bookmark29"/>
      <w:bookmarkEnd w:id="32"/>
      <w:r w:rsidRPr="000436FB">
        <w:rPr>
          <w:b/>
        </w:rPr>
        <w:t>Seksioni 5: Dispozitat Zbatuese</w:t>
      </w:r>
    </w:p>
    <w:p w14:paraId="701961BE" w14:textId="77777777" w:rsidR="00C61F48" w:rsidRDefault="00C61F48" w:rsidP="000436FB">
      <w:pPr>
        <w:pStyle w:val="TEKSTI"/>
      </w:pPr>
      <w:r w:rsidRPr="000436FB">
        <w:rPr>
          <w:b/>
          <w:u w:val="single"/>
        </w:rPr>
        <w:t>Thirrje për projekt-propozime</w:t>
      </w:r>
      <w:r>
        <w:rPr>
          <w:u w:val="single"/>
        </w:rPr>
        <w:t>:</w:t>
      </w:r>
    </w:p>
    <w:p w14:paraId="18C7B242" w14:textId="77777777" w:rsidR="00C61F48" w:rsidRDefault="00C61F48" w:rsidP="000436FB">
      <w:pPr>
        <w:pStyle w:val="TEKSTI"/>
      </w:pPr>
      <w:r>
        <w:t>Si rregull i përgjithshëm, ky program do të zbatohet nëpërmjet nisjes së thirrjeve për propozime (ThpP), të cilat mbulojnë një ose më shumë prioritete tematike apo objektiva specifike të programit BNK. Komiteti i Përbashkët i Monitorimit do të jetë përgjegjës për identifikimin e prioriteteve tematike, objektivave specifike, përfituesve të synuar dhe të fokusit të veçantë të secilës thirrje për propozime, e cila duhet të miratohen nga Komisioni Evropian.</w:t>
      </w:r>
    </w:p>
    <w:p w14:paraId="400E47BF" w14:textId="77777777" w:rsidR="00C61F48" w:rsidRDefault="00C61F48" w:rsidP="000436FB">
      <w:pPr>
        <w:pStyle w:val="TEKSTI"/>
      </w:pPr>
      <w:r>
        <w:t>Autoritetet përgjegjëse në vendet pjesëmarrëse janë duke planifikuar zbatimin e pjesës më të madhe të ndërhyrjeve nëpërmjet skemave të granteve të bazuara në thirrjet publike për propozime. Ato do të sigurojnë transparencë të plotë në procesin dhe aksesin në një gamë të gjerë të subjekteve publike dhe jo-publike.</w:t>
      </w:r>
    </w:p>
    <w:p w14:paraId="7EE345F2" w14:textId="77777777" w:rsidR="00C61F48" w:rsidRDefault="00C61F48" w:rsidP="000436FB">
      <w:pPr>
        <w:pStyle w:val="TEKSTI"/>
      </w:pPr>
      <w:r>
        <w:t>Dinamikat e publikimit të thirrjeve për propozime varen nga një numër faktorësh, duke përfshirë  faktorët logjistikë, kohën e vlerësimit dhe nivelin e interesit nga aplikuesit e mundshëm. Pra, nuk mund të përcaktohet në këtë fazë se sa thirrje për propozime do të publikohen gjatë periudhës së programit. Gjithsesi, autoritetet përgjegjëse janë të angazhuara ti publikojnë thirrjet për propozime në mënyrë të tillë që të shmangin mbivendosjen e prioriteteve tematike midis programeve të ndryshme BNK. Thirrjet për propozime do të realizohen duke përdorur parimin e rotacionit për zgjedhjen e prioriteteve tematike dhe objektivat e tyre</w:t>
      </w:r>
      <w:r>
        <w:rPr>
          <w:spacing w:val="-10"/>
        </w:rPr>
        <w:t xml:space="preserve"> </w:t>
      </w:r>
      <w:r>
        <w:t>specifike.</w:t>
      </w:r>
    </w:p>
    <w:p w14:paraId="6FFF53C4" w14:textId="77777777" w:rsidR="00C61F48" w:rsidRDefault="00C61F48" w:rsidP="00C61F48">
      <w:pPr>
        <w:spacing w:line="276" w:lineRule="auto"/>
        <w:jc w:val="both"/>
        <w:sectPr w:rsidR="00C61F48" w:rsidSect="000436FB">
          <w:pgSz w:w="11907" w:h="16840" w:code="9"/>
          <w:pgMar w:top="1418" w:right="1418" w:bottom="1418" w:left="1418" w:header="1304" w:footer="1134" w:gutter="0"/>
          <w:cols w:space="720"/>
        </w:sectPr>
      </w:pPr>
    </w:p>
    <w:p w14:paraId="480B73A4" w14:textId="77777777" w:rsidR="00C61F48" w:rsidRPr="000436FB" w:rsidRDefault="00C61F48" w:rsidP="000436FB">
      <w:pPr>
        <w:pStyle w:val="TEKSTI"/>
        <w:rPr>
          <w:b/>
        </w:rPr>
      </w:pPr>
      <w:r w:rsidRPr="000436FB">
        <w:rPr>
          <w:b/>
        </w:rPr>
        <w:t>Projektet strategjike:</w:t>
      </w:r>
    </w:p>
    <w:p w14:paraId="7A603D08" w14:textId="77777777" w:rsidR="00C61F48" w:rsidRDefault="00C61F48" w:rsidP="000436FB">
      <w:pPr>
        <w:pStyle w:val="TEKSTI"/>
      </w:pPr>
      <w:r>
        <w:t>Gjatë përgatitjes së programit, nuk është identifikuar asnjë projekt strategjik që do të financohet jashtë një thirrje për propozime. Megjithatë, gjatë periudhës së zbatimit të programit, autoritetet përgjegjëse mund të konsiderojnë të ndajnë një pjesë të alokimit financiar të programit për një ose më shumë projekte strategjike. Identifikimi i projekteve të tilla do të varet nga fakti nëse të dy vendet kanë treguar interes specifik për adresimin e prioriteteve strategjike specifike.</w:t>
      </w:r>
    </w:p>
    <w:p w14:paraId="59124FAB" w14:textId="77777777" w:rsidR="00C61F48" w:rsidRDefault="00C61F48" w:rsidP="000436FB">
      <w:pPr>
        <w:pStyle w:val="TEKSTI"/>
      </w:pPr>
      <w:r>
        <w:t>Projektet strategjike mund të zgjidhen nëpërmjet thirrjeve për projekte strategjike ose thirrjeve të jashtme për propozime. Në rastin e dytë, partnerët e programit do të identifikojnë së bashku dhe të bien dakord për çdo projekt strategjik që do të miratohet nga KPM në momentin e duhur përgjatë zbatimit të programit. Në këtë rast, pas propozimit dhe aprovimit nga KPM dhe miratimit nga Komisioni, programi BNK duhet të ndryshohet për të përfshirë një projekt të tillë strategjik.</w:t>
      </w:r>
    </w:p>
    <w:p w14:paraId="2E874563" w14:textId="77777777" w:rsidR="00C61F48" w:rsidRDefault="00C61F48" w:rsidP="000436FB">
      <w:pPr>
        <w:pStyle w:val="TEKSTI"/>
      </w:pPr>
      <w:r>
        <w:t>Projektet strategjike janë përcaktuar si ndërhyrje që kanë një ndikim të rëndësishëm ndërkufitar në të gjithë zonën e programit, i cili në mënyrë të pavarur ose në kombinim me projekte të tjera strategjike, kontribuon në një masë të madhe në arritjen e objektivave madhore në nivel prioritar. Disa kritere të përgjithshme për përzgjedhjen e projekteve strategjike do të jenë: ndikimi në të dyja anët e zonës së programit; lidhja me strategjitë rajonale për zhvillimin e zonave kufitare; niveli i kontributit dhe bashkë- financimit nga autoritetet rajonale; numri i popullsisë që përfiton nga ndërhyrja; efektiviteti i kostove të ndërhyrjes; plotësimi i veprimeve paralele, dhe qëndrueshmëria. Për më tepër, këto projekte duhet të kenë një dokumentacion të plotë të tenderit, dhe në rast të investimeve në infrastrukturë, përveç vlerësimeve të nevojshme të ndikimit në mjedis, duhet të kenë edhe të gjitha lejet e nevojshme për vendin dhe ndërtimin.</w:t>
      </w:r>
    </w:p>
    <w:p w14:paraId="167DC0E2" w14:textId="77777777" w:rsidR="00C61F48" w:rsidRDefault="00C61F48" w:rsidP="000436FB">
      <w:pPr>
        <w:pStyle w:val="TEKSTI"/>
      </w:pPr>
      <w:r>
        <w:t>Strategjitë makro-rajonale:</w:t>
      </w:r>
    </w:p>
    <w:p w14:paraId="715D5060" w14:textId="77777777" w:rsidR="00C61F48" w:rsidRDefault="00C61F48" w:rsidP="000436FB">
      <w:pPr>
        <w:pStyle w:val="TEKSTI"/>
      </w:pPr>
      <w:r>
        <w:t>Duke qenë se të dy vendet po marrin pjesë në Strategjinë e BE-së për Rajonin e Adriatikut dhe Jonit “COM (2014) 357", përkufizimi dhe zhvillimi i projekteve strategjike mund të bëhet në kuadër të fushave prioritare apo temave të identifikuara si në planin e komunikimit, ashtu edhe në planin e veprimit të këtyre strategjive. E njëjta gjë vlen edhe për thirrjen për propozime që mund të dalë në lidhje me fushat prioritare ose temat e strategjisë makro-rajonale ku bën pjesë programi.</w:t>
      </w:r>
    </w:p>
    <w:p w14:paraId="6CF82FFC" w14:textId="77777777" w:rsidR="00C61F48" w:rsidRDefault="00C61F48" w:rsidP="00C61F48">
      <w:pPr>
        <w:pStyle w:val="BodyText"/>
        <w:rPr>
          <w:sz w:val="20"/>
        </w:rPr>
      </w:pPr>
    </w:p>
    <w:p w14:paraId="5F759CFF" w14:textId="77777777" w:rsidR="00C61F48" w:rsidRDefault="00C61F48" w:rsidP="000436FB">
      <w:pPr>
        <w:pStyle w:val="TEKSTI"/>
      </w:pPr>
    </w:p>
    <w:p w14:paraId="3E14CBD6" w14:textId="77777777" w:rsidR="00C61F48" w:rsidRPr="000436FB" w:rsidRDefault="00C61F48" w:rsidP="000436FB">
      <w:pPr>
        <w:pStyle w:val="TEKSTI"/>
        <w:jc w:val="center"/>
        <w:rPr>
          <w:b/>
        </w:rPr>
      </w:pPr>
      <w:r w:rsidRPr="000436FB">
        <w:rPr>
          <w:b/>
        </w:rPr>
        <w:t>ANEKS 1 – Analizat e Situatës</w:t>
      </w:r>
    </w:p>
    <w:p w14:paraId="3A5AC2A7" w14:textId="77777777" w:rsidR="00C61F48" w:rsidRPr="000436FB" w:rsidRDefault="00C61F48" w:rsidP="000436FB">
      <w:pPr>
        <w:pStyle w:val="TEKSTI"/>
        <w:jc w:val="center"/>
        <w:rPr>
          <w:b/>
        </w:rPr>
      </w:pPr>
      <w:r w:rsidRPr="000436FB">
        <w:rPr>
          <w:b/>
        </w:rPr>
        <w:t>Analiza e Situatës</w:t>
      </w:r>
    </w:p>
    <w:p w14:paraId="23E789B5" w14:textId="77777777" w:rsidR="00C61F48" w:rsidRPr="000436FB" w:rsidRDefault="00C61F48" w:rsidP="000436FB">
      <w:pPr>
        <w:pStyle w:val="TEKSTI"/>
        <w:jc w:val="center"/>
        <w:rPr>
          <w:b/>
        </w:rPr>
      </w:pPr>
      <w:r w:rsidRPr="000436FB">
        <w:rPr>
          <w:b/>
        </w:rPr>
        <w:t>Programi IPA BNK Mal i Zi - Shqipëri 2014 – 2020</w:t>
      </w:r>
    </w:p>
    <w:p w14:paraId="7F5C09B1" w14:textId="478C636F" w:rsidR="00C61F48" w:rsidRPr="000436FB" w:rsidRDefault="00C61F48" w:rsidP="000436FB">
      <w:pPr>
        <w:pStyle w:val="TEKSTI"/>
        <w:jc w:val="center"/>
        <w:rPr>
          <w:b/>
        </w:rPr>
      </w:pPr>
      <w:r w:rsidRPr="000436FB">
        <w:rPr>
          <w:b/>
        </w:rPr>
        <w:t>Draft i versio</w:t>
      </w:r>
      <w:r w:rsidR="004B4E51">
        <w:rPr>
          <w:b/>
        </w:rPr>
        <w:t>nit përfundimtar 20 m</w:t>
      </w:r>
      <w:r w:rsidRPr="000436FB">
        <w:rPr>
          <w:b/>
        </w:rPr>
        <w:t>aj 2014</w:t>
      </w:r>
    </w:p>
    <w:p w14:paraId="08ECB554" w14:textId="77777777" w:rsidR="00C61F48" w:rsidRDefault="00C61F48" w:rsidP="00C61F48">
      <w:pPr>
        <w:pStyle w:val="BodyText"/>
        <w:rPr>
          <w:b/>
          <w:sz w:val="20"/>
        </w:rPr>
      </w:pPr>
    </w:p>
    <w:p w14:paraId="78C3E5BB" w14:textId="77777777" w:rsidR="00C61F48" w:rsidRDefault="00C61F48" w:rsidP="000436FB">
      <w:pPr>
        <w:pStyle w:val="TEKSTI"/>
        <w:rPr>
          <w:sz w:val="18"/>
        </w:rPr>
      </w:pPr>
    </w:p>
    <w:p w14:paraId="0E512814" w14:textId="77777777" w:rsidR="00C61F48" w:rsidRDefault="00C61F48" w:rsidP="000436FB">
      <w:pPr>
        <w:pStyle w:val="TEKSTI"/>
      </w:pPr>
      <w:r>
        <w:t>Përmbajtja</w:t>
      </w:r>
    </w:p>
    <w:p w14:paraId="5A7B4588" w14:textId="7791F47C" w:rsidR="00C61F48" w:rsidRDefault="00686AD4" w:rsidP="002956AE">
      <w:pPr>
        <w:pStyle w:val="TEKSTI"/>
        <w:numPr>
          <w:ilvl w:val="0"/>
          <w:numId w:val="49"/>
        </w:numPr>
      </w:pPr>
      <w:hyperlink w:anchor="_bookmark30" w:history="1">
        <w:r w:rsidR="00C61F48">
          <w:t>HYRJE</w:t>
        </w:r>
        <w:r w:rsidR="00C61F48">
          <w:tab/>
        </w:r>
      </w:hyperlink>
    </w:p>
    <w:p w14:paraId="46274A13" w14:textId="775392D5" w:rsidR="00C61F48" w:rsidRDefault="00686AD4" w:rsidP="002956AE">
      <w:pPr>
        <w:pStyle w:val="TEKSTI"/>
        <w:numPr>
          <w:ilvl w:val="0"/>
          <w:numId w:val="49"/>
        </w:numPr>
      </w:pPr>
      <w:hyperlink w:anchor="_bookmark31" w:history="1">
        <w:r w:rsidR="00C61F48">
          <w:t>ANALIZA</w:t>
        </w:r>
        <w:r w:rsidR="00C61F48">
          <w:rPr>
            <w:spacing w:val="-4"/>
          </w:rPr>
          <w:t xml:space="preserve"> </w:t>
        </w:r>
        <w:r w:rsidR="00C61F48">
          <w:t>PESTLE</w:t>
        </w:r>
        <w:r w:rsidR="00C61F48">
          <w:tab/>
        </w:r>
      </w:hyperlink>
    </w:p>
    <w:p w14:paraId="6C51824E" w14:textId="5C34EE2A" w:rsidR="00C61F48" w:rsidRDefault="002956AE" w:rsidP="000436FB">
      <w:pPr>
        <w:pStyle w:val="TEKSTI"/>
      </w:pPr>
      <w:r>
        <w:t xml:space="preserve">2.1 </w:t>
      </w:r>
      <w:hyperlink w:anchor="_bookmark32" w:history="1">
        <w:r w:rsidR="00C61F48">
          <w:t>Reformat politike dhe procesi i integrimit</w:t>
        </w:r>
        <w:r w:rsidR="00C61F48">
          <w:rPr>
            <w:spacing w:val="-10"/>
          </w:rPr>
          <w:t xml:space="preserve"> </w:t>
        </w:r>
        <w:r w:rsidR="00C61F48">
          <w:t>në</w:t>
        </w:r>
        <w:r w:rsidR="00C61F48">
          <w:rPr>
            <w:spacing w:val="-1"/>
          </w:rPr>
          <w:t xml:space="preserve"> </w:t>
        </w:r>
        <w:r w:rsidR="00C61F48">
          <w:t>BE</w:t>
        </w:r>
        <w:r w:rsidR="00C61F48">
          <w:tab/>
        </w:r>
      </w:hyperlink>
    </w:p>
    <w:p w14:paraId="0E00EE83" w14:textId="49D6FA39" w:rsidR="00C61F48" w:rsidRDefault="00686AD4" w:rsidP="000436FB">
      <w:pPr>
        <w:pStyle w:val="TEKSTI"/>
        <w:rPr>
          <w:i/>
        </w:rPr>
      </w:pPr>
      <w:hyperlink w:anchor="_bookmark33" w:history="1">
        <w:r w:rsidR="00C61F48">
          <w:t>Konteksti Ekonomik i</w:t>
        </w:r>
        <w:r w:rsidR="00C61F48">
          <w:rPr>
            <w:spacing w:val="-4"/>
          </w:rPr>
          <w:t xml:space="preserve"> </w:t>
        </w:r>
        <w:r w:rsidR="00C61F48">
          <w:t>Vendit</w:t>
        </w:r>
        <w:r w:rsidR="00C61F48">
          <w:rPr>
            <w:i/>
          </w:rPr>
          <w:tab/>
        </w:r>
      </w:hyperlink>
    </w:p>
    <w:p w14:paraId="54CADAF3" w14:textId="75A1AAAE" w:rsidR="00C61F48" w:rsidRDefault="002956AE" w:rsidP="000436FB">
      <w:pPr>
        <w:pStyle w:val="TEKSTI"/>
      </w:pPr>
      <w:r>
        <w:t xml:space="preserve">2.2 </w:t>
      </w:r>
      <w:hyperlink w:anchor="_bookmark34" w:history="1">
        <w:r w:rsidR="00C61F48">
          <w:t>KARAKTERISTIKAT EKONOMIKE TË ZONËS</w:t>
        </w:r>
        <w:r w:rsidR="00C61F48">
          <w:rPr>
            <w:spacing w:val="-5"/>
          </w:rPr>
          <w:t xml:space="preserve"> </w:t>
        </w:r>
        <w:r w:rsidR="00C61F48">
          <w:t>SË</w:t>
        </w:r>
        <w:r w:rsidR="00C61F48">
          <w:rPr>
            <w:spacing w:val="-3"/>
          </w:rPr>
          <w:t xml:space="preserve"> </w:t>
        </w:r>
        <w:r w:rsidR="00C61F48">
          <w:t>PROGRAMIT</w:t>
        </w:r>
        <w:r w:rsidR="00C61F48">
          <w:tab/>
        </w:r>
      </w:hyperlink>
    </w:p>
    <w:p w14:paraId="053E816F" w14:textId="0F8BE419" w:rsidR="00C61F48" w:rsidRDefault="002956AE" w:rsidP="000436FB">
      <w:pPr>
        <w:pStyle w:val="TEKSTI"/>
      </w:pPr>
      <w:r>
        <w:t xml:space="preserve">2.2.1 </w:t>
      </w:r>
      <w:hyperlink w:anchor="_bookmark35" w:history="1">
        <w:r w:rsidR="00C61F48">
          <w:t>Sektori Privat</w:t>
        </w:r>
        <w:r w:rsidR="00C61F48">
          <w:tab/>
        </w:r>
      </w:hyperlink>
    </w:p>
    <w:p w14:paraId="49F83B0B" w14:textId="6651608F" w:rsidR="00C61F48" w:rsidRDefault="002956AE" w:rsidP="000436FB">
      <w:pPr>
        <w:pStyle w:val="TEKSTI"/>
      </w:pPr>
      <w:r>
        <w:t xml:space="preserve">2.2.2 </w:t>
      </w:r>
      <w:hyperlink w:anchor="_bookmark36" w:history="1">
        <w:r w:rsidR="00C61F48">
          <w:t>Tregu</w:t>
        </w:r>
        <w:r w:rsidR="00C61F48">
          <w:rPr>
            <w:spacing w:val="-1"/>
          </w:rPr>
          <w:t xml:space="preserve"> </w:t>
        </w:r>
        <w:r w:rsidR="00C61F48">
          <w:t>i punës</w:t>
        </w:r>
        <w:r w:rsidR="00C61F48">
          <w:tab/>
        </w:r>
      </w:hyperlink>
    </w:p>
    <w:p w14:paraId="52FDE5EB" w14:textId="4581459B" w:rsidR="00C61F48" w:rsidRDefault="002956AE" w:rsidP="000436FB">
      <w:pPr>
        <w:pStyle w:val="TEKSTI"/>
      </w:pPr>
      <w:r>
        <w:t xml:space="preserve">2.2.3 </w:t>
      </w:r>
      <w:hyperlink w:anchor="_bookmark37" w:history="1">
        <w:r w:rsidR="00C61F48">
          <w:t>Bujqësia dhe</w:t>
        </w:r>
        <w:r w:rsidR="00C61F48">
          <w:rPr>
            <w:spacing w:val="-2"/>
          </w:rPr>
          <w:t xml:space="preserve"> </w:t>
        </w:r>
        <w:r w:rsidR="00C61F48">
          <w:t>Zhvillimi</w:t>
        </w:r>
        <w:r w:rsidR="00C61F48">
          <w:rPr>
            <w:spacing w:val="-1"/>
          </w:rPr>
          <w:t xml:space="preserve"> </w:t>
        </w:r>
        <w:r w:rsidR="00C61F48">
          <w:t>rural</w:t>
        </w:r>
        <w:r w:rsidR="00C61F48">
          <w:tab/>
        </w:r>
      </w:hyperlink>
    </w:p>
    <w:p w14:paraId="716A48CD" w14:textId="0B58254D" w:rsidR="00C61F48" w:rsidRDefault="002956AE" w:rsidP="000436FB">
      <w:pPr>
        <w:pStyle w:val="TEKSTI"/>
      </w:pPr>
      <w:r>
        <w:t xml:space="preserve">2.2.4 </w:t>
      </w:r>
      <w:hyperlink w:anchor="_bookmark38" w:history="1">
        <w:r w:rsidR="00C61F48">
          <w:t>Turizmi</w:t>
        </w:r>
        <w:r w:rsidR="00C61F48">
          <w:tab/>
        </w:r>
      </w:hyperlink>
    </w:p>
    <w:p w14:paraId="1577D7E9" w14:textId="235D997E" w:rsidR="00C61F48" w:rsidRDefault="002956AE" w:rsidP="000436FB">
      <w:pPr>
        <w:pStyle w:val="TEKSTI"/>
      </w:pPr>
      <w:r>
        <w:t xml:space="preserve">2.3 </w:t>
      </w:r>
      <w:hyperlink w:anchor="_bookmark39" w:history="1">
        <w:r w:rsidR="00C61F48">
          <w:t>SOCIALE</w:t>
        </w:r>
        <w:r w:rsidR="00C61F48">
          <w:tab/>
        </w:r>
      </w:hyperlink>
    </w:p>
    <w:p w14:paraId="31A2CDCD" w14:textId="58D645BF" w:rsidR="00C61F48" w:rsidRDefault="002956AE" w:rsidP="000436FB">
      <w:pPr>
        <w:pStyle w:val="TEKSTI"/>
      </w:pPr>
      <w:r>
        <w:t xml:space="preserve">2.3.1 </w:t>
      </w:r>
      <w:hyperlink w:anchor="_bookmark40" w:history="1">
        <w:r w:rsidR="00C61F48">
          <w:t>Demografia</w:t>
        </w:r>
        <w:r w:rsidR="00C61F48">
          <w:tab/>
        </w:r>
      </w:hyperlink>
    </w:p>
    <w:p w14:paraId="4DBE083D" w14:textId="0FDEC700" w:rsidR="00C61F48" w:rsidRDefault="00686AD4" w:rsidP="000436FB">
      <w:pPr>
        <w:pStyle w:val="TEKSTI"/>
        <w:rPr>
          <w:b/>
          <w:i/>
        </w:rPr>
      </w:pPr>
      <w:hyperlink w:anchor="_bookmark41" w:history="1">
        <w:r w:rsidR="00C61F48">
          <w:rPr>
            <w:b/>
          </w:rPr>
          <w:t>Dendësia</w:t>
        </w:r>
        <w:r w:rsidR="00C61F48">
          <w:rPr>
            <w:b/>
            <w:i/>
          </w:rPr>
          <w:tab/>
        </w:r>
      </w:hyperlink>
    </w:p>
    <w:p w14:paraId="0E4EF30A" w14:textId="102C3009" w:rsidR="00C61F48" w:rsidRDefault="00686AD4" w:rsidP="000436FB">
      <w:pPr>
        <w:pStyle w:val="TEKSTI"/>
        <w:rPr>
          <w:b/>
          <w:i/>
        </w:rPr>
      </w:pPr>
      <w:hyperlink w:anchor="_bookmark42" w:history="1">
        <w:r w:rsidR="00C61F48">
          <w:rPr>
            <w:b/>
          </w:rPr>
          <w:t>Minoritetet</w:t>
        </w:r>
        <w:r w:rsidR="00C61F48">
          <w:rPr>
            <w:b/>
            <w:i/>
          </w:rPr>
          <w:tab/>
        </w:r>
      </w:hyperlink>
    </w:p>
    <w:p w14:paraId="05CE892C" w14:textId="0A3B8032" w:rsidR="00C61F48" w:rsidRDefault="00686AD4" w:rsidP="000436FB">
      <w:pPr>
        <w:pStyle w:val="TEKSTI"/>
        <w:rPr>
          <w:b/>
          <w:i/>
        </w:rPr>
      </w:pPr>
      <w:hyperlink w:anchor="_bookmark43" w:history="1">
        <w:r w:rsidR="00C61F48">
          <w:rPr>
            <w:b/>
          </w:rPr>
          <w:t>Varfëria</w:t>
        </w:r>
        <w:r w:rsidR="00C61F48">
          <w:rPr>
            <w:b/>
            <w:i/>
          </w:rPr>
          <w:tab/>
        </w:r>
      </w:hyperlink>
    </w:p>
    <w:p w14:paraId="5F711BD9" w14:textId="335DECF7" w:rsidR="00C61F48" w:rsidRDefault="00F4737C" w:rsidP="000436FB">
      <w:pPr>
        <w:pStyle w:val="TEKSTI"/>
      </w:pPr>
      <w:r>
        <w:t xml:space="preserve">2.3.2 </w:t>
      </w:r>
      <w:hyperlink w:anchor="_bookmark44" w:history="1">
        <w:r w:rsidR="00C61F48">
          <w:t>Arsimi</w:t>
        </w:r>
        <w:r w:rsidR="00C61F48">
          <w:tab/>
        </w:r>
      </w:hyperlink>
    </w:p>
    <w:p w14:paraId="11463CE2" w14:textId="236A0351" w:rsidR="00C61F48" w:rsidRDefault="00F4737C" w:rsidP="000436FB">
      <w:pPr>
        <w:pStyle w:val="TEKSTI"/>
      </w:pPr>
      <w:r>
        <w:t xml:space="preserve">2.3.3 </w:t>
      </w:r>
      <w:hyperlink w:anchor="_bookmark45" w:history="1">
        <w:r w:rsidR="00C61F48">
          <w:t>Shëndetësia</w:t>
        </w:r>
        <w:r w:rsidR="00C61F48">
          <w:tab/>
        </w:r>
      </w:hyperlink>
    </w:p>
    <w:p w14:paraId="4E9A76E7" w14:textId="745AF258" w:rsidR="00C61F48" w:rsidRDefault="00F4737C" w:rsidP="000436FB">
      <w:pPr>
        <w:pStyle w:val="TEKSTI"/>
      </w:pPr>
      <w:r>
        <w:t xml:space="preserve">2.3.4 </w:t>
      </w:r>
      <w:hyperlink w:anchor="_bookmark46" w:history="1">
        <w:r w:rsidR="00C61F48">
          <w:t>Kultura</w:t>
        </w:r>
        <w:r w:rsidR="00C61F48">
          <w:tab/>
        </w:r>
      </w:hyperlink>
    </w:p>
    <w:p w14:paraId="16D05CBA" w14:textId="60100770" w:rsidR="00C61F48" w:rsidRDefault="00F4737C" w:rsidP="000436FB">
      <w:pPr>
        <w:pStyle w:val="TEKSTI"/>
      </w:pPr>
      <w:r>
        <w:t xml:space="preserve">2.3.5 </w:t>
      </w:r>
      <w:hyperlink w:anchor="_bookmark47" w:history="1">
        <w:r w:rsidR="00C61F48">
          <w:t>Shoqëria</w:t>
        </w:r>
        <w:r w:rsidR="00C61F48">
          <w:rPr>
            <w:spacing w:val="-1"/>
          </w:rPr>
          <w:t xml:space="preserve"> </w:t>
        </w:r>
        <w:r w:rsidR="00C61F48">
          <w:t>Civile</w:t>
        </w:r>
        <w:r w:rsidR="00C61F48">
          <w:tab/>
        </w:r>
      </w:hyperlink>
    </w:p>
    <w:p w14:paraId="5282191F" w14:textId="57DF0CA0" w:rsidR="00C61F48" w:rsidRDefault="00F4737C" w:rsidP="000436FB">
      <w:pPr>
        <w:pStyle w:val="TEKSTI"/>
      </w:pPr>
      <w:r>
        <w:t xml:space="preserve">2.4 </w:t>
      </w:r>
      <w:hyperlink w:anchor="_bookmark48" w:history="1">
        <w:r w:rsidR="00C61F48">
          <w:t>INFRASTRUKTURA</w:t>
        </w:r>
        <w:r w:rsidR="00C61F48">
          <w:tab/>
        </w:r>
      </w:hyperlink>
    </w:p>
    <w:p w14:paraId="640A9406" w14:textId="22F435A9" w:rsidR="00C61F48" w:rsidRDefault="00F4737C" w:rsidP="000436FB">
      <w:pPr>
        <w:pStyle w:val="TEKSTI"/>
      </w:pPr>
      <w:r>
        <w:t xml:space="preserve">2.5 </w:t>
      </w:r>
      <w:hyperlink w:anchor="_bookmark49" w:history="1">
        <w:r w:rsidR="00C61F48">
          <w:t>MJEDISI</w:t>
        </w:r>
        <w:r w:rsidR="00C61F48">
          <w:tab/>
        </w:r>
      </w:hyperlink>
    </w:p>
    <w:p w14:paraId="04DD9B40" w14:textId="0DBB5E94" w:rsidR="00C61F48" w:rsidRDefault="00F4737C" w:rsidP="000436FB">
      <w:pPr>
        <w:pStyle w:val="TEKSTI"/>
      </w:pPr>
      <w:r>
        <w:t xml:space="preserve">2.6 </w:t>
      </w:r>
      <w:hyperlink w:anchor="_bookmark50" w:history="1">
        <w:r w:rsidR="00C61F48">
          <w:t>MARRËVESHJET LIGJORE</w:t>
        </w:r>
        <w:r w:rsidR="00C61F48">
          <w:rPr>
            <w:spacing w:val="-3"/>
          </w:rPr>
          <w:t xml:space="preserve"> </w:t>
        </w:r>
        <w:r w:rsidR="00C61F48">
          <w:t>DHE</w:t>
        </w:r>
        <w:r w:rsidR="00C61F48">
          <w:rPr>
            <w:spacing w:val="-1"/>
          </w:rPr>
          <w:t xml:space="preserve"> </w:t>
        </w:r>
        <w:r w:rsidR="00C61F48">
          <w:t>INSTITUCIONALE</w:t>
        </w:r>
        <w:r w:rsidR="00C61F48">
          <w:tab/>
        </w:r>
      </w:hyperlink>
    </w:p>
    <w:p w14:paraId="44999D66" w14:textId="6828007F" w:rsidR="00C61F48" w:rsidRDefault="00F4737C" w:rsidP="000436FB">
      <w:pPr>
        <w:pStyle w:val="TEKSTI"/>
      </w:pPr>
      <w:r>
        <w:t xml:space="preserve">2.7 </w:t>
      </w:r>
      <w:hyperlink w:anchor="_bookmark51" w:history="1">
        <w:r w:rsidR="00C61F48">
          <w:t>KONKLUZIONE</w:t>
        </w:r>
        <w:r w:rsidR="00C61F48">
          <w:tab/>
        </w:r>
      </w:hyperlink>
    </w:p>
    <w:p w14:paraId="54381FE7" w14:textId="61A7F2D5" w:rsidR="00C61F48" w:rsidRDefault="00F4737C" w:rsidP="000436FB">
      <w:pPr>
        <w:pStyle w:val="TEKSTI"/>
      </w:pPr>
      <w:r>
        <w:t xml:space="preserve">3. </w:t>
      </w:r>
      <w:hyperlink w:anchor="_bookmark52" w:history="1">
        <w:r w:rsidR="00C61F48">
          <w:t>ANALIZA</w:t>
        </w:r>
        <w:r w:rsidR="00C61F48">
          <w:rPr>
            <w:spacing w:val="-2"/>
          </w:rPr>
          <w:t xml:space="preserve"> </w:t>
        </w:r>
        <w:r w:rsidR="00C61F48">
          <w:t>SWOT</w:t>
        </w:r>
        <w:r w:rsidR="00C61F48">
          <w:tab/>
        </w:r>
      </w:hyperlink>
    </w:p>
    <w:p w14:paraId="379DDEA2" w14:textId="77777777" w:rsidR="00C61F48" w:rsidRDefault="00C61F48" w:rsidP="00C61F48">
      <w:pPr>
        <w:pStyle w:val="BodyText"/>
        <w:spacing w:before="1"/>
        <w:rPr>
          <w:sz w:val="18"/>
        </w:rPr>
      </w:pPr>
    </w:p>
    <w:p w14:paraId="3E72AC9E" w14:textId="4828C9F9" w:rsidR="00C61F48" w:rsidRDefault="00C61F48" w:rsidP="000227E5">
      <w:pPr>
        <w:pStyle w:val="TEKSTI"/>
        <w:numPr>
          <w:ilvl w:val="0"/>
          <w:numId w:val="50"/>
        </w:numPr>
      </w:pPr>
      <w:bookmarkStart w:id="33" w:name="_bookmark30"/>
      <w:bookmarkEnd w:id="33"/>
      <w:r>
        <w:t>HYRJE</w:t>
      </w:r>
    </w:p>
    <w:p w14:paraId="65FA48E5" w14:textId="1687441E" w:rsidR="00C61F48" w:rsidRDefault="00C61F48" w:rsidP="000436FB">
      <w:pPr>
        <w:pStyle w:val="TEKSTI"/>
      </w:pPr>
      <w:r>
        <w:rPr>
          <w:noProof/>
          <w:lang w:eastAsia="sq-AL"/>
        </w:rPr>
        <w:drawing>
          <wp:anchor distT="0" distB="0" distL="0" distR="0" simplePos="0" relativeHeight="251658242" behindDoc="0" locked="0" layoutInCell="1" allowOverlap="1" wp14:anchorId="75A7433D" wp14:editId="21717E50">
            <wp:simplePos x="0" y="0"/>
            <wp:positionH relativeFrom="page">
              <wp:posOffset>1382395</wp:posOffset>
            </wp:positionH>
            <wp:positionV relativeFrom="paragraph">
              <wp:posOffset>1146810</wp:posOffset>
            </wp:positionV>
            <wp:extent cx="3782060" cy="3102610"/>
            <wp:effectExtent l="0" t="0" r="8890" b="254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2060" cy="3102610"/>
                    </a:xfrm>
                    <a:prstGeom prst="rect">
                      <a:avLst/>
                    </a:prstGeom>
                    <a:noFill/>
                    <a:ln>
                      <a:noFill/>
                    </a:ln>
                  </pic:spPr>
                </pic:pic>
              </a:graphicData>
            </a:graphic>
            <wp14:sizeRelH relativeFrom="page">
              <wp14:pctWidth>0</wp14:pctWidth>
            </wp14:sizeRelH>
            <wp14:sizeRelV relativeFrom="page">
              <wp14:pctHeight>0</wp14:pctHeight>
            </wp14:sizeRelV>
          </wp:anchor>
        </w:drawing>
      </w:r>
      <w:r>
        <w:t>Zona e programit për Programin Ndërkufitar midis Malit të Zi dhe Shqipërisë mbulon një territor prej 11,970 km</w:t>
      </w:r>
      <w:r>
        <w:rPr>
          <w:position w:val="10"/>
          <w:sz w:val="14"/>
        </w:rPr>
        <w:t xml:space="preserve">2  </w:t>
      </w:r>
      <w:r>
        <w:t>me një popullsi prej rreth 749.257 banorë. Territori i zonës së programit është disi më i  madh në Shqipëri, duke zënë rreth 52.1% kundrejt 47.9 % në Mal të Zi. Gjatësia e vijës kufitare ndërmjet dy vendeve është 244 km, nga të cilat 38 km janë kufi ujor i përbërë nga liqeni i Shkodrës, deti Adriatik dhe lumenj. Ka tre pika funksionale të kalimit kufitar ndërmjet Shqipërisë dhe Malit të Zi përgjatë kësaj vije kufitare, të quajtura Murriqan -Sukobinë, Hani i Hotit -Božaj, dhe Vermosh</w:t>
      </w:r>
      <w:r>
        <w:rPr>
          <w:spacing w:val="-20"/>
        </w:rPr>
        <w:t xml:space="preserve"> </w:t>
      </w:r>
      <w:r>
        <w:t>-Gjercan.</w:t>
      </w:r>
    </w:p>
    <w:p w14:paraId="1A07964F" w14:textId="77777777" w:rsidR="000436FB" w:rsidRDefault="000436FB" w:rsidP="00C61F48">
      <w:pPr>
        <w:spacing w:before="114"/>
        <w:ind w:left="140" w:right="132"/>
        <w:jc w:val="both"/>
      </w:pPr>
    </w:p>
    <w:p w14:paraId="4DCB5E7E" w14:textId="77777777" w:rsidR="00C61F48" w:rsidRDefault="00C61F48" w:rsidP="000436FB">
      <w:pPr>
        <w:pStyle w:val="TEKSTI"/>
      </w:pPr>
      <w:r>
        <w:t xml:space="preserve">Zona e programit në </w:t>
      </w:r>
      <w:r>
        <w:rPr>
          <w:b/>
        </w:rPr>
        <w:t xml:space="preserve">Mal të Zi </w:t>
      </w:r>
      <w:r>
        <w:t>mbulon një territor prej 5,745 km</w:t>
      </w:r>
      <w:r>
        <w:rPr>
          <w:position w:val="10"/>
          <w:sz w:val="14"/>
        </w:rPr>
        <w:t>2</w:t>
      </w:r>
      <w:r>
        <w:t>. Ajo përbëhet nga 12 bashki dhe 615 vendbanime - qytete dhe fshatra - me një popullsi të përgjithshme prej 379,366 banorë. Ajo kufizohet me Shqipërinë në lindje, dhe Kosovën dhe Serbinë në veri-lindje. Mali i Zi ka vendosur ndarjen në rajone që i korrespondojnë klasifikimit NUTS, i cili është miratuar nga EUROSTAT, dhe sipas ndarjes së lartpërmendur, Mali i Zi është një rajon në të tre nivelet e NUTS. Për qëllime të planifikimit strategjik, vendi është i ndarë në tri rajone gjeografike, veriore, qendrore dhe jugore. Bashkitë nga zona e</w:t>
      </w:r>
      <w:r>
        <w:rPr>
          <w:spacing w:val="-5"/>
        </w:rPr>
        <w:t xml:space="preserve"> </w:t>
      </w:r>
      <w:r>
        <w:t>programimit:</w:t>
      </w:r>
    </w:p>
    <w:p w14:paraId="0DF4F7CB" w14:textId="11A65B71" w:rsidR="00C61F48" w:rsidRDefault="00C61F48" w:rsidP="00246ECB">
      <w:pPr>
        <w:pStyle w:val="TEKSTI"/>
      </w:pPr>
      <w:r>
        <w:t>Andrijevica, Berane, Plavë, Guci</w:t>
      </w:r>
      <w:r w:rsidR="000436FB">
        <w:rPr>
          <w:rStyle w:val="FootnoteReference"/>
        </w:rPr>
        <w:footnoteReference w:id="36"/>
      </w:r>
      <w:r>
        <w:t>, Petnjica</w:t>
      </w:r>
      <w:r w:rsidR="000436FB">
        <w:rPr>
          <w:rStyle w:val="FootnoteReference"/>
        </w:rPr>
        <w:footnoteReference w:id="37"/>
      </w:r>
      <w:r>
        <w:rPr>
          <w:position w:val="6"/>
          <w:sz w:val="16"/>
        </w:rPr>
        <w:t xml:space="preserve"> </w:t>
      </w:r>
      <w:r>
        <w:t>dhe</w:t>
      </w:r>
      <w:r>
        <w:rPr>
          <w:spacing w:val="2"/>
        </w:rPr>
        <w:t xml:space="preserve"> </w:t>
      </w:r>
      <w:r>
        <w:t>Rožaje;</w:t>
      </w:r>
    </w:p>
    <w:p w14:paraId="09D2EF6E" w14:textId="1FF9EB52" w:rsidR="00C61F48" w:rsidRDefault="00246ECB" w:rsidP="00246ECB">
      <w:pPr>
        <w:pStyle w:val="TEKSTI"/>
        <w:rPr>
          <w:b/>
        </w:rPr>
      </w:pPr>
      <w:r>
        <w:t>-</w:t>
      </w:r>
      <w:r w:rsidR="00C61F48">
        <w:t>Podgorica, kryeqyteti i Malit të Zi, Cetinje dhe Danilovgrad,</w:t>
      </w:r>
      <w:r w:rsidR="00C61F48">
        <w:rPr>
          <w:spacing w:val="-16"/>
        </w:rPr>
        <w:t xml:space="preserve"> </w:t>
      </w:r>
      <w:r w:rsidR="00C61F48">
        <w:t>dhe</w:t>
      </w:r>
      <w:r w:rsidR="00C61F48">
        <w:rPr>
          <w:b/>
        </w:rPr>
        <w:t>;</w:t>
      </w:r>
    </w:p>
    <w:p w14:paraId="7C3809C7" w14:textId="51C57058" w:rsidR="00C61F48" w:rsidRDefault="00246ECB" w:rsidP="00246ECB">
      <w:pPr>
        <w:pStyle w:val="TEKSTI"/>
        <w:rPr>
          <w:b/>
        </w:rPr>
      </w:pPr>
      <w:r>
        <w:t>-</w:t>
      </w:r>
      <w:r w:rsidR="00C61F48">
        <w:t>Budva, Ulqin dhe</w:t>
      </w:r>
      <w:r w:rsidR="00C61F48">
        <w:rPr>
          <w:spacing w:val="-4"/>
        </w:rPr>
        <w:t xml:space="preserve"> </w:t>
      </w:r>
      <w:r w:rsidR="00C61F48">
        <w:t>Tivar</w:t>
      </w:r>
      <w:r w:rsidR="00C61F48">
        <w:rPr>
          <w:b/>
        </w:rPr>
        <w:t>.</w:t>
      </w:r>
    </w:p>
    <w:p w14:paraId="40AAD1C4" w14:textId="3EF960F5" w:rsidR="00C61F48" w:rsidRDefault="00C61F48" w:rsidP="00246ECB">
      <w:pPr>
        <w:pStyle w:val="TEKSTI"/>
      </w:pPr>
      <w:r>
        <w:t xml:space="preserve">Zona e programit në </w:t>
      </w:r>
      <w:r>
        <w:rPr>
          <w:b/>
        </w:rPr>
        <w:t xml:space="preserve">Shqipëri </w:t>
      </w:r>
      <w:r>
        <w:t>përfshin rajonet e Lezhës dhe Shkodrës dhe rrethin e Tropojës, me një territor të përgjithshëm prej 6,225 km</w:t>
      </w:r>
      <w:r>
        <w:rPr>
          <w:position w:val="10"/>
          <w:sz w:val="14"/>
        </w:rPr>
        <w:t xml:space="preserve">2 </w:t>
      </w:r>
      <w:r>
        <w:t xml:space="preserve">dhe një popullsi prej 369,891 banorë. Rajoni i Shkodrës ka popullsinë më të madh të përbërë prej 215,347 banorëve, të ndjekur nga Lezha me 134,027 banorë dhe rrethi i Tropojës me vetëm 20.517 banorë. Shqipëria ka një ndarje administrative ekuivalente me NUTS II </w:t>
      </w:r>
      <w:r w:rsidR="00246ECB">
        <w:rPr>
          <w:rStyle w:val="FootnoteReference"/>
        </w:rPr>
        <w:footnoteReference w:id="38"/>
      </w:r>
      <w:r>
        <w:t>, por akoma nuk është zbatuar.</w:t>
      </w:r>
    </w:p>
    <w:p w14:paraId="1E73CBB8" w14:textId="77777777" w:rsidR="00246ECB" w:rsidRDefault="00246ECB" w:rsidP="00246ECB">
      <w:pPr>
        <w:pStyle w:val="TEKSTI"/>
      </w:pPr>
    </w:p>
    <w:p w14:paraId="743E2DAF" w14:textId="77777777" w:rsidR="00C61F48" w:rsidRPr="00246ECB" w:rsidRDefault="00C61F48" w:rsidP="00246ECB">
      <w:pPr>
        <w:pStyle w:val="TEKSTI"/>
        <w:jc w:val="center"/>
        <w:rPr>
          <w:b/>
        </w:rPr>
      </w:pPr>
      <w:r w:rsidRPr="00246ECB">
        <w:rPr>
          <w:b/>
        </w:rPr>
        <w:t>Tabela 1 – Zona e mbuluar nga zona e programit</w:t>
      </w: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296"/>
        <w:gridCol w:w="2269"/>
        <w:gridCol w:w="2525"/>
      </w:tblGrid>
      <w:tr w:rsidR="00C61F48" w:rsidRPr="00246ECB" w14:paraId="1E0DE9A6" w14:textId="77777777" w:rsidTr="00246ECB">
        <w:trPr>
          <w:trHeight w:hRule="exact" w:val="456"/>
        </w:trPr>
        <w:tc>
          <w:tcPr>
            <w:tcW w:w="2363" w:type="pct"/>
            <w:tcBorders>
              <w:top w:val="single" w:sz="8" w:space="0" w:color="7A9FCD"/>
              <w:left w:val="single" w:sz="8" w:space="0" w:color="7A9FCD"/>
              <w:bottom w:val="single" w:sz="8" w:space="0" w:color="7A9FCD"/>
            </w:tcBorders>
            <w:shd w:val="clear" w:color="auto" w:fill="4F81BC"/>
          </w:tcPr>
          <w:p w14:paraId="05F9BB5D" w14:textId="77777777" w:rsidR="00C61F48" w:rsidRPr="00246ECB" w:rsidRDefault="00C61F48" w:rsidP="00BA13DB">
            <w:pPr>
              <w:pStyle w:val="TableParagraph"/>
              <w:spacing w:before="120"/>
              <w:ind w:left="188" w:right="279"/>
              <w:jc w:val="center"/>
              <w:rPr>
                <w:rFonts w:ascii="Garamond" w:hAnsi="Garamond"/>
                <w:b/>
                <w:sz w:val="20"/>
                <w:szCs w:val="20"/>
              </w:rPr>
            </w:pPr>
            <w:r w:rsidRPr="00246ECB">
              <w:rPr>
                <w:rFonts w:ascii="Garamond" w:hAnsi="Garamond"/>
                <w:b/>
                <w:sz w:val="20"/>
                <w:szCs w:val="20"/>
              </w:rPr>
              <w:t>Shteti</w:t>
            </w:r>
          </w:p>
        </w:tc>
        <w:tc>
          <w:tcPr>
            <w:tcW w:w="1248" w:type="pct"/>
            <w:tcBorders>
              <w:top w:val="single" w:sz="8" w:space="0" w:color="7A9FCD"/>
              <w:bottom w:val="single" w:sz="8" w:space="0" w:color="7A9FCD"/>
            </w:tcBorders>
            <w:shd w:val="clear" w:color="auto" w:fill="4F81BC"/>
          </w:tcPr>
          <w:p w14:paraId="5895867F" w14:textId="77777777" w:rsidR="00C61F48" w:rsidRPr="00246ECB" w:rsidRDefault="00C61F48" w:rsidP="00BA13DB">
            <w:pPr>
              <w:pStyle w:val="TableParagraph"/>
              <w:spacing w:before="96"/>
              <w:ind w:left="283" w:right="320"/>
              <w:jc w:val="center"/>
              <w:rPr>
                <w:rFonts w:ascii="Garamond" w:hAnsi="Garamond"/>
                <w:b/>
                <w:sz w:val="20"/>
                <w:szCs w:val="20"/>
              </w:rPr>
            </w:pPr>
            <w:r w:rsidRPr="00246ECB">
              <w:rPr>
                <w:rFonts w:ascii="Garamond" w:hAnsi="Garamond"/>
                <w:b/>
                <w:sz w:val="20"/>
                <w:szCs w:val="20"/>
              </w:rPr>
              <w:t>Zona në km</w:t>
            </w:r>
            <w:r w:rsidRPr="00246ECB">
              <w:rPr>
                <w:rFonts w:ascii="Garamond" w:hAnsi="Garamond"/>
                <w:b/>
                <w:position w:val="8"/>
                <w:sz w:val="20"/>
                <w:szCs w:val="20"/>
              </w:rPr>
              <w:t>2</w:t>
            </w:r>
          </w:p>
        </w:tc>
        <w:tc>
          <w:tcPr>
            <w:tcW w:w="1389" w:type="pct"/>
            <w:tcBorders>
              <w:top w:val="single" w:sz="8" w:space="0" w:color="7A9FCD"/>
              <w:bottom w:val="single" w:sz="8" w:space="0" w:color="7A9FCD"/>
              <w:right w:val="single" w:sz="8" w:space="0" w:color="7A9FCD"/>
            </w:tcBorders>
            <w:shd w:val="clear" w:color="auto" w:fill="4F81BC"/>
          </w:tcPr>
          <w:p w14:paraId="7B559A50" w14:textId="77777777" w:rsidR="00C61F48" w:rsidRPr="00246ECB" w:rsidRDefault="00C61F48" w:rsidP="00BA13DB">
            <w:pPr>
              <w:pStyle w:val="TableParagraph"/>
              <w:spacing w:before="28"/>
              <w:ind w:left="402" w:right="268" w:hanging="63"/>
              <w:rPr>
                <w:rFonts w:ascii="Garamond" w:hAnsi="Garamond"/>
                <w:b/>
                <w:sz w:val="20"/>
                <w:szCs w:val="20"/>
              </w:rPr>
            </w:pPr>
            <w:r w:rsidRPr="00246ECB">
              <w:rPr>
                <w:rFonts w:ascii="Garamond" w:hAnsi="Garamond"/>
                <w:b/>
                <w:sz w:val="20"/>
                <w:szCs w:val="20"/>
              </w:rPr>
              <w:t>% e territorit të përgjithshëm</w:t>
            </w:r>
          </w:p>
        </w:tc>
      </w:tr>
      <w:tr w:rsidR="00C61F48" w:rsidRPr="00246ECB" w14:paraId="3E59E88A" w14:textId="77777777" w:rsidTr="00246ECB">
        <w:trPr>
          <w:trHeight w:hRule="exact" w:val="306"/>
        </w:trPr>
        <w:tc>
          <w:tcPr>
            <w:tcW w:w="2363" w:type="pct"/>
            <w:tcBorders>
              <w:top w:val="single" w:sz="8" w:space="0" w:color="7A9FCD"/>
              <w:left w:val="single" w:sz="8" w:space="0" w:color="7A9FCD"/>
              <w:bottom w:val="single" w:sz="8" w:space="0" w:color="7A9FCD"/>
            </w:tcBorders>
            <w:shd w:val="clear" w:color="auto" w:fill="94B3D6"/>
          </w:tcPr>
          <w:p w14:paraId="16C93F14" w14:textId="77777777" w:rsidR="00C61F48" w:rsidRPr="00246ECB" w:rsidRDefault="00C61F48" w:rsidP="00BA13DB">
            <w:pPr>
              <w:pStyle w:val="TableParagraph"/>
              <w:spacing w:before="45"/>
              <w:ind w:left="187" w:right="280"/>
              <w:jc w:val="center"/>
              <w:rPr>
                <w:rFonts w:ascii="Garamond" w:hAnsi="Garamond"/>
                <w:b/>
                <w:sz w:val="20"/>
                <w:szCs w:val="20"/>
              </w:rPr>
            </w:pPr>
            <w:r w:rsidRPr="00246ECB">
              <w:rPr>
                <w:rFonts w:ascii="Garamond" w:hAnsi="Garamond"/>
                <w:b/>
                <w:sz w:val="20"/>
                <w:szCs w:val="20"/>
              </w:rPr>
              <w:t>Mali i Zi</w:t>
            </w:r>
          </w:p>
        </w:tc>
        <w:tc>
          <w:tcPr>
            <w:tcW w:w="1248" w:type="pct"/>
            <w:tcBorders>
              <w:top w:val="single" w:sz="8" w:space="0" w:color="7A9FCD"/>
              <w:bottom w:val="single" w:sz="8" w:space="0" w:color="7A9FCD"/>
            </w:tcBorders>
            <w:shd w:val="clear" w:color="auto" w:fill="94B3D6"/>
          </w:tcPr>
          <w:p w14:paraId="41859777" w14:textId="77777777" w:rsidR="00C61F48" w:rsidRPr="00246ECB" w:rsidRDefault="00C61F48" w:rsidP="00BA13DB">
            <w:pPr>
              <w:pStyle w:val="TableParagraph"/>
              <w:spacing w:before="45"/>
              <w:ind w:left="283" w:right="320"/>
              <w:jc w:val="center"/>
              <w:rPr>
                <w:rFonts w:ascii="Garamond" w:hAnsi="Garamond"/>
                <w:b/>
                <w:sz w:val="20"/>
                <w:szCs w:val="20"/>
              </w:rPr>
            </w:pPr>
            <w:r w:rsidRPr="00246ECB">
              <w:rPr>
                <w:rFonts w:ascii="Garamond" w:hAnsi="Garamond"/>
                <w:b/>
                <w:sz w:val="20"/>
                <w:szCs w:val="20"/>
              </w:rPr>
              <w:t>13,812</w:t>
            </w:r>
          </w:p>
        </w:tc>
        <w:tc>
          <w:tcPr>
            <w:tcW w:w="1389" w:type="pct"/>
            <w:tcBorders>
              <w:top w:val="single" w:sz="8" w:space="0" w:color="7A9FCD"/>
              <w:bottom w:val="single" w:sz="8" w:space="0" w:color="7A9FCD"/>
              <w:right w:val="single" w:sz="8" w:space="0" w:color="7A9FCD"/>
            </w:tcBorders>
            <w:shd w:val="clear" w:color="auto" w:fill="94B3D6"/>
          </w:tcPr>
          <w:p w14:paraId="3D1088B9" w14:textId="77777777" w:rsidR="00C61F48" w:rsidRPr="00246ECB" w:rsidRDefault="00C61F48" w:rsidP="00BA13DB">
            <w:pPr>
              <w:pStyle w:val="TableParagraph"/>
              <w:spacing w:before="45"/>
              <w:ind w:left="685" w:right="631"/>
              <w:jc w:val="center"/>
              <w:rPr>
                <w:rFonts w:ascii="Garamond" w:hAnsi="Garamond"/>
                <w:b/>
                <w:sz w:val="20"/>
                <w:szCs w:val="20"/>
              </w:rPr>
            </w:pPr>
            <w:r w:rsidRPr="00246ECB">
              <w:rPr>
                <w:rFonts w:ascii="Garamond" w:hAnsi="Garamond"/>
                <w:b/>
                <w:sz w:val="20"/>
                <w:szCs w:val="20"/>
              </w:rPr>
              <w:t>100</w:t>
            </w:r>
          </w:p>
        </w:tc>
      </w:tr>
      <w:tr w:rsidR="00C61F48" w:rsidRPr="00246ECB" w14:paraId="5E1C4B5A" w14:textId="77777777" w:rsidTr="00246ECB">
        <w:trPr>
          <w:trHeight w:hRule="exact" w:val="204"/>
        </w:trPr>
        <w:tc>
          <w:tcPr>
            <w:tcW w:w="2363" w:type="pct"/>
            <w:tcBorders>
              <w:top w:val="single" w:sz="8" w:space="0" w:color="7A9FCD"/>
              <w:left w:val="single" w:sz="8" w:space="0" w:color="7A9FCD"/>
              <w:bottom w:val="single" w:sz="8" w:space="0" w:color="7A9FCD"/>
            </w:tcBorders>
          </w:tcPr>
          <w:p w14:paraId="1A3ACCFA" w14:textId="77777777" w:rsidR="00C61F48" w:rsidRPr="00246ECB" w:rsidRDefault="00C61F48" w:rsidP="00BA13DB">
            <w:pPr>
              <w:pStyle w:val="TableParagraph"/>
              <w:spacing w:line="178" w:lineRule="exact"/>
              <w:ind w:left="188" w:right="280"/>
              <w:jc w:val="center"/>
              <w:rPr>
                <w:rFonts w:ascii="Garamond" w:hAnsi="Garamond"/>
                <w:b/>
                <w:sz w:val="20"/>
                <w:szCs w:val="20"/>
              </w:rPr>
            </w:pPr>
            <w:r w:rsidRPr="00246ECB">
              <w:rPr>
                <w:rFonts w:ascii="Garamond" w:hAnsi="Garamond"/>
                <w:b/>
                <w:sz w:val="20"/>
                <w:szCs w:val="20"/>
              </w:rPr>
              <w:t>Rozaje</w:t>
            </w:r>
          </w:p>
        </w:tc>
        <w:tc>
          <w:tcPr>
            <w:tcW w:w="1248" w:type="pct"/>
            <w:tcBorders>
              <w:top w:val="single" w:sz="8" w:space="0" w:color="7A9FCD"/>
              <w:bottom w:val="single" w:sz="8" w:space="0" w:color="7A9FCD"/>
            </w:tcBorders>
          </w:tcPr>
          <w:p w14:paraId="5CD65A4D"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432</w:t>
            </w:r>
          </w:p>
        </w:tc>
        <w:tc>
          <w:tcPr>
            <w:tcW w:w="1389" w:type="pct"/>
            <w:tcBorders>
              <w:top w:val="single" w:sz="8" w:space="0" w:color="7A9FCD"/>
              <w:bottom w:val="single" w:sz="8" w:space="0" w:color="7A9FCD"/>
              <w:right w:val="single" w:sz="8" w:space="0" w:color="7A9FCD"/>
            </w:tcBorders>
          </w:tcPr>
          <w:p w14:paraId="265320C1"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3.12</w:t>
            </w:r>
          </w:p>
        </w:tc>
      </w:tr>
      <w:tr w:rsidR="00C61F48" w:rsidRPr="00246ECB" w14:paraId="4A03CEA6" w14:textId="77777777" w:rsidTr="00246ECB">
        <w:trPr>
          <w:trHeight w:hRule="exact" w:val="205"/>
        </w:trPr>
        <w:tc>
          <w:tcPr>
            <w:tcW w:w="2363" w:type="pct"/>
            <w:tcBorders>
              <w:top w:val="single" w:sz="8" w:space="0" w:color="7A9FCD"/>
              <w:left w:val="single" w:sz="8" w:space="0" w:color="7A9FCD"/>
              <w:bottom w:val="single" w:sz="8" w:space="0" w:color="7A9FCD"/>
            </w:tcBorders>
            <w:shd w:val="clear" w:color="auto" w:fill="DBE4F0"/>
          </w:tcPr>
          <w:p w14:paraId="7E83A138" w14:textId="77777777" w:rsidR="00C61F48" w:rsidRPr="00246ECB" w:rsidRDefault="00C61F48" w:rsidP="00BA13DB">
            <w:pPr>
              <w:pStyle w:val="TableParagraph"/>
              <w:spacing w:line="178" w:lineRule="exact"/>
              <w:ind w:left="186" w:right="280"/>
              <w:jc w:val="center"/>
              <w:rPr>
                <w:rFonts w:ascii="Garamond" w:hAnsi="Garamond"/>
                <w:b/>
                <w:sz w:val="20"/>
                <w:szCs w:val="20"/>
              </w:rPr>
            </w:pPr>
            <w:r w:rsidRPr="00246ECB">
              <w:rPr>
                <w:rFonts w:ascii="Garamond" w:hAnsi="Garamond"/>
                <w:b/>
                <w:sz w:val="20"/>
                <w:szCs w:val="20"/>
              </w:rPr>
              <w:t>Berane*</w:t>
            </w:r>
          </w:p>
        </w:tc>
        <w:tc>
          <w:tcPr>
            <w:tcW w:w="1248" w:type="pct"/>
            <w:tcBorders>
              <w:top w:val="single" w:sz="8" w:space="0" w:color="7A9FCD"/>
              <w:bottom w:val="single" w:sz="8" w:space="0" w:color="7A9FCD"/>
            </w:tcBorders>
            <w:shd w:val="clear" w:color="auto" w:fill="DBE4F0"/>
          </w:tcPr>
          <w:p w14:paraId="1ACCE645" w14:textId="77777777" w:rsidR="00C61F48" w:rsidRPr="00246ECB" w:rsidRDefault="00C61F48" w:rsidP="00BA13DB">
            <w:pPr>
              <w:pStyle w:val="TableParagraph"/>
              <w:spacing w:line="181" w:lineRule="exact"/>
              <w:ind w:left="283" w:right="318"/>
              <w:jc w:val="center"/>
              <w:rPr>
                <w:rFonts w:ascii="Garamond" w:hAnsi="Garamond"/>
                <w:sz w:val="20"/>
                <w:szCs w:val="20"/>
              </w:rPr>
            </w:pPr>
            <w:r w:rsidRPr="00246ECB">
              <w:rPr>
                <w:rFonts w:ascii="Garamond" w:hAnsi="Garamond"/>
                <w:sz w:val="20"/>
                <w:szCs w:val="20"/>
              </w:rPr>
              <w:t>544</w:t>
            </w:r>
          </w:p>
        </w:tc>
        <w:tc>
          <w:tcPr>
            <w:tcW w:w="1389" w:type="pct"/>
            <w:tcBorders>
              <w:top w:val="single" w:sz="8" w:space="0" w:color="7A9FCD"/>
              <w:bottom w:val="single" w:sz="8" w:space="0" w:color="7A9FCD"/>
              <w:right w:val="single" w:sz="8" w:space="0" w:color="7A9FCD"/>
            </w:tcBorders>
            <w:shd w:val="clear" w:color="auto" w:fill="DBE4F0"/>
          </w:tcPr>
          <w:p w14:paraId="41AAA189" w14:textId="77777777" w:rsidR="00C61F48" w:rsidRPr="00246ECB" w:rsidRDefault="00C61F48" w:rsidP="00BA13DB">
            <w:pPr>
              <w:pStyle w:val="TableParagraph"/>
              <w:spacing w:line="181" w:lineRule="exact"/>
              <w:ind w:left="683" w:right="631"/>
              <w:jc w:val="center"/>
              <w:rPr>
                <w:rFonts w:ascii="Garamond" w:hAnsi="Garamond"/>
                <w:sz w:val="20"/>
                <w:szCs w:val="20"/>
              </w:rPr>
            </w:pPr>
            <w:r w:rsidRPr="00246ECB">
              <w:rPr>
                <w:rFonts w:ascii="Garamond" w:hAnsi="Garamond"/>
                <w:sz w:val="20"/>
                <w:szCs w:val="20"/>
              </w:rPr>
              <w:t>3.94</w:t>
            </w:r>
          </w:p>
        </w:tc>
      </w:tr>
      <w:tr w:rsidR="00C61F48" w:rsidRPr="00246ECB" w14:paraId="59BA9E76" w14:textId="77777777" w:rsidTr="00246ECB">
        <w:trPr>
          <w:trHeight w:hRule="exact" w:val="204"/>
        </w:trPr>
        <w:tc>
          <w:tcPr>
            <w:tcW w:w="2363" w:type="pct"/>
            <w:tcBorders>
              <w:top w:val="single" w:sz="8" w:space="0" w:color="7A9FCD"/>
              <w:left w:val="single" w:sz="8" w:space="0" w:color="7A9FCD"/>
              <w:bottom w:val="single" w:sz="8" w:space="0" w:color="7A9FCD"/>
            </w:tcBorders>
          </w:tcPr>
          <w:p w14:paraId="0F1B93E5" w14:textId="77777777" w:rsidR="00C61F48" w:rsidRPr="00246ECB" w:rsidRDefault="00C61F48" w:rsidP="00BA13DB">
            <w:pPr>
              <w:pStyle w:val="TableParagraph"/>
              <w:spacing w:line="178" w:lineRule="exact"/>
              <w:ind w:left="186" w:right="280"/>
              <w:jc w:val="center"/>
              <w:rPr>
                <w:rFonts w:ascii="Garamond" w:hAnsi="Garamond"/>
                <w:b/>
                <w:sz w:val="20"/>
                <w:szCs w:val="20"/>
              </w:rPr>
            </w:pPr>
            <w:r w:rsidRPr="00246ECB">
              <w:rPr>
                <w:rFonts w:ascii="Garamond" w:hAnsi="Garamond"/>
                <w:b/>
                <w:sz w:val="20"/>
                <w:szCs w:val="20"/>
              </w:rPr>
              <w:t>Petnjica</w:t>
            </w:r>
          </w:p>
        </w:tc>
        <w:tc>
          <w:tcPr>
            <w:tcW w:w="1248" w:type="pct"/>
            <w:tcBorders>
              <w:top w:val="single" w:sz="8" w:space="0" w:color="7A9FCD"/>
              <w:bottom w:val="single" w:sz="8" w:space="0" w:color="7A9FCD"/>
            </w:tcBorders>
          </w:tcPr>
          <w:p w14:paraId="300566A6"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173</w:t>
            </w:r>
          </w:p>
        </w:tc>
        <w:tc>
          <w:tcPr>
            <w:tcW w:w="1389" w:type="pct"/>
            <w:tcBorders>
              <w:top w:val="single" w:sz="8" w:space="0" w:color="7A9FCD"/>
              <w:bottom w:val="single" w:sz="8" w:space="0" w:color="7A9FCD"/>
              <w:right w:val="single" w:sz="8" w:space="0" w:color="7A9FCD"/>
            </w:tcBorders>
          </w:tcPr>
          <w:p w14:paraId="5A3FB975"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1.25</w:t>
            </w:r>
          </w:p>
        </w:tc>
      </w:tr>
      <w:tr w:rsidR="00C61F48" w:rsidRPr="00246ECB" w14:paraId="413E3199" w14:textId="77777777" w:rsidTr="00246ECB">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675DF05A" w14:textId="77777777" w:rsidR="00C61F48" w:rsidRPr="00246ECB" w:rsidRDefault="00C61F48" w:rsidP="00BA13DB">
            <w:pPr>
              <w:pStyle w:val="TableParagraph"/>
              <w:spacing w:line="178" w:lineRule="exact"/>
              <w:ind w:left="188" w:right="280"/>
              <w:jc w:val="center"/>
              <w:rPr>
                <w:rFonts w:ascii="Garamond" w:hAnsi="Garamond"/>
                <w:b/>
                <w:sz w:val="20"/>
                <w:szCs w:val="20"/>
              </w:rPr>
            </w:pPr>
            <w:r w:rsidRPr="00246ECB">
              <w:rPr>
                <w:rFonts w:ascii="Garamond" w:hAnsi="Garamond"/>
                <w:b/>
                <w:sz w:val="20"/>
                <w:szCs w:val="20"/>
              </w:rPr>
              <w:t>Andrijevica</w:t>
            </w:r>
          </w:p>
        </w:tc>
        <w:tc>
          <w:tcPr>
            <w:tcW w:w="1248" w:type="pct"/>
            <w:tcBorders>
              <w:top w:val="single" w:sz="8" w:space="0" w:color="7A9FCD"/>
              <w:bottom w:val="single" w:sz="8" w:space="0" w:color="7A9FCD"/>
            </w:tcBorders>
            <w:shd w:val="clear" w:color="auto" w:fill="DBE4F0"/>
          </w:tcPr>
          <w:p w14:paraId="19DAA495"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283</w:t>
            </w:r>
          </w:p>
        </w:tc>
        <w:tc>
          <w:tcPr>
            <w:tcW w:w="1389" w:type="pct"/>
            <w:tcBorders>
              <w:top w:val="single" w:sz="8" w:space="0" w:color="7A9FCD"/>
              <w:bottom w:val="single" w:sz="8" w:space="0" w:color="7A9FCD"/>
              <w:right w:val="single" w:sz="8" w:space="0" w:color="7A9FCD"/>
            </w:tcBorders>
            <w:shd w:val="clear" w:color="auto" w:fill="DBE4F0"/>
          </w:tcPr>
          <w:p w14:paraId="73E8B394"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2.04</w:t>
            </w:r>
          </w:p>
        </w:tc>
      </w:tr>
      <w:tr w:rsidR="00C61F48" w:rsidRPr="00246ECB" w14:paraId="22C01A0B" w14:textId="77777777" w:rsidTr="00246ECB">
        <w:trPr>
          <w:trHeight w:hRule="exact" w:val="204"/>
        </w:trPr>
        <w:tc>
          <w:tcPr>
            <w:tcW w:w="2363" w:type="pct"/>
            <w:tcBorders>
              <w:top w:val="single" w:sz="8" w:space="0" w:color="7A9FCD"/>
              <w:left w:val="single" w:sz="8" w:space="0" w:color="7A9FCD"/>
              <w:bottom w:val="single" w:sz="8" w:space="0" w:color="7A9FCD"/>
            </w:tcBorders>
          </w:tcPr>
          <w:p w14:paraId="0A0185BD" w14:textId="77777777" w:rsidR="00C61F48" w:rsidRPr="00246ECB" w:rsidRDefault="00C61F48" w:rsidP="00BA13DB">
            <w:pPr>
              <w:pStyle w:val="TableParagraph"/>
              <w:spacing w:line="178" w:lineRule="exact"/>
              <w:ind w:left="188" w:right="279"/>
              <w:jc w:val="center"/>
              <w:rPr>
                <w:rFonts w:ascii="Garamond" w:hAnsi="Garamond"/>
                <w:b/>
                <w:sz w:val="20"/>
                <w:szCs w:val="20"/>
              </w:rPr>
            </w:pPr>
            <w:r w:rsidRPr="00246ECB">
              <w:rPr>
                <w:rFonts w:ascii="Garamond" w:hAnsi="Garamond"/>
                <w:b/>
                <w:sz w:val="20"/>
                <w:szCs w:val="20"/>
              </w:rPr>
              <w:t>Plava</w:t>
            </w:r>
          </w:p>
        </w:tc>
        <w:tc>
          <w:tcPr>
            <w:tcW w:w="1248" w:type="pct"/>
            <w:tcBorders>
              <w:top w:val="single" w:sz="8" w:space="0" w:color="7A9FCD"/>
              <w:bottom w:val="single" w:sz="8" w:space="0" w:color="7A9FCD"/>
            </w:tcBorders>
          </w:tcPr>
          <w:p w14:paraId="77745E40"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329</w:t>
            </w:r>
          </w:p>
        </w:tc>
        <w:tc>
          <w:tcPr>
            <w:tcW w:w="1389" w:type="pct"/>
            <w:tcBorders>
              <w:top w:val="single" w:sz="8" w:space="0" w:color="7A9FCD"/>
              <w:bottom w:val="single" w:sz="8" w:space="0" w:color="7A9FCD"/>
              <w:right w:val="single" w:sz="8" w:space="0" w:color="7A9FCD"/>
            </w:tcBorders>
          </w:tcPr>
          <w:p w14:paraId="4650BF1A"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2.38</w:t>
            </w:r>
          </w:p>
        </w:tc>
      </w:tr>
      <w:tr w:rsidR="00C61F48" w:rsidRPr="00246ECB" w14:paraId="397F20B5" w14:textId="77777777" w:rsidTr="00246ECB">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3EB3EA6B" w14:textId="77777777" w:rsidR="00C61F48" w:rsidRPr="00246ECB" w:rsidRDefault="00C61F48" w:rsidP="00BA13DB">
            <w:pPr>
              <w:pStyle w:val="TableParagraph"/>
              <w:spacing w:line="178" w:lineRule="exact"/>
              <w:ind w:left="188" w:right="278"/>
              <w:jc w:val="center"/>
              <w:rPr>
                <w:rFonts w:ascii="Garamond" w:hAnsi="Garamond"/>
                <w:b/>
                <w:sz w:val="20"/>
                <w:szCs w:val="20"/>
              </w:rPr>
            </w:pPr>
            <w:r w:rsidRPr="00246ECB">
              <w:rPr>
                <w:rFonts w:ascii="Garamond" w:hAnsi="Garamond"/>
                <w:b/>
                <w:sz w:val="20"/>
                <w:szCs w:val="20"/>
              </w:rPr>
              <w:t>Gucia**</w:t>
            </w:r>
          </w:p>
        </w:tc>
        <w:tc>
          <w:tcPr>
            <w:tcW w:w="1248" w:type="pct"/>
            <w:tcBorders>
              <w:top w:val="single" w:sz="8" w:space="0" w:color="7A9FCD"/>
              <w:bottom w:val="single" w:sz="8" w:space="0" w:color="7A9FCD"/>
            </w:tcBorders>
            <w:shd w:val="clear" w:color="auto" w:fill="DBE4F0"/>
          </w:tcPr>
          <w:p w14:paraId="1734DD38"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157</w:t>
            </w:r>
          </w:p>
        </w:tc>
        <w:tc>
          <w:tcPr>
            <w:tcW w:w="1389" w:type="pct"/>
            <w:tcBorders>
              <w:top w:val="single" w:sz="8" w:space="0" w:color="7A9FCD"/>
              <w:bottom w:val="single" w:sz="8" w:space="0" w:color="7A9FCD"/>
              <w:right w:val="single" w:sz="8" w:space="0" w:color="7A9FCD"/>
            </w:tcBorders>
            <w:shd w:val="clear" w:color="auto" w:fill="DBE4F0"/>
          </w:tcPr>
          <w:p w14:paraId="621778B8"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1.13</w:t>
            </w:r>
          </w:p>
        </w:tc>
      </w:tr>
      <w:tr w:rsidR="00C61F48" w:rsidRPr="00246ECB" w14:paraId="30442E93" w14:textId="77777777" w:rsidTr="00246ECB">
        <w:trPr>
          <w:trHeight w:hRule="exact" w:val="204"/>
        </w:trPr>
        <w:tc>
          <w:tcPr>
            <w:tcW w:w="2363" w:type="pct"/>
            <w:tcBorders>
              <w:top w:val="single" w:sz="8" w:space="0" w:color="7A9FCD"/>
              <w:left w:val="single" w:sz="8" w:space="0" w:color="7A9FCD"/>
              <w:bottom w:val="single" w:sz="8" w:space="0" w:color="7A9FCD"/>
            </w:tcBorders>
          </w:tcPr>
          <w:p w14:paraId="5D168EE0" w14:textId="77777777" w:rsidR="00C61F48" w:rsidRPr="00246ECB" w:rsidRDefault="00C61F48" w:rsidP="00BA13DB">
            <w:pPr>
              <w:pStyle w:val="TableParagraph"/>
              <w:spacing w:line="178" w:lineRule="exact"/>
              <w:ind w:left="188" w:right="278"/>
              <w:jc w:val="center"/>
              <w:rPr>
                <w:rFonts w:ascii="Garamond" w:hAnsi="Garamond"/>
                <w:b/>
                <w:sz w:val="20"/>
                <w:szCs w:val="20"/>
              </w:rPr>
            </w:pPr>
            <w:r w:rsidRPr="00246ECB">
              <w:rPr>
                <w:rFonts w:ascii="Garamond" w:hAnsi="Garamond"/>
                <w:b/>
                <w:sz w:val="20"/>
                <w:szCs w:val="20"/>
              </w:rPr>
              <w:t>Danilovgrad</w:t>
            </w:r>
          </w:p>
        </w:tc>
        <w:tc>
          <w:tcPr>
            <w:tcW w:w="1248" w:type="pct"/>
            <w:tcBorders>
              <w:top w:val="single" w:sz="8" w:space="0" w:color="7A9FCD"/>
              <w:bottom w:val="single" w:sz="8" w:space="0" w:color="7A9FCD"/>
            </w:tcBorders>
          </w:tcPr>
          <w:p w14:paraId="45742062"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501</w:t>
            </w:r>
          </w:p>
        </w:tc>
        <w:tc>
          <w:tcPr>
            <w:tcW w:w="1389" w:type="pct"/>
            <w:tcBorders>
              <w:top w:val="single" w:sz="8" w:space="0" w:color="7A9FCD"/>
              <w:bottom w:val="single" w:sz="8" w:space="0" w:color="7A9FCD"/>
              <w:right w:val="single" w:sz="8" w:space="0" w:color="7A9FCD"/>
            </w:tcBorders>
          </w:tcPr>
          <w:p w14:paraId="130B36DB"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3.62</w:t>
            </w:r>
          </w:p>
        </w:tc>
      </w:tr>
      <w:tr w:rsidR="00C61F48" w:rsidRPr="00246ECB" w14:paraId="2C6F16DF" w14:textId="77777777" w:rsidTr="00246ECB">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42BB8E06" w14:textId="77777777" w:rsidR="00C61F48" w:rsidRPr="00246ECB" w:rsidRDefault="00C61F48" w:rsidP="00BA13DB">
            <w:pPr>
              <w:pStyle w:val="TableParagraph"/>
              <w:spacing w:line="178" w:lineRule="exact"/>
              <w:ind w:left="188" w:right="280"/>
              <w:jc w:val="center"/>
              <w:rPr>
                <w:rFonts w:ascii="Garamond" w:hAnsi="Garamond"/>
                <w:b/>
                <w:sz w:val="20"/>
                <w:szCs w:val="20"/>
              </w:rPr>
            </w:pPr>
            <w:r w:rsidRPr="00246ECB">
              <w:rPr>
                <w:rFonts w:ascii="Garamond" w:hAnsi="Garamond"/>
                <w:b/>
                <w:sz w:val="20"/>
                <w:szCs w:val="20"/>
              </w:rPr>
              <w:t>Podgorica</w:t>
            </w:r>
          </w:p>
        </w:tc>
        <w:tc>
          <w:tcPr>
            <w:tcW w:w="1248" w:type="pct"/>
            <w:tcBorders>
              <w:top w:val="single" w:sz="8" w:space="0" w:color="7A9FCD"/>
              <w:bottom w:val="single" w:sz="8" w:space="0" w:color="7A9FCD"/>
            </w:tcBorders>
            <w:shd w:val="clear" w:color="auto" w:fill="DBE4F0"/>
          </w:tcPr>
          <w:p w14:paraId="3044671B"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1,441</w:t>
            </w:r>
          </w:p>
        </w:tc>
        <w:tc>
          <w:tcPr>
            <w:tcW w:w="1389" w:type="pct"/>
            <w:tcBorders>
              <w:top w:val="single" w:sz="8" w:space="0" w:color="7A9FCD"/>
              <w:bottom w:val="single" w:sz="8" w:space="0" w:color="7A9FCD"/>
              <w:right w:val="single" w:sz="8" w:space="0" w:color="7A9FCD"/>
            </w:tcBorders>
            <w:shd w:val="clear" w:color="auto" w:fill="DBE4F0"/>
          </w:tcPr>
          <w:p w14:paraId="4B343200" w14:textId="77777777" w:rsidR="00C61F48" w:rsidRPr="00246ECB" w:rsidRDefault="00C61F48" w:rsidP="00BA13DB">
            <w:pPr>
              <w:pStyle w:val="TableParagraph"/>
              <w:spacing w:line="180" w:lineRule="exact"/>
              <w:ind w:left="685" w:right="631"/>
              <w:jc w:val="center"/>
              <w:rPr>
                <w:rFonts w:ascii="Garamond" w:hAnsi="Garamond"/>
                <w:sz w:val="20"/>
                <w:szCs w:val="20"/>
              </w:rPr>
            </w:pPr>
            <w:r w:rsidRPr="00246ECB">
              <w:rPr>
                <w:rFonts w:ascii="Garamond" w:hAnsi="Garamond"/>
                <w:sz w:val="20"/>
                <w:szCs w:val="20"/>
              </w:rPr>
              <w:t>10.43</w:t>
            </w:r>
          </w:p>
        </w:tc>
      </w:tr>
      <w:tr w:rsidR="00C61F48" w:rsidRPr="00246ECB" w14:paraId="3377A1F3" w14:textId="77777777" w:rsidTr="00246ECB">
        <w:trPr>
          <w:trHeight w:hRule="exact" w:val="204"/>
        </w:trPr>
        <w:tc>
          <w:tcPr>
            <w:tcW w:w="2363" w:type="pct"/>
            <w:tcBorders>
              <w:top w:val="single" w:sz="8" w:space="0" w:color="7A9FCD"/>
              <w:left w:val="single" w:sz="8" w:space="0" w:color="7A9FCD"/>
              <w:bottom w:val="single" w:sz="8" w:space="0" w:color="7A9FCD"/>
            </w:tcBorders>
          </w:tcPr>
          <w:p w14:paraId="3CCD3FEE" w14:textId="77777777" w:rsidR="00C61F48" w:rsidRPr="00246ECB" w:rsidRDefault="00C61F48" w:rsidP="00BA13DB">
            <w:pPr>
              <w:pStyle w:val="TableParagraph"/>
              <w:spacing w:line="178" w:lineRule="exact"/>
              <w:ind w:left="188" w:right="280"/>
              <w:jc w:val="center"/>
              <w:rPr>
                <w:rFonts w:ascii="Garamond" w:hAnsi="Garamond"/>
                <w:b/>
                <w:sz w:val="20"/>
                <w:szCs w:val="20"/>
              </w:rPr>
            </w:pPr>
            <w:r w:rsidRPr="00246ECB">
              <w:rPr>
                <w:rFonts w:ascii="Garamond" w:hAnsi="Garamond"/>
                <w:b/>
                <w:sz w:val="20"/>
                <w:szCs w:val="20"/>
              </w:rPr>
              <w:t>Tivar</w:t>
            </w:r>
          </w:p>
        </w:tc>
        <w:tc>
          <w:tcPr>
            <w:tcW w:w="1248" w:type="pct"/>
            <w:tcBorders>
              <w:top w:val="single" w:sz="8" w:space="0" w:color="7A9FCD"/>
              <w:bottom w:val="single" w:sz="8" w:space="0" w:color="7A9FCD"/>
            </w:tcBorders>
          </w:tcPr>
          <w:p w14:paraId="291A5BEA"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598</w:t>
            </w:r>
          </w:p>
        </w:tc>
        <w:tc>
          <w:tcPr>
            <w:tcW w:w="1389" w:type="pct"/>
            <w:tcBorders>
              <w:top w:val="single" w:sz="8" w:space="0" w:color="7A9FCD"/>
              <w:bottom w:val="single" w:sz="8" w:space="0" w:color="7A9FCD"/>
              <w:right w:val="single" w:sz="8" w:space="0" w:color="7A9FCD"/>
            </w:tcBorders>
          </w:tcPr>
          <w:p w14:paraId="7344DA4D"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4.32</w:t>
            </w:r>
          </w:p>
        </w:tc>
      </w:tr>
      <w:tr w:rsidR="00C61F48" w:rsidRPr="00246ECB" w14:paraId="1950E77E" w14:textId="77777777" w:rsidTr="00246ECB">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0F8CC95D" w14:textId="77777777" w:rsidR="00C61F48" w:rsidRPr="00246ECB" w:rsidRDefault="00C61F48" w:rsidP="00BA13DB">
            <w:pPr>
              <w:pStyle w:val="TableParagraph"/>
              <w:spacing w:line="178" w:lineRule="exact"/>
              <w:ind w:left="188" w:right="278"/>
              <w:jc w:val="center"/>
              <w:rPr>
                <w:rFonts w:ascii="Garamond" w:hAnsi="Garamond"/>
                <w:b/>
                <w:sz w:val="20"/>
                <w:szCs w:val="20"/>
              </w:rPr>
            </w:pPr>
            <w:r w:rsidRPr="00246ECB">
              <w:rPr>
                <w:rFonts w:ascii="Garamond" w:hAnsi="Garamond"/>
                <w:b/>
                <w:sz w:val="20"/>
                <w:szCs w:val="20"/>
              </w:rPr>
              <w:t>Ulqin</w:t>
            </w:r>
          </w:p>
        </w:tc>
        <w:tc>
          <w:tcPr>
            <w:tcW w:w="1248" w:type="pct"/>
            <w:tcBorders>
              <w:top w:val="single" w:sz="8" w:space="0" w:color="7A9FCD"/>
              <w:bottom w:val="single" w:sz="8" w:space="0" w:color="7A9FCD"/>
            </w:tcBorders>
            <w:shd w:val="clear" w:color="auto" w:fill="DBE4F0"/>
          </w:tcPr>
          <w:p w14:paraId="27159F59"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255</w:t>
            </w:r>
          </w:p>
        </w:tc>
        <w:tc>
          <w:tcPr>
            <w:tcW w:w="1389" w:type="pct"/>
            <w:tcBorders>
              <w:top w:val="single" w:sz="8" w:space="0" w:color="7A9FCD"/>
              <w:bottom w:val="single" w:sz="8" w:space="0" w:color="7A9FCD"/>
              <w:right w:val="single" w:sz="8" w:space="0" w:color="7A9FCD"/>
            </w:tcBorders>
            <w:shd w:val="clear" w:color="auto" w:fill="DBE4F0"/>
          </w:tcPr>
          <w:p w14:paraId="038ED368"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1.84</w:t>
            </w:r>
          </w:p>
        </w:tc>
      </w:tr>
      <w:tr w:rsidR="00C61F48" w:rsidRPr="00246ECB" w14:paraId="2DD09469" w14:textId="77777777" w:rsidTr="00246ECB">
        <w:trPr>
          <w:trHeight w:hRule="exact" w:val="204"/>
        </w:trPr>
        <w:tc>
          <w:tcPr>
            <w:tcW w:w="2363" w:type="pct"/>
            <w:tcBorders>
              <w:top w:val="single" w:sz="8" w:space="0" w:color="7A9FCD"/>
              <w:left w:val="single" w:sz="8" w:space="0" w:color="7A9FCD"/>
              <w:bottom w:val="single" w:sz="8" w:space="0" w:color="7A9FCD"/>
            </w:tcBorders>
          </w:tcPr>
          <w:p w14:paraId="4FCD94C7" w14:textId="77777777" w:rsidR="00C61F48" w:rsidRPr="00246ECB" w:rsidRDefault="00C61F48" w:rsidP="00BA13DB">
            <w:pPr>
              <w:pStyle w:val="TableParagraph"/>
              <w:spacing w:line="178" w:lineRule="exact"/>
              <w:ind w:left="186" w:right="280"/>
              <w:jc w:val="center"/>
              <w:rPr>
                <w:rFonts w:ascii="Garamond" w:hAnsi="Garamond"/>
                <w:b/>
                <w:sz w:val="20"/>
                <w:szCs w:val="20"/>
              </w:rPr>
            </w:pPr>
            <w:r w:rsidRPr="00246ECB">
              <w:rPr>
                <w:rFonts w:ascii="Garamond" w:hAnsi="Garamond"/>
                <w:b/>
                <w:sz w:val="20"/>
                <w:szCs w:val="20"/>
              </w:rPr>
              <w:t>Cetinja</w:t>
            </w:r>
          </w:p>
        </w:tc>
        <w:tc>
          <w:tcPr>
            <w:tcW w:w="1248" w:type="pct"/>
            <w:tcBorders>
              <w:top w:val="single" w:sz="8" w:space="0" w:color="7A9FCD"/>
              <w:bottom w:val="single" w:sz="8" w:space="0" w:color="7A9FCD"/>
            </w:tcBorders>
          </w:tcPr>
          <w:p w14:paraId="1CD1857D"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910</w:t>
            </w:r>
          </w:p>
        </w:tc>
        <w:tc>
          <w:tcPr>
            <w:tcW w:w="1389" w:type="pct"/>
            <w:tcBorders>
              <w:top w:val="single" w:sz="8" w:space="0" w:color="7A9FCD"/>
              <w:bottom w:val="single" w:sz="8" w:space="0" w:color="7A9FCD"/>
              <w:right w:val="single" w:sz="8" w:space="0" w:color="7A9FCD"/>
            </w:tcBorders>
          </w:tcPr>
          <w:p w14:paraId="2CFAD52B"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6.58</w:t>
            </w:r>
          </w:p>
        </w:tc>
      </w:tr>
      <w:tr w:rsidR="00C61F48" w:rsidRPr="00246ECB" w14:paraId="07268797" w14:textId="77777777" w:rsidTr="00246ECB">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35DA460E" w14:textId="77777777" w:rsidR="00C61F48" w:rsidRPr="00246ECB" w:rsidRDefault="00C61F48" w:rsidP="00BA13DB">
            <w:pPr>
              <w:pStyle w:val="TableParagraph"/>
              <w:spacing w:line="178" w:lineRule="exact"/>
              <w:ind w:left="186" w:right="280"/>
              <w:jc w:val="center"/>
              <w:rPr>
                <w:rFonts w:ascii="Garamond" w:hAnsi="Garamond"/>
                <w:b/>
                <w:sz w:val="20"/>
                <w:szCs w:val="20"/>
              </w:rPr>
            </w:pPr>
            <w:r w:rsidRPr="00246ECB">
              <w:rPr>
                <w:rFonts w:ascii="Garamond" w:hAnsi="Garamond"/>
                <w:b/>
                <w:sz w:val="20"/>
                <w:szCs w:val="20"/>
              </w:rPr>
              <w:t>Budva</w:t>
            </w:r>
          </w:p>
        </w:tc>
        <w:tc>
          <w:tcPr>
            <w:tcW w:w="1248" w:type="pct"/>
            <w:tcBorders>
              <w:top w:val="single" w:sz="8" w:space="0" w:color="7A9FCD"/>
              <w:bottom w:val="single" w:sz="8" w:space="0" w:color="7A9FCD"/>
            </w:tcBorders>
            <w:shd w:val="clear" w:color="auto" w:fill="DBE4F0"/>
          </w:tcPr>
          <w:p w14:paraId="11BE4C9F" w14:textId="77777777" w:rsidR="00C61F48" w:rsidRPr="00246ECB" w:rsidRDefault="00C61F48" w:rsidP="00BA13DB">
            <w:pPr>
              <w:pStyle w:val="TableParagraph"/>
              <w:spacing w:line="180" w:lineRule="exact"/>
              <w:ind w:left="283" w:right="318"/>
              <w:jc w:val="center"/>
              <w:rPr>
                <w:rFonts w:ascii="Garamond" w:hAnsi="Garamond"/>
                <w:sz w:val="20"/>
                <w:szCs w:val="20"/>
              </w:rPr>
            </w:pPr>
            <w:r w:rsidRPr="00246ECB">
              <w:rPr>
                <w:rFonts w:ascii="Garamond" w:hAnsi="Garamond"/>
                <w:sz w:val="20"/>
                <w:szCs w:val="20"/>
              </w:rPr>
              <w:t>122</w:t>
            </w:r>
          </w:p>
        </w:tc>
        <w:tc>
          <w:tcPr>
            <w:tcW w:w="1389" w:type="pct"/>
            <w:tcBorders>
              <w:top w:val="single" w:sz="8" w:space="0" w:color="7A9FCD"/>
              <w:bottom w:val="single" w:sz="8" w:space="0" w:color="7A9FCD"/>
              <w:right w:val="single" w:sz="8" w:space="0" w:color="7A9FCD"/>
            </w:tcBorders>
            <w:shd w:val="clear" w:color="auto" w:fill="DBE4F0"/>
          </w:tcPr>
          <w:p w14:paraId="4C8E38D1" w14:textId="77777777" w:rsidR="00C61F48" w:rsidRPr="00246ECB" w:rsidRDefault="00C61F48" w:rsidP="00BA13DB">
            <w:pPr>
              <w:pStyle w:val="TableParagraph"/>
              <w:spacing w:line="180" w:lineRule="exact"/>
              <w:ind w:left="683" w:right="631"/>
              <w:jc w:val="center"/>
              <w:rPr>
                <w:rFonts w:ascii="Garamond" w:hAnsi="Garamond"/>
                <w:sz w:val="20"/>
                <w:szCs w:val="20"/>
              </w:rPr>
            </w:pPr>
            <w:r w:rsidRPr="00246ECB">
              <w:rPr>
                <w:rFonts w:ascii="Garamond" w:hAnsi="Garamond"/>
                <w:sz w:val="20"/>
                <w:szCs w:val="20"/>
              </w:rPr>
              <w:t>0.88</w:t>
            </w:r>
          </w:p>
        </w:tc>
      </w:tr>
      <w:tr w:rsidR="00C61F48" w:rsidRPr="00246ECB" w14:paraId="0254A59C" w14:textId="77777777" w:rsidTr="00246ECB">
        <w:trPr>
          <w:trHeight w:hRule="exact" w:val="296"/>
        </w:trPr>
        <w:tc>
          <w:tcPr>
            <w:tcW w:w="2363" w:type="pct"/>
            <w:tcBorders>
              <w:top w:val="single" w:sz="8" w:space="0" w:color="7A9FCD"/>
              <w:left w:val="single" w:sz="8" w:space="0" w:color="7A9FCD"/>
              <w:bottom w:val="single" w:sz="8" w:space="0" w:color="7A9FCD"/>
            </w:tcBorders>
          </w:tcPr>
          <w:p w14:paraId="6C2C6147" w14:textId="77777777" w:rsidR="00C61F48" w:rsidRPr="00246ECB" w:rsidRDefault="00C61F48" w:rsidP="00BA13DB">
            <w:pPr>
              <w:pStyle w:val="TableParagraph"/>
              <w:spacing w:before="39"/>
              <w:ind w:left="186" w:right="280"/>
              <w:jc w:val="center"/>
              <w:rPr>
                <w:rFonts w:ascii="Garamond" w:hAnsi="Garamond"/>
                <w:b/>
                <w:sz w:val="20"/>
                <w:szCs w:val="20"/>
              </w:rPr>
            </w:pPr>
            <w:r w:rsidRPr="00246ECB">
              <w:rPr>
                <w:rFonts w:ascii="Garamond" w:hAnsi="Garamond"/>
                <w:b/>
                <w:sz w:val="20"/>
                <w:szCs w:val="20"/>
              </w:rPr>
              <w:t>Gjithsej Mali i Zi</w:t>
            </w:r>
          </w:p>
        </w:tc>
        <w:tc>
          <w:tcPr>
            <w:tcW w:w="1248" w:type="pct"/>
            <w:tcBorders>
              <w:top w:val="single" w:sz="8" w:space="0" w:color="7A9FCD"/>
              <w:bottom w:val="single" w:sz="8" w:space="0" w:color="7A9FCD"/>
            </w:tcBorders>
          </w:tcPr>
          <w:p w14:paraId="7D9CCE2F" w14:textId="77777777" w:rsidR="00C61F48" w:rsidRPr="00246ECB" w:rsidRDefault="00C61F48" w:rsidP="00BA13DB">
            <w:pPr>
              <w:pStyle w:val="TableParagraph"/>
              <w:spacing w:before="39"/>
              <w:ind w:left="283" w:right="318"/>
              <w:jc w:val="center"/>
              <w:rPr>
                <w:rFonts w:ascii="Garamond" w:hAnsi="Garamond"/>
                <w:b/>
                <w:sz w:val="20"/>
                <w:szCs w:val="20"/>
              </w:rPr>
            </w:pPr>
            <w:r w:rsidRPr="00246ECB">
              <w:rPr>
                <w:rFonts w:ascii="Garamond" w:hAnsi="Garamond"/>
                <w:b/>
                <w:sz w:val="20"/>
                <w:szCs w:val="20"/>
              </w:rPr>
              <w:t>5,745</w:t>
            </w:r>
          </w:p>
        </w:tc>
        <w:tc>
          <w:tcPr>
            <w:tcW w:w="1389" w:type="pct"/>
            <w:tcBorders>
              <w:top w:val="single" w:sz="8" w:space="0" w:color="7A9FCD"/>
              <w:bottom w:val="single" w:sz="8" w:space="0" w:color="7A9FCD"/>
              <w:right w:val="single" w:sz="8" w:space="0" w:color="7A9FCD"/>
            </w:tcBorders>
          </w:tcPr>
          <w:p w14:paraId="039EE8C6" w14:textId="77777777" w:rsidR="00C61F48" w:rsidRPr="00246ECB" w:rsidRDefault="00C61F48" w:rsidP="00BA13DB">
            <w:pPr>
              <w:pStyle w:val="TableParagraph"/>
              <w:spacing w:before="39"/>
              <w:ind w:left="685" w:right="631"/>
              <w:jc w:val="center"/>
              <w:rPr>
                <w:rFonts w:ascii="Garamond" w:hAnsi="Garamond"/>
                <w:b/>
                <w:sz w:val="20"/>
                <w:szCs w:val="20"/>
              </w:rPr>
            </w:pPr>
            <w:r w:rsidRPr="00246ECB">
              <w:rPr>
                <w:rFonts w:ascii="Garamond" w:hAnsi="Garamond"/>
                <w:b/>
                <w:sz w:val="20"/>
                <w:szCs w:val="20"/>
              </w:rPr>
              <w:t>41.59</w:t>
            </w:r>
          </w:p>
        </w:tc>
      </w:tr>
      <w:tr w:rsidR="00C61F48" w:rsidRPr="00246ECB" w14:paraId="5C29BE08" w14:textId="77777777" w:rsidTr="00246ECB">
        <w:trPr>
          <w:trHeight w:hRule="exact" w:val="203"/>
        </w:trPr>
        <w:tc>
          <w:tcPr>
            <w:tcW w:w="2363" w:type="pct"/>
            <w:tcBorders>
              <w:top w:val="single" w:sz="8" w:space="0" w:color="7A9FCD"/>
              <w:left w:val="single" w:sz="8" w:space="0" w:color="7A9FCD"/>
              <w:bottom w:val="single" w:sz="8" w:space="0" w:color="7A9FCD"/>
            </w:tcBorders>
            <w:shd w:val="clear" w:color="auto" w:fill="94B3D6"/>
          </w:tcPr>
          <w:p w14:paraId="04621590" w14:textId="77777777" w:rsidR="00C61F48" w:rsidRPr="00246ECB" w:rsidRDefault="00C61F48" w:rsidP="00BA13DB">
            <w:pPr>
              <w:pStyle w:val="TableParagraph"/>
              <w:spacing w:line="179" w:lineRule="exact"/>
              <w:ind w:left="188" w:right="280"/>
              <w:jc w:val="center"/>
              <w:rPr>
                <w:rFonts w:ascii="Garamond" w:hAnsi="Garamond"/>
                <w:b/>
                <w:sz w:val="20"/>
                <w:szCs w:val="20"/>
              </w:rPr>
            </w:pPr>
            <w:r w:rsidRPr="00246ECB">
              <w:rPr>
                <w:rFonts w:ascii="Garamond" w:hAnsi="Garamond"/>
                <w:b/>
                <w:sz w:val="20"/>
                <w:szCs w:val="20"/>
              </w:rPr>
              <w:t>Shqipëria</w:t>
            </w:r>
          </w:p>
        </w:tc>
        <w:tc>
          <w:tcPr>
            <w:tcW w:w="1248" w:type="pct"/>
            <w:tcBorders>
              <w:top w:val="single" w:sz="8" w:space="0" w:color="7A9FCD"/>
              <w:bottom w:val="single" w:sz="8" w:space="0" w:color="7A9FCD"/>
            </w:tcBorders>
            <w:shd w:val="clear" w:color="auto" w:fill="94B3D6"/>
          </w:tcPr>
          <w:p w14:paraId="41E1D828" w14:textId="77777777" w:rsidR="00C61F48" w:rsidRPr="00246ECB" w:rsidRDefault="00C61F48" w:rsidP="00BA13DB">
            <w:pPr>
              <w:pStyle w:val="TableParagraph"/>
              <w:spacing w:line="179" w:lineRule="exact"/>
              <w:ind w:left="283" w:right="320"/>
              <w:jc w:val="center"/>
              <w:rPr>
                <w:rFonts w:ascii="Garamond" w:hAnsi="Garamond"/>
                <w:b/>
                <w:sz w:val="20"/>
                <w:szCs w:val="20"/>
              </w:rPr>
            </w:pPr>
            <w:r w:rsidRPr="00246ECB">
              <w:rPr>
                <w:rFonts w:ascii="Garamond" w:hAnsi="Garamond"/>
                <w:b/>
                <w:sz w:val="20"/>
                <w:szCs w:val="20"/>
              </w:rPr>
              <w:t>28,748</w:t>
            </w:r>
          </w:p>
        </w:tc>
        <w:tc>
          <w:tcPr>
            <w:tcW w:w="1389" w:type="pct"/>
            <w:tcBorders>
              <w:top w:val="single" w:sz="8" w:space="0" w:color="7A9FCD"/>
              <w:bottom w:val="single" w:sz="8" w:space="0" w:color="7A9FCD"/>
              <w:right w:val="single" w:sz="8" w:space="0" w:color="7A9FCD"/>
            </w:tcBorders>
            <w:shd w:val="clear" w:color="auto" w:fill="94B3D6"/>
          </w:tcPr>
          <w:p w14:paraId="102E52C3" w14:textId="77777777" w:rsidR="00C61F48" w:rsidRPr="00246ECB" w:rsidRDefault="00C61F48" w:rsidP="00BA13DB">
            <w:pPr>
              <w:pStyle w:val="TableParagraph"/>
              <w:spacing w:line="179" w:lineRule="exact"/>
              <w:ind w:left="685" w:right="631"/>
              <w:jc w:val="center"/>
              <w:rPr>
                <w:rFonts w:ascii="Garamond" w:hAnsi="Garamond"/>
                <w:b/>
                <w:sz w:val="20"/>
                <w:szCs w:val="20"/>
              </w:rPr>
            </w:pPr>
            <w:r w:rsidRPr="00246ECB">
              <w:rPr>
                <w:rFonts w:ascii="Garamond" w:hAnsi="Garamond"/>
                <w:b/>
                <w:sz w:val="20"/>
                <w:szCs w:val="20"/>
              </w:rPr>
              <w:t>100</w:t>
            </w:r>
          </w:p>
        </w:tc>
      </w:tr>
      <w:tr w:rsidR="00C61F48" w:rsidRPr="00246ECB" w14:paraId="5C1364E8" w14:textId="77777777" w:rsidTr="00246ECB">
        <w:trPr>
          <w:trHeight w:hRule="exact" w:val="205"/>
        </w:trPr>
        <w:tc>
          <w:tcPr>
            <w:tcW w:w="2363" w:type="pct"/>
            <w:tcBorders>
              <w:top w:val="single" w:sz="8" w:space="0" w:color="7A9FCD"/>
              <w:left w:val="single" w:sz="8" w:space="0" w:color="7A9FCD"/>
              <w:bottom w:val="single" w:sz="8" w:space="0" w:color="7A9FCD"/>
            </w:tcBorders>
          </w:tcPr>
          <w:p w14:paraId="486C25C7" w14:textId="77777777" w:rsidR="00C61F48" w:rsidRPr="00246ECB" w:rsidRDefault="00C61F48" w:rsidP="00BA13DB">
            <w:pPr>
              <w:pStyle w:val="TableParagraph"/>
              <w:spacing w:line="180" w:lineRule="exact"/>
              <w:ind w:left="188" w:right="277"/>
              <w:jc w:val="center"/>
              <w:rPr>
                <w:rFonts w:ascii="Garamond" w:hAnsi="Garamond"/>
                <w:b/>
                <w:sz w:val="20"/>
                <w:szCs w:val="20"/>
              </w:rPr>
            </w:pPr>
            <w:r w:rsidRPr="00246ECB">
              <w:rPr>
                <w:rFonts w:ascii="Garamond" w:hAnsi="Garamond"/>
                <w:b/>
                <w:sz w:val="20"/>
                <w:szCs w:val="20"/>
              </w:rPr>
              <w:t>Shkodra</w:t>
            </w:r>
          </w:p>
        </w:tc>
        <w:tc>
          <w:tcPr>
            <w:tcW w:w="1248" w:type="pct"/>
            <w:tcBorders>
              <w:top w:val="single" w:sz="8" w:space="0" w:color="7A9FCD"/>
              <w:bottom w:val="single" w:sz="8" w:space="0" w:color="7A9FCD"/>
            </w:tcBorders>
          </w:tcPr>
          <w:p w14:paraId="77F21A35" w14:textId="77777777" w:rsidR="00C61F48" w:rsidRPr="00246ECB" w:rsidRDefault="00C61F48" w:rsidP="00BA13DB">
            <w:pPr>
              <w:pStyle w:val="TableParagraph"/>
              <w:spacing w:line="183" w:lineRule="exact"/>
              <w:ind w:left="283" w:right="318"/>
              <w:jc w:val="center"/>
              <w:rPr>
                <w:rFonts w:ascii="Garamond" w:hAnsi="Garamond"/>
                <w:sz w:val="20"/>
                <w:szCs w:val="20"/>
              </w:rPr>
            </w:pPr>
            <w:r w:rsidRPr="00246ECB">
              <w:rPr>
                <w:rFonts w:ascii="Garamond" w:hAnsi="Garamond"/>
                <w:sz w:val="20"/>
                <w:szCs w:val="20"/>
              </w:rPr>
              <w:t>3,562</w:t>
            </w:r>
          </w:p>
        </w:tc>
        <w:tc>
          <w:tcPr>
            <w:tcW w:w="1389" w:type="pct"/>
            <w:tcBorders>
              <w:top w:val="single" w:sz="8" w:space="0" w:color="7A9FCD"/>
              <w:bottom w:val="single" w:sz="8" w:space="0" w:color="7A9FCD"/>
              <w:right w:val="single" w:sz="8" w:space="0" w:color="7A9FCD"/>
            </w:tcBorders>
          </w:tcPr>
          <w:p w14:paraId="1DE45812" w14:textId="77777777" w:rsidR="00C61F48" w:rsidRPr="00246ECB" w:rsidRDefault="00C61F48" w:rsidP="00BA13DB">
            <w:pPr>
              <w:pStyle w:val="TableParagraph"/>
              <w:spacing w:line="183" w:lineRule="exact"/>
              <w:ind w:left="685" w:right="631"/>
              <w:jc w:val="center"/>
              <w:rPr>
                <w:rFonts w:ascii="Garamond" w:hAnsi="Garamond"/>
                <w:sz w:val="20"/>
                <w:szCs w:val="20"/>
              </w:rPr>
            </w:pPr>
            <w:r w:rsidRPr="00246ECB">
              <w:rPr>
                <w:rFonts w:ascii="Garamond" w:hAnsi="Garamond"/>
                <w:sz w:val="20"/>
                <w:szCs w:val="20"/>
              </w:rPr>
              <w:t>12.39</w:t>
            </w:r>
          </w:p>
        </w:tc>
      </w:tr>
      <w:tr w:rsidR="00C61F48" w:rsidRPr="00246ECB" w14:paraId="1B47F1C9" w14:textId="77777777" w:rsidTr="00246ECB">
        <w:trPr>
          <w:trHeight w:hRule="exact" w:val="203"/>
        </w:trPr>
        <w:tc>
          <w:tcPr>
            <w:tcW w:w="2363" w:type="pct"/>
            <w:tcBorders>
              <w:top w:val="single" w:sz="8" w:space="0" w:color="7A9FCD"/>
              <w:left w:val="single" w:sz="8" w:space="0" w:color="7A9FCD"/>
              <w:bottom w:val="single" w:sz="8" w:space="0" w:color="7A9FCD"/>
            </w:tcBorders>
            <w:shd w:val="clear" w:color="auto" w:fill="D2DFED"/>
          </w:tcPr>
          <w:p w14:paraId="6F130539" w14:textId="77777777" w:rsidR="00C61F48" w:rsidRPr="00246ECB" w:rsidRDefault="00C61F48" w:rsidP="00BA13DB">
            <w:pPr>
              <w:pStyle w:val="TableParagraph"/>
              <w:spacing w:line="180" w:lineRule="exact"/>
              <w:ind w:left="188" w:right="277"/>
              <w:jc w:val="center"/>
              <w:rPr>
                <w:rFonts w:ascii="Garamond" w:hAnsi="Garamond"/>
                <w:b/>
                <w:sz w:val="20"/>
                <w:szCs w:val="20"/>
              </w:rPr>
            </w:pPr>
            <w:r w:rsidRPr="00246ECB">
              <w:rPr>
                <w:rFonts w:ascii="Garamond" w:hAnsi="Garamond"/>
                <w:b/>
                <w:sz w:val="20"/>
                <w:szCs w:val="20"/>
              </w:rPr>
              <w:t>Lezha</w:t>
            </w:r>
          </w:p>
        </w:tc>
        <w:tc>
          <w:tcPr>
            <w:tcW w:w="1248" w:type="pct"/>
            <w:tcBorders>
              <w:top w:val="single" w:sz="8" w:space="0" w:color="7A9FCD"/>
              <w:bottom w:val="single" w:sz="8" w:space="0" w:color="7A9FCD"/>
            </w:tcBorders>
            <w:shd w:val="clear" w:color="auto" w:fill="D2DFED"/>
          </w:tcPr>
          <w:p w14:paraId="47BC5FF5" w14:textId="77777777" w:rsidR="00C61F48" w:rsidRPr="00246ECB" w:rsidRDefault="00C61F48" w:rsidP="00BA13DB">
            <w:pPr>
              <w:pStyle w:val="TableParagraph"/>
              <w:spacing w:line="182" w:lineRule="exact"/>
              <w:ind w:left="283" w:right="318"/>
              <w:jc w:val="center"/>
              <w:rPr>
                <w:rFonts w:ascii="Garamond" w:hAnsi="Garamond"/>
                <w:sz w:val="20"/>
                <w:szCs w:val="20"/>
              </w:rPr>
            </w:pPr>
            <w:r w:rsidRPr="00246ECB">
              <w:rPr>
                <w:rFonts w:ascii="Garamond" w:hAnsi="Garamond"/>
                <w:sz w:val="20"/>
                <w:szCs w:val="20"/>
              </w:rPr>
              <w:t>1,620</w:t>
            </w:r>
          </w:p>
        </w:tc>
        <w:tc>
          <w:tcPr>
            <w:tcW w:w="1389" w:type="pct"/>
            <w:tcBorders>
              <w:top w:val="single" w:sz="8" w:space="0" w:color="7A9FCD"/>
              <w:bottom w:val="single" w:sz="8" w:space="0" w:color="7A9FCD"/>
              <w:right w:val="single" w:sz="8" w:space="0" w:color="7A9FCD"/>
            </w:tcBorders>
            <w:shd w:val="clear" w:color="auto" w:fill="D2DFED"/>
          </w:tcPr>
          <w:p w14:paraId="20BA0469" w14:textId="77777777" w:rsidR="00C61F48" w:rsidRPr="00246ECB" w:rsidRDefault="00C61F48" w:rsidP="00BA13DB">
            <w:pPr>
              <w:pStyle w:val="TableParagraph"/>
              <w:spacing w:line="182" w:lineRule="exact"/>
              <w:ind w:left="683" w:right="631"/>
              <w:jc w:val="center"/>
              <w:rPr>
                <w:rFonts w:ascii="Garamond" w:hAnsi="Garamond"/>
                <w:sz w:val="20"/>
                <w:szCs w:val="20"/>
              </w:rPr>
            </w:pPr>
            <w:r w:rsidRPr="00246ECB">
              <w:rPr>
                <w:rFonts w:ascii="Garamond" w:hAnsi="Garamond"/>
                <w:sz w:val="20"/>
                <w:szCs w:val="20"/>
              </w:rPr>
              <w:t>5.63</w:t>
            </w:r>
          </w:p>
        </w:tc>
      </w:tr>
      <w:tr w:rsidR="00C61F48" w:rsidRPr="00246ECB" w14:paraId="62B91D3F" w14:textId="77777777" w:rsidTr="00246ECB">
        <w:trPr>
          <w:trHeight w:hRule="exact" w:val="204"/>
        </w:trPr>
        <w:tc>
          <w:tcPr>
            <w:tcW w:w="2363" w:type="pct"/>
            <w:tcBorders>
              <w:top w:val="single" w:sz="8" w:space="0" w:color="7A9FCD"/>
              <w:left w:val="single" w:sz="8" w:space="0" w:color="7A9FCD"/>
              <w:bottom w:val="single" w:sz="8" w:space="0" w:color="7A9FCD"/>
            </w:tcBorders>
          </w:tcPr>
          <w:p w14:paraId="321363FE" w14:textId="77777777" w:rsidR="00C61F48" w:rsidRPr="00246ECB" w:rsidRDefault="00C61F48" w:rsidP="00BA13DB">
            <w:pPr>
              <w:pStyle w:val="TableParagraph"/>
              <w:spacing w:line="180" w:lineRule="exact"/>
              <w:ind w:left="186" w:right="280"/>
              <w:jc w:val="center"/>
              <w:rPr>
                <w:rFonts w:ascii="Garamond" w:hAnsi="Garamond"/>
                <w:b/>
                <w:sz w:val="20"/>
                <w:szCs w:val="20"/>
              </w:rPr>
            </w:pPr>
            <w:r w:rsidRPr="00246ECB">
              <w:rPr>
                <w:rFonts w:ascii="Garamond" w:hAnsi="Garamond"/>
                <w:b/>
                <w:sz w:val="20"/>
                <w:szCs w:val="20"/>
              </w:rPr>
              <w:t>Tropoja</w:t>
            </w:r>
          </w:p>
        </w:tc>
        <w:tc>
          <w:tcPr>
            <w:tcW w:w="1248" w:type="pct"/>
            <w:tcBorders>
              <w:top w:val="single" w:sz="8" w:space="0" w:color="7A9FCD"/>
              <w:bottom w:val="single" w:sz="8" w:space="0" w:color="7A9FCD"/>
            </w:tcBorders>
          </w:tcPr>
          <w:p w14:paraId="2CEFD50D" w14:textId="77777777" w:rsidR="00C61F48" w:rsidRPr="00246ECB" w:rsidRDefault="00C61F48" w:rsidP="00BA13DB">
            <w:pPr>
              <w:pStyle w:val="TableParagraph"/>
              <w:spacing w:line="183" w:lineRule="exact"/>
              <w:ind w:left="283" w:right="318"/>
              <w:jc w:val="center"/>
              <w:rPr>
                <w:rFonts w:ascii="Garamond" w:hAnsi="Garamond"/>
                <w:sz w:val="20"/>
                <w:szCs w:val="20"/>
              </w:rPr>
            </w:pPr>
            <w:r w:rsidRPr="00246ECB">
              <w:rPr>
                <w:rFonts w:ascii="Garamond" w:hAnsi="Garamond"/>
                <w:sz w:val="20"/>
                <w:szCs w:val="20"/>
              </w:rPr>
              <w:t>1,043</w:t>
            </w:r>
          </w:p>
        </w:tc>
        <w:tc>
          <w:tcPr>
            <w:tcW w:w="1389" w:type="pct"/>
            <w:tcBorders>
              <w:top w:val="single" w:sz="8" w:space="0" w:color="7A9FCD"/>
              <w:bottom w:val="single" w:sz="8" w:space="0" w:color="7A9FCD"/>
              <w:right w:val="single" w:sz="8" w:space="0" w:color="7A9FCD"/>
            </w:tcBorders>
          </w:tcPr>
          <w:p w14:paraId="07CD1C08" w14:textId="77777777" w:rsidR="00C61F48" w:rsidRPr="00246ECB" w:rsidRDefault="00C61F48" w:rsidP="00BA13DB">
            <w:pPr>
              <w:pStyle w:val="TableParagraph"/>
              <w:spacing w:line="183" w:lineRule="exact"/>
              <w:ind w:left="683" w:right="631"/>
              <w:jc w:val="center"/>
              <w:rPr>
                <w:rFonts w:ascii="Garamond" w:hAnsi="Garamond"/>
                <w:sz w:val="20"/>
                <w:szCs w:val="20"/>
              </w:rPr>
            </w:pPr>
            <w:r w:rsidRPr="00246ECB">
              <w:rPr>
                <w:rFonts w:ascii="Garamond" w:hAnsi="Garamond"/>
                <w:sz w:val="20"/>
                <w:szCs w:val="20"/>
              </w:rPr>
              <w:t>3.62</w:t>
            </w:r>
          </w:p>
        </w:tc>
      </w:tr>
      <w:tr w:rsidR="00C61F48" w:rsidRPr="00246ECB" w14:paraId="1E317AF4" w14:textId="77777777" w:rsidTr="00246ECB">
        <w:trPr>
          <w:trHeight w:hRule="exact" w:val="205"/>
        </w:trPr>
        <w:tc>
          <w:tcPr>
            <w:tcW w:w="2363" w:type="pct"/>
            <w:tcBorders>
              <w:top w:val="single" w:sz="8" w:space="0" w:color="7A9FCD"/>
              <w:left w:val="single" w:sz="8" w:space="0" w:color="7A9FCD"/>
              <w:bottom w:val="single" w:sz="8" w:space="0" w:color="7A9FCD"/>
            </w:tcBorders>
          </w:tcPr>
          <w:p w14:paraId="72A3D885" w14:textId="77777777" w:rsidR="00C61F48" w:rsidRPr="00246ECB" w:rsidRDefault="00C61F48" w:rsidP="00BA13DB">
            <w:pPr>
              <w:pStyle w:val="TableParagraph"/>
              <w:spacing w:line="180" w:lineRule="exact"/>
              <w:ind w:left="188" w:right="277"/>
              <w:jc w:val="center"/>
              <w:rPr>
                <w:rFonts w:ascii="Garamond" w:hAnsi="Garamond"/>
                <w:b/>
                <w:sz w:val="20"/>
                <w:szCs w:val="20"/>
              </w:rPr>
            </w:pPr>
            <w:r w:rsidRPr="00246ECB">
              <w:rPr>
                <w:rFonts w:ascii="Garamond" w:hAnsi="Garamond"/>
                <w:b/>
                <w:sz w:val="20"/>
                <w:szCs w:val="20"/>
              </w:rPr>
              <w:t>Gjithsej Shqipëria</w:t>
            </w:r>
          </w:p>
        </w:tc>
        <w:tc>
          <w:tcPr>
            <w:tcW w:w="1248" w:type="pct"/>
            <w:tcBorders>
              <w:top w:val="single" w:sz="8" w:space="0" w:color="7A9FCD"/>
              <w:bottom w:val="single" w:sz="8" w:space="0" w:color="7A9FCD"/>
            </w:tcBorders>
          </w:tcPr>
          <w:p w14:paraId="12B64FF8" w14:textId="77777777" w:rsidR="00C61F48" w:rsidRPr="00246ECB" w:rsidRDefault="00C61F48" w:rsidP="00BA13DB">
            <w:pPr>
              <w:pStyle w:val="TableParagraph"/>
              <w:spacing w:line="180" w:lineRule="exact"/>
              <w:ind w:left="283" w:right="318"/>
              <w:jc w:val="center"/>
              <w:rPr>
                <w:rFonts w:ascii="Garamond" w:hAnsi="Garamond"/>
                <w:b/>
                <w:sz w:val="20"/>
                <w:szCs w:val="20"/>
              </w:rPr>
            </w:pPr>
            <w:r w:rsidRPr="00246ECB">
              <w:rPr>
                <w:rFonts w:ascii="Garamond" w:hAnsi="Garamond"/>
                <w:b/>
                <w:sz w:val="20"/>
                <w:szCs w:val="20"/>
              </w:rPr>
              <w:t>6,225</w:t>
            </w:r>
          </w:p>
        </w:tc>
        <w:tc>
          <w:tcPr>
            <w:tcW w:w="1389" w:type="pct"/>
            <w:tcBorders>
              <w:top w:val="single" w:sz="8" w:space="0" w:color="7A9FCD"/>
              <w:bottom w:val="single" w:sz="8" w:space="0" w:color="7A9FCD"/>
              <w:right w:val="single" w:sz="8" w:space="0" w:color="7A9FCD"/>
            </w:tcBorders>
          </w:tcPr>
          <w:p w14:paraId="77269510" w14:textId="77777777" w:rsidR="00C61F48" w:rsidRPr="00246ECB" w:rsidRDefault="00C61F48" w:rsidP="00BA13DB">
            <w:pPr>
              <w:pStyle w:val="TableParagraph"/>
              <w:spacing w:line="180" w:lineRule="exact"/>
              <w:ind w:left="683" w:right="631"/>
              <w:jc w:val="center"/>
              <w:rPr>
                <w:rFonts w:ascii="Garamond" w:hAnsi="Garamond"/>
                <w:b/>
                <w:sz w:val="20"/>
                <w:szCs w:val="20"/>
              </w:rPr>
            </w:pPr>
            <w:r w:rsidRPr="00246ECB">
              <w:rPr>
                <w:rFonts w:ascii="Garamond" w:hAnsi="Garamond"/>
                <w:b/>
                <w:sz w:val="20"/>
                <w:szCs w:val="20"/>
              </w:rPr>
              <w:t>21.6</w:t>
            </w:r>
          </w:p>
        </w:tc>
      </w:tr>
      <w:tr w:rsidR="00C61F48" w:rsidRPr="00246ECB" w14:paraId="5A93524A" w14:textId="77777777" w:rsidTr="00246ECB">
        <w:trPr>
          <w:trHeight w:hRule="exact" w:val="388"/>
        </w:trPr>
        <w:tc>
          <w:tcPr>
            <w:tcW w:w="2363" w:type="pct"/>
            <w:tcBorders>
              <w:top w:val="single" w:sz="8" w:space="0" w:color="7A9FCD"/>
              <w:left w:val="single" w:sz="8" w:space="0" w:color="7A9FCD"/>
              <w:bottom w:val="single" w:sz="8" w:space="0" w:color="7A9FCD"/>
            </w:tcBorders>
            <w:shd w:val="clear" w:color="auto" w:fill="D2DFED"/>
          </w:tcPr>
          <w:p w14:paraId="6B46AB18" w14:textId="77777777" w:rsidR="00C61F48" w:rsidRPr="00246ECB" w:rsidRDefault="00C61F48" w:rsidP="00BA13DB">
            <w:pPr>
              <w:pStyle w:val="TableParagraph"/>
              <w:spacing w:line="179" w:lineRule="exact"/>
              <w:ind w:left="188" w:right="280"/>
              <w:jc w:val="center"/>
              <w:rPr>
                <w:rFonts w:ascii="Garamond" w:hAnsi="Garamond"/>
                <w:b/>
                <w:sz w:val="20"/>
                <w:szCs w:val="20"/>
              </w:rPr>
            </w:pPr>
            <w:r w:rsidRPr="00246ECB">
              <w:rPr>
                <w:rFonts w:ascii="Garamond" w:hAnsi="Garamond"/>
                <w:b/>
                <w:sz w:val="20"/>
                <w:szCs w:val="20"/>
              </w:rPr>
              <w:t>Zona e përgjithshme e programit</w:t>
            </w:r>
          </w:p>
        </w:tc>
        <w:tc>
          <w:tcPr>
            <w:tcW w:w="1248" w:type="pct"/>
            <w:tcBorders>
              <w:top w:val="single" w:sz="8" w:space="0" w:color="7A9FCD"/>
              <w:bottom w:val="single" w:sz="8" w:space="0" w:color="7A9FCD"/>
            </w:tcBorders>
            <w:shd w:val="clear" w:color="auto" w:fill="D2DFED"/>
          </w:tcPr>
          <w:p w14:paraId="111EAA5D" w14:textId="77777777" w:rsidR="00C61F48" w:rsidRPr="00246ECB" w:rsidRDefault="00C61F48" w:rsidP="00BA13DB">
            <w:pPr>
              <w:pStyle w:val="TableParagraph"/>
              <w:spacing w:line="179" w:lineRule="exact"/>
              <w:ind w:left="283" w:right="320"/>
              <w:jc w:val="center"/>
              <w:rPr>
                <w:rFonts w:ascii="Garamond" w:hAnsi="Garamond"/>
                <w:b/>
                <w:sz w:val="20"/>
                <w:szCs w:val="20"/>
              </w:rPr>
            </w:pPr>
            <w:r w:rsidRPr="00246ECB">
              <w:rPr>
                <w:rFonts w:ascii="Garamond" w:hAnsi="Garamond"/>
                <w:b/>
                <w:sz w:val="20"/>
                <w:szCs w:val="20"/>
              </w:rPr>
              <w:t>11,970</w:t>
            </w:r>
          </w:p>
        </w:tc>
        <w:tc>
          <w:tcPr>
            <w:tcW w:w="1389" w:type="pct"/>
            <w:tcBorders>
              <w:top w:val="single" w:sz="8" w:space="0" w:color="7A9FCD"/>
              <w:bottom w:val="single" w:sz="8" w:space="0" w:color="7A9FCD"/>
              <w:right w:val="single" w:sz="8" w:space="0" w:color="7A9FCD"/>
            </w:tcBorders>
            <w:shd w:val="clear" w:color="auto" w:fill="D2DFED"/>
          </w:tcPr>
          <w:p w14:paraId="607A61F6" w14:textId="77777777" w:rsidR="00C61F48" w:rsidRPr="00246ECB" w:rsidRDefault="00C61F48" w:rsidP="00BA13DB">
            <w:pPr>
              <w:pStyle w:val="TableParagraph"/>
              <w:spacing w:line="178" w:lineRule="exact"/>
              <w:ind w:left="429" w:right="268"/>
              <w:rPr>
                <w:rFonts w:ascii="Garamond" w:hAnsi="Garamond"/>
                <w:b/>
                <w:sz w:val="20"/>
                <w:szCs w:val="20"/>
              </w:rPr>
            </w:pPr>
            <w:r w:rsidRPr="00246ECB">
              <w:rPr>
                <w:rFonts w:ascii="Garamond" w:hAnsi="Garamond"/>
                <w:b/>
                <w:sz w:val="20"/>
                <w:szCs w:val="20"/>
              </w:rPr>
              <w:t>MNE: 47.9 %</w:t>
            </w:r>
          </w:p>
          <w:p w14:paraId="520D12B4" w14:textId="77777777" w:rsidR="00C61F48" w:rsidRPr="00246ECB" w:rsidRDefault="00C61F48" w:rsidP="00BA13DB">
            <w:pPr>
              <w:pStyle w:val="TableParagraph"/>
              <w:spacing w:line="183" w:lineRule="exact"/>
              <w:ind w:left="501" w:right="268"/>
              <w:rPr>
                <w:rFonts w:ascii="Garamond" w:hAnsi="Garamond"/>
                <w:b/>
                <w:sz w:val="20"/>
                <w:szCs w:val="20"/>
              </w:rPr>
            </w:pPr>
            <w:r w:rsidRPr="00246ECB">
              <w:rPr>
                <w:rFonts w:ascii="Garamond" w:hAnsi="Garamond"/>
                <w:b/>
                <w:sz w:val="20"/>
                <w:szCs w:val="20"/>
              </w:rPr>
              <w:t>AL: 52.1 %</w:t>
            </w:r>
          </w:p>
        </w:tc>
      </w:tr>
    </w:tbl>
    <w:p w14:paraId="60C8C4FC" w14:textId="77777777" w:rsidR="00C61F48" w:rsidRDefault="00C61F48" w:rsidP="00246ECB">
      <w:pPr>
        <w:pStyle w:val="TEKSTI"/>
        <w:rPr>
          <w:sz w:val="18"/>
        </w:rPr>
      </w:pPr>
      <w:r>
        <w:rPr>
          <w:b/>
          <w:sz w:val="18"/>
        </w:rPr>
        <w:t>*</w:t>
      </w:r>
      <w:r>
        <w:rPr>
          <w:sz w:val="18"/>
        </w:rPr>
        <w:t xml:space="preserve">Të dhëna nga </w:t>
      </w:r>
      <w:hyperlink r:id="rId18">
        <w:r>
          <w:rPr>
            <w:sz w:val="18"/>
            <w:u w:val="single"/>
          </w:rPr>
          <w:t>http://www.trpezi.eu/BIHOR%20I%20STUDIJA.html</w:t>
        </w:r>
      </w:hyperlink>
    </w:p>
    <w:p w14:paraId="1139EB2A" w14:textId="77777777" w:rsidR="00C61F48" w:rsidRDefault="00C61F48" w:rsidP="00246ECB">
      <w:pPr>
        <w:pStyle w:val="TEKSTI"/>
        <w:rPr>
          <w:sz w:val="18"/>
        </w:rPr>
      </w:pPr>
      <w:r>
        <w:rPr>
          <w:sz w:val="18"/>
        </w:rPr>
        <w:t xml:space="preserve">**Të dhëna nga </w:t>
      </w:r>
      <w:hyperlink r:id="rId19">
        <w:r>
          <w:rPr>
            <w:sz w:val="18"/>
            <w:u w:val="single"/>
          </w:rPr>
          <w:t>http://www.plav.me/uploads/dokumenta/odluke/GUSINJE%20-%20studija.pdf</w:t>
        </w:r>
      </w:hyperlink>
    </w:p>
    <w:p w14:paraId="75FF6825" w14:textId="77777777" w:rsidR="00C61F48" w:rsidRDefault="00C61F48" w:rsidP="00C61F48">
      <w:pPr>
        <w:pStyle w:val="BodyText"/>
        <w:spacing w:before="11"/>
        <w:rPr>
          <w:sz w:val="26"/>
        </w:rPr>
      </w:pPr>
    </w:p>
    <w:p w14:paraId="624B54FE" w14:textId="77777777" w:rsidR="00C61F48" w:rsidRDefault="00C61F48" w:rsidP="00246ECB">
      <w:pPr>
        <w:pStyle w:val="TEKSTI"/>
      </w:pPr>
      <w:r>
        <w:t>Në përgjithësi, zona e programit ka 23 komuna dhe një total prej 1.114 vendbanimeve - qytete dhe fshatra. Shtatë komuna ndodhen direkt në kufi: Plavë, Andrijevica, Podgoricë, Gucia dhe Ulqini në Mal të Zi, dhe Shkodër dhe Koplik në Shqipëri. Vija kufitare kalon nëpër vargjet malore të lartë të Prokletije / Bjeshkët e Nemuna (Alpet Shqiptare) dhe liqenin e Shkodrës, për të përfunduar në detin Adriatik. Pikat e kalimit kufitar, veçanërisht ato të Sukobinë -Muriqan dhe Bozaj -Hani i Hotit, janë lehtësisht të arritshme gjatë gjithë vitit, ndërsa në pikën e kalimit kufitar Vermosh-Gercan janë duke u bërë përmirësime në infrastrukturën rrugore të saj, pasi ndodhet në lartësi të madhe, duke e bërë të vështirë kalimin e saj gjatë dimrit.</w:t>
      </w:r>
    </w:p>
    <w:p w14:paraId="43FA2860" w14:textId="3F0C3087" w:rsidR="00C61F48" w:rsidRDefault="00C61F48" w:rsidP="00246ECB">
      <w:pPr>
        <w:pStyle w:val="TEKSTI"/>
      </w:pPr>
      <w:r>
        <w:t xml:space="preserve">Zona e programit në </w:t>
      </w:r>
      <w:r>
        <w:rPr>
          <w:b/>
        </w:rPr>
        <w:t xml:space="preserve">Mal të Zi </w:t>
      </w:r>
      <w:r>
        <w:t>karakterizohet nga një profil gjeografik dhe klimatik i ndryshëm,  i mbushur me vargje malore, fusha, lugina, lumenj, laguna dhe liqene. Zona e programit përmban disa parqe kombëtare, zona të mbrojtura dhe peizazhe që pasqyrojnë biodiversitet të pasur dhe dallimet mjedisore. Pjesa kontinentale ose veriore e rajonit është një zonë malore. Majat malore arrijnë deri në</w:t>
      </w:r>
      <w:r w:rsidR="00246ECB">
        <w:t xml:space="preserve"> </w:t>
      </w:r>
      <w:r>
        <w:t>2.500 m lartësi, dhe territori përshkohet nga lumenj, si lumi Lim, Morava dhe Tara, duke  formuar kanione dhe lugina mbresëlënëse. Në lindje rajoni është i dominuar nga malet Prokletije dhe Hajla, ngjitur me Shqipërinë. Prokletije është shënuar si një Park Kombëtar që nga viti 2009. Komunat bregdetare të Tivarit dhe Ulqinit ndjekin traditën e kultivimit të agrumeve dhe ullinjve, si dhe atë të prodhimit të vajit të ullirit.</w:t>
      </w:r>
    </w:p>
    <w:p w14:paraId="6EEBCE27" w14:textId="0AF9EE12" w:rsidR="00C61F48" w:rsidRDefault="00C61F48" w:rsidP="00246ECB">
      <w:pPr>
        <w:pStyle w:val="TEKSTI"/>
      </w:pPr>
      <w:r>
        <w:t xml:space="preserve">Zona e programit në </w:t>
      </w:r>
      <w:r>
        <w:rPr>
          <w:b/>
        </w:rPr>
        <w:t xml:space="preserve">Shqipëri </w:t>
      </w:r>
      <w:r>
        <w:t>paraqet kontraste të mprehta, pasi alternon male, kodra, lumenj, liqene dhe bregdet, shumë afër me njëri-tjetrin. Në këtë zonë ka</w:t>
      </w:r>
    </w:p>
    <w:p w14:paraId="6750A1DB" w14:textId="77777777" w:rsidR="00C61F48" w:rsidRDefault="00C61F48" w:rsidP="00246ECB">
      <w:pPr>
        <w:pStyle w:val="TEKSTI"/>
      </w:pPr>
      <w:r>
        <w:t>lumenj të shumtë që kalojnë nëpër territor, të cilët shpesh shkaktojnë përmbytje gjatë stinëve me reshje. Zona  shtrihet nga malet e larta (Alpet Shqiptare) në pjesën veriore të saj në kufi me Malin e Zi, deri në bregdet (Velipojë dhe Shëngjin), në pjesën veri-perëndimore të Shqipërisë. Maja më e lartë është Jezerca me 2,694 m lartësi, në rajonin e Shkodrës, dhe ajo më e ulëta (-6m) ndodhet në rajonin e Lezhës. Në territorin e rajonit të Shkodrës mbizotërojnë malet, duke zënë 80% të sipërfaqes; dhe pyjet përbëjnë rreth 30% të</w:t>
      </w:r>
      <w:r>
        <w:rPr>
          <w:spacing w:val="-14"/>
        </w:rPr>
        <w:t xml:space="preserve"> </w:t>
      </w:r>
      <w:r>
        <w:t>saj.</w:t>
      </w:r>
    </w:p>
    <w:p w14:paraId="1B5E39C9" w14:textId="77777777" w:rsidR="00C61F48" w:rsidRDefault="00C61F48" w:rsidP="00246ECB">
      <w:pPr>
        <w:pStyle w:val="TEKSTI"/>
      </w:pPr>
      <w:r>
        <w:t>Rajoni i Shkodrës është gjithashtu i pasur me burime ujore. Drini, Buna, Shala, Cemi, Kiri janë lumenjtë kryesorë që rrjedhin në këtë zonë, me Drinin, i cili është lumi më i rëndësishëm i Shqipërisë - hidrocentralet e ndërtuar në të prodhojnë mbi 60% të prodhimit të përgjithshëm të energjisë elektrike në Shqipëri. Lezha ka pjesën e saj të maleve të larta dhe kodrave, të cilat mbulojnë rreth 65% të territorit të saj, ndërsa pjesa tjetër mbulohet nga fushat. Lumenjtë Mat dhe Ishëm, të cilët derdhen në detin Adriatik, së bashku me disa fusha lagunore, e bëjnë rajonin e Lezhës të pasur me burime ujore. Lezha ka një vijë bregdetare 38 km të gjatë, e cila fillon tek Kepi i Rodonit në jug dhe kufizohet me Velipojën-Shkodër në veri. Rrethi i Tropojës dominohet nga malet, me pyje që zënë 62% të territorit të tij të përgjithshëm; duke qenë se përmban liqenin e Fierzës dhe përshkohet nga lumenjtë Drini dhe Valbona, kjo zonë është e pasur me burime ujore.</w:t>
      </w:r>
    </w:p>
    <w:p w14:paraId="5132E5CE" w14:textId="4AD7084E" w:rsidR="00C61F48" w:rsidRDefault="00C61F48" w:rsidP="00246ECB">
      <w:pPr>
        <w:pStyle w:val="TEKSTI"/>
      </w:pPr>
      <w:r>
        <w:t>Zona e Programit ka klimë mesdhetare në zonën e saj bregdetare, me verë dhe vjeshtë të nxehtë dhe të thatë, dhe klimë kontinentale në zonën veriore malore, me dimër relativisht të ftohtë dhe me reshje dëbore të rënda në brendësi. Elemente të tilla gjeografike me kontrast të lartë pasurojë mjedisin, florën dhe faunën e zonës së programit. Burimet e saj natyrore janë stimuluese për zhvillimin e turizmit dhe</w:t>
      </w:r>
      <w:r w:rsidR="00246ECB">
        <w:t xml:space="preserve"> </w:t>
      </w:r>
      <w:r>
        <w:t>agrobiznesit, si stimujt kryesorë ekonomikë për të rritur mundësitë për mirëqenien dhe prosperitetin e banorëve në zonën e programit.</w:t>
      </w:r>
    </w:p>
    <w:p w14:paraId="36667E8A" w14:textId="77777777" w:rsidR="00246ECB" w:rsidRDefault="00246ECB" w:rsidP="00246ECB">
      <w:pPr>
        <w:pStyle w:val="TEKSTI"/>
      </w:pPr>
      <w:bookmarkStart w:id="34" w:name="_bookmark31"/>
      <w:bookmarkEnd w:id="34"/>
    </w:p>
    <w:p w14:paraId="151144AF" w14:textId="6EF07F69" w:rsidR="00246ECB" w:rsidRDefault="00246ECB" w:rsidP="00246ECB">
      <w:pPr>
        <w:pStyle w:val="TEKSTI"/>
      </w:pPr>
      <w:r w:rsidRPr="00246ECB">
        <w:rPr>
          <w:noProof/>
          <w:lang w:eastAsia="sq-AL"/>
        </w:rPr>
        <w:drawing>
          <wp:inline distT="0" distB="0" distL="0" distR="0" wp14:anchorId="1B54DADB" wp14:editId="189DE8D5">
            <wp:extent cx="3108960" cy="52036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54679" t="22104" r="26470" b="21806"/>
                    <a:stretch/>
                  </pic:blipFill>
                  <pic:spPr bwMode="auto">
                    <a:xfrm>
                      <a:off x="0" y="0"/>
                      <a:ext cx="3107078" cy="5200501"/>
                    </a:xfrm>
                    <a:prstGeom prst="rect">
                      <a:avLst/>
                    </a:prstGeom>
                    <a:ln>
                      <a:noFill/>
                    </a:ln>
                    <a:extLst>
                      <a:ext uri="{53640926-AAD7-44D8-BBD7-CCE9431645EC}">
                        <a14:shadowObscured xmlns:a14="http://schemas.microsoft.com/office/drawing/2010/main"/>
                      </a:ext>
                    </a:extLst>
                  </pic:spPr>
                </pic:pic>
              </a:graphicData>
            </a:graphic>
          </wp:inline>
        </w:drawing>
      </w:r>
    </w:p>
    <w:p w14:paraId="28A6DDEA" w14:textId="28217219" w:rsidR="00C61F48" w:rsidRPr="008D0448" w:rsidRDefault="008D0448" w:rsidP="00246ECB">
      <w:pPr>
        <w:pStyle w:val="TEKSTI"/>
        <w:rPr>
          <w:b/>
        </w:rPr>
      </w:pPr>
      <w:r w:rsidRPr="008D0448">
        <w:rPr>
          <w:b/>
        </w:rPr>
        <w:t xml:space="preserve">2. </w:t>
      </w:r>
      <w:r w:rsidR="00C61F48" w:rsidRPr="008D0448">
        <w:rPr>
          <w:b/>
        </w:rPr>
        <w:t>ANALIZA</w:t>
      </w:r>
      <w:r w:rsidR="00C61F48" w:rsidRPr="008D0448">
        <w:rPr>
          <w:b/>
          <w:spacing w:val="-4"/>
        </w:rPr>
        <w:t xml:space="preserve"> </w:t>
      </w:r>
      <w:r w:rsidR="00C61F48" w:rsidRPr="008D0448">
        <w:rPr>
          <w:b/>
        </w:rPr>
        <w:t>PESTLE</w:t>
      </w:r>
    </w:p>
    <w:p w14:paraId="134ACDE0" w14:textId="2622F057" w:rsidR="00C61F48" w:rsidRPr="008D0448" w:rsidRDefault="008D0448" w:rsidP="00246ECB">
      <w:pPr>
        <w:pStyle w:val="TEKSTI"/>
        <w:rPr>
          <w:b/>
        </w:rPr>
      </w:pPr>
      <w:bookmarkStart w:id="35" w:name="_bookmark32"/>
      <w:bookmarkEnd w:id="35"/>
      <w:r w:rsidRPr="008D0448">
        <w:rPr>
          <w:b/>
        </w:rPr>
        <w:t xml:space="preserve">2.1 </w:t>
      </w:r>
      <w:r w:rsidR="00C61F48" w:rsidRPr="008D0448">
        <w:rPr>
          <w:b/>
        </w:rPr>
        <w:t>Reformat politike dhe procesi i integrimit në</w:t>
      </w:r>
      <w:r w:rsidR="00C61F48" w:rsidRPr="008D0448">
        <w:rPr>
          <w:b/>
          <w:spacing w:val="-16"/>
        </w:rPr>
        <w:t xml:space="preserve"> </w:t>
      </w:r>
      <w:r w:rsidR="00C61F48" w:rsidRPr="008D0448">
        <w:rPr>
          <w:b/>
        </w:rPr>
        <w:t>BE</w:t>
      </w:r>
    </w:p>
    <w:p w14:paraId="37C8C425" w14:textId="77777777" w:rsidR="00C61F48" w:rsidRDefault="00C61F48" w:rsidP="00246ECB">
      <w:pPr>
        <w:pStyle w:val="TEKSTI"/>
      </w:pPr>
      <w:r>
        <w:t>Si Mali i Zi ashtu edhe Shqipëria janë të angazhuar për t'u bërë anëtarë të Bashkimit Evropian. Mali i Zi e ka marrë tashmë statusin e vendit kandidat, ndërsa Shqipëria pret ta marrë atë në qershor të vitit 2014.</w:t>
      </w:r>
    </w:p>
    <w:p w14:paraId="2C199B01" w14:textId="77777777" w:rsidR="00C61F48" w:rsidRDefault="00C61F48" w:rsidP="00246ECB">
      <w:pPr>
        <w:pStyle w:val="TEKSTI"/>
      </w:pPr>
      <w:r>
        <w:t>Transformimi në demokraci funksionale dhe ekonomi tregu ka qenë baza logjike e proceseve të thella të reformave kombëtare institucionale dhe ristrukturuese në Mal të Zi dhe Shqipëri.</w:t>
      </w:r>
    </w:p>
    <w:p w14:paraId="6D5C4DDA" w14:textId="301FEAFD" w:rsidR="00C61F48" w:rsidRDefault="00C61F48" w:rsidP="00246ECB">
      <w:pPr>
        <w:pStyle w:val="TEKSTI"/>
      </w:pPr>
      <w:r>
        <w:rPr>
          <w:b/>
        </w:rPr>
        <w:t xml:space="preserve">Mali i Zi </w:t>
      </w:r>
      <w:r>
        <w:t>ka bërë progres për sa i përket përmirësimit të legjislacionit në vend, kuadrit institucional dhe politik, forcimit të funksionimit të parlamentit, sistemit gjyqësor, politikave anti-korrupsion, të drejtave të njeriut dhe mbrojtjes së minoriteteve</w:t>
      </w:r>
      <w:r w:rsidR="008D0448">
        <w:rPr>
          <w:rStyle w:val="FootnoteReference"/>
        </w:rPr>
        <w:footnoteReference w:id="39"/>
      </w:r>
      <w:r>
        <w:t>. Reformat e vazhdueshme në administratën kushtetuese dhe atë publike duhet të përparojnë akoma më tej. Stabiliteti makroekonomik është ruajtur gjerësisht. Përmirësime të mëtejshme janë bërë në procedurat për hyrjen në treg dhe rimëkëmbjen nga falimentimi, së bashku me reformat e liberalizimit të tregut. Është bërë progres i mirë edhe në fushat e prokurimit publik, politikave të transportit, statistikave, dhe të shkencës dhe kërkimit.</w:t>
      </w:r>
    </w:p>
    <w:p w14:paraId="092391E5" w14:textId="77777777" w:rsidR="00C61F48" w:rsidRDefault="00C61F48" w:rsidP="00246ECB">
      <w:pPr>
        <w:pStyle w:val="TEKSTI"/>
      </w:pPr>
      <w:r>
        <w:t>Ristrukturimi i ekonomisë për të siguruar një alokim efikas të burimeve mbetet një sfidë kryesore, së bashku me luftimin e një sektor të madh informal, i cili vazhdon të pengojë mjedisin e biznesit; këto janë rreziqe të mëdha për aftësinë për të ndjekur politikat e duhura makroekonomike për të siguruar se stabiliteti makro-financiar është ruajtur.</w:t>
      </w:r>
    </w:p>
    <w:p w14:paraId="34A0AEAC" w14:textId="77777777" w:rsidR="00C61F48" w:rsidRDefault="00C61F48" w:rsidP="008D0448">
      <w:pPr>
        <w:pStyle w:val="TEKSTI"/>
      </w:pPr>
      <w:r>
        <w:t>Marrëdhëniet me Bashkimin Evropian kanë parë përparim të konsiderueshëm që kur është nënshkruar Partneriteti Evropian për Malin e Zi nga Këshilli i Evropës, më 22 janar 2007. Një vit më pas, më 15 tetor 2007 Mali i Zi nënshkroi Marrëveshjen e Stabilizim Asocimit (MSA) dhe një Marrëveshje të Përkohshme mbi tregtinë dhe çështjet e lidhura me të. Kjo e fundit hyri në fuqi në 1 janar 2008, ndërsa MSA hyri në fuqi në 1 maj 2010. Të bindur në përparimin e reformave të tij, Mali i Zi aplikoi për anëtarësim në BE më 15 dhjetor 2008. Pas një viti, në 19 dhjetor 2008, BE-ja hoqi kërkesën e vizave për malazezët që vizitonin shtetet anëtare të saj. Që nga data 17 dhjetor 2010, Mali i Zi ka marrë statusin e vendit kandidat për anëtarësim në BE. Bisedimet për negociatat mbi pranimin në BE kanë filluar më 29 qershor 2012 pasi Këshilli miratoi vlerësimin e Komisionit, i cili pranon se Mali i Zi është në përputhje me kriteret për anëtarësim në BE.</w:t>
      </w:r>
    </w:p>
    <w:p w14:paraId="1359C3F8" w14:textId="77777777" w:rsidR="00C61F48" w:rsidRDefault="00C61F48" w:rsidP="008D0448">
      <w:pPr>
        <w:pStyle w:val="TEKSTI"/>
      </w:pPr>
      <w:r>
        <w:t>Në përgjithësi, Mali i Zi vazhdon të zbatojë detyrimet e tij sipas Marrëveshjes së Stabilizimit  dhe Asocimit (MSA) me një ecuri të</w:t>
      </w:r>
      <w:r>
        <w:rPr>
          <w:spacing w:val="-10"/>
        </w:rPr>
        <w:t xml:space="preserve"> </w:t>
      </w:r>
      <w:r>
        <w:t>mirë.</w:t>
      </w:r>
    </w:p>
    <w:p w14:paraId="75BFBF82" w14:textId="28E33241" w:rsidR="00C61F48" w:rsidRDefault="00C61F48" w:rsidP="008D0448">
      <w:pPr>
        <w:pStyle w:val="TEKSTI"/>
      </w:pPr>
      <w:r>
        <w:rPr>
          <w:i/>
        </w:rPr>
        <w:t>Strategjia Kombëtare e Zhvillimit të Qëndrueshëm 2007 (SKZhQ) e Malit të Zi</w:t>
      </w:r>
      <w:r w:rsidR="008D0448">
        <w:rPr>
          <w:rStyle w:val="FootnoteReference"/>
          <w:i/>
        </w:rPr>
        <w:footnoteReference w:id="40"/>
      </w:r>
      <w:r>
        <w:rPr>
          <w:b/>
          <w:position w:val="6"/>
          <w:sz w:val="16"/>
        </w:rPr>
        <w:t xml:space="preserve"> </w:t>
      </w:r>
      <w:r>
        <w:t>është një nga  dokumentet kryesore të zhvillimit të politikave të vendit. Ajo përcakton pesë qëllimet afatgjata për arritjen e zhvillimit të</w:t>
      </w:r>
      <w:r>
        <w:rPr>
          <w:spacing w:val="-11"/>
        </w:rPr>
        <w:t xml:space="preserve"> </w:t>
      </w:r>
      <w:r>
        <w:t>qëndrueshëm:</w:t>
      </w:r>
    </w:p>
    <w:p w14:paraId="5822C3D4" w14:textId="68028AB7" w:rsidR="00C61F48" w:rsidRDefault="008D0448" w:rsidP="008D0448">
      <w:pPr>
        <w:pStyle w:val="TEKSTI"/>
      </w:pPr>
      <w:r>
        <w:t>-</w:t>
      </w:r>
      <w:r w:rsidR="00C61F48">
        <w:t>Përshpejtimi i rritjes dhe zhvillimit ekonomik dhe reduktimi i pabarazive të zhvillimit</w:t>
      </w:r>
      <w:r w:rsidR="00C61F48">
        <w:rPr>
          <w:spacing w:val="-29"/>
        </w:rPr>
        <w:t xml:space="preserve"> </w:t>
      </w:r>
      <w:r w:rsidR="00C61F48">
        <w:t>rajonal;</w:t>
      </w:r>
    </w:p>
    <w:p w14:paraId="48BF818B" w14:textId="4490792E" w:rsidR="00C61F48" w:rsidRDefault="008D0448" w:rsidP="008D0448">
      <w:pPr>
        <w:pStyle w:val="TEKSTI"/>
      </w:pPr>
      <w:r>
        <w:t>-</w:t>
      </w:r>
      <w:r w:rsidR="00C61F48">
        <w:t>Reduktimi i varfërisë; sigurimi i aksesit të barabartë në shërbime dhe</w:t>
      </w:r>
      <w:r w:rsidR="00C61F48">
        <w:rPr>
          <w:spacing w:val="-20"/>
        </w:rPr>
        <w:t xml:space="preserve"> </w:t>
      </w:r>
      <w:r w:rsidR="00C61F48">
        <w:t>burime;</w:t>
      </w:r>
    </w:p>
    <w:p w14:paraId="18FFE2EF" w14:textId="7585A65C" w:rsidR="00C61F48" w:rsidRDefault="008D0448" w:rsidP="008D0448">
      <w:pPr>
        <w:pStyle w:val="TEKSTI"/>
      </w:pPr>
      <w:r>
        <w:t>-</w:t>
      </w:r>
      <w:r w:rsidR="00C61F48">
        <w:t>Sigurimi i kontrollit efikas të ndotjes dhe menaxhimi i qëndrueshëm i burimeve</w:t>
      </w:r>
      <w:r w:rsidR="00C61F48">
        <w:rPr>
          <w:spacing w:val="-21"/>
        </w:rPr>
        <w:t xml:space="preserve"> </w:t>
      </w:r>
      <w:r w:rsidR="00C61F48">
        <w:t>natyrore;</w:t>
      </w:r>
    </w:p>
    <w:p w14:paraId="2BB1A4BF" w14:textId="77777777" w:rsidR="00C61F48" w:rsidRDefault="00C61F48" w:rsidP="008D0448">
      <w:pPr>
        <w:pStyle w:val="TEKSTI"/>
      </w:pPr>
      <w:r>
        <w:t>Përmirësimi i sistemit të qeverisjes dhe pjesëmarrjes publike; mobilizimi i të gjitha palëve të interesuara dhe ngritja e kapaciteteve në të gjitha</w:t>
      </w:r>
      <w:r>
        <w:rPr>
          <w:spacing w:val="-13"/>
        </w:rPr>
        <w:t xml:space="preserve"> </w:t>
      </w:r>
      <w:r>
        <w:t>nivelet;</w:t>
      </w:r>
    </w:p>
    <w:p w14:paraId="5909F685" w14:textId="77777777" w:rsidR="00C61F48" w:rsidRDefault="00C61F48" w:rsidP="008D0448">
      <w:pPr>
        <w:pStyle w:val="TEKSTI"/>
      </w:pPr>
      <w:r>
        <w:t>Ruajtja e diversitetit dhe identiteteve</w:t>
      </w:r>
      <w:r>
        <w:rPr>
          <w:spacing w:val="-16"/>
        </w:rPr>
        <w:t xml:space="preserve"> </w:t>
      </w:r>
      <w:r>
        <w:t>kulturore.</w:t>
      </w:r>
    </w:p>
    <w:p w14:paraId="6E4342ED" w14:textId="77777777" w:rsidR="00C61F48" w:rsidRDefault="00C61F48" w:rsidP="008D0448">
      <w:pPr>
        <w:pStyle w:val="TEKSTI"/>
      </w:pPr>
      <w:r>
        <w:t xml:space="preserve">Duke njohur progresin e </w:t>
      </w:r>
      <w:r>
        <w:rPr>
          <w:b/>
        </w:rPr>
        <w:t xml:space="preserve">Shqipërisë </w:t>
      </w:r>
      <w:r>
        <w:t>me reformat politike dhe ekonomike, Bashkimi Evropian nënshkroi Marrëveshjen e Stabilizim Asocimit me Shqipërinë në qershor të vitit 2006, e cila hyri në fuqi në prill 2009. Shqipëria iu bashkua NATO-s në prill 2009. Liberalizimi i vizave për qytetarët e Shqipërisë për të hyjnë në shtetet e Shengenit hyri në fuqi më 15 dhjetor 2010.</w:t>
      </w:r>
    </w:p>
    <w:p w14:paraId="256B6C8B" w14:textId="77777777" w:rsidR="00C61F48" w:rsidRDefault="00C61F48" w:rsidP="008D0448">
      <w:pPr>
        <w:pStyle w:val="TEKSTI"/>
      </w:pPr>
      <w:r>
        <w:t>Hyrja në fuqi e Marrëveshjes së Stabilizim Asocimit shënoi një etapë cilësisht të re në marrëdhëniet dypalëshe, duke sjellë detyrime dhe angazhime të reja të rëndësishme për vendin në fushat e drejtësisë, lirisë dhe sigurisë, lëvizjes së lirë të punonjësve, të drejtës së vendosjes dhe lëvizjes së lirë të kapitalit  dhe shërbimeve, si dhe për transportin, fushën audio-vizuale dhe telekomunikacionit. Në përgjithësi, zbatimi i MSA-së ka vazhduar pa probleme, dhe Shqipëria ka vazhduar përafrimin e legjislacionit të saj me kërkesat e legjislacionit të BE-së në një sërë fushash dhe rritjen e aftësive të saj për të marrë përsipër detyrimet e anëtarësimit. Përmirësime thelbësore janë bërë në fusha të tilla si reformat e brendshme dhe ekonomike të tregut, rendi publik dhe menaxhimi i kufijve, reformat ligjore dhe administrata publike, prokurimi publik, statistikat, drejtësia, liria dhe siguria, dhe</w:t>
      </w:r>
      <w:r>
        <w:rPr>
          <w:spacing w:val="-25"/>
        </w:rPr>
        <w:t xml:space="preserve"> </w:t>
      </w:r>
      <w:r>
        <w:t>doganat.</w:t>
      </w:r>
    </w:p>
    <w:p w14:paraId="252FE072" w14:textId="6E253385" w:rsidR="00C61F48" w:rsidRDefault="00C61F48" w:rsidP="008D0448">
      <w:pPr>
        <w:pStyle w:val="TEKSTI"/>
      </w:pPr>
      <w:r>
        <w:t xml:space="preserve">Duke parë që Shqipëria arriti përparimin e nevojshëm, </w:t>
      </w:r>
      <w:r>
        <w:rPr>
          <w:i/>
        </w:rPr>
        <w:t>Komisioni Evropian rekomandoi në tetor të vitit 2013 që Këshilli Evropian t'i japë Shqipërisë statusin e Vendit Kandidat për në BE</w:t>
      </w:r>
      <w:r w:rsidR="008D0448">
        <w:rPr>
          <w:rStyle w:val="FootnoteReference"/>
          <w:i/>
        </w:rPr>
        <w:footnoteReference w:id="41"/>
      </w:r>
    </w:p>
    <w:p w14:paraId="38C247FC" w14:textId="77777777" w:rsidR="00C61F48" w:rsidRDefault="00C61F48" w:rsidP="008D0448">
      <w:pPr>
        <w:pStyle w:val="TEKSTI"/>
      </w:pPr>
      <w:r>
        <w:t>Megjithatë, sfidat kryesore mbesin në përfundimin e reformave në administratën publike dhe sistemin gjyqësor, në mënyrë që të forcohen institucionet e vendit. Zbatimi i reformës së pronës dhe reformës së administratës publike janë gjithashtu të rëndësishme, pasi njëra do ti hapë rrugën krijimit të tregut të tokës dhe të tjera do të përmirësojë ofrimin e shërbimeve për qytetarët. Përfundimi i ristrukturimit ekonomik - privatizimi në shkallë të gjerë dhe ruajtja e stabilitetit makroekonomik, dhe përmirësimi i mëtejshëm i klimës së biznesit për të tërhequr investimet private të drejtpërdrejta, janë prioritete kyçe për të ardhmen, së bashku me luftën ndaj ekonomisë së madhe informale. Është thelbësore të ruhet vrulli i reformave, veçanërisht duke u përqendruar në zbatimin e legjislacionit të miratuar dhe sigurimin e sundimit të</w:t>
      </w:r>
      <w:r>
        <w:rPr>
          <w:spacing w:val="-8"/>
        </w:rPr>
        <w:t xml:space="preserve"> </w:t>
      </w:r>
      <w:r>
        <w:t>ligjit.</w:t>
      </w:r>
    </w:p>
    <w:p w14:paraId="10506ED5" w14:textId="4A261B68" w:rsidR="00C61F48" w:rsidRDefault="00C61F48" w:rsidP="008D0448">
      <w:pPr>
        <w:pStyle w:val="TEKSTI"/>
      </w:pPr>
      <w:r>
        <w:rPr>
          <w:i/>
        </w:rPr>
        <w:t xml:space="preserve">Strategjia Kombëtare për Zhvillim dhe Integrim të Shqipërisë 2014-2020 (SKZHI), </w:t>
      </w:r>
      <w:r>
        <w:t>konsiderohet si kuadri i politikave gjithëpërfshirëse për vendin në kontekstin e integrimit në BE. Ajo përcakton katër shtyllat e politikës strategjike që përcaktojnë themelet për ndërhyrjet sektoriale dhe të bazuara në vend</w:t>
      </w:r>
      <w:r w:rsidR="008D0448">
        <w:rPr>
          <w:rStyle w:val="FootnoteReference"/>
        </w:rPr>
        <w:footnoteReference w:id="42"/>
      </w:r>
      <w:r>
        <w:t>:</w:t>
      </w:r>
    </w:p>
    <w:p w14:paraId="78B8A483" w14:textId="34EDEFB0" w:rsidR="00C61F48" w:rsidRDefault="008D0448" w:rsidP="008D0448">
      <w:pPr>
        <w:pStyle w:val="TEKSTI"/>
      </w:pPr>
      <w:r>
        <w:rPr>
          <w:i/>
        </w:rPr>
        <w:t>-</w:t>
      </w:r>
      <w:r w:rsidR="00C61F48">
        <w:rPr>
          <w:i/>
        </w:rPr>
        <w:t xml:space="preserve">Forcimi i demokracisë dhe shtetit të së drejtës që adreson aspekte si: </w:t>
      </w:r>
      <w:r w:rsidR="00C61F48">
        <w:t>sistemi zgjedhor, drejtësia dhe punët e brendshme, të drejtat e njeriut dhe media, qeverisja efektive dhe politikat  e jashtme dhe të</w:t>
      </w:r>
      <w:r w:rsidR="00C61F48">
        <w:rPr>
          <w:spacing w:val="-11"/>
        </w:rPr>
        <w:t xml:space="preserve"> </w:t>
      </w:r>
      <w:r w:rsidR="00C61F48">
        <w:t>mbrojtjes;</w:t>
      </w:r>
    </w:p>
    <w:p w14:paraId="5E8C2C33" w14:textId="27111432" w:rsidR="00C61F48" w:rsidRDefault="008D0448" w:rsidP="008D0448">
      <w:pPr>
        <w:pStyle w:val="TEKSTI"/>
      </w:pPr>
      <w:r>
        <w:rPr>
          <w:i/>
        </w:rPr>
        <w:t>-</w:t>
      </w:r>
      <w:r w:rsidR="00C61F48">
        <w:rPr>
          <w:i/>
        </w:rPr>
        <w:t xml:space="preserve">Krijimi i kushteve për zhvillim ekonomik konkurrues dhe të qëndrueshëm </w:t>
      </w:r>
      <w:r w:rsidR="00C61F48">
        <w:t>nëpërmjet përdorimit efikas të burimeve që mbulojnë: stabilitetin dhe qëndrueshmërinë makroekonomike,  ekonominë konkurruese të tregut, përdorimin efikas të burimeve, zhvillimin e integruar rajonal dhe zhvillimin e</w:t>
      </w:r>
      <w:r w:rsidR="00C61F48">
        <w:rPr>
          <w:spacing w:val="-7"/>
        </w:rPr>
        <w:t xml:space="preserve"> </w:t>
      </w:r>
      <w:r w:rsidR="00C61F48">
        <w:t>qëndrueshëm;</w:t>
      </w:r>
    </w:p>
    <w:p w14:paraId="3BC8860E" w14:textId="7E33CDCA" w:rsidR="00C61F48" w:rsidRDefault="008D0448" w:rsidP="008D0448">
      <w:pPr>
        <w:pStyle w:val="TEKSTI"/>
      </w:pPr>
      <w:r>
        <w:rPr>
          <w:i/>
        </w:rPr>
        <w:t>-</w:t>
      </w:r>
      <w:r w:rsidR="00C61F48">
        <w:rPr>
          <w:i/>
        </w:rPr>
        <w:t xml:space="preserve">Nxitja e përfshirjes sociale, mirëqenies dhe zhvillimit të tregut të punës, </w:t>
      </w:r>
      <w:r w:rsidR="00C61F48">
        <w:t>të cilat synojnë të promovojnë: politikat e punësimit dhe përfshirjes sociale, politikat</w:t>
      </w:r>
      <w:r w:rsidR="00C61F48">
        <w:rPr>
          <w:spacing w:val="-19"/>
        </w:rPr>
        <w:t xml:space="preserve"> </w:t>
      </w:r>
      <w:r w:rsidR="00C61F48">
        <w:t>sociale;</w:t>
      </w:r>
    </w:p>
    <w:p w14:paraId="16CBA7E5" w14:textId="246ACB67" w:rsidR="00C61F48" w:rsidRDefault="008D0448" w:rsidP="008D0448">
      <w:pPr>
        <w:pStyle w:val="TEKSTI"/>
      </w:pPr>
      <w:r>
        <w:rPr>
          <w:i/>
        </w:rPr>
        <w:t>-</w:t>
      </w:r>
      <w:r w:rsidR="00C61F48">
        <w:rPr>
          <w:i/>
        </w:rPr>
        <w:t xml:space="preserve">Zhvillimi i një shoqërie të bazuar në dituri, inovacion dhe teknologji dixhitale, </w:t>
      </w:r>
      <w:r w:rsidR="00C61F48">
        <w:t>që përfshin ndërhyrjet në fushat në vijim: arsimin e lartë, kërkimin dhe inovacionin, teknologjinë e informacionit dhe</w:t>
      </w:r>
      <w:r w:rsidR="00C61F48">
        <w:rPr>
          <w:spacing w:val="-10"/>
        </w:rPr>
        <w:t xml:space="preserve"> </w:t>
      </w:r>
      <w:r w:rsidR="00C61F48">
        <w:t>komunikimit.</w:t>
      </w:r>
    </w:p>
    <w:p w14:paraId="1DF4C9BF" w14:textId="77777777" w:rsidR="00C61F48" w:rsidRDefault="00C61F48" w:rsidP="008D0448">
      <w:pPr>
        <w:pStyle w:val="TEKSTI"/>
      </w:pPr>
      <w:r>
        <w:rPr>
          <w:i/>
        </w:rPr>
        <w:t xml:space="preserve">Strategjia Ndërsektoriale e Zhvillimit Rajonal të Shqipërisë </w:t>
      </w:r>
      <w:r>
        <w:t>dallon zonat kufitare si subjekt të planifikimit të politikave ndërsektoriale dhe i bën çështjet ndërkufitare pjesë të planifikimit të politikave të zhvillimit në nivel qarku.</w:t>
      </w:r>
    </w:p>
    <w:p w14:paraId="4FF0AB16" w14:textId="77777777" w:rsidR="00C61F48" w:rsidRDefault="00C61F48" w:rsidP="008D0448">
      <w:pPr>
        <w:pStyle w:val="TEKSTI"/>
      </w:pPr>
      <w:bookmarkStart w:id="36" w:name="_bookmark33"/>
      <w:bookmarkEnd w:id="36"/>
      <w:r>
        <w:t>Konteksti Ekonomik i Vendit</w:t>
      </w:r>
    </w:p>
    <w:p w14:paraId="5EE04880" w14:textId="72A5001E" w:rsidR="00C61F48" w:rsidRDefault="00C61F48" w:rsidP="008D0448">
      <w:pPr>
        <w:pStyle w:val="TEKSTI"/>
      </w:pPr>
      <w:r>
        <w:rPr>
          <w:b/>
        </w:rPr>
        <w:t xml:space="preserve">Mali i Zi </w:t>
      </w:r>
      <w:r>
        <w:t>po përpiqet të sigurojë forcimin ekonomik dhe stabilitetin financiar nëpërmjet konsolidimit fiskal dhe reformave strukturore. Reformat strukturore të Malit të Zi në sektorin publik, sektorin financiar, si dhe në klimën e investimeve, kanë bërë të mundur që vendi të bëjë progres në vitet e fundit në rritjen e të ardhurave për frymë dhe reduktimin e varfërisë, avancimin e reformave strukturore, dhe përgatitjen për anëtarësim në BE. GDP për frymë është 5.063 Euro në vitin 2012</w:t>
      </w:r>
      <w:r w:rsidR="00071344">
        <w:rPr>
          <w:rStyle w:val="FootnoteReference"/>
        </w:rPr>
        <w:footnoteReference w:id="43"/>
      </w:r>
      <w:r>
        <w:t>, pak më e ulët në krahasim me 5.211 Euro e regjistruar në vitin 2011, por më e lartë se në gjashtë vendet e tjerë të</w:t>
      </w:r>
      <w:r>
        <w:rPr>
          <w:spacing w:val="-31"/>
        </w:rPr>
        <w:t xml:space="preserve"> </w:t>
      </w:r>
      <w:r>
        <w:t>rajonit.</w:t>
      </w:r>
    </w:p>
    <w:p w14:paraId="5D4A4AB6" w14:textId="13F6DEFA" w:rsidR="00C61F48" w:rsidRDefault="00C61F48" w:rsidP="008D0448">
      <w:pPr>
        <w:pStyle w:val="TEKSTI"/>
      </w:pPr>
      <w:r>
        <w:t>Ekonomia e Malit të Zi ka hyrë në recesion në vitin 2008, dhe ka filluar të ngrihet pjesërisht në vitin 2010 dhe 2011 me një mesatare prej 2.9%. Megjithatë, rritja ka ndaluar përsëri pasi GDP ka regjistruar një rritje negative prej 2.5%</w:t>
      </w:r>
      <w:r w:rsidR="00071344">
        <w:rPr>
          <w:rStyle w:val="FootnoteReference"/>
        </w:rPr>
        <w:footnoteReference w:id="44"/>
      </w:r>
      <w:r>
        <w:t>, ndërsa papunësia ka arritur në rreth 19.7% në vitin 2012 nga 16.5% që ishte në vitin 2010</w:t>
      </w:r>
      <w:r w:rsidR="00071344">
        <w:rPr>
          <w:rStyle w:val="FootnoteReference"/>
        </w:rPr>
        <w:footnoteReference w:id="45"/>
      </w:r>
      <w:r>
        <w:t>. Shtyllat kryesore ekonomike të vendit mbeten turizmi, i ndjekur nga prodhimi, ndërsa sektorë të tjerë si ndërtimi dhe industria janë kontraktuar gjatë vitit 2012. Inflamacioni është rritur nga 0.5% në vitin 2010, në rreth 3.6% në vitin 2012 dhe borxhi publik është rritur nga nën 30% e GDP-së në vitin 2007 në mbi 54% të GDP-së në vitin 2012. Nga ana tjetër, kredia për ekonominë vazhdon të mbetet në nivele shumë të ulëta, ndërkohë që disa banka kanë ndaluar së dhëni hua për sektorin privat.</w:t>
      </w:r>
    </w:p>
    <w:p w14:paraId="06211DC2" w14:textId="77777777" w:rsidR="00C61F48" w:rsidRDefault="00C61F48" w:rsidP="008D0448">
      <w:pPr>
        <w:pStyle w:val="TEKSTI"/>
      </w:pPr>
      <w:r>
        <w:t>Sfida kryesore në të ardhmen mbetet fuqizimi i konkurrencës së ekonomisë së Malit të Zi, duke përmirësuar produktivitetin dhe duke tërhequr IHD të tjera në më shumë sektorë sesa vetëm turizmi dhe pasuritë e patundshme. Mjedisi i biznesit do të përmirësohet më tej duke vazhduar luftën ndaj korrupsionit dhe fuqizimin e shtetit ligjor. Hendeku midis ofertës dhe kërkesës së aftësive të punës  duhet të tejkalohet duke lejuar vendosjen më të pavarur të pagave në nivel kompanie. Forcimi i financave publike së bashku me reduktimin e ekonomisë informale janë gjithashtu sfida të rëndësishme që duhet</w:t>
      </w:r>
      <w:r>
        <w:rPr>
          <w:spacing w:val="-5"/>
        </w:rPr>
        <w:t xml:space="preserve"> </w:t>
      </w:r>
      <w:r>
        <w:t>përballuar.</w:t>
      </w:r>
    </w:p>
    <w:p w14:paraId="3F7F55B2" w14:textId="77777777" w:rsidR="00C61F48" w:rsidRDefault="00C61F48" w:rsidP="008D0448">
      <w:pPr>
        <w:pStyle w:val="TEKSTI"/>
      </w:pPr>
      <w:r>
        <w:t>Mali i Zi u bë anëtar i plotë i Organizatës Botërore të Tregtisë në prill të vitit 2012. Si vend anëtar i Procesit të Bashkëpunimit të Evropës Juglindore (PBEJL) që nga data 11 maj 2007, Mali i Zi e ka nënshkruar anëtarësimin në Marrëveshjen e Tregtisë së Lirë të Evropës Qendrore (CEFTA) më 26 korrik 2007, dhe gjithashtu ka nënshkruar një marrëveshje të tregtisë së lirë me vendet pjesë të Shoqatës Evropiane të Tregtisë së Lirë (EFTA), e cila ka hyrë në fuqi në korrik të vitit 2012.</w:t>
      </w:r>
    </w:p>
    <w:p w14:paraId="13076CAD" w14:textId="3683EAD0" w:rsidR="00C61F48" w:rsidRDefault="00C61F48" w:rsidP="00071344">
      <w:pPr>
        <w:pStyle w:val="TEKSTI"/>
      </w:pPr>
      <w:r>
        <w:rPr>
          <w:b/>
        </w:rPr>
        <w:t xml:space="preserve">Shqipëria </w:t>
      </w:r>
      <w:r>
        <w:t>ka bërë ecje relativisht të mirë gjatë dekadës së fundit. Vendi ka qëndruar larg recesionit,  duke ruajtur ritmet pozitive të rritjes, pavarësisht ekspozimit të saj ndaj</w:t>
      </w:r>
      <w:r w:rsidR="003B22A7">
        <w:t xml:space="preserve"> krizës së vështirë ekonomike, </w:t>
      </w:r>
      <w:r>
        <w:t>e</w:t>
      </w:r>
    </w:p>
    <w:p w14:paraId="4A41BE80" w14:textId="77D7D567" w:rsidR="00C61F48" w:rsidRDefault="00C61F48" w:rsidP="00071344">
      <w:pPr>
        <w:pStyle w:val="TEKSTI"/>
      </w:pPr>
      <w:r>
        <w:t>cila ka goditur Greqinë dhe Italinë, si dhe rrethimit nga ekonomitë rajonale kontraktuese. Rritja e GDP-së së saj është ngadalësuar nga një kulm i normës së rritjes prej 7.5% në vitin 2008, në një normë më të ulët të rritjes prej 1.6% në vitin 2012</w:t>
      </w:r>
      <w:r w:rsidR="003B22A7">
        <w:rPr>
          <w:rStyle w:val="FootnoteReference"/>
        </w:rPr>
        <w:footnoteReference w:id="46"/>
      </w:r>
      <w:r>
        <w:t>. Sektori i shërbimeve është kontribuuesi kryesor në GDP, duke përbërë më shumë se gjysmën e GDP-së së vendit. Shqipëria cilësohet si një vend me të ardhura të ulëta deri në mesatare me një GDP për frymë, e cila në vitin 2012 qëndron në 3.415 Euro</w:t>
      </w:r>
      <w:r w:rsidR="003B22A7">
        <w:rPr>
          <w:rStyle w:val="FootnoteReference"/>
        </w:rPr>
        <w:footnoteReference w:id="47"/>
      </w:r>
      <w:r>
        <w:t>. Shkalla e papunësisë me një mesatare prej 13% është ndër më të ulëtat në rajon. Borxhi publik i përgjithshëm i Shqipërisë ka arritur në 60.6% të GDP-së deri në fund të vitit 2012</w:t>
      </w:r>
      <w:r w:rsidR="003B22A7">
        <w:rPr>
          <w:rStyle w:val="FootnoteReference"/>
        </w:rPr>
        <w:footnoteReference w:id="48"/>
      </w:r>
      <w:r>
        <w:t>. Ekonomia mbetet e brishtë për shkak të dobësive të brendshme strukturore dhe paqëndrueshmërisë ekonomike</w:t>
      </w:r>
      <w:r>
        <w:rPr>
          <w:spacing w:val="-26"/>
        </w:rPr>
        <w:t xml:space="preserve"> </w:t>
      </w:r>
      <w:r>
        <w:t>globale.</w:t>
      </w:r>
    </w:p>
    <w:p w14:paraId="573615AE" w14:textId="77777777" w:rsidR="00C61F48" w:rsidRDefault="00C61F48" w:rsidP="00071344">
      <w:pPr>
        <w:pStyle w:val="TEKSTI"/>
      </w:pPr>
      <w:r>
        <w:t xml:space="preserve">Sfida kryesore në të ardhmen mbetet sigurimi i rritjes së qëndrueshme afatgjatë, duke ndjekur politika të matura fiskale dhe monetare dhe reformat strukturore. Shqipëria duhet </w:t>
      </w:r>
      <w:r>
        <w:rPr>
          <w:spacing w:val="3"/>
        </w:rPr>
        <w:t xml:space="preserve">të </w:t>
      </w:r>
      <w:r>
        <w:t>punojë për reduktimin e niveleve të larta të deficitit buxhetor dhe të borxhit publik. Ajo duhet të përmirësojë parashikimin fiskal duke hequr dorë nga mbivlerësimi i të ardhurave dhe duke përmirësuar në mënyrë të konsiderueshme përputhjen e taksave. Përmirësimi i mëtejshëm i mjedisit të biznesit dhe investimeve është thelbësor  për diversifikimin e ekonomisë dhe nxitjen e potencialit të saj të rritjes afatgjatë. Përforcimi i shtetit ligjor, lufta kundër korrupsionit dhe adresimi i detyrimeve të pashlyera, si dhe zhvillimi i infrastrukturës dhe përmirësimi i kapitalit njerëzor, janë fushat kryesore ku duhet të përqendrohen shumë përpjekje. Reduktimi i ekonomisë gri mbetet një sfidë e</w:t>
      </w:r>
      <w:r>
        <w:rPr>
          <w:spacing w:val="-19"/>
        </w:rPr>
        <w:t xml:space="preserve"> </w:t>
      </w:r>
      <w:r>
        <w:t>rëndësishme.</w:t>
      </w:r>
    </w:p>
    <w:p w14:paraId="50EAA49A" w14:textId="77777777" w:rsidR="00C61F48" w:rsidRDefault="00C61F48" w:rsidP="00071344">
      <w:pPr>
        <w:pStyle w:val="TEKSTI"/>
      </w:pPr>
      <w:r>
        <w:t>Shqipëria ka Marrëveshje për Tregti të Lirë me të gjitha vendet e rajonit, duke përfshirë Malin e Zi, dhe është anëtare e CEFTA-s që nga viti 2006.</w:t>
      </w:r>
    </w:p>
    <w:p w14:paraId="3B2D76E3" w14:textId="0F662EC4" w:rsidR="00C61F48" w:rsidRPr="00071344" w:rsidRDefault="00E63DDE" w:rsidP="00071344">
      <w:pPr>
        <w:pStyle w:val="TEKSTI"/>
        <w:rPr>
          <w:b/>
        </w:rPr>
      </w:pPr>
      <w:bookmarkStart w:id="37" w:name="_bookmark34"/>
      <w:bookmarkEnd w:id="37"/>
      <w:r>
        <w:rPr>
          <w:b/>
        </w:rPr>
        <w:t xml:space="preserve">2.2 </w:t>
      </w:r>
      <w:r w:rsidR="00C61F48" w:rsidRPr="00071344">
        <w:rPr>
          <w:b/>
        </w:rPr>
        <w:t>KARAKTERISTIKAT EKONOMIKE TË ZONËS SË</w:t>
      </w:r>
      <w:r w:rsidR="00C61F48" w:rsidRPr="00071344">
        <w:rPr>
          <w:b/>
          <w:spacing w:val="-26"/>
        </w:rPr>
        <w:t xml:space="preserve"> </w:t>
      </w:r>
      <w:r w:rsidR="00C61F48" w:rsidRPr="00071344">
        <w:rPr>
          <w:b/>
        </w:rPr>
        <w:t>PROGRAMIT</w:t>
      </w:r>
    </w:p>
    <w:p w14:paraId="00E88DC1" w14:textId="067EAD0B" w:rsidR="00C61F48" w:rsidRDefault="00C61F48" w:rsidP="00071344">
      <w:pPr>
        <w:pStyle w:val="TEKSTI"/>
      </w:pPr>
      <w:r>
        <w:t xml:space="preserve">Zona e programit përmban të gjitha pabarazitë rajonale të hasura në </w:t>
      </w:r>
      <w:r>
        <w:rPr>
          <w:b/>
        </w:rPr>
        <w:t xml:space="preserve">Mal të Zi </w:t>
      </w:r>
      <w:r>
        <w:t>në drejtim të zhvillimeve social-ekonomike. Ashtu si në nivel kombëtar, ajo është e dominuar nga Podgorica, e cili është motori ekonomik i vendit. Strategjia e Zhvillimit Rajonal të Malit të Zi 2010-2014 ofron një pasqyrë të qartë të situatës social-ekonomike në zonën e programit nëpërmjet indeksit të s</w:t>
      </w:r>
      <w:r w:rsidR="00071344">
        <w:t>aj të zhvillimit, e cila veçon vetëm bashkitë e Budvës  dhe Podgoricës</w:t>
      </w:r>
      <w:r>
        <w:t xml:space="preserve"> me një</w:t>
      </w:r>
      <w:r w:rsidR="004B4E51">
        <w:t xml:space="preserve"> </w:t>
      </w:r>
      <w:r>
        <w:t>nivel zhvillimi mbi mesataren kombëtare. Çdo bashki e zonës së programit është nën mesataren kombëtare, me bashkinë e Plavës në krye që është më pak e zhvilluara në vend. Ndryshe nga Budva, e cila ka indeksin më të lartë të zhvillimit në Mal të Zi, përkatësisht 362.4, dy bashkitë e tjera bregdetare të zonës së programit, Tivari dhe Ulqini, janë nën mesataren</w:t>
      </w:r>
      <w:r>
        <w:rPr>
          <w:spacing w:val="-1"/>
        </w:rPr>
        <w:t xml:space="preserve"> </w:t>
      </w:r>
      <w:r>
        <w:t>kombëtare.</w:t>
      </w:r>
    </w:p>
    <w:p w14:paraId="7B6D2EA7" w14:textId="77777777" w:rsidR="003B22A7" w:rsidRDefault="003B22A7" w:rsidP="00071344">
      <w:pPr>
        <w:pStyle w:val="TEKSTI"/>
        <w:jc w:val="center"/>
        <w:rPr>
          <w:b/>
        </w:rPr>
      </w:pPr>
    </w:p>
    <w:p w14:paraId="26A3C7A9" w14:textId="77777777" w:rsidR="003B22A7" w:rsidRDefault="003B22A7" w:rsidP="00071344">
      <w:pPr>
        <w:pStyle w:val="TEKSTI"/>
        <w:jc w:val="center"/>
        <w:rPr>
          <w:b/>
        </w:rPr>
      </w:pPr>
    </w:p>
    <w:p w14:paraId="742F7622" w14:textId="77777777" w:rsidR="003B22A7" w:rsidRDefault="003B22A7" w:rsidP="00071344">
      <w:pPr>
        <w:pStyle w:val="TEKSTI"/>
        <w:jc w:val="center"/>
        <w:rPr>
          <w:b/>
        </w:rPr>
      </w:pPr>
    </w:p>
    <w:p w14:paraId="5BD3EB17" w14:textId="77777777" w:rsidR="003B22A7" w:rsidRDefault="003B22A7" w:rsidP="00071344">
      <w:pPr>
        <w:pStyle w:val="TEKSTI"/>
        <w:jc w:val="center"/>
        <w:rPr>
          <w:b/>
        </w:rPr>
      </w:pPr>
    </w:p>
    <w:p w14:paraId="6BEEAB31" w14:textId="77777777" w:rsidR="003B22A7" w:rsidRDefault="003B22A7" w:rsidP="00071344">
      <w:pPr>
        <w:pStyle w:val="TEKSTI"/>
        <w:jc w:val="center"/>
        <w:rPr>
          <w:b/>
        </w:rPr>
      </w:pPr>
    </w:p>
    <w:p w14:paraId="59D16351" w14:textId="77777777" w:rsidR="003B22A7" w:rsidRDefault="003B22A7" w:rsidP="00071344">
      <w:pPr>
        <w:pStyle w:val="TEKSTI"/>
        <w:jc w:val="center"/>
        <w:rPr>
          <w:b/>
        </w:rPr>
      </w:pPr>
    </w:p>
    <w:p w14:paraId="7492CFE5" w14:textId="77777777" w:rsidR="00C61F48" w:rsidRPr="00071344" w:rsidRDefault="00C61F48" w:rsidP="00071344">
      <w:pPr>
        <w:pStyle w:val="TEKSTI"/>
        <w:jc w:val="center"/>
        <w:rPr>
          <w:b/>
        </w:rPr>
      </w:pPr>
      <w:r w:rsidRPr="00071344">
        <w:rPr>
          <w:b/>
        </w:rPr>
        <w:t>Grafiku 1. Indeksi i Zhvillimit Rajonale, Mal i Zi</w:t>
      </w:r>
    </w:p>
    <w:p w14:paraId="5AAE7B7B" w14:textId="12761740" w:rsidR="00071344" w:rsidRDefault="00071344" w:rsidP="00071344">
      <w:pPr>
        <w:pStyle w:val="TEKSTI"/>
      </w:pPr>
      <w:r>
        <w:rPr>
          <w:noProof/>
          <w:lang w:eastAsia="sq-AL"/>
        </w:rPr>
        <w:drawing>
          <wp:anchor distT="0" distB="0" distL="0" distR="0" simplePos="0" relativeHeight="251658243" behindDoc="0" locked="0" layoutInCell="1" allowOverlap="1" wp14:anchorId="1DF13E1F" wp14:editId="641BC0E4">
            <wp:simplePos x="0" y="0"/>
            <wp:positionH relativeFrom="page">
              <wp:posOffset>2186140</wp:posOffset>
            </wp:positionH>
            <wp:positionV relativeFrom="paragraph">
              <wp:posOffset>52798</wp:posOffset>
            </wp:positionV>
            <wp:extent cx="3158031" cy="1685677"/>
            <wp:effectExtent l="0" t="0" r="444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8031" cy="16856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3F340" w14:textId="77777777" w:rsidR="00071344" w:rsidRDefault="00071344" w:rsidP="00071344">
      <w:pPr>
        <w:pStyle w:val="TEKSTI"/>
      </w:pPr>
    </w:p>
    <w:p w14:paraId="6257C8B9" w14:textId="77777777" w:rsidR="00071344" w:rsidRDefault="00071344" w:rsidP="00071344">
      <w:pPr>
        <w:pStyle w:val="TEKSTI"/>
      </w:pPr>
    </w:p>
    <w:p w14:paraId="5CBC3F64" w14:textId="77777777" w:rsidR="00071344" w:rsidRDefault="00071344" w:rsidP="00071344">
      <w:pPr>
        <w:pStyle w:val="TEKSTI"/>
      </w:pPr>
    </w:p>
    <w:p w14:paraId="16A8F0FD" w14:textId="77777777" w:rsidR="00071344" w:rsidRDefault="00071344" w:rsidP="00071344">
      <w:pPr>
        <w:pStyle w:val="TEKSTI"/>
      </w:pPr>
    </w:p>
    <w:p w14:paraId="6A31D660" w14:textId="77777777" w:rsidR="00071344" w:rsidRDefault="00071344" w:rsidP="00071344">
      <w:pPr>
        <w:pStyle w:val="TEKSTI"/>
      </w:pPr>
    </w:p>
    <w:p w14:paraId="14FA111F" w14:textId="77777777" w:rsidR="00071344" w:rsidRDefault="00071344" w:rsidP="00071344">
      <w:pPr>
        <w:pStyle w:val="TEKSTI"/>
      </w:pPr>
    </w:p>
    <w:p w14:paraId="0BB183FB" w14:textId="77777777" w:rsidR="00071344" w:rsidRDefault="00071344" w:rsidP="00071344">
      <w:pPr>
        <w:pStyle w:val="TEKSTI"/>
      </w:pPr>
    </w:p>
    <w:p w14:paraId="3420E14B" w14:textId="77777777" w:rsidR="00071344" w:rsidRDefault="00071344" w:rsidP="00071344">
      <w:pPr>
        <w:pStyle w:val="TEKSTI"/>
      </w:pPr>
    </w:p>
    <w:p w14:paraId="6C6FBB0F" w14:textId="77777777" w:rsidR="00071344" w:rsidRDefault="00071344" w:rsidP="00071344">
      <w:pPr>
        <w:pStyle w:val="TEKSTI"/>
      </w:pPr>
    </w:p>
    <w:p w14:paraId="477D4483" w14:textId="77777777" w:rsidR="007531E5" w:rsidRDefault="007531E5" w:rsidP="00071344">
      <w:pPr>
        <w:pStyle w:val="TEKSTI"/>
      </w:pPr>
    </w:p>
    <w:p w14:paraId="17A1D4A9" w14:textId="05153EB9" w:rsidR="00C61F48" w:rsidRDefault="00C61F48" w:rsidP="007531E5">
      <w:pPr>
        <w:pStyle w:val="TEKSTI"/>
      </w:pPr>
      <w:r>
        <w:t>Rajoni verior, relativisht i industrializuar në kohën e Jugosllavisë, është p</w:t>
      </w:r>
      <w:r w:rsidR="007531E5">
        <w:t xml:space="preserve">ërballur me një rënie të  madhe </w:t>
      </w:r>
      <w:r>
        <w:t>ekonomike. I gjithë rajoni verior kontribuon në GDP-në kombëtare me vetëm 18%</w:t>
      </w:r>
      <w:r w:rsidR="000757EE">
        <w:rPr>
          <w:rStyle w:val="FootnoteReference"/>
        </w:rPr>
        <w:footnoteReference w:id="49"/>
      </w:r>
      <w:r>
        <w:t>, ndërsa papunësia mesatare dhe niveli i varfërisë janë dukshëm më të larta sesa në rajonet qendrore dhe bregdetare. Kjo situatë mund të çojë në një rrallim të vazhdueshëm të popullsisë së këtij rajoni, i cili mund të pengojë planet e mëtejshme të zhvillimit. Megjithatë, rajoni ka burime të vlefshme, të cilat janë të lidhura kryesisht me mjedisin e tij unik. Veçanërisht, ky është rasti për sektorët e bujqësisë dhe pyjeve, për prodhimin e energjisë së rinovueshme, dhe për zhvillimin e të gjitha llojeve të turizmit malor dhe ekoturizmit. Veprimtaritë e vogla prodhuese, kryesisht të lidhura me përpunimin e ushqimit (mish, fruta dhe perime) dhe përpunimin e drurit po rimarrin zhvillim, dhe shumë përpjekje i janë kushtuar zhvillimit të produkteve të reja të turizmit.</w:t>
      </w:r>
    </w:p>
    <w:p w14:paraId="36680AB9" w14:textId="77777777" w:rsidR="00C61F48" w:rsidRDefault="00C61F48" w:rsidP="007531E5">
      <w:pPr>
        <w:pStyle w:val="TEKSTI"/>
      </w:pPr>
      <w:r>
        <w:t>Duke pasur një pozitë qendrore, bashkia e Podgoricës është e përqendruar në ofrimin e shërbimeve dhe industritë. Gjithashtu, ajo përfiton edhe nga toka dhe kushtet e favorshme klimatike për zhvillimin e bujqësisë intensive. Pavarësisht nga aktivitetet që lidhen me portin e Tivarit, rajoni bregdetar është shumë i varur nga turizmi dhe aktivitetet përkatëse. Në aspektin e infrastrukturës së turizmit, Ulqini dhe Tivari janë ende larg nga të qenit në nivel të bashkive të tjera të bregdetit Adriatik të Malit të Zi.</w:t>
      </w:r>
    </w:p>
    <w:p w14:paraId="11E8098E" w14:textId="23D0DB69" w:rsidR="00C61F48" w:rsidRDefault="00C61F48" w:rsidP="007531E5">
      <w:pPr>
        <w:pStyle w:val="TEKSTI"/>
      </w:pPr>
      <w:r>
        <w:t xml:space="preserve">Në </w:t>
      </w:r>
      <w:r>
        <w:rPr>
          <w:b/>
        </w:rPr>
        <w:t xml:space="preserve">Shqipëri </w:t>
      </w:r>
      <w:r>
        <w:t xml:space="preserve">pabarazitë rajonale janë gjithashtu të dukshme. Zhvillimi social-ekonomik i vendit anon shumë në favor të rajonit qendror. Rajoni i Tiranës kontribuon me më shumë se një të tretën e GDP-së së vendit, dhe është deri tani rajoni më i zhvilluar në krahasim me të gjitha rajonet e tjera të Shqipërisë. Kjo tregon qartë se të gjitha rajonet e tjera janë nën potencialin e tyre të zhvillimit, pasi i duhet </w:t>
      </w:r>
      <w:r>
        <w:rPr>
          <w:spacing w:val="3"/>
        </w:rPr>
        <w:t xml:space="preserve">të </w:t>
      </w:r>
      <w:r w:rsidR="007531E5">
        <w:t xml:space="preserve">gjejnë rrugë dhe mundësi për të </w:t>
      </w:r>
      <w:r>
        <w:t>përfituar</w:t>
      </w:r>
      <w:r>
        <w:rPr>
          <w:spacing w:val="3"/>
        </w:rPr>
        <w:t xml:space="preserve"> </w:t>
      </w:r>
      <w:r w:rsidR="007531E5">
        <w:t xml:space="preserve">nga </w:t>
      </w:r>
      <w:r>
        <w:t>avantazhet e tyre krahasuese. Rajonet Shkodër dhe Lezhë pasqyrojnë gjerësisht këto pengesa për sa i përket zhvillimit social-ekonomik.</w:t>
      </w:r>
    </w:p>
    <w:p w14:paraId="13B4A5D1" w14:textId="3D8AA0D1" w:rsidR="00C61F48" w:rsidRDefault="00C61F48" w:rsidP="007531E5">
      <w:pPr>
        <w:pStyle w:val="TEKSTI"/>
      </w:pPr>
      <w:r>
        <w:t>Shkodra është rajoni më i zhvilluar në zonën e programit të Shqipërisë. Kontributi i Qarkut të Shkodrës NË GDP- në e vitit 2011</w:t>
      </w:r>
      <w:r w:rsidR="000757EE">
        <w:rPr>
          <w:rStyle w:val="FootnoteReference"/>
        </w:rPr>
        <w:footnoteReference w:id="50"/>
      </w:r>
      <w:r>
        <w:rPr>
          <w:position w:val="6"/>
          <w:sz w:val="16"/>
        </w:rPr>
        <w:t xml:space="preserve"> </w:t>
      </w:r>
      <w:r>
        <w:t>arriti në 555 milion Euro, pra 6.1% të GDP-së së përgjithshme të vendit, duke u renditur e shtata ndër 12 qarqet e S</w:t>
      </w:r>
      <w:r w:rsidR="007531E5">
        <w:t xml:space="preserve">hqipërisë. Kontribuesi kryesor </w:t>
      </w:r>
      <w:r>
        <w:t>në aktivitetin ekonomik në rajonin e Shkodrës</w:t>
      </w:r>
      <w:r w:rsidR="007531E5">
        <w:rPr>
          <w:spacing w:val="16"/>
        </w:rPr>
        <w:t xml:space="preserve"> </w:t>
      </w:r>
      <w:r>
        <w:t>ë</w:t>
      </w:r>
      <w:r w:rsidR="007531E5">
        <w:t xml:space="preserve">shtë sektori i bujqësisë, kontributi i të cilit llogaritet të </w:t>
      </w:r>
      <w:r>
        <w:t>jetë rreth 26% në GDP-në e rajonit, pasuar</w:t>
      </w:r>
      <w:r>
        <w:rPr>
          <w:spacing w:val="33"/>
        </w:rPr>
        <w:t xml:space="preserve"> </w:t>
      </w:r>
      <w:r>
        <w:t>nga</w:t>
      </w:r>
      <w:r>
        <w:rPr>
          <w:spacing w:val="1"/>
        </w:rPr>
        <w:t xml:space="preserve"> </w:t>
      </w:r>
      <w:r w:rsidR="007531E5">
        <w:t>kontri</w:t>
      </w:r>
      <w:r>
        <w:t>buti</w:t>
      </w:r>
      <w:r w:rsidR="007531E5">
        <w:t xml:space="preserve"> </w:t>
      </w:r>
      <w:r>
        <w:t>i përbashkët i të cilave në vitin 2011 është 23% në GDP-në e rajonit. Kontributi i sektorit financiar dhe i pasurive të patundshme arrin në 19%, pasuar nga shërbimet e tjera që llogaritet të kontribuojnë me  13% të GDP-së rajonale. Kontributi i industrisë në ekonominë e rajonit është 11%, e ngjashme me mesataren kombëtare, e cila vlerësohet të jetë 11.2%. Sektori me nivelin më të ulët të kontributit në ekonominë e rajonit të Shkodrës është ndërtimi, i cili përbën 8% të GDP-së së</w:t>
      </w:r>
      <w:r>
        <w:rPr>
          <w:spacing w:val="-24"/>
        </w:rPr>
        <w:t xml:space="preserve"> </w:t>
      </w:r>
      <w:r>
        <w:t>rajonit.</w:t>
      </w:r>
    </w:p>
    <w:p w14:paraId="1449F86E" w14:textId="77777777" w:rsidR="00C61F48" w:rsidRDefault="00C61F48" w:rsidP="00C61F48">
      <w:pPr>
        <w:pStyle w:val="BodyText"/>
        <w:rPr>
          <w:sz w:val="20"/>
        </w:rPr>
      </w:pPr>
    </w:p>
    <w:p w14:paraId="09966364" w14:textId="77777777" w:rsidR="007531E5" w:rsidRDefault="007531E5" w:rsidP="00C61F48">
      <w:pPr>
        <w:rPr>
          <w:rFonts w:ascii="Arial Narrow" w:hAnsi="Arial Narrow"/>
          <w:sz w:val="16"/>
        </w:rPr>
      </w:pPr>
    </w:p>
    <w:p w14:paraId="02E4CE84" w14:textId="77777777" w:rsidR="007531E5" w:rsidRPr="0076721A" w:rsidRDefault="007531E5" w:rsidP="0076721A">
      <w:pPr>
        <w:pStyle w:val="TEKSTI"/>
        <w:rPr>
          <w:b/>
        </w:rPr>
      </w:pPr>
      <w:r w:rsidRPr="0076721A">
        <w:rPr>
          <w:b/>
        </w:rPr>
        <w:t>Grafiku 2. Kontributi rajonal në GDP në %, Shqipëria</w:t>
      </w:r>
    </w:p>
    <w:p w14:paraId="27E198F5" w14:textId="71EB8006" w:rsidR="00C61F48" w:rsidRDefault="000757EE" w:rsidP="000757EE">
      <w:pPr>
        <w:rPr>
          <w:rFonts w:ascii="Arial Narrow"/>
          <w:sz w:val="20"/>
        </w:rPr>
      </w:pPr>
      <w:r>
        <w:rPr>
          <w:noProof/>
          <w:lang w:eastAsia="sq-AL"/>
        </w:rPr>
        <w:drawing>
          <wp:anchor distT="0" distB="0" distL="0" distR="0" simplePos="0" relativeHeight="251658244" behindDoc="0" locked="0" layoutInCell="1" allowOverlap="1" wp14:anchorId="67225760" wp14:editId="00162920">
            <wp:simplePos x="0" y="0"/>
            <wp:positionH relativeFrom="page">
              <wp:posOffset>1009934</wp:posOffset>
            </wp:positionH>
            <wp:positionV relativeFrom="paragraph">
              <wp:posOffset>81545</wp:posOffset>
            </wp:positionV>
            <wp:extent cx="3446060" cy="1974843"/>
            <wp:effectExtent l="0" t="0" r="2540" b="698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42211" cy="19726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5B092" w14:textId="77777777" w:rsidR="00C61F48" w:rsidRDefault="00C61F48" w:rsidP="00C61F48">
      <w:pPr>
        <w:pStyle w:val="BodyText"/>
        <w:spacing w:before="6"/>
        <w:rPr>
          <w:rFonts w:ascii="Arial Narrow"/>
          <w:sz w:val="17"/>
        </w:rPr>
      </w:pPr>
    </w:p>
    <w:p w14:paraId="7A1E39C0" w14:textId="77777777" w:rsidR="000757EE" w:rsidRDefault="000757EE" w:rsidP="00C61F48">
      <w:pPr>
        <w:pStyle w:val="BodyText"/>
        <w:spacing w:before="6"/>
        <w:rPr>
          <w:rFonts w:ascii="Arial Narrow"/>
          <w:sz w:val="17"/>
        </w:rPr>
      </w:pPr>
    </w:p>
    <w:p w14:paraId="749A80CB" w14:textId="77777777" w:rsidR="000757EE" w:rsidRDefault="000757EE" w:rsidP="00C61F48">
      <w:pPr>
        <w:pStyle w:val="BodyText"/>
        <w:spacing w:before="6"/>
        <w:rPr>
          <w:rFonts w:ascii="Arial Narrow"/>
          <w:sz w:val="17"/>
        </w:rPr>
      </w:pPr>
    </w:p>
    <w:p w14:paraId="664BEA4C" w14:textId="77777777" w:rsidR="000757EE" w:rsidRDefault="000757EE" w:rsidP="00C61F48">
      <w:pPr>
        <w:pStyle w:val="BodyText"/>
        <w:spacing w:before="6"/>
        <w:rPr>
          <w:rFonts w:ascii="Arial Narrow"/>
          <w:sz w:val="17"/>
        </w:rPr>
      </w:pPr>
    </w:p>
    <w:p w14:paraId="09685DDF" w14:textId="77777777" w:rsidR="000757EE" w:rsidRDefault="000757EE" w:rsidP="00C61F48">
      <w:pPr>
        <w:pStyle w:val="BodyText"/>
        <w:spacing w:before="6"/>
        <w:rPr>
          <w:rFonts w:ascii="Arial Narrow"/>
          <w:sz w:val="17"/>
        </w:rPr>
      </w:pPr>
    </w:p>
    <w:p w14:paraId="03E5FBF2" w14:textId="77777777" w:rsidR="000757EE" w:rsidRDefault="000757EE" w:rsidP="00C61F48">
      <w:pPr>
        <w:pStyle w:val="BodyText"/>
        <w:spacing w:before="6"/>
        <w:rPr>
          <w:rFonts w:ascii="Arial Narrow"/>
          <w:sz w:val="17"/>
        </w:rPr>
      </w:pPr>
    </w:p>
    <w:p w14:paraId="28FF34C7" w14:textId="77777777" w:rsidR="000757EE" w:rsidRDefault="000757EE" w:rsidP="00C61F48">
      <w:pPr>
        <w:pStyle w:val="BodyText"/>
        <w:spacing w:before="6"/>
        <w:rPr>
          <w:rFonts w:ascii="Arial Narrow"/>
          <w:sz w:val="17"/>
        </w:rPr>
      </w:pPr>
    </w:p>
    <w:p w14:paraId="6198832B" w14:textId="77777777" w:rsidR="000757EE" w:rsidRDefault="000757EE" w:rsidP="00C61F48">
      <w:pPr>
        <w:pStyle w:val="BodyText"/>
        <w:spacing w:before="6"/>
        <w:rPr>
          <w:rFonts w:ascii="Arial Narrow"/>
          <w:sz w:val="17"/>
        </w:rPr>
      </w:pPr>
    </w:p>
    <w:p w14:paraId="32ECF066" w14:textId="77777777" w:rsidR="000757EE" w:rsidRDefault="000757EE" w:rsidP="00C61F48">
      <w:pPr>
        <w:pStyle w:val="BodyText"/>
        <w:spacing w:before="6"/>
        <w:rPr>
          <w:rFonts w:ascii="Arial Narrow"/>
          <w:sz w:val="17"/>
        </w:rPr>
      </w:pPr>
    </w:p>
    <w:p w14:paraId="46CF427C" w14:textId="77777777" w:rsidR="000757EE" w:rsidRDefault="000757EE" w:rsidP="00C61F48">
      <w:pPr>
        <w:pStyle w:val="BodyText"/>
        <w:spacing w:before="6"/>
        <w:rPr>
          <w:rFonts w:ascii="Arial Narrow"/>
          <w:sz w:val="17"/>
        </w:rPr>
      </w:pPr>
    </w:p>
    <w:p w14:paraId="18366930" w14:textId="77777777" w:rsidR="000757EE" w:rsidRDefault="000757EE" w:rsidP="00C61F48">
      <w:pPr>
        <w:pStyle w:val="BodyText"/>
        <w:spacing w:before="6"/>
        <w:rPr>
          <w:rFonts w:ascii="Arial Narrow"/>
          <w:sz w:val="17"/>
        </w:rPr>
      </w:pPr>
    </w:p>
    <w:p w14:paraId="7A6E1D9E" w14:textId="77777777" w:rsidR="000757EE" w:rsidRDefault="000757EE" w:rsidP="00C61F48">
      <w:pPr>
        <w:pStyle w:val="BodyText"/>
        <w:spacing w:before="6"/>
        <w:rPr>
          <w:rFonts w:ascii="Arial Narrow"/>
          <w:sz w:val="17"/>
        </w:rPr>
      </w:pPr>
    </w:p>
    <w:p w14:paraId="6D7325AA" w14:textId="77777777" w:rsidR="000757EE" w:rsidRDefault="000757EE" w:rsidP="00C61F48">
      <w:pPr>
        <w:pStyle w:val="BodyText"/>
        <w:spacing w:before="6"/>
        <w:rPr>
          <w:rFonts w:ascii="Arial Narrow"/>
          <w:sz w:val="17"/>
        </w:rPr>
      </w:pPr>
    </w:p>
    <w:p w14:paraId="6D3462F9" w14:textId="77777777" w:rsidR="0076721A" w:rsidRDefault="0076721A" w:rsidP="00C61F48">
      <w:pPr>
        <w:pStyle w:val="BodyText"/>
        <w:spacing w:before="56"/>
        <w:ind w:left="140" w:right="133"/>
        <w:jc w:val="both"/>
      </w:pPr>
    </w:p>
    <w:p w14:paraId="1943820B" w14:textId="278D80DE" w:rsidR="00C61F48" w:rsidRDefault="00C61F48" w:rsidP="0076721A">
      <w:pPr>
        <w:pStyle w:val="TEKSTI"/>
      </w:pPr>
      <w:r>
        <w:t>GDP e qarkut të Lezhës për vitin 2011 llogaritet me 334 milionë Euro ose rreth 3.7% të GDP-së së vendit</w:t>
      </w:r>
      <w:r w:rsidR="0076721A">
        <w:rPr>
          <w:rStyle w:val="FootnoteReference"/>
        </w:rPr>
        <w:footnoteReference w:id="51"/>
      </w:r>
      <w:r>
        <w:t>. Kontribuuesit kryesorë në GDP-në e qarkut të Lezhës janë tregtia, hotelet, transporti dhe komunikimi, që kontribuojnë me 26%, dhe sektori i bujqësisë që kontribuon me 25%. Kontributi  i sektorit financiar dhe i pasurive të patundshme arrin në 19%, pasuar nga shërbimet e tjera që kontribuojnë me 13% të GDP-së rajonit. Kontributi i sektorit të ndërtimit është vlerësuar me 10%, nën mesataren kombëtare të vlerësuar me 12.8%, ndërkohë që industria është kontribuuesi më i vogël për ekonominë e qarkut të Lezhës , duke zënë 8% të GDP-së në vitin 2011.</w:t>
      </w:r>
    </w:p>
    <w:p w14:paraId="4DE0B1E4" w14:textId="77777777" w:rsidR="00C61F48" w:rsidRDefault="00C61F48" w:rsidP="0076721A">
      <w:pPr>
        <w:pStyle w:val="TEKSTI"/>
      </w:pPr>
      <w:r>
        <w:t>Kontributi i qarkut të Kukësit në GDP-në e Shqipërisë, ku Tropoja përbën 24% të popullsisë, është më i ulëti në vend me vetëm 2.4%; sektorët më të rëndësishëm janë bujqësia, e cila është përgjegjëse për 34%, dhe tregtia, hotelet dhe turizmi me 20%.</w:t>
      </w:r>
    </w:p>
    <w:p w14:paraId="4015661F" w14:textId="25FE0333" w:rsidR="00C61F48" w:rsidRDefault="00C61F48" w:rsidP="0076721A">
      <w:pPr>
        <w:pStyle w:val="TEKSTI"/>
      </w:pPr>
      <w:r>
        <w:t>Përveç sektorit të shërbimeve, i cili është kontribuuesi kryesor në GDP-në e vendit, sektori i bujqësisë ka një rëndësi të madhe për zhvillimin ekonomik dhe punësimin në zonën e programit, pasi pavarësisht lëvizjeve të mëdha drejt zonave urbane të regjistruara nga Censusi i fundit në vitit 2011, një pjesë e madhe e popullsisë ende jeton në zonat rurale.</w:t>
      </w:r>
    </w:p>
    <w:p w14:paraId="4288D749" w14:textId="1510AB5E" w:rsidR="00C61F48" w:rsidRDefault="000227E5" w:rsidP="0076721A">
      <w:pPr>
        <w:pStyle w:val="TEKSTI"/>
      </w:pPr>
      <w:bookmarkStart w:id="38" w:name="_bookmark35"/>
      <w:bookmarkEnd w:id="38"/>
      <w:r>
        <w:t xml:space="preserve">2.2.1 </w:t>
      </w:r>
      <w:r w:rsidR="00C61F48">
        <w:t>Sektori</w:t>
      </w:r>
      <w:r w:rsidR="00C61F48">
        <w:rPr>
          <w:spacing w:val="-6"/>
        </w:rPr>
        <w:t xml:space="preserve"> </w:t>
      </w:r>
      <w:r w:rsidR="00C61F48">
        <w:t>Privat</w:t>
      </w:r>
    </w:p>
    <w:p w14:paraId="16B7F34C" w14:textId="77777777" w:rsidR="00C61F48" w:rsidRDefault="00C61F48" w:rsidP="0076721A">
      <w:pPr>
        <w:pStyle w:val="TEKSTI"/>
      </w:pPr>
      <w:r>
        <w:t>Struktura e operatorëve ekonomikë në zonën e programit mbizotërohet nga ndërmarrjet e vogla dhe të mesme. NVM-të në Mal të Zi përbëjnë 98.6% të numrit të përgjithshëm të operatorëve ekonomikë, ndërsa në Shqipëri ato përbëjnë 95.4% të totalit. Shumica e NVM-ve në të dyja anët e kufirit punojnë në sektorin e shërbimeve.</w:t>
      </w:r>
    </w:p>
    <w:p w14:paraId="29FD740A" w14:textId="07E305F0" w:rsidR="00C61F48" w:rsidRDefault="00C61F48" w:rsidP="0076721A">
      <w:pPr>
        <w:pStyle w:val="TEKSTI"/>
      </w:pPr>
      <w:r>
        <w:t xml:space="preserve">Pjesa më e madhe e operatorëve ekonomikë të </w:t>
      </w:r>
      <w:r>
        <w:rPr>
          <w:b/>
        </w:rPr>
        <w:t xml:space="preserve">Malit të Zi </w:t>
      </w:r>
      <w:r>
        <w:t>janë të përqendruar në zonën e programit, e cila ka një total prej 14,215 ndërmarrjesh</w:t>
      </w:r>
      <w:r w:rsidR="0076721A">
        <w:rPr>
          <w:rStyle w:val="FootnoteReference"/>
        </w:rPr>
        <w:footnoteReference w:id="52"/>
      </w:r>
      <w:r>
        <w:t>, që përbëjnë 67.3% të numrit të përgjithshëm të ndërmarrjeve në nivel kombëtar. Rreth 49.2% e këtyre NVM-ve janë të vendosura në Podgoricë, duke treguar pabarazitë e zhvillimit rajonal. Komuna të tjera të rëndësishme në zonën e programit janë Budva me 16% dhe Tivari me 14.5% të NVM-ve të zonës së programit. Andrijevica dhe Plava janë dy komunat me numrin më të vogël të ndërmarrjeve me më pak se 1% të numrit të përgjithshëm. Rreth 83% e totalit të 34 ndërmarrjeve që kanë më shumë se 250 punonjës janë të vendosura në Podgoricë. Niveli i femrave që zotërojnë një biznes në zonën e programit është mjaft modest, më i ulët se 9.5%; ai është pak më i ulët se 9.6% që është mesatarja kombëtare.</w:t>
      </w:r>
    </w:p>
    <w:p w14:paraId="7B597DC5" w14:textId="77777777" w:rsidR="00C61F48" w:rsidRDefault="00C61F48" w:rsidP="0076721A">
      <w:pPr>
        <w:pStyle w:val="TEKSTI"/>
      </w:pPr>
      <w:r>
        <w:t>Forcimi i mekanizmave mbështetëse të biznesit mbetet një sfidë. Dhomat e Tregtisë së Malit të Zi kanë ende një aktivitet të kufizuar në ofrimin e mbështetjes dhe këshillave për sipërmarrësit. Ekzistojnë 2 inkubatorë biznesi në zonën e programit, një në Podgoricë nën mbikëqyrjen e Drejtorisë për Zhvillimin e NVM-ve (SMEDA) që mbulon Podgoricën dhe Tivarin, dhe një tjetër në Berane.</w:t>
      </w:r>
    </w:p>
    <w:p w14:paraId="333ADC1D" w14:textId="77777777" w:rsidR="00C61F48" w:rsidRDefault="00C61F48" w:rsidP="00C61F48">
      <w:pPr>
        <w:pStyle w:val="BodyText"/>
      </w:pPr>
    </w:p>
    <w:p w14:paraId="741B0D96" w14:textId="77777777" w:rsidR="00C61F48" w:rsidRDefault="00C61F48" w:rsidP="00C61F48">
      <w:pPr>
        <w:pStyle w:val="BodyText"/>
        <w:spacing w:before="10"/>
        <w:rPr>
          <w:sz w:val="19"/>
        </w:rPr>
      </w:pPr>
    </w:p>
    <w:p w14:paraId="4CE53784" w14:textId="675C43E3" w:rsidR="00C61F48" w:rsidRPr="0076721A" w:rsidRDefault="00C61F48" w:rsidP="0076721A">
      <w:pPr>
        <w:pStyle w:val="TEKSTI"/>
        <w:rPr>
          <w:b/>
        </w:rPr>
      </w:pPr>
      <w:r w:rsidRPr="0076721A">
        <w:rPr>
          <w:b/>
        </w:rPr>
        <w:t>Grafiku 3. NVM-të sipas sektorëve kryesorë ekonomikë në zonën e programit</w:t>
      </w:r>
      <w:r w:rsidRPr="0076721A">
        <w:rPr>
          <w:b/>
        </w:rPr>
        <w:tab/>
      </w:r>
    </w:p>
    <w:p w14:paraId="2BF27047" w14:textId="77777777" w:rsidR="00C61F48" w:rsidRDefault="00C61F48" w:rsidP="00C61F48">
      <w:pPr>
        <w:pStyle w:val="BodyText"/>
        <w:spacing w:before="2" w:after="1"/>
        <w:rPr>
          <w:rFonts w:ascii="Arial Narrow"/>
          <w:sz w:val="15"/>
        </w:rPr>
      </w:pPr>
    </w:p>
    <w:tbl>
      <w:tblPr>
        <w:tblW w:w="0" w:type="auto"/>
        <w:tblInd w:w="238" w:type="dxa"/>
        <w:tblLayout w:type="fixed"/>
        <w:tblCellMar>
          <w:left w:w="0" w:type="dxa"/>
          <w:right w:w="0" w:type="dxa"/>
        </w:tblCellMar>
        <w:tblLook w:val="01E0" w:firstRow="1" w:lastRow="1" w:firstColumn="1" w:lastColumn="1" w:noHBand="0" w:noVBand="0"/>
      </w:tblPr>
      <w:tblGrid>
        <w:gridCol w:w="4727"/>
        <w:gridCol w:w="4632"/>
      </w:tblGrid>
      <w:tr w:rsidR="00C61F48" w14:paraId="183AE5AA" w14:textId="77777777" w:rsidTr="0076721A">
        <w:trPr>
          <w:trHeight w:hRule="exact" w:val="2550"/>
        </w:trPr>
        <w:tc>
          <w:tcPr>
            <w:tcW w:w="4727" w:type="dxa"/>
          </w:tcPr>
          <w:p w14:paraId="0ECA0D57" w14:textId="1422D6BE" w:rsidR="00C61F48" w:rsidRDefault="0076721A" w:rsidP="00BA13DB">
            <w:pPr>
              <w:pStyle w:val="TableParagraph"/>
              <w:ind w:left="200"/>
              <w:rPr>
                <w:rFonts w:ascii="Arial Narrow"/>
                <w:noProof/>
                <w:sz w:val="20"/>
                <w:lang w:val="sq-AL" w:eastAsia="sq-AL"/>
              </w:rPr>
            </w:pPr>
            <w:r w:rsidRPr="0076721A">
              <w:rPr>
                <w:b/>
              </w:rPr>
              <w:t>Mal</w:t>
            </w:r>
            <w:r w:rsidRPr="0076721A">
              <w:rPr>
                <w:b/>
                <w:spacing w:val="-2"/>
              </w:rPr>
              <w:t xml:space="preserve"> </w:t>
            </w:r>
            <w:r w:rsidRPr="0076721A">
              <w:rPr>
                <w:b/>
              </w:rPr>
              <w:t>i</w:t>
            </w:r>
            <w:r w:rsidRPr="0076721A">
              <w:rPr>
                <w:b/>
                <w:spacing w:val="-2"/>
              </w:rPr>
              <w:t xml:space="preserve"> </w:t>
            </w:r>
            <w:r w:rsidRPr="0076721A">
              <w:rPr>
                <w:b/>
              </w:rPr>
              <w:t>Zi</w:t>
            </w:r>
          </w:p>
          <w:p w14:paraId="50B91390" w14:textId="67304EDB" w:rsidR="0076721A" w:rsidRDefault="0076721A" w:rsidP="00BA13DB">
            <w:pPr>
              <w:pStyle w:val="TableParagraph"/>
              <w:ind w:left="200"/>
              <w:rPr>
                <w:rFonts w:ascii="Arial Narrow"/>
                <w:sz w:val="20"/>
              </w:rPr>
            </w:pPr>
            <w:r>
              <w:rPr>
                <w:rFonts w:ascii="Arial Narrow"/>
                <w:noProof/>
                <w:sz w:val="20"/>
                <w:lang w:val="sq-AL" w:eastAsia="sq-AL"/>
              </w:rPr>
              <w:drawing>
                <wp:inline distT="0" distB="0" distL="0" distR="0" wp14:anchorId="434E15B4" wp14:editId="25A374AE">
                  <wp:extent cx="2668270" cy="14878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8270" cy="1487805"/>
                          </a:xfrm>
                          <a:prstGeom prst="rect">
                            <a:avLst/>
                          </a:prstGeom>
                          <a:noFill/>
                          <a:ln>
                            <a:noFill/>
                          </a:ln>
                        </pic:spPr>
                      </pic:pic>
                    </a:graphicData>
                  </a:graphic>
                </wp:inline>
              </w:drawing>
            </w:r>
          </w:p>
          <w:p w14:paraId="786E8942" w14:textId="77777777" w:rsidR="00C61F48" w:rsidRDefault="00C61F48" w:rsidP="00BA13DB">
            <w:pPr>
              <w:pStyle w:val="TableParagraph"/>
              <w:rPr>
                <w:rFonts w:ascii="Arial Narrow"/>
                <w:sz w:val="18"/>
              </w:rPr>
            </w:pPr>
          </w:p>
        </w:tc>
        <w:tc>
          <w:tcPr>
            <w:tcW w:w="4632" w:type="dxa"/>
          </w:tcPr>
          <w:p w14:paraId="4394B432" w14:textId="77777777" w:rsidR="00C61F48" w:rsidRDefault="00C61F48" w:rsidP="00BA13DB">
            <w:pPr>
              <w:pStyle w:val="TableParagraph"/>
              <w:spacing w:before="4"/>
              <w:rPr>
                <w:rFonts w:ascii="Arial Narrow"/>
                <w:sz w:val="6"/>
              </w:rPr>
            </w:pPr>
          </w:p>
          <w:p w14:paraId="705CD2EE" w14:textId="59A54E67" w:rsidR="00C61F48" w:rsidRDefault="0076721A" w:rsidP="00BA13DB">
            <w:pPr>
              <w:pStyle w:val="TableParagraph"/>
              <w:ind w:left="330"/>
              <w:rPr>
                <w:rFonts w:ascii="Arial Narrow"/>
                <w:noProof/>
                <w:sz w:val="20"/>
                <w:lang w:val="sq-AL" w:eastAsia="sq-AL"/>
              </w:rPr>
            </w:pPr>
            <w:r w:rsidRPr="0076721A">
              <w:rPr>
                <w:b/>
              </w:rPr>
              <w:t>Shqipëri</w:t>
            </w:r>
          </w:p>
          <w:p w14:paraId="3AD1A886" w14:textId="3414F8DC" w:rsidR="0076721A" w:rsidRDefault="0076721A" w:rsidP="00BA13DB">
            <w:pPr>
              <w:pStyle w:val="TableParagraph"/>
              <w:ind w:left="330"/>
              <w:rPr>
                <w:rFonts w:ascii="Arial Narrow"/>
                <w:sz w:val="20"/>
              </w:rPr>
            </w:pPr>
            <w:r>
              <w:rPr>
                <w:rFonts w:ascii="Arial Narrow"/>
                <w:noProof/>
                <w:sz w:val="20"/>
                <w:lang w:val="sq-AL" w:eastAsia="sq-AL"/>
              </w:rPr>
              <w:drawing>
                <wp:inline distT="0" distB="0" distL="0" distR="0" wp14:anchorId="239BE844" wp14:editId="2F2A3219">
                  <wp:extent cx="2606675" cy="156972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6675" cy="1569720"/>
                          </a:xfrm>
                          <a:prstGeom prst="rect">
                            <a:avLst/>
                          </a:prstGeom>
                          <a:noFill/>
                          <a:ln>
                            <a:noFill/>
                          </a:ln>
                        </pic:spPr>
                      </pic:pic>
                    </a:graphicData>
                  </a:graphic>
                </wp:inline>
              </w:drawing>
            </w:r>
          </w:p>
        </w:tc>
      </w:tr>
    </w:tbl>
    <w:p w14:paraId="26895B17" w14:textId="77777777" w:rsidR="00C61F48" w:rsidRDefault="00C61F48" w:rsidP="00C61F48">
      <w:pPr>
        <w:pStyle w:val="BodyText"/>
        <w:rPr>
          <w:rFonts w:ascii="Arial Narrow"/>
          <w:sz w:val="20"/>
        </w:rPr>
      </w:pPr>
    </w:p>
    <w:p w14:paraId="5969CA54" w14:textId="6A3577A0" w:rsidR="00C61F48" w:rsidRDefault="00C61F48" w:rsidP="00B70CFB">
      <w:pPr>
        <w:pStyle w:val="TEKSTI"/>
      </w:pPr>
      <w:r>
        <w:t xml:space="preserve">Në </w:t>
      </w:r>
      <w:r>
        <w:rPr>
          <w:b/>
        </w:rPr>
        <w:t xml:space="preserve">Shqipëri </w:t>
      </w:r>
      <w:r>
        <w:t>zona e programit regjistron një total prej 10,174 ndërmarrjesh</w:t>
      </w:r>
      <w:r w:rsidR="00B70CFB">
        <w:rPr>
          <w:rStyle w:val="FootnoteReference"/>
        </w:rPr>
        <w:footnoteReference w:id="53"/>
      </w:r>
      <w:r>
        <w:rPr>
          <w:position w:val="6"/>
          <w:sz w:val="16"/>
        </w:rPr>
        <w:t xml:space="preserve"> </w:t>
      </w:r>
      <w:r>
        <w:t>në fund të vitit 2012, ose rreth 9.7% të numrit të përgjithshëm të ndërmarrjeve të vendit. Ajo ka një shkallë lindje prej 13%</w:t>
      </w:r>
      <w:r w:rsidR="00B70CFB">
        <w:rPr>
          <w:rStyle w:val="FootnoteReference"/>
        </w:rPr>
        <w:footnoteReference w:id="54"/>
      </w:r>
      <w:r>
        <w:t>, më  e lartë në krahasim me mesataren kombëtare prej 12.2%, e ndikuar kryesisht nga Shkodra, e cila me 14.1% tregon një zhvillim relativisht më të lartë të aktivitetit ekonomik, në të kundërt me rajonin e Lezhës dhe rrethin e Tropojës, të cilat kanë një përqindje më të ulët krahasuar me mesataren në nivel kombëtar, vetëm</w:t>
      </w:r>
      <w:r>
        <w:rPr>
          <w:spacing w:val="-4"/>
        </w:rPr>
        <w:t xml:space="preserve"> </w:t>
      </w:r>
      <w:r>
        <w:t>10.8%.</w:t>
      </w:r>
    </w:p>
    <w:p w14:paraId="4A83EC0E" w14:textId="77777777" w:rsidR="00C61F48" w:rsidRDefault="00C61F48" w:rsidP="00B70CFB">
      <w:pPr>
        <w:pStyle w:val="TEKSTI"/>
      </w:pPr>
      <w:r>
        <w:t>Operatorët ekonomikë në rajonet e Shkodrës, Lezhës si dhe në rrethin e Tropojës, janë jashtëzakonisht shumë të fragmentuar dhe të vegjël në madhësi, duke pasqyruar strukturën e ndërmarrjeve në nivel kombëtar, dhe duke treguar se biznesi është kryesisht familjar dhe mbizotëron vetëpunësimi. Struktura e ndërmarrjeve është e dominuar nga ndërmarrje shumë të vogla, me 1-4 persona të punësuar, të cilat përbëjnë 85.7% të numrit të përgjithshëm të ndërmarrjeve në zonën e programit. Megjithatë, kjo vlerë është nën mesataren kombëtare, e cila i përllogarit NVM-të me 1-4 persona të punësuar në rreth 90.2% në vitin 2012. Aktiviteti ekonomik menaxhohet kryesisht nga meshkujt, dhe numri i femrave menaxhuese në zonat përfituese është nën mesataren kombëtare prej 27.4% - më e larta në Shkodër në vlerën 25.1%, e ndjekur nga Lezha me 24.7%, dhe më pas nga Tropoja që regjistron nivelin më të ulët në Shqipëri me</w:t>
      </w:r>
      <w:r>
        <w:rPr>
          <w:spacing w:val="-6"/>
        </w:rPr>
        <w:t xml:space="preserve"> </w:t>
      </w:r>
      <w:r>
        <w:t>14.2%.</w:t>
      </w:r>
    </w:p>
    <w:p w14:paraId="4203B25F" w14:textId="77777777" w:rsidR="00C61F48" w:rsidRDefault="00C61F48" w:rsidP="00B70CFB">
      <w:pPr>
        <w:pStyle w:val="TEKSTI"/>
      </w:pPr>
      <w:r>
        <w:t>Përveç përmasave të vogla të ndërmarrjeve, një faktor i rëndësishëm që përbën pengesë për zhvillimin ekonomik në zonën e programit në të dyja anët e kufirit është mungesa e njohurive teknologjike dhe aftësive të punës. Kjo mbetet një sfidë themelore, sepse kërkesa e tregut për shërbime dhe produkte të cilësisë së lartë nuk përputhet me aftësitë e papërshtatshme të punonjësve. Ekonomitë më pak të zhvilluara të zonave rurale dhe të largëta nuk janë në gjendje të shfrytëzojnë mundësitë e ofruara nga qytetet më të zhvilluara bregdetare dhe qendrat e mëdha urbane të zonës së programit. Një tjetër sfidë kryesore është aksesi i dobët i NVM-ve në financim; politikat tepër të kujdesshme të kredi-dhënies të miratuara nga institucionet financiare në të dyja vendet janë një pengesë serioze në rritjen e ndërmarrjeve në zonën e programit. Dhomat e Tregtisë, organizatat e biznesit dhe Agjencitë për Zhvillim Rajonal të pranishme në zonën e programit duhet të marrin një rol më proaktiv në promovimin e zhvillimit të bizneseve dhe të bashkëpunimit.</w:t>
      </w:r>
    </w:p>
    <w:p w14:paraId="22DEC5D3" w14:textId="77777777" w:rsidR="00C61F48" w:rsidRDefault="00C61F48" w:rsidP="00C61F48">
      <w:pPr>
        <w:pStyle w:val="BodyText"/>
        <w:rPr>
          <w:sz w:val="20"/>
        </w:rPr>
      </w:pPr>
    </w:p>
    <w:p w14:paraId="772B347E" w14:textId="77777777" w:rsidR="00C61F48" w:rsidRDefault="00C61F48" w:rsidP="00C61F48">
      <w:pPr>
        <w:pStyle w:val="BodyText"/>
        <w:rPr>
          <w:rFonts w:ascii="Arial Narrow"/>
          <w:sz w:val="20"/>
        </w:rPr>
      </w:pPr>
    </w:p>
    <w:p w14:paraId="4F89BC4F" w14:textId="77777777" w:rsidR="00C61F48" w:rsidRDefault="00C61F48" w:rsidP="00C61F48">
      <w:pPr>
        <w:pStyle w:val="BodyText"/>
        <w:rPr>
          <w:rFonts w:ascii="Arial Narrow"/>
          <w:sz w:val="20"/>
        </w:rPr>
      </w:pPr>
    </w:p>
    <w:p w14:paraId="063AF403" w14:textId="2328048B" w:rsidR="00C61F48" w:rsidRPr="00731115" w:rsidRDefault="000227E5" w:rsidP="00B70CFB">
      <w:pPr>
        <w:pStyle w:val="TEKSTI"/>
        <w:rPr>
          <w:b/>
        </w:rPr>
      </w:pPr>
      <w:bookmarkStart w:id="39" w:name="_bookmark36"/>
      <w:bookmarkEnd w:id="39"/>
      <w:r>
        <w:rPr>
          <w:b/>
        </w:rPr>
        <w:t xml:space="preserve">2.2.2 </w:t>
      </w:r>
      <w:r w:rsidR="00C61F48" w:rsidRPr="00731115">
        <w:rPr>
          <w:b/>
        </w:rPr>
        <w:t>Tregu i</w:t>
      </w:r>
      <w:r w:rsidR="00C61F48" w:rsidRPr="00731115">
        <w:rPr>
          <w:b/>
          <w:spacing w:val="-3"/>
        </w:rPr>
        <w:t xml:space="preserve"> </w:t>
      </w:r>
      <w:r w:rsidR="00C61F48" w:rsidRPr="00731115">
        <w:rPr>
          <w:b/>
        </w:rPr>
        <w:t>punës</w:t>
      </w:r>
    </w:p>
    <w:p w14:paraId="1EAFD342" w14:textId="77777777" w:rsidR="00C61F48" w:rsidRDefault="00C61F48" w:rsidP="00B70CFB">
      <w:pPr>
        <w:pStyle w:val="TEKSTI"/>
      </w:pPr>
      <w:r w:rsidRPr="00731115">
        <w:t>Si në Mal të Zi ashtu</w:t>
      </w:r>
      <w:r>
        <w:t xml:space="preserve"> edhe në Shqipëri, papunësia është relativisht e lartë sipas standardeve ndërkombëtare. Ajo është ende një problem i madh ekonomik në të dyja anët e zonës së programit, dhe karakterizohet nga dallime të mëdha rajonale.</w:t>
      </w:r>
    </w:p>
    <w:p w14:paraId="1BDA9CE2" w14:textId="3EDAA9E4" w:rsidR="00C61F48" w:rsidRDefault="00C61F48" w:rsidP="00661FB5">
      <w:pPr>
        <w:pStyle w:val="TEKSTI"/>
      </w:pPr>
      <w:r>
        <w:t xml:space="preserve">Në </w:t>
      </w:r>
      <w:r>
        <w:rPr>
          <w:b/>
        </w:rPr>
        <w:t xml:space="preserve">Mal të Zi </w:t>
      </w:r>
      <w:r>
        <w:t>tregu i punës ka pësuar krizë, duke regjistruar një rritje të pa</w:t>
      </w:r>
      <w:r w:rsidR="00B70CFB">
        <w:t>punësisë që arriti në 20.45% në</w:t>
      </w:r>
      <w:r>
        <w:t>vitin</w:t>
      </w:r>
      <w:r>
        <w:rPr>
          <w:spacing w:val="25"/>
        </w:rPr>
        <w:t xml:space="preserve"> </w:t>
      </w:r>
      <w:r w:rsidR="00B70CFB">
        <w:t>2011</w:t>
      </w:r>
      <w:r w:rsidR="00B70CFB">
        <w:rPr>
          <w:rStyle w:val="FootnoteReference"/>
        </w:rPr>
        <w:footnoteReference w:id="55"/>
      </w:r>
      <w:r w:rsidR="00B70CFB">
        <w:t xml:space="preserve"> </w:t>
      </w:r>
      <w:r>
        <w:t>duke</w:t>
      </w:r>
      <w:r>
        <w:rPr>
          <w:spacing w:val="26"/>
        </w:rPr>
        <w:t xml:space="preserve"> </w:t>
      </w:r>
      <w:r>
        <w:t>u</w:t>
      </w:r>
      <w:r>
        <w:rPr>
          <w:spacing w:val="25"/>
        </w:rPr>
        <w:t xml:space="preserve"> </w:t>
      </w:r>
      <w:r>
        <w:t>ulur</w:t>
      </w:r>
      <w:r>
        <w:rPr>
          <w:spacing w:val="28"/>
        </w:rPr>
        <w:t xml:space="preserve"> </w:t>
      </w:r>
      <w:r>
        <w:t>në</w:t>
      </w:r>
      <w:r>
        <w:rPr>
          <w:spacing w:val="29"/>
        </w:rPr>
        <w:t xml:space="preserve"> </w:t>
      </w:r>
      <w:r>
        <w:t>19.6%</w:t>
      </w:r>
      <w:r>
        <w:rPr>
          <w:spacing w:val="26"/>
        </w:rPr>
        <w:t xml:space="preserve"> </w:t>
      </w:r>
      <w:r>
        <w:t>në</w:t>
      </w:r>
      <w:r>
        <w:rPr>
          <w:spacing w:val="26"/>
        </w:rPr>
        <w:t xml:space="preserve"> </w:t>
      </w:r>
      <w:r>
        <w:t>vitin</w:t>
      </w:r>
      <w:r>
        <w:rPr>
          <w:spacing w:val="24"/>
        </w:rPr>
        <w:t xml:space="preserve"> </w:t>
      </w:r>
      <w:r>
        <w:t>2012.</w:t>
      </w:r>
      <w:r>
        <w:rPr>
          <w:spacing w:val="25"/>
        </w:rPr>
        <w:t xml:space="preserve"> </w:t>
      </w:r>
      <w:r>
        <w:t>Zona</w:t>
      </w:r>
      <w:r>
        <w:rPr>
          <w:spacing w:val="23"/>
        </w:rPr>
        <w:t xml:space="preserve"> </w:t>
      </w:r>
      <w:r>
        <w:t>e</w:t>
      </w:r>
      <w:r>
        <w:rPr>
          <w:spacing w:val="26"/>
        </w:rPr>
        <w:t xml:space="preserve"> </w:t>
      </w:r>
      <w:r>
        <w:t>programit</w:t>
      </w:r>
      <w:r>
        <w:rPr>
          <w:spacing w:val="26"/>
        </w:rPr>
        <w:t xml:space="preserve"> </w:t>
      </w:r>
      <w:r>
        <w:t>ka</w:t>
      </w:r>
      <w:r>
        <w:rPr>
          <w:spacing w:val="26"/>
        </w:rPr>
        <w:t xml:space="preserve"> </w:t>
      </w:r>
      <w:r>
        <w:t>rreth</w:t>
      </w:r>
      <w:r>
        <w:rPr>
          <w:spacing w:val="25"/>
        </w:rPr>
        <w:t xml:space="preserve"> </w:t>
      </w:r>
      <w:r>
        <w:t>93.4%</w:t>
      </w:r>
      <w:r>
        <w:rPr>
          <w:spacing w:val="26"/>
        </w:rPr>
        <w:t xml:space="preserve"> </w:t>
      </w:r>
      <w:r>
        <w:t>të</w:t>
      </w:r>
      <w:r>
        <w:rPr>
          <w:spacing w:val="26"/>
        </w:rPr>
        <w:t xml:space="preserve"> </w:t>
      </w:r>
      <w:r>
        <w:t>forcës</w:t>
      </w:r>
      <w:r>
        <w:rPr>
          <w:spacing w:val="26"/>
        </w:rPr>
        <w:t xml:space="preserve"> </w:t>
      </w:r>
      <w:r>
        <w:t>aktive</w:t>
      </w:r>
      <w:r>
        <w:rPr>
          <w:spacing w:val="26"/>
        </w:rPr>
        <w:t xml:space="preserve"> </w:t>
      </w:r>
      <w:r>
        <w:t>të</w:t>
      </w:r>
      <w:r w:rsidR="00661FB5">
        <w:t xml:space="preserve"> </w:t>
      </w:r>
      <w:r>
        <w:t>punës në vend. Të dhënat e censusit tregojnë pabarazitë e zhvillimit rajonal në Mal të Zi me rajonin bregdetar dhe atë qendror duke përparuar më shumë se rajonet më të varfra dhe më pak të zhvilluara pa dalje në det, të cilat ndodhen në veri të vendit. Budva ka nivelin më të ulët të papunësisë me 13.2%,  e ndjekur nga të gjitha bashkitë bregdetare dhe ato të rajonit qendror. Nga ana tjetër, bashkitë pa dalje në det të Rozhajës dhe Plavës janë bashkitë më pak të zhvilluara në zonën e programit me një shkallë të lartë papunësie deri në 58.5% dhe 50.4%</w:t>
      </w:r>
      <w:r>
        <w:rPr>
          <w:spacing w:val="-23"/>
        </w:rPr>
        <w:t xml:space="preserve"> </w:t>
      </w:r>
      <w:r>
        <w:t>respektivisht.</w:t>
      </w:r>
    </w:p>
    <w:p w14:paraId="2CC14A64" w14:textId="77777777" w:rsidR="00C61F48" w:rsidRDefault="00C61F48" w:rsidP="00B70CFB">
      <w:pPr>
        <w:pStyle w:val="TEKSTI"/>
      </w:pPr>
      <w:r>
        <w:t>Pjesa më e madhe e fuqisë punëtore është e punësuar në sektorin e shërbimeve (76.2%), pasuar nga industria me 18.1%, dhe bujqësia me 5.6% të numrit të përgjithshëm të të punësuarve në nivel kombëtar. Pjesa veriore e Malit të Zi regjistron një shkallë më të lartë të punësimit në bujqësi, me rreth 14.9%, dhe në industri me rreth 21.7%, ndërkohë që punësimi në shërbime llogaritet në 63.3%. Punësimi në shërbime në rajonin bregdetar është rreth 83%, i ndjekur nga industria me 15.1% dhe bujqësia me vetëm 1.9%. Rajoni qendror është më i balancuar dhe më afër normave kombëtare. Deri tani, Podgorica përbën motorin kryesor ekonomik dhe të punësimit të rajonit qendror. Punëdhënësi më i madh në program është sektori i tregtisë me 20.5%, i ndjekur nga administrata publike me 12.5%. Rreth 55.9% e numrit të përgjithshëm të të punësuarve janë meshkuj, ndërkohë që femrat përbëjnë pjesën e mbetur prej 44.1 %.</w:t>
      </w:r>
    </w:p>
    <w:p w14:paraId="0E4FB253" w14:textId="3A7969F8" w:rsidR="00C61F48" w:rsidRDefault="00C61F48" w:rsidP="00B70CFB">
      <w:pPr>
        <w:pStyle w:val="TEKSTI"/>
      </w:pPr>
      <w:r>
        <w:t>Fuqia e përgjithshme punëtore në Shqipëri arrin në 1,117,082 persona në fund të muajit dhjetor 2012</w:t>
      </w:r>
      <w:r w:rsidR="00B70CFB">
        <w:rPr>
          <w:rStyle w:val="FootnoteReference"/>
        </w:rPr>
        <w:footnoteReference w:id="56"/>
      </w:r>
      <w:r>
        <w:t>. Ajo nuk ka pasur ndryshime të mëdha, pavarësisht nga ngadalësimi ekonomik gjatë 2-3 viteve të fundit. Shkalla e përgjithshme e punësimit</w:t>
      </w:r>
      <w:r w:rsidR="00B70CFB">
        <w:rPr>
          <w:rStyle w:val="FootnoteReference"/>
        </w:rPr>
        <w:footnoteReference w:id="57"/>
      </w:r>
      <w:r>
        <w:rPr>
          <w:position w:val="6"/>
          <w:sz w:val="16"/>
        </w:rPr>
        <w:t xml:space="preserve"> </w:t>
      </w:r>
      <w:r>
        <w:t>në Shqipëri gjatë vitit 2012 arriti në 56.4 %, ndërkohë që shkalla e përgjithshme e papunësisë</w:t>
      </w:r>
      <w:r w:rsidR="00B70CFB">
        <w:rPr>
          <w:rStyle w:val="FootnoteReference"/>
        </w:rPr>
        <w:footnoteReference w:id="58"/>
      </w:r>
      <w:r>
        <w:rPr>
          <w:position w:val="6"/>
          <w:sz w:val="16"/>
        </w:rPr>
        <w:t xml:space="preserve"> </w:t>
      </w:r>
      <w:r>
        <w:t>ka mbetur në 13.9%, njëlloj si në vitin 2011. Papunësia në rajonet e Shkodrës dhe Lezhës pasqyron të njëjtën normë mesatare të papunësisë si në nivel kombëtar, dhe gjithashtu të njëjtën strukturë punësimi. Rrethi i Tropojës ruan të njëjtën strukturë të punësimit duke regjistruar nivele të larta të papunësisë. Në fund të vitit 2012, numri i të papunëve në Shkodër qëndron në 19,417 persona, duke përbërë 13.6% të totalit të të papunëve; Lezha me 15,021 persona të papunë përbën 10.6% të totalit; ndërsa Tropoja regjistron 2,368 të papunë, ose rreth 36% të forcave të përgjithshme të punës që i përkasin grup-moshës 15-64 vjeç në rrethin e Tropojës. Papunësia është më  e pranishme në zonat urbane, pasi ata që jetojnë në zonat rurale janë konsideruar si të</w:t>
      </w:r>
      <w:r>
        <w:rPr>
          <w:spacing w:val="-22"/>
        </w:rPr>
        <w:t xml:space="preserve"> </w:t>
      </w:r>
      <w:r>
        <w:t>vetë-punësuar.</w:t>
      </w:r>
    </w:p>
    <w:p w14:paraId="2278E562" w14:textId="019680FB" w:rsidR="00C61F48" w:rsidRDefault="00C61F48" w:rsidP="00B70CFB">
      <w:pPr>
        <w:pStyle w:val="TEKSTI"/>
      </w:pPr>
      <w:r>
        <w:t>Fuqia punëtore në Shqipëri dhe në zonën e programit është e dominuar nga grup-mosha 25-54 vjeç, e cila përbën 66.5% të fuqisë së përgjithshme punëtore. Më shumë se 54% e punësimit të përg</w:t>
      </w:r>
      <w:r w:rsidR="00B70CFB">
        <w:t xml:space="preserve">jithshëm është në sektorin e bujqësisë,  ndërsa punësimi në sektorin privat jo-bujqësor qëndron në </w:t>
      </w:r>
      <w:r>
        <w:t>28.7%.</w:t>
      </w:r>
    </w:p>
    <w:p w14:paraId="6554E798" w14:textId="77777777" w:rsidR="00C61F48" w:rsidRDefault="00C61F48" w:rsidP="00174CD5">
      <w:pPr>
        <w:pStyle w:val="TEKSTI"/>
      </w:pPr>
      <w:r>
        <w:t>Punësimi në sektorin privat jo-bujqësor dominohet nga sektori i shërbimeve (tregti, hotele, transport), e cila përbën 55.6% të numrit të përgjithshëm të të punësuarve në sektorin privat, e ndjekur nga punësimi në sektorin e ndërtimit, i cili përbën 22.2%. Punësimi në prodhim qëndron në 17.2%, ndërsa në sektorin e energjisë shkon deri në 5% të numrit të përgjithshëm të të punësuarve në sektorin privat.</w:t>
      </w:r>
    </w:p>
    <w:p w14:paraId="0545ADEE" w14:textId="77777777" w:rsidR="00C61F48" w:rsidRDefault="00C61F48" w:rsidP="00174CD5">
      <w:pPr>
        <w:pStyle w:val="TEKSTI"/>
      </w:pPr>
      <w:r>
        <w:t>Duhet të theksohet se në të dy vendet, një numër i konsiderueshëm personash punojnë jashtë vendit dhe janë shumë aktivë në ofrimin e ndihmës për familjet e tyre. Pra, dërgesat e emigrantëve luajnë një rol të rëndësishëm në subvencionimin e të ardhurave dhe konsumin vendor.</w:t>
      </w:r>
    </w:p>
    <w:p w14:paraId="505A8E3B" w14:textId="4B1503E3" w:rsidR="00C61F48" w:rsidRPr="00174CD5" w:rsidRDefault="00174CD5" w:rsidP="00174CD5">
      <w:pPr>
        <w:pStyle w:val="TEKSTI"/>
        <w:rPr>
          <w:b/>
        </w:rPr>
      </w:pPr>
      <w:bookmarkStart w:id="40" w:name="_bookmark37"/>
      <w:bookmarkEnd w:id="40"/>
      <w:r>
        <w:rPr>
          <w:b/>
        </w:rPr>
        <w:t xml:space="preserve">2.2.3 </w:t>
      </w:r>
      <w:r w:rsidR="00C61F48" w:rsidRPr="00174CD5">
        <w:rPr>
          <w:b/>
        </w:rPr>
        <w:t>Bujqësia dhe Zhvillimi</w:t>
      </w:r>
      <w:r w:rsidR="00C61F48" w:rsidRPr="00174CD5">
        <w:rPr>
          <w:b/>
          <w:spacing w:val="-12"/>
        </w:rPr>
        <w:t xml:space="preserve"> </w:t>
      </w:r>
      <w:r w:rsidR="00C61F48" w:rsidRPr="00174CD5">
        <w:rPr>
          <w:b/>
        </w:rPr>
        <w:t>rural</w:t>
      </w:r>
    </w:p>
    <w:p w14:paraId="3D0F4B8B" w14:textId="77777777" w:rsidR="00C61F48" w:rsidRDefault="00C61F48" w:rsidP="00174CD5">
      <w:pPr>
        <w:pStyle w:val="TEKSTI"/>
      </w:pPr>
      <w:r>
        <w:t>Pjesa Malazeze e zonës së programit është më e pasur në burime bujqësore dhe ka më shumë potencial në këtë sektor në krahasim me pjesën e Shqipërisë. Megjithatë, sektori i bujqësisë dhe zhvillimi i tij  është po aq i rëndësishëm për të gjithë zonën e programit, veçanërisht për shkak të pjesës së madhe të popullsisë që jeton në zonën rurale, ku bujqësia është aktiviteti kryesor ekonomik. Një tipar i përbashkët në zonën e programit është produktiviteti dhe konkurrenca e ulët në fushën e bujqësisë. Ai vjen si  pasojë e: fermave të vogla të cilat kanë prodhim dhe fitim të kufizuar; prodhimit kryesisht për të mbuluar nevojat e jetesës, sesa për shitje direkte në tregjet e gjelbra; dhe nivelit të ulët të finalizimit të produkteve bujqësore dhe industrisë ushqimore të</w:t>
      </w:r>
      <w:r>
        <w:rPr>
          <w:spacing w:val="-24"/>
        </w:rPr>
        <w:t xml:space="preserve"> </w:t>
      </w:r>
      <w:r>
        <w:t>pazhvilluar.</w:t>
      </w:r>
    </w:p>
    <w:p w14:paraId="0ED1F2BC" w14:textId="65307AC4" w:rsidR="00C61F48" w:rsidRDefault="00C61F48" w:rsidP="00174CD5">
      <w:pPr>
        <w:pStyle w:val="TEKSTI"/>
      </w:pPr>
      <w:r>
        <w:t xml:space="preserve">Zona e programit mbulon rreth 38% të totalit të tokës bujqësore të </w:t>
      </w:r>
      <w:r>
        <w:rPr>
          <w:b/>
        </w:rPr>
        <w:t>Malit të Zi</w:t>
      </w:r>
      <w:r>
        <w:t>. Punësimi në bujqësi është raportuar të jetë rreth 2.5% e totalit të të punësuarve</w:t>
      </w:r>
      <w:r w:rsidR="00174CD5">
        <w:rPr>
          <w:rStyle w:val="FootnoteReference"/>
        </w:rPr>
        <w:footnoteReference w:id="59"/>
      </w:r>
      <w:r>
        <w:t>, Podgorica është rajoni kryesor fushor në Mal të Zi - vetëm ajo zë rreth 31.5% të tokës bujqësore në zonën e programit. Ajo ofron kushte optimale për prodhim të larmishëm: perime, prodhimin e drithërave, blegtori, fruta dhe verë. Vera, e cila është produkti kryesor Malazez i orientuar drejt eksportit, prodhohet në Podgoricë - rreth 80% e prodhimit të përgjithshëm të verës në vend. Bashkitë e tjera të ndodhura në zonën qendrore, si Berane dhe Danilovgrad janë prodhuesit kryesorë të mollëve, kumbullave dhe dardhave. Bashkitë në zonën bregdetare të cilat kanë aktivitet të veçantë bujqësor janë të Ulqini dhe Tivari. Rajoni bregdetar është veçanërisht i përshtatshëm për frutat subtropikale dhe prodhimin e ullirit. Më shumë se 80% e pemëve agrume në Mal të Zi janë në Ulqin (65%) dhe Tivar. Këto dy bashki (Tivar dhe Ulqin) janë edhe  prodhuesit më të mëdhenj të vajit të ullirit - me 47% të prodhimit të përgjithshëm të vajit të ullirit në Mal të Zi. Ndërkohë që prodhimi i vajit të ullirit mban një potencial të madh për zhvillim, relievi kodrinor i zonës bregdetare dhe rajonit përreth liqenit të Shkodrës është gjithashtu i pasur me bimë mjalti dhe bimë mjekësore, dhe është i përshtatshëm për</w:t>
      </w:r>
      <w:r>
        <w:rPr>
          <w:spacing w:val="-20"/>
        </w:rPr>
        <w:t xml:space="preserve"> </w:t>
      </w:r>
      <w:r>
        <w:t>blegtori.</w:t>
      </w:r>
    </w:p>
    <w:p w14:paraId="2759C49B" w14:textId="3E4F0AC4" w:rsidR="00C61F48" w:rsidRDefault="00C61F48" w:rsidP="00174CD5">
      <w:pPr>
        <w:pStyle w:val="TEKSTI"/>
      </w:pPr>
      <w:r>
        <w:t xml:space="preserve">Zona e programit në </w:t>
      </w:r>
      <w:r>
        <w:rPr>
          <w:b/>
        </w:rPr>
        <w:t xml:space="preserve">Shqipëri </w:t>
      </w:r>
      <w:r>
        <w:t>mbulon rreth 3.2% të sipërfaqes së përgjithshme të tokës së  vendit</w:t>
      </w:r>
      <w:r w:rsidR="00174CD5">
        <w:rPr>
          <w:rStyle w:val="FootnoteReference"/>
        </w:rPr>
        <w:footnoteReference w:id="60"/>
      </w:r>
      <w:r>
        <w:t>. Pjesa më e madhe e territorit të saj është e dominuar nga pyjet, kullotat (80%),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Prodhimi bujqësor në rrethin e</w:t>
      </w:r>
    </w:p>
    <w:p w14:paraId="05266A4F" w14:textId="77777777" w:rsidR="00C61F48" w:rsidRDefault="00C61F48" w:rsidP="00174CD5">
      <w:pPr>
        <w:pStyle w:val="TEKSTI"/>
      </w:pPr>
      <w:r>
        <w:t>Tropojës është i orientuar kryesisht drejt prodhimit të thekrës, dhe zona është e famshme për pyjet me gështenja.</w:t>
      </w:r>
    </w:p>
    <w:p w14:paraId="2DC8FC4B" w14:textId="77777777" w:rsidR="00C61F48" w:rsidRDefault="00C61F48" w:rsidP="00174CD5">
      <w:pPr>
        <w:pStyle w:val="TEKSTI"/>
      </w:pPr>
      <w:r>
        <w:t>Pavarësisht se zona e programit është e pasur me burime ujore, vetëm 32% e tokës bujqësore në zonë ujitet, duke treguar nivelin e ulët të zhvillimit në sektorin e bujqësisë.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14:paraId="12838771" w14:textId="77777777" w:rsidR="00C61F48" w:rsidRDefault="00C61F48" w:rsidP="00174CD5">
      <w:pPr>
        <w:pStyle w:val="TEKSTI"/>
      </w:pPr>
      <w:r>
        <w:t xml:space="preserve">Përmirësimi i mëtejshëm i aksesit në treg, infrastruktura rurale, dhe menaxhimi më i mirë i burimeve ujore mund të jenë prioritetet e ardhshme në zonën e programit. Modernizimi i bujqësisë, përmirësimi i proceseve të prodhimit dhe vendosja e standardeve të sigurisë ushqimore në përputhje me standardet e BE-së, si dhe rritja e prodhimit tradicional bujqësor, janë sfida për tu përballuar në zonën e programit. Iniciativat ndërkufitare mund të mbështesin dhe promovojnë: i) diversifikimin e aktiviteteve rurale (p.sh. akomodimi i turistëve në ferma); ii) aksesin në tregje dhe zhvillimin e prodhimit dhe marketingut të produkteve ushqimore organike; iii) mbrojtjen (p.sh. mbrojtja e emërtimit </w:t>
      </w:r>
      <w:r>
        <w:rPr>
          <w:spacing w:val="3"/>
        </w:rPr>
        <w:t xml:space="preserve">të </w:t>
      </w:r>
      <w:r>
        <w:t>origjinës) dhe tregtimin e produkteve tradicionale bujqësore dhe agro-ushqimore; dhe iv) bashkëpunimin midis prodhuesve.  Mund të konsiderohet përkrahja e përpjekjeve që janë duke u bërë në të dy vendet për të ndjekur një qasje të integruar që synon promovimin dhe lidhjen e bujqësisë me aktivitete të tjera turistike dhe ekonomike</w:t>
      </w:r>
      <w:r>
        <w:rPr>
          <w:spacing w:val="-3"/>
        </w:rPr>
        <w:t xml:space="preserve"> </w:t>
      </w:r>
      <w:r>
        <w:t>në</w:t>
      </w:r>
      <w:r>
        <w:rPr>
          <w:spacing w:val="-2"/>
        </w:rPr>
        <w:t xml:space="preserve"> </w:t>
      </w:r>
      <w:r>
        <w:t>një</w:t>
      </w:r>
      <w:r>
        <w:rPr>
          <w:spacing w:val="-4"/>
        </w:rPr>
        <w:t xml:space="preserve"> </w:t>
      </w:r>
      <w:r>
        <w:t>paketë,</w:t>
      </w:r>
      <w:r>
        <w:rPr>
          <w:spacing w:val="-4"/>
        </w:rPr>
        <w:t xml:space="preserve"> </w:t>
      </w:r>
      <w:r>
        <w:t>si</w:t>
      </w:r>
      <w:r>
        <w:rPr>
          <w:spacing w:val="-2"/>
        </w:rPr>
        <w:t xml:space="preserve"> </w:t>
      </w:r>
      <w:r>
        <w:t>forma</w:t>
      </w:r>
      <w:r>
        <w:rPr>
          <w:spacing w:val="-4"/>
        </w:rPr>
        <w:t xml:space="preserve"> </w:t>
      </w:r>
      <w:r>
        <w:t>më</w:t>
      </w:r>
      <w:r>
        <w:rPr>
          <w:spacing w:val="-4"/>
        </w:rPr>
        <w:t xml:space="preserve"> </w:t>
      </w:r>
      <w:r>
        <w:t>e</w:t>
      </w:r>
      <w:r>
        <w:rPr>
          <w:spacing w:val="-2"/>
        </w:rPr>
        <w:t xml:space="preserve"> </w:t>
      </w:r>
      <w:r>
        <w:t>përshtatshme</w:t>
      </w:r>
      <w:r>
        <w:rPr>
          <w:spacing w:val="-4"/>
        </w:rPr>
        <w:t xml:space="preserve"> </w:t>
      </w:r>
      <w:r>
        <w:t>e</w:t>
      </w:r>
      <w:r>
        <w:rPr>
          <w:spacing w:val="-2"/>
        </w:rPr>
        <w:t xml:space="preserve"> </w:t>
      </w:r>
      <w:r>
        <w:t>zhvillimit</w:t>
      </w:r>
      <w:r>
        <w:rPr>
          <w:spacing w:val="-4"/>
        </w:rPr>
        <w:t xml:space="preserve"> </w:t>
      </w:r>
      <w:r>
        <w:t>të</w:t>
      </w:r>
      <w:r>
        <w:rPr>
          <w:spacing w:val="-2"/>
        </w:rPr>
        <w:t xml:space="preserve"> </w:t>
      </w:r>
      <w:r>
        <w:t>bujqësisë</w:t>
      </w:r>
      <w:r>
        <w:rPr>
          <w:spacing w:val="-2"/>
        </w:rPr>
        <w:t xml:space="preserve"> </w:t>
      </w:r>
      <w:r>
        <w:t>në</w:t>
      </w:r>
      <w:r>
        <w:rPr>
          <w:spacing w:val="-4"/>
        </w:rPr>
        <w:t xml:space="preserve"> </w:t>
      </w:r>
      <w:r>
        <w:t>zonën</w:t>
      </w:r>
      <w:r>
        <w:rPr>
          <w:spacing w:val="-2"/>
        </w:rPr>
        <w:t xml:space="preserve"> </w:t>
      </w:r>
      <w:r>
        <w:t>e</w:t>
      </w:r>
      <w:r>
        <w:rPr>
          <w:spacing w:val="-4"/>
        </w:rPr>
        <w:t xml:space="preserve"> </w:t>
      </w:r>
      <w:r>
        <w:t>programit.</w:t>
      </w:r>
    </w:p>
    <w:p w14:paraId="3682357E" w14:textId="0E0A9537" w:rsidR="00C61F48" w:rsidRPr="004657E5" w:rsidRDefault="004657E5" w:rsidP="004657E5">
      <w:pPr>
        <w:pStyle w:val="TEKSTI"/>
        <w:rPr>
          <w:b/>
        </w:rPr>
      </w:pPr>
      <w:bookmarkStart w:id="41" w:name="_bookmark38"/>
      <w:bookmarkEnd w:id="41"/>
      <w:r>
        <w:rPr>
          <w:b/>
        </w:rPr>
        <w:t xml:space="preserve">2.2.4 </w:t>
      </w:r>
      <w:r w:rsidR="00C61F48" w:rsidRPr="004657E5">
        <w:rPr>
          <w:b/>
        </w:rPr>
        <w:t>Turizmi</w:t>
      </w:r>
    </w:p>
    <w:p w14:paraId="3C4B0036" w14:textId="77777777" w:rsidR="00C61F48" w:rsidRDefault="00C61F48" w:rsidP="004657E5">
      <w:pPr>
        <w:pStyle w:val="TEKSTI"/>
      </w:pPr>
      <w:r>
        <w:t>Rëndësia e turizmit është e ndryshme për ekonomitë e Malit të Zi dhe Shqipërisë. Mali i Zi është tashmë një destinacion i popullarizuar turistik, ndërsa Shqipëria ka ende shumë për të bërë, për tu bërë një destinacion i tillë.</w:t>
      </w:r>
    </w:p>
    <w:p w14:paraId="408BA7E5" w14:textId="5669770B" w:rsidR="00C61F48" w:rsidRDefault="00C61F48" w:rsidP="004657E5">
      <w:pPr>
        <w:pStyle w:val="TEKSTI"/>
      </w:pPr>
      <w:r>
        <w:t xml:space="preserve">Në </w:t>
      </w:r>
      <w:r>
        <w:rPr>
          <w:b/>
        </w:rPr>
        <w:t>Mal të Zi</w:t>
      </w:r>
      <w:r>
        <w:t>, turizmi është një sektor kryesor i ekonomisë, i cili përbën rreth 9.9% të GDP-së së vendit në vitin 2012, ose rreth 336 milion Euro, që është 20.7% më i lartë se në vitin 2011</w:t>
      </w:r>
      <w:r w:rsidR="004657E5">
        <w:rPr>
          <w:rStyle w:val="FootnoteReference"/>
        </w:rPr>
        <w:footnoteReference w:id="61"/>
      </w:r>
      <w:r w:rsidR="004657E5">
        <w:t xml:space="preserve">. Turizmi punëson rreth </w:t>
      </w:r>
      <w:r>
        <w:t>12.000 persona, ose 6.9% të punësimit të përgjithshëm në vitin 2012. Ai është sektori më premtues ekonomik në Mal të Zi, dhe pritet që të përbëjë rreth 14.8% të GDP-së së vendit në vitin 2021, veçanërisht në qoftë se përpjekjet për "integrimin e të gjitha rajoneve në një destinacion të vetëm me cilësi të lartë" nën markën "Mali i Zi-Bukuria e Egër"</w:t>
      </w:r>
      <w:r w:rsidR="004657E5">
        <w:rPr>
          <w:rStyle w:val="FootnoteReference"/>
        </w:rPr>
        <w:footnoteReference w:id="62"/>
      </w:r>
      <w:r>
        <w:rPr>
          <w:position w:val="10"/>
          <w:sz w:val="14"/>
        </w:rPr>
        <w:t xml:space="preserve"> </w:t>
      </w:r>
      <w:r>
        <w:t>dalin me sukses. Një objektivi i tillë politik synon të sigurojë një zhvillim të përgjithshëm më të ekuilibruar të rajoneve të Malit të Zi, në veçanti në sektorin e turizmit, i cili mbështetet kryesisht në turizmin bregdetar gjatë kohës së verës.</w:t>
      </w:r>
    </w:p>
    <w:p w14:paraId="57097E65" w14:textId="5D79157B" w:rsidR="00C61F48" w:rsidRDefault="00C61F48" w:rsidP="004657E5">
      <w:pPr>
        <w:pStyle w:val="TEKSTI"/>
      </w:pPr>
      <w:r>
        <w:t>Zona e programit në kufi me Shqipërinë, ofron një shumëllojshmëri të destinacioneve turistike, duke ofruar aktivitete të turizmit bregdetar dhe malor të tilla si noti, ecja në natyrë, çiklizmi, si dhe shijimi i pijes së verës. Rajoni bregdetar në zonën e programit përbën më shumë se 69% të totalit të qëndrimeve me fjetje në vend në vitin 2012</w:t>
      </w:r>
      <w:r w:rsidR="004657E5">
        <w:rPr>
          <w:rStyle w:val="FootnoteReference"/>
        </w:rPr>
        <w:footnoteReference w:id="63"/>
      </w:r>
      <w:r>
        <w:t>, kryesisht në periudhën e pushimeve Korrik-Gusht. Bregdeti i zonës së programit tërhoqi rreth 67.5% të totalit prej 1,44 milionë turistë që hynë n</w:t>
      </w:r>
      <w:r w:rsidR="004657E5">
        <w:t xml:space="preserve">ë Malin e Zi në vitin 2012. 160 </w:t>
      </w:r>
      <w:r>
        <w:t>objekte akomoduese bregdetare që gjenden në zonën e programit përbëjnë rreth 49% të totalit të mjediseve akomoduese në Mal të Zi, ndërsa në zonën e programit ndodhen edhe rreth 30% e objekteve akomoduese të zonave jo-bregdetare të vendit. Ture të verës organizohen në Podgoricë dhe vreshtat e bashkive jugore. Pavarësisht nivelit të ulët aktual të vizitave turistike, rajoni kontinental ka përparësi të shumta për zhvillimin e të gjitha llojeve të turizmit të lidhura me sportet malore (ski, ecje, çiklizëm, rafting, etj.), duke përmendur natyrën e paprekur dhe biodiversitetin e pasur (dy parqe kombëtare, liqene, kanione, etj.), jetën autentike rurale, dhe prodhimin tradicional dhe cilësor të ushqimit.</w:t>
      </w:r>
    </w:p>
    <w:p w14:paraId="2242D62A" w14:textId="77777777" w:rsidR="00C61F48" w:rsidRDefault="00C61F48" w:rsidP="004657E5">
      <w:pPr>
        <w:pStyle w:val="TEKSTI"/>
      </w:pPr>
      <w:r>
        <w:t>Bashkitë bregdetare në zonën e programit janë gjithashtu të pasura me monumente arkitekturore dhe kulturore nga kohët antike, të cilat i bëjnë këto zona shumë tërheqëse për turistët. Tivari është një qytet-port i njohur edhe për shumë monumente të rëndësishme historike dhe kulturore.</w:t>
      </w:r>
    </w:p>
    <w:p w14:paraId="791ECB31" w14:textId="77777777" w:rsidR="00C61F48" w:rsidRDefault="00C61F48" w:rsidP="00823B86">
      <w:pPr>
        <w:pStyle w:val="TEKSTI"/>
      </w:pPr>
      <w:r>
        <w:t xml:space="preserve">Sektori i turizmit është më pak i rëndësishëm në pjesën </w:t>
      </w:r>
      <w:r>
        <w:rPr>
          <w:b/>
        </w:rPr>
        <w:t xml:space="preserve">shqiptare </w:t>
      </w:r>
      <w:r>
        <w:t>të zonës së programit, në krahasim me anën malazeze. Zona e programit ka një natyrë të gjerë, me potencial për turizëm kulturor dhe historik, për mbetet e pashfrytëzuar në një masë të madhe. Ajo ka një vijë bregdetare 50 km të gjatë (12 km Velipojë-Shkodër dhe 38 km Lezha), e përshtatshme për zhvillimin e mëtejshëm të turizmit bregdetar. Përmirësimet e kohëve të fundit në infrastrukturën rrugore e kanë bërë këtë bregdet lehtësisht të arritshëm, veçanërisht nga turistët nga Kosova dhe Maqedonia. Strukturat ekzistuese pritëse, kryesisht në pronësi private, kanë vështirësi për të përballuar numrin në rritje të turistëve, veçanërisht në Shëngjin-Lezhë. Rrethi i Tropojës, edhe pse ka potencial të konsiderueshëm për turizmin malor dhe sportet (ski, ecje, çiklizëm, etj.), natyrë të paprekur dhe biodiversitet të pasur (të parkut kombëtar të Luginës së Valbonës, "Bjeshkët e Nemuna" dhe "Bjeshkët e Doberdolit, të cilat kanë liqene akullnajore"), dhe jetë autentike rurale, ofron shumë pak në drejtim të strukturave pritëse. Pavarësisht përmirësimeve gjatë viteve të fundit, infrastruktura e turizmit mbetet e pazhvilluar sa duhet, dhe potenciali ekzistues i pasur me burime natyrore dhe kulturore ende duhet të</w:t>
      </w:r>
      <w:r>
        <w:rPr>
          <w:spacing w:val="-24"/>
        </w:rPr>
        <w:t xml:space="preserve"> </w:t>
      </w:r>
      <w:r>
        <w:t>shpaloset.</w:t>
      </w:r>
    </w:p>
    <w:p w14:paraId="2D661103" w14:textId="77777777" w:rsidR="00C61F48" w:rsidRDefault="00C61F48" w:rsidP="00823B86">
      <w:pPr>
        <w:pStyle w:val="TEKSTI"/>
      </w:pPr>
      <w:r>
        <w:t>Rajonet e Shkodrës dhe Lezhës, si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 etj.); agro-turizmi, vendet me interes historik dhe kulturor, të tilla si vendbanimet parahistorike, qendrat arkeologjike, objektet e kultit, duhet të promovohen më mirë për një zhvillim më të shpejtë të turizmit në bregdetin e Shkodrës (Velipojë), dhe kryesisht në Lezhë (Shëngjin).</w:t>
      </w:r>
    </w:p>
    <w:p w14:paraId="6364D04A" w14:textId="004659FA" w:rsidR="00C61F48" w:rsidRPr="001051A5" w:rsidRDefault="001051A5" w:rsidP="00823B86">
      <w:pPr>
        <w:pStyle w:val="TEKSTI"/>
        <w:rPr>
          <w:b/>
        </w:rPr>
      </w:pPr>
      <w:bookmarkStart w:id="42" w:name="_bookmark39"/>
      <w:bookmarkEnd w:id="42"/>
      <w:r w:rsidRPr="001051A5">
        <w:rPr>
          <w:b/>
        </w:rPr>
        <w:t xml:space="preserve">2.3 </w:t>
      </w:r>
      <w:r w:rsidR="00C61F48" w:rsidRPr="001051A5">
        <w:rPr>
          <w:b/>
        </w:rPr>
        <w:t>SOCIALE</w:t>
      </w:r>
    </w:p>
    <w:p w14:paraId="281DEBC9" w14:textId="25F67CAD" w:rsidR="00C61F48" w:rsidRPr="001051A5" w:rsidRDefault="001051A5" w:rsidP="00823B86">
      <w:pPr>
        <w:pStyle w:val="TEKSTI"/>
        <w:rPr>
          <w:b/>
        </w:rPr>
      </w:pPr>
      <w:bookmarkStart w:id="43" w:name="_bookmark40"/>
      <w:bookmarkEnd w:id="43"/>
      <w:r w:rsidRPr="001051A5">
        <w:rPr>
          <w:b/>
        </w:rPr>
        <w:t xml:space="preserve">2.3.1 </w:t>
      </w:r>
      <w:r w:rsidR="00C61F48" w:rsidRPr="001051A5">
        <w:rPr>
          <w:b/>
        </w:rPr>
        <w:t>Demografia</w:t>
      </w:r>
    </w:p>
    <w:p w14:paraId="1EEB4DE5" w14:textId="77777777" w:rsidR="00C61F48" w:rsidRDefault="00C61F48" w:rsidP="00823B86">
      <w:pPr>
        <w:pStyle w:val="TEKSTI"/>
      </w:pPr>
      <w:r>
        <w:t>Si në Shqipëri, ashtu edhe në Malin e Zi, gjatë vitit 2011 u realizua një census. Ndërkohë që popullsia e regjistruar në Malin e Zi tregoi ndryshime të papërfillshme, popullsia e regjistruar në Shqipëri ka rënë  me 8.8% në vitin 2011 krahasuar me Censusin e vitit</w:t>
      </w:r>
      <w:r>
        <w:rPr>
          <w:spacing w:val="-20"/>
        </w:rPr>
        <w:t xml:space="preserve"> </w:t>
      </w:r>
      <w:r>
        <w:t>2001.</w:t>
      </w:r>
    </w:p>
    <w:p w14:paraId="48218895" w14:textId="77777777" w:rsidR="001051A5" w:rsidRDefault="001051A5" w:rsidP="001051A5">
      <w:pPr>
        <w:pStyle w:val="TEKSTI"/>
      </w:pPr>
    </w:p>
    <w:p w14:paraId="441815CB" w14:textId="31CE084F" w:rsidR="00C61F48" w:rsidRDefault="00C61F48" w:rsidP="001051A5">
      <w:pPr>
        <w:pStyle w:val="TEKSTI"/>
        <w:rPr>
          <w:b/>
        </w:rPr>
      </w:pPr>
      <w:r w:rsidRPr="001051A5">
        <w:rPr>
          <w:b/>
        </w:rPr>
        <w:t>Tabela 2. Popullsia dhe dendësia në zonën e programit</w:t>
      </w:r>
    </w:p>
    <w:p w14:paraId="26C0A94F" w14:textId="77777777" w:rsidR="00C61F48" w:rsidRDefault="00C61F48" w:rsidP="00C61F48">
      <w:pPr>
        <w:pStyle w:val="BodyText"/>
        <w:spacing w:before="1"/>
        <w:rPr>
          <w:b/>
          <w:sz w:val="20"/>
        </w:rPr>
      </w:pPr>
    </w:p>
    <w:tbl>
      <w:tblPr>
        <w:tblW w:w="0" w:type="auto"/>
        <w:tblInd w:w="426" w:type="dxa"/>
        <w:tblLayout w:type="fixed"/>
        <w:tblCellMar>
          <w:left w:w="0" w:type="dxa"/>
          <w:right w:w="0" w:type="dxa"/>
        </w:tblCellMar>
        <w:tblLook w:val="01E0" w:firstRow="1" w:lastRow="1" w:firstColumn="1" w:lastColumn="1" w:noHBand="0" w:noVBand="0"/>
      </w:tblPr>
      <w:tblGrid>
        <w:gridCol w:w="3950"/>
        <w:gridCol w:w="1864"/>
        <w:gridCol w:w="2976"/>
      </w:tblGrid>
      <w:tr w:rsidR="00C61F48" w:rsidRPr="00025A4D" w14:paraId="00081A0C" w14:textId="77777777" w:rsidTr="00025A4D">
        <w:trPr>
          <w:trHeight w:hRule="exact" w:val="338"/>
        </w:trPr>
        <w:tc>
          <w:tcPr>
            <w:tcW w:w="3950" w:type="dxa"/>
            <w:shd w:val="clear" w:color="auto" w:fill="348DA4"/>
          </w:tcPr>
          <w:p w14:paraId="482BF8FE" w14:textId="77777777" w:rsidR="00C61F48" w:rsidRPr="00025A4D" w:rsidRDefault="00C61F48" w:rsidP="00BA13DB">
            <w:pPr>
              <w:rPr>
                <w:rFonts w:ascii="Garamond" w:hAnsi="Garamond"/>
                <w:sz w:val="20"/>
                <w:szCs w:val="20"/>
              </w:rPr>
            </w:pPr>
          </w:p>
        </w:tc>
        <w:tc>
          <w:tcPr>
            <w:tcW w:w="1864" w:type="dxa"/>
            <w:shd w:val="clear" w:color="auto" w:fill="348DA4"/>
          </w:tcPr>
          <w:p w14:paraId="59FBF214" w14:textId="77777777" w:rsidR="00C61F48" w:rsidRPr="00025A4D" w:rsidRDefault="00C61F48" w:rsidP="00BA13DB">
            <w:pPr>
              <w:pStyle w:val="TableParagraph"/>
              <w:spacing w:before="33"/>
              <w:ind w:left="539" w:right="626"/>
              <w:jc w:val="center"/>
              <w:rPr>
                <w:rFonts w:ascii="Garamond" w:hAnsi="Garamond"/>
                <w:b/>
                <w:sz w:val="20"/>
                <w:szCs w:val="20"/>
              </w:rPr>
            </w:pPr>
            <w:r w:rsidRPr="00025A4D">
              <w:rPr>
                <w:rFonts w:ascii="Garamond" w:hAnsi="Garamond"/>
                <w:b/>
                <w:sz w:val="20"/>
                <w:szCs w:val="20"/>
              </w:rPr>
              <w:t>Banorë</w:t>
            </w:r>
          </w:p>
        </w:tc>
        <w:tc>
          <w:tcPr>
            <w:tcW w:w="2976" w:type="dxa"/>
            <w:shd w:val="clear" w:color="auto" w:fill="348DA4"/>
          </w:tcPr>
          <w:p w14:paraId="3182BFE2" w14:textId="77777777" w:rsidR="00C61F48" w:rsidRPr="00025A4D" w:rsidRDefault="00C61F48" w:rsidP="00BA13DB">
            <w:pPr>
              <w:pStyle w:val="TableParagraph"/>
              <w:spacing w:before="9"/>
              <w:ind w:left="628" w:right="309"/>
              <w:jc w:val="center"/>
              <w:rPr>
                <w:rFonts w:ascii="Garamond" w:hAnsi="Garamond"/>
                <w:b/>
                <w:sz w:val="20"/>
                <w:szCs w:val="20"/>
              </w:rPr>
            </w:pPr>
            <w:r w:rsidRPr="00025A4D">
              <w:rPr>
                <w:rFonts w:ascii="Garamond" w:hAnsi="Garamond"/>
                <w:b/>
                <w:sz w:val="20"/>
                <w:szCs w:val="20"/>
              </w:rPr>
              <w:t>Dendësia banorë/km</w:t>
            </w:r>
            <w:r w:rsidRPr="00025A4D">
              <w:rPr>
                <w:rFonts w:ascii="Garamond" w:hAnsi="Garamond"/>
                <w:b/>
                <w:position w:val="10"/>
                <w:sz w:val="20"/>
                <w:szCs w:val="20"/>
              </w:rPr>
              <w:t>2</w:t>
            </w:r>
          </w:p>
        </w:tc>
      </w:tr>
      <w:tr w:rsidR="00C61F48" w:rsidRPr="00025A4D" w14:paraId="0AEA54A4" w14:textId="77777777" w:rsidTr="00025A4D">
        <w:trPr>
          <w:trHeight w:hRule="exact" w:val="519"/>
        </w:trPr>
        <w:tc>
          <w:tcPr>
            <w:tcW w:w="3950" w:type="dxa"/>
            <w:shd w:val="clear" w:color="auto" w:fill="FCE9D9"/>
          </w:tcPr>
          <w:p w14:paraId="51DBE2C6" w14:textId="77777777" w:rsidR="00C61F48" w:rsidRPr="00025A4D" w:rsidRDefault="00C61F48" w:rsidP="00BA13DB">
            <w:pPr>
              <w:pStyle w:val="TableParagraph"/>
              <w:spacing w:before="11"/>
              <w:ind w:left="1065"/>
              <w:rPr>
                <w:rFonts w:ascii="Garamond" w:hAnsi="Garamond"/>
                <w:b/>
                <w:sz w:val="20"/>
                <w:szCs w:val="20"/>
              </w:rPr>
            </w:pPr>
            <w:r w:rsidRPr="00025A4D">
              <w:rPr>
                <w:rFonts w:ascii="Garamond" w:hAnsi="Garamond"/>
                <w:b/>
                <w:sz w:val="20"/>
                <w:szCs w:val="20"/>
              </w:rPr>
              <w:t>Mali i Zi</w:t>
            </w:r>
          </w:p>
        </w:tc>
        <w:tc>
          <w:tcPr>
            <w:tcW w:w="1864" w:type="dxa"/>
            <w:shd w:val="clear" w:color="auto" w:fill="FCE9D9"/>
          </w:tcPr>
          <w:p w14:paraId="7B97AA68" w14:textId="77777777" w:rsidR="00C61F48" w:rsidRPr="00025A4D" w:rsidRDefault="00C61F48" w:rsidP="00BA13DB">
            <w:pPr>
              <w:pStyle w:val="TableParagraph"/>
              <w:spacing w:before="13"/>
              <w:ind w:left="539" w:right="624"/>
              <w:jc w:val="center"/>
              <w:rPr>
                <w:rFonts w:ascii="Garamond" w:hAnsi="Garamond"/>
                <w:b/>
                <w:sz w:val="20"/>
                <w:szCs w:val="20"/>
              </w:rPr>
            </w:pPr>
            <w:r w:rsidRPr="00025A4D">
              <w:rPr>
                <w:rFonts w:ascii="Garamond" w:hAnsi="Garamond"/>
                <w:b/>
                <w:sz w:val="20"/>
                <w:szCs w:val="20"/>
              </w:rPr>
              <w:t>620,029</w:t>
            </w:r>
          </w:p>
        </w:tc>
        <w:tc>
          <w:tcPr>
            <w:tcW w:w="2976" w:type="dxa"/>
            <w:shd w:val="clear" w:color="auto" w:fill="FCE9D9"/>
          </w:tcPr>
          <w:p w14:paraId="04715584" w14:textId="77777777" w:rsidR="00C61F48" w:rsidRPr="00025A4D" w:rsidRDefault="00C61F48" w:rsidP="00BA13DB">
            <w:pPr>
              <w:pStyle w:val="TableParagraph"/>
              <w:spacing w:before="13"/>
              <w:ind w:left="628" w:right="307"/>
              <w:jc w:val="center"/>
              <w:rPr>
                <w:rFonts w:ascii="Garamond" w:hAnsi="Garamond"/>
                <w:b/>
                <w:sz w:val="20"/>
                <w:szCs w:val="20"/>
              </w:rPr>
            </w:pPr>
            <w:r w:rsidRPr="00025A4D">
              <w:rPr>
                <w:rFonts w:ascii="Garamond" w:hAnsi="Garamond"/>
                <w:b/>
                <w:sz w:val="20"/>
                <w:szCs w:val="20"/>
              </w:rPr>
              <w:t>44.89</w:t>
            </w:r>
          </w:p>
        </w:tc>
      </w:tr>
      <w:tr w:rsidR="00C61F48" w:rsidRPr="00025A4D" w14:paraId="38428821" w14:textId="77777777" w:rsidTr="00025A4D">
        <w:trPr>
          <w:trHeight w:hRule="exact" w:val="466"/>
        </w:trPr>
        <w:tc>
          <w:tcPr>
            <w:tcW w:w="3950" w:type="dxa"/>
            <w:shd w:val="clear" w:color="auto" w:fill="FDF4EB"/>
          </w:tcPr>
          <w:p w14:paraId="038C8871" w14:textId="77777777" w:rsidR="00025A4D" w:rsidRDefault="00025A4D" w:rsidP="00BA13DB">
            <w:pPr>
              <w:pStyle w:val="TableParagraph"/>
              <w:spacing w:line="194" w:lineRule="exact"/>
              <w:ind w:left="679"/>
              <w:rPr>
                <w:rFonts w:ascii="Garamond" w:hAnsi="Garamond"/>
                <w:b/>
                <w:i/>
                <w:sz w:val="20"/>
                <w:szCs w:val="20"/>
              </w:rPr>
            </w:pPr>
          </w:p>
          <w:p w14:paraId="5ABDC715" w14:textId="77777777" w:rsidR="00C61F48" w:rsidRPr="00025A4D" w:rsidRDefault="00C61F48" w:rsidP="00BA13DB">
            <w:pPr>
              <w:pStyle w:val="TableParagraph"/>
              <w:spacing w:line="194" w:lineRule="exact"/>
              <w:ind w:left="679"/>
              <w:rPr>
                <w:rFonts w:ascii="Garamond" w:hAnsi="Garamond"/>
                <w:b/>
                <w:i/>
                <w:sz w:val="20"/>
                <w:szCs w:val="20"/>
              </w:rPr>
            </w:pPr>
            <w:r w:rsidRPr="00025A4D">
              <w:rPr>
                <w:rFonts w:ascii="Garamond" w:hAnsi="Garamond"/>
                <w:b/>
                <w:i/>
                <w:sz w:val="20"/>
                <w:szCs w:val="20"/>
              </w:rPr>
              <w:t>Zona e përgjithshme e programit</w:t>
            </w:r>
          </w:p>
        </w:tc>
        <w:tc>
          <w:tcPr>
            <w:tcW w:w="1864" w:type="dxa"/>
            <w:shd w:val="clear" w:color="auto" w:fill="FDF4EB"/>
          </w:tcPr>
          <w:p w14:paraId="29963C1A" w14:textId="77777777" w:rsidR="00025A4D" w:rsidRDefault="00025A4D" w:rsidP="00BA13DB">
            <w:pPr>
              <w:pStyle w:val="TableParagraph"/>
              <w:spacing w:line="157" w:lineRule="exact"/>
              <w:ind w:left="539" w:right="624"/>
              <w:jc w:val="center"/>
              <w:rPr>
                <w:rFonts w:ascii="Garamond" w:hAnsi="Garamond"/>
                <w:b/>
                <w:sz w:val="20"/>
                <w:szCs w:val="20"/>
              </w:rPr>
            </w:pPr>
          </w:p>
          <w:p w14:paraId="3D8B509D" w14:textId="77777777" w:rsidR="00C61F48" w:rsidRPr="00025A4D" w:rsidRDefault="00C61F48" w:rsidP="00BA13DB">
            <w:pPr>
              <w:pStyle w:val="TableParagraph"/>
              <w:spacing w:line="157" w:lineRule="exact"/>
              <w:ind w:left="539" w:right="624"/>
              <w:jc w:val="center"/>
              <w:rPr>
                <w:rFonts w:ascii="Garamond" w:hAnsi="Garamond"/>
                <w:b/>
                <w:sz w:val="20"/>
                <w:szCs w:val="20"/>
              </w:rPr>
            </w:pPr>
            <w:r w:rsidRPr="00025A4D">
              <w:rPr>
                <w:rFonts w:ascii="Garamond" w:hAnsi="Garamond"/>
                <w:b/>
                <w:sz w:val="20"/>
                <w:szCs w:val="20"/>
              </w:rPr>
              <w:t>379,366</w:t>
            </w:r>
          </w:p>
        </w:tc>
        <w:tc>
          <w:tcPr>
            <w:tcW w:w="2976" w:type="dxa"/>
            <w:shd w:val="clear" w:color="auto" w:fill="FDF4EB"/>
          </w:tcPr>
          <w:p w14:paraId="24A064AA" w14:textId="77777777" w:rsidR="00C61F48" w:rsidRPr="00025A4D" w:rsidRDefault="00C61F48" w:rsidP="00BA13DB">
            <w:pPr>
              <w:pStyle w:val="TableParagraph"/>
              <w:spacing w:line="157" w:lineRule="exact"/>
              <w:ind w:left="628" w:right="307"/>
              <w:jc w:val="center"/>
              <w:rPr>
                <w:rFonts w:ascii="Garamond" w:hAnsi="Garamond"/>
                <w:b/>
                <w:sz w:val="20"/>
                <w:szCs w:val="20"/>
              </w:rPr>
            </w:pPr>
            <w:r w:rsidRPr="00025A4D">
              <w:rPr>
                <w:rFonts w:ascii="Garamond" w:hAnsi="Garamond"/>
                <w:b/>
                <w:sz w:val="20"/>
                <w:szCs w:val="20"/>
              </w:rPr>
              <w:t>65.69</w:t>
            </w:r>
          </w:p>
        </w:tc>
      </w:tr>
      <w:tr w:rsidR="00C61F48" w:rsidRPr="00025A4D" w14:paraId="17EF3A81" w14:textId="77777777" w:rsidTr="00025A4D">
        <w:trPr>
          <w:trHeight w:hRule="exact" w:val="1346"/>
        </w:trPr>
        <w:tc>
          <w:tcPr>
            <w:tcW w:w="3950" w:type="dxa"/>
            <w:shd w:val="clear" w:color="auto" w:fill="FCE9D9"/>
          </w:tcPr>
          <w:p w14:paraId="6B6D2092" w14:textId="77777777" w:rsidR="00C61F48" w:rsidRPr="00025A4D" w:rsidRDefault="00C61F48" w:rsidP="00025A4D">
            <w:pPr>
              <w:pStyle w:val="TableParagraph"/>
              <w:ind w:left="1065" w:right="560"/>
              <w:rPr>
                <w:rFonts w:ascii="Garamond" w:hAnsi="Garamond"/>
                <w:b/>
                <w:sz w:val="20"/>
                <w:szCs w:val="20"/>
              </w:rPr>
            </w:pPr>
            <w:r w:rsidRPr="00025A4D">
              <w:rPr>
                <w:rFonts w:ascii="Garamond" w:hAnsi="Garamond"/>
                <w:b/>
                <w:sz w:val="20"/>
                <w:szCs w:val="20"/>
              </w:rPr>
              <w:t>Rozaje, Berane, Andrijevica, Plavë, Danilovgrad, Podgoricë, Bar, Ulqin, Cetinje, Budva, Petnjica, Guci</w:t>
            </w:r>
          </w:p>
        </w:tc>
        <w:tc>
          <w:tcPr>
            <w:tcW w:w="1864" w:type="dxa"/>
            <w:shd w:val="clear" w:color="auto" w:fill="FCE9D9"/>
          </w:tcPr>
          <w:p w14:paraId="54875EEC" w14:textId="77777777" w:rsidR="00C61F48" w:rsidRPr="00025A4D" w:rsidRDefault="00C61F48" w:rsidP="00BA13DB">
            <w:pPr>
              <w:pStyle w:val="TableParagraph"/>
              <w:spacing w:line="194" w:lineRule="exact"/>
              <w:ind w:left="539" w:right="624"/>
              <w:jc w:val="center"/>
              <w:rPr>
                <w:rFonts w:ascii="Garamond" w:hAnsi="Garamond"/>
                <w:b/>
                <w:sz w:val="20"/>
                <w:szCs w:val="20"/>
              </w:rPr>
            </w:pPr>
            <w:r w:rsidRPr="00025A4D">
              <w:rPr>
                <w:rFonts w:ascii="Garamond" w:hAnsi="Garamond"/>
                <w:b/>
                <w:sz w:val="20"/>
                <w:szCs w:val="20"/>
              </w:rPr>
              <w:t>379,366</w:t>
            </w:r>
          </w:p>
        </w:tc>
        <w:tc>
          <w:tcPr>
            <w:tcW w:w="2976" w:type="dxa"/>
            <w:shd w:val="clear" w:color="auto" w:fill="FCE9D9"/>
          </w:tcPr>
          <w:p w14:paraId="68517480" w14:textId="77777777" w:rsidR="00C61F48" w:rsidRPr="00025A4D" w:rsidRDefault="00C61F48" w:rsidP="00BA13DB">
            <w:pPr>
              <w:pStyle w:val="TableParagraph"/>
              <w:spacing w:line="194" w:lineRule="exact"/>
              <w:ind w:left="628" w:right="307"/>
              <w:jc w:val="center"/>
              <w:rPr>
                <w:rFonts w:ascii="Garamond" w:hAnsi="Garamond"/>
                <w:b/>
                <w:sz w:val="20"/>
                <w:szCs w:val="20"/>
              </w:rPr>
            </w:pPr>
            <w:r w:rsidRPr="00025A4D">
              <w:rPr>
                <w:rFonts w:ascii="Garamond" w:hAnsi="Garamond"/>
                <w:b/>
                <w:sz w:val="20"/>
                <w:szCs w:val="20"/>
              </w:rPr>
              <w:t>65.69</w:t>
            </w:r>
          </w:p>
        </w:tc>
      </w:tr>
      <w:tr w:rsidR="00C61F48" w:rsidRPr="00025A4D" w14:paraId="663FC584" w14:textId="77777777" w:rsidTr="00025A4D">
        <w:trPr>
          <w:trHeight w:hRule="exact" w:val="197"/>
        </w:trPr>
        <w:tc>
          <w:tcPr>
            <w:tcW w:w="8790" w:type="dxa"/>
            <w:gridSpan w:val="3"/>
            <w:shd w:val="clear" w:color="auto" w:fill="FDF4EB"/>
          </w:tcPr>
          <w:p w14:paraId="4FA41ED6" w14:textId="77777777" w:rsidR="00C61F48" w:rsidRPr="00025A4D" w:rsidRDefault="00C61F48" w:rsidP="00BA13DB">
            <w:pPr>
              <w:rPr>
                <w:rFonts w:ascii="Garamond" w:hAnsi="Garamond"/>
                <w:sz w:val="20"/>
                <w:szCs w:val="20"/>
              </w:rPr>
            </w:pPr>
          </w:p>
        </w:tc>
      </w:tr>
      <w:tr w:rsidR="00C61F48" w:rsidRPr="00025A4D" w14:paraId="11B9E9F0" w14:textId="77777777" w:rsidTr="00025A4D">
        <w:trPr>
          <w:trHeight w:hRule="exact" w:val="364"/>
        </w:trPr>
        <w:tc>
          <w:tcPr>
            <w:tcW w:w="3950" w:type="dxa"/>
            <w:shd w:val="clear" w:color="auto" w:fill="FCE9D9"/>
          </w:tcPr>
          <w:p w14:paraId="378947A0" w14:textId="77777777" w:rsidR="00C61F48" w:rsidRPr="00025A4D" w:rsidRDefault="00C61F48" w:rsidP="00BA13DB">
            <w:pPr>
              <w:pStyle w:val="TableParagraph"/>
              <w:spacing w:line="265" w:lineRule="exact"/>
              <w:ind w:left="1065"/>
              <w:rPr>
                <w:rFonts w:ascii="Garamond" w:hAnsi="Garamond"/>
                <w:b/>
                <w:sz w:val="20"/>
                <w:szCs w:val="20"/>
              </w:rPr>
            </w:pPr>
            <w:r w:rsidRPr="00025A4D">
              <w:rPr>
                <w:rFonts w:ascii="Garamond" w:hAnsi="Garamond"/>
                <w:b/>
                <w:sz w:val="20"/>
                <w:szCs w:val="20"/>
              </w:rPr>
              <w:t>Shqipëria</w:t>
            </w:r>
          </w:p>
        </w:tc>
        <w:tc>
          <w:tcPr>
            <w:tcW w:w="1864" w:type="dxa"/>
            <w:shd w:val="clear" w:color="auto" w:fill="FCE9D9"/>
          </w:tcPr>
          <w:p w14:paraId="288D8378" w14:textId="12034652" w:rsidR="00C61F48" w:rsidRPr="00025A4D" w:rsidRDefault="00025A4D" w:rsidP="00025A4D">
            <w:pPr>
              <w:pStyle w:val="TableParagraph"/>
              <w:ind w:left="539" w:right="624"/>
              <w:jc w:val="center"/>
              <w:rPr>
                <w:rFonts w:ascii="Garamond" w:hAnsi="Garamond"/>
                <w:b/>
                <w:sz w:val="20"/>
                <w:szCs w:val="20"/>
              </w:rPr>
            </w:pPr>
            <w:r>
              <w:rPr>
                <w:rFonts w:ascii="Garamond" w:hAnsi="Garamond"/>
                <w:b/>
                <w:sz w:val="20"/>
                <w:szCs w:val="20"/>
              </w:rPr>
              <w:t>2,800,1</w:t>
            </w:r>
            <w:r w:rsidR="00C61F48" w:rsidRPr="00025A4D">
              <w:rPr>
                <w:rFonts w:ascii="Garamond" w:hAnsi="Garamond"/>
                <w:b/>
                <w:sz w:val="20"/>
                <w:szCs w:val="20"/>
              </w:rPr>
              <w:t>8</w:t>
            </w:r>
          </w:p>
        </w:tc>
        <w:tc>
          <w:tcPr>
            <w:tcW w:w="2976" w:type="dxa"/>
            <w:shd w:val="clear" w:color="auto" w:fill="FCE9D9"/>
          </w:tcPr>
          <w:p w14:paraId="57F94ADD" w14:textId="77777777" w:rsidR="00C61F48" w:rsidRPr="00025A4D" w:rsidRDefault="00C61F48" w:rsidP="00BA13DB">
            <w:pPr>
              <w:pStyle w:val="TableParagraph"/>
              <w:spacing w:line="194" w:lineRule="exact"/>
              <w:ind w:left="628" w:right="307"/>
              <w:jc w:val="center"/>
              <w:rPr>
                <w:rFonts w:ascii="Garamond" w:hAnsi="Garamond"/>
                <w:b/>
                <w:sz w:val="20"/>
                <w:szCs w:val="20"/>
              </w:rPr>
            </w:pPr>
            <w:r w:rsidRPr="00025A4D">
              <w:rPr>
                <w:rFonts w:ascii="Garamond" w:hAnsi="Garamond"/>
                <w:b/>
                <w:sz w:val="20"/>
                <w:szCs w:val="20"/>
              </w:rPr>
              <w:t>97.40</w:t>
            </w:r>
          </w:p>
        </w:tc>
      </w:tr>
      <w:tr w:rsidR="00C61F48" w:rsidRPr="00025A4D" w14:paraId="2A63C5AF" w14:textId="77777777" w:rsidTr="00025A4D">
        <w:trPr>
          <w:trHeight w:hRule="exact" w:val="469"/>
        </w:trPr>
        <w:tc>
          <w:tcPr>
            <w:tcW w:w="3950" w:type="dxa"/>
            <w:shd w:val="clear" w:color="auto" w:fill="FDF4EB"/>
          </w:tcPr>
          <w:p w14:paraId="2B78F174" w14:textId="77777777" w:rsidR="00025A4D" w:rsidRDefault="00025A4D" w:rsidP="00BA13DB">
            <w:pPr>
              <w:pStyle w:val="TableParagraph"/>
              <w:spacing w:line="194" w:lineRule="exact"/>
              <w:ind w:left="679"/>
              <w:rPr>
                <w:rFonts w:ascii="Garamond" w:hAnsi="Garamond"/>
                <w:b/>
                <w:i/>
                <w:sz w:val="20"/>
                <w:szCs w:val="20"/>
              </w:rPr>
            </w:pPr>
          </w:p>
          <w:p w14:paraId="24505403" w14:textId="77777777" w:rsidR="00C61F48" w:rsidRPr="00025A4D" w:rsidRDefault="00C61F48" w:rsidP="00BA13DB">
            <w:pPr>
              <w:pStyle w:val="TableParagraph"/>
              <w:spacing w:line="194" w:lineRule="exact"/>
              <w:ind w:left="679"/>
              <w:rPr>
                <w:rFonts w:ascii="Garamond" w:hAnsi="Garamond"/>
                <w:b/>
                <w:i/>
                <w:sz w:val="20"/>
                <w:szCs w:val="20"/>
              </w:rPr>
            </w:pPr>
            <w:r w:rsidRPr="00025A4D">
              <w:rPr>
                <w:rFonts w:ascii="Garamond" w:hAnsi="Garamond"/>
                <w:b/>
                <w:i/>
                <w:sz w:val="20"/>
                <w:szCs w:val="20"/>
              </w:rPr>
              <w:t>Zona e përgjithshme e programit</w:t>
            </w:r>
          </w:p>
        </w:tc>
        <w:tc>
          <w:tcPr>
            <w:tcW w:w="1864" w:type="dxa"/>
            <w:shd w:val="clear" w:color="auto" w:fill="FDF4EB"/>
          </w:tcPr>
          <w:p w14:paraId="59D3B366" w14:textId="77777777" w:rsidR="00025A4D" w:rsidRDefault="00025A4D" w:rsidP="00BA13DB">
            <w:pPr>
              <w:pStyle w:val="TableParagraph"/>
              <w:spacing w:line="157" w:lineRule="exact"/>
              <w:ind w:left="539" w:right="624"/>
              <w:jc w:val="center"/>
              <w:rPr>
                <w:rFonts w:ascii="Garamond" w:hAnsi="Garamond"/>
                <w:b/>
                <w:sz w:val="20"/>
                <w:szCs w:val="20"/>
              </w:rPr>
            </w:pPr>
          </w:p>
          <w:p w14:paraId="38B3B6EE" w14:textId="77777777" w:rsidR="00C61F48" w:rsidRPr="00025A4D" w:rsidRDefault="00C61F48" w:rsidP="00BA13DB">
            <w:pPr>
              <w:pStyle w:val="TableParagraph"/>
              <w:spacing w:line="157" w:lineRule="exact"/>
              <w:ind w:left="539" w:right="624"/>
              <w:jc w:val="center"/>
              <w:rPr>
                <w:rFonts w:ascii="Garamond" w:hAnsi="Garamond"/>
                <w:b/>
                <w:sz w:val="20"/>
                <w:szCs w:val="20"/>
              </w:rPr>
            </w:pPr>
            <w:r w:rsidRPr="00025A4D">
              <w:rPr>
                <w:rFonts w:ascii="Garamond" w:hAnsi="Garamond"/>
                <w:b/>
                <w:sz w:val="20"/>
                <w:szCs w:val="20"/>
              </w:rPr>
              <w:t>369,891</w:t>
            </w:r>
          </w:p>
        </w:tc>
        <w:tc>
          <w:tcPr>
            <w:tcW w:w="2976" w:type="dxa"/>
            <w:shd w:val="clear" w:color="auto" w:fill="FDF4EB"/>
          </w:tcPr>
          <w:p w14:paraId="617D9902" w14:textId="77777777" w:rsidR="00C61F48" w:rsidRPr="00025A4D" w:rsidRDefault="00C61F48" w:rsidP="00BA13DB">
            <w:pPr>
              <w:pStyle w:val="TableParagraph"/>
              <w:spacing w:line="157" w:lineRule="exact"/>
              <w:ind w:left="628" w:right="307"/>
              <w:jc w:val="center"/>
              <w:rPr>
                <w:rFonts w:ascii="Garamond" w:hAnsi="Garamond"/>
                <w:b/>
                <w:sz w:val="20"/>
                <w:szCs w:val="20"/>
              </w:rPr>
            </w:pPr>
            <w:r w:rsidRPr="00025A4D">
              <w:rPr>
                <w:rFonts w:ascii="Garamond" w:hAnsi="Garamond"/>
                <w:b/>
                <w:sz w:val="20"/>
                <w:szCs w:val="20"/>
              </w:rPr>
              <w:t>59.4</w:t>
            </w:r>
          </w:p>
        </w:tc>
      </w:tr>
      <w:tr w:rsidR="00C61F48" w:rsidRPr="00025A4D" w14:paraId="2DA959E5" w14:textId="77777777" w:rsidTr="00025A4D">
        <w:trPr>
          <w:trHeight w:hRule="exact" w:val="194"/>
        </w:trPr>
        <w:tc>
          <w:tcPr>
            <w:tcW w:w="3950" w:type="dxa"/>
            <w:shd w:val="clear" w:color="auto" w:fill="FCE9D9"/>
          </w:tcPr>
          <w:p w14:paraId="50A389E3" w14:textId="77777777" w:rsidR="00C61F48" w:rsidRPr="00025A4D" w:rsidRDefault="00C61F48" w:rsidP="00BA13DB">
            <w:pPr>
              <w:pStyle w:val="TableParagraph"/>
              <w:spacing w:line="194" w:lineRule="exact"/>
              <w:ind w:left="1065"/>
              <w:rPr>
                <w:rFonts w:ascii="Garamond" w:hAnsi="Garamond"/>
                <w:b/>
                <w:sz w:val="20"/>
                <w:szCs w:val="20"/>
              </w:rPr>
            </w:pPr>
            <w:r w:rsidRPr="00025A4D">
              <w:rPr>
                <w:rFonts w:ascii="Garamond" w:hAnsi="Garamond"/>
                <w:b/>
                <w:sz w:val="20"/>
                <w:szCs w:val="20"/>
              </w:rPr>
              <w:t>Rajoni Shkodër</w:t>
            </w:r>
          </w:p>
        </w:tc>
        <w:tc>
          <w:tcPr>
            <w:tcW w:w="1864" w:type="dxa"/>
            <w:shd w:val="clear" w:color="auto" w:fill="FCE9D9"/>
          </w:tcPr>
          <w:p w14:paraId="2CEDB5F6" w14:textId="77777777" w:rsidR="00C61F48" w:rsidRPr="00025A4D" w:rsidRDefault="00C61F48" w:rsidP="00BA13DB">
            <w:pPr>
              <w:pStyle w:val="TableParagraph"/>
              <w:spacing w:line="194" w:lineRule="exact"/>
              <w:ind w:left="539" w:right="622"/>
              <w:jc w:val="center"/>
              <w:rPr>
                <w:rFonts w:ascii="Garamond" w:hAnsi="Garamond"/>
                <w:sz w:val="20"/>
                <w:szCs w:val="20"/>
              </w:rPr>
            </w:pPr>
            <w:r w:rsidRPr="00025A4D">
              <w:rPr>
                <w:rFonts w:ascii="Garamond" w:hAnsi="Garamond"/>
                <w:sz w:val="20"/>
                <w:szCs w:val="20"/>
              </w:rPr>
              <w:t>215,347</w:t>
            </w:r>
          </w:p>
        </w:tc>
        <w:tc>
          <w:tcPr>
            <w:tcW w:w="2976" w:type="dxa"/>
            <w:shd w:val="clear" w:color="auto" w:fill="FCE9D9"/>
          </w:tcPr>
          <w:p w14:paraId="366A78CE" w14:textId="77777777" w:rsidR="00C61F48" w:rsidRPr="00025A4D" w:rsidRDefault="00C61F48" w:rsidP="00BA13DB">
            <w:pPr>
              <w:pStyle w:val="TableParagraph"/>
              <w:spacing w:line="194" w:lineRule="exact"/>
              <w:ind w:left="628" w:right="304"/>
              <w:jc w:val="center"/>
              <w:rPr>
                <w:rFonts w:ascii="Garamond" w:hAnsi="Garamond"/>
                <w:sz w:val="20"/>
                <w:szCs w:val="20"/>
              </w:rPr>
            </w:pPr>
            <w:r w:rsidRPr="00025A4D">
              <w:rPr>
                <w:rFonts w:ascii="Garamond" w:hAnsi="Garamond"/>
                <w:sz w:val="20"/>
                <w:szCs w:val="20"/>
              </w:rPr>
              <w:t>60.46</w:t>
            </w:r>
          </w:p>
        </w:tc>
      </w:tr>
      <w:tr w:rsidR="00C61F48" w:rsidRPr="00025A4D" w14:paraId="5A6C4152" w14:textId="77777777" w:rsidTr="00025A4D">
        <w:trPr>
          <w:trHeight w:hRule="exact" w:val="209"/>
        </w:trPr>
        <w:tc>
          <w:tcPr>
            <w:tcW w:w="3950" w:type="dxa"/>
            <w:shd w:val="clear" w:color="auto" w:fill="FDF4EB"/>
          </w:tcPr>
          <w:p w14:paraId="54EA5E9D" w14:textId="77777777" w:rsidR="00C61F48" w:rsidRPr="00025A4D" w:rsidRDefault="00C61F48" w:rsidP="00BA13DB">
            <w:pPr>
              <w:pStyle w:val="TableParagraph"/>
              <w:spacing w:line="194" w:lineRule="exact"/>
              <w:ind w:left="1065"/>
              <w:rPr>
                <w:rFonts w:ascii="Garamond" w:hAnsi="Garamond"/>
                <w:b/>
                <w:sz w:val="20"/>
                <w:szCs w:val="20"/>
              </w:rPr>
            </w:pPr>
            <w:r w:rsidRPr="00025A4D">
              <w:rPr>
                <w:rFonts w:ascii="Garamond" w:hAnsi="Garamond"/>
                <w:b/>
                <w:sz w:val="20"/>
                <w:szCs w:val="20"/>
              </w:rPr>
              <w:t>Rajoni Lezhë</w:t>
            </w:r>
          </w:p>
        </w:tc>
        <w:tc>
          <w:tcPr>
            <w:tcW w:w="1864" w:type="dxa"/>
            <w:shd w:val="clear" w:color="auto" w:fill="FDF4EB"/>
          </w:tcPr>
          <w:p w14:paraId="3E3C7E42" w14:textId="77777777" w:rsidR="00C61F48" w:rsidRPr="00025A4D" w:rsidRDefault="00C61F48" w:rsidP="00BA13DB">
            <w:pPr>
              <w:pStyle w:val="TableParagraph"/>
              <w:spacing w:line="194" w:lineRule="exact"/>
              <w:ind w:left="539" w:right="622"/>
              <w:jc w:val="center"/>
              <w:rPr>
                <w:rFonts w:ascii="Garamond" w:hAnsi="Garamond"/>
                <w:sz w:val="20"/>
                <w:szCs w:val="20"/>
              </w:rPr>
            </w:pPr>
            <w:r w:rsidRPr="00025A4D">
              <w:rPr>
                <w:rFonts w:ascii="Garamond" w:hAnsi="Garamond"/>
                <w:sz w:val="20"/>
                <w:szCs w:val="20"/>
              </w:rPr>
              <w:t>134,027</w:t>
            </w:r>
          </w:p>
        </w:tc>
        <w:tc>
          <w:tcPr>
            <w:tcW w:w="2976" w:type="dxa"/>
            <w:shd w:val="clear" w:color="auto" w:fill="FDF4EB"/>
          </w:tcPr>
          <w:p w14:paraId="31C47FEC" w14:textId="77777777" w:rsidR="00C61F48" w:rsidRPr="00025A4D" w:rsidRDefault="00C61F48" w:rsidP="00BA13DB">
            <w:pPr>
              <w:pStyle w:val="TableParagraph"/>
              <w:spacing w:line="194" w:lineRule="exact"/>
              <w:ind w:left="628" w:right="304"/>
              <w:jc w:val="center"/>
              <w:rPr>
                <w:rFonts w:ascii="Garamond" w:hAnsi="Garamond"/>
                <w:sz w:val="20"/>
                <w:szCs w:val="20"/>
              </w:rPr>
            </w:pPr>
            <w:r w:rsidRPr="00025A4D">
              <w:rPr>
                <w:rFonts w:ascii="Garamond" w:hAnsi="Garamond"/>
                <w:sz w:val="20"/>
                <w:szCs w:val="20"/>
              </w:rPr>
              <w:t>82.70</w:t>
            </w:r>
          </w:p>
        </w:tc>
      </w:tr>
      <w:tr w:rsidR="00C61F48" w:rsidRPr="00025A4D" w14:paraId="355FE25C" w14:textId="77777777" w:rsidTr="00025A4D">
        <w:trPr>
          <w:trHeight w:hRule="exact" w:val="182"/>
        </w:trPr>
        <w:tc>
          <w:tcPr>
            <w:tcW w:w="3950" w:type="dxa"/>
            <w:shd w:val="clear" w:color="auto" w:fill="FDF4EB"/>
          </w:tcPr>
          <w:p w14:paraId="0612D6A9" w14:textId="77777777" w:rsidR="00C61F48" w:rsidRPr="00025A4D" w:rsidRDefault="00C61F48" w:rsidP="00BA13DB">
            <w:pPr>
              <w:pStyle w:val="TableParagraph"/>
              <w:spacing w:line="182" w:lineRule="exact"/>
              <w:ind w:left="1065"/>
              <w:rPr>
                <w:rFonts w:ascii="Garamond" w:hAnsi="Garamond"/>
                <w:b/>
                <w:sz w:val="20"/>
                <w:szCs w:val="20"/>
              </w:rPr>
            </w:pPr>
            <w:r w:rsidRPr="00025A4D">
              <w:rPr>
                <w:rFonts w:ascii="Garamond" w:hAnsi="Garamond"/>
                <w:b/>
                <w:sz w:val="20"/>
                <w:szCs w:val="20"/>
              </w:rPr>
              <w:t>Qarku Tropojë</w:t>
            </w:r>
          </w:p>
        </w:tc>
        <w:tc>
          <w:tcPr>
            <w:tcW w:w="1864" w:type="dxa"/>
            <w:shd w:val="clear" w:color="auto" w:fill="FDF4EB"/>
          </w:tcPr>
          <w:p w14:paraId="1BC1CC24" w14:textId="77777777" w:rsidR="00C61F48" w:rsidRPr="00025A4D" w:rsidRDefault="00C61F48" w:rsidP="00BA13DB">
            <w:pPr>
              <w:pStyle w:val="TableParagraph"/>
              <w:spacing w:line="182" w:lineRule="exact"/>
              <w:ind w:left="539" w:right="625"/>
              <w:jc w:val="center"/>
              <w:rPr>
                <w:rFonts w:ascii="Garamond" w:hAnsi="Garamond"/>
                <w:sz w:val="20"/>
                <w:szCs w:val="20"/>
              </w:rPr>
            </w:pPr>
            <w:r w:rsidRPr="00025A4D">
              <w:rPr>
                <w:rFonts w:ascii="Garamond" w:hAnsi="Garamond"/>
                <w:sz w:val="20"/>
                <w:szCs w:val="20"/>
              </w:rPr>
              <w:t>20,517</w:t>
            </w:r>
          </w:p>
        </w:tc>
        <w:tc>
          <w:tcPr>
            <w:tcW w:w="2976" w:type="dxa"/>
            <w:shd w:val="clear" w:color="auto" w:fill="FDF4EB"/>
          </w:tcPr>
          <w:p w14:paraId="74C14423" w14:textId="77777777" w:rsidR="00C61F48" w:rsidRPr="00025A4D" w:rsidRDefault="00C61F48" w:rsidP="00BA13DB">
            <w:pPr>
              <w:pStyle w:val="TableParagraph"/>
              <w:spacing w:line="182" w:lineRule="exact"/>
              <w:ind w:left="628" w:right="307"/>
              <w:jc w:val="center"/>
              <w:rPr>
                <w:rFonts w:ascii="Garamond" w:hAnsi="Garamond"/>
                <w:sz w:val="20"/>
                <w:szCs w:val="20"/>
              </w:rPr>
            </w:pPr>
            <w:r w:rsidRPr="00025A4D">
              <w:rPr>
                <w:rFonts w:ascii="Garamond" w:hAnsi="Garamond"/>
                <w:sz w:val="20"/>
                <w:szCs w:val="20"/>
              </w:rPr>
              <w:t>19</w:t>
            </w:r>
          </w:p>
        </w:tc>
      </w:tr>
    </w:tbl>
    <w:p w14:paraId="3A7BAFC6" w14:textId="77777777" w:rsidR="00C61F48" w:rsidRDefault="00C61F48" w:rsidP="00C61F48">
      <w:pPr>
        <w:pStyle w:val="BodyText"/>
        <w:rPr>
          <w:b/>
          <w:sz w:val="27"/>
        </w:rPr>
      </w:pPr>
    </w:p>
    <w:p w14:paraId="36131C4B" w14:textId="6B10524E" w:rsidR="00C61F48" w:rsidRDefault="00C61F48" w:rsidP="00770BDD">
      <w:pPr>
        <w:pStyle w:val="TEKSTI"/>
      </w:pPr>
      <w: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 km2 është më e lartë se mesa</w:t>
      </w:r>
      <w:r w:rsidR="00770BDD">
        <w:t>tarja kombëtare prej 45 banorë/</w:t>
      </w:r>
      <w:r>
        <w:t>km</w:t>
      </w:r>
      <w:r w:rsidRPr="00770BDD">
        <w:rPr>
          <w:vertAlign w:val="superscript"/>
        </w:rPr>
        <w:t>2,</w:t>
      </w:r>
      <w:r>
        <w:t xml:space="preserve"> ndërsa në Shqipëri është 59 banorë/ km2, më e ulët në krahasim me mesataren kombëtare prej 97 banorë/ km</w:t>
      </w:r>
      <w:r w:rsidRPr="00770BDD">
        <w:rPr>
          <w:vertAlign w:val="superscript"/>
        </w:rPr>
        <w:t>2</w:t>
      </w:r>
      <w:r>
        <w:t>. Podgorica, Berane, Petnjica Tivari dhe Rozaja janë qytetet kryesore në Mal të Zi, ndërsa Shkodra dhe Lezha janë qendrat më të rëndësishme urbane në zonën e programit në</w:t>
      </w:r>
      <w:r>
        <w:rPr>
          <w:spacing w:val="-13"/>
        </w:rPr>
        <w:t xml:space="preserve"> </w:t>
      </w:r>
      <w:r>
        <w:t>Shqipëri.</w:t>
      </w:r>
    </w:p>
    <w:p w14:paraId="1631292A" w14:textId="29AEBAF9" w:rsidR="00C61F48" w:rsidRDefault="00C61F48" w:rsidP="00770BDD">
      <w:pPr>
        <w:pStyle w:val="TEKSTI"/>
      </w:pPr>
      <w:r>
        <w:t xml:space="preserve">Popullsia e përgjithshme në zonën e programit në </w:t>
      </w:r>
      <w:r>
        <w:rPr>
          <w:b/>
          <w:spacing w:val="-2"/>
        </w:rPr>
        <w:t xml:space="preserve">Mal </w:t>
      </w:r>
      <w:r>
        <w:rPr>
          <w:b/>
        </w:rPr>
        <w:t xml:space="preserve">të Zi </w:t>
      </w:r>
      <w:r>
        <w:t>është 379,366</w:t>
      </w:r>
      <w:r w:rsidR="00770BDD">
        <w:rPr>
          <w:rStyle w:val="FootnoteReference"/>
        </w:rPr>
        <w:footnoteReference w:id="64"/>
      </w:r>
      <w:r>
        <w:rPr>
          <w:position w:val="6"/>
          <w:sz w:val="16"/>
        </w:rPr>
        <w:t xml:space="preserve"> </w:t>
      </w:r>
      <w:r>
        <w:t>ban</w:t>
      </w:r>
      <w:r w:rsidR="00770BDD">
        <w:t xml:space="preserve">orë. Zona e programit </w:t>
      </w:r>
      <w:r>
        <w:t xml:space="preserve">ka një normë rritje natyrore prej 1.87%, që është nën mesataren kombëtare prej 2.2%; shkalla e vdekshmërisë qëndron në 9.4% e barabartë me mesataren kombëtare. Në </w:t>
      </w:r>
      <w:r>
        <w:rPr>
          <w:b/>
        </w:rPr>
        <w:t>Shqipëri</w:t>
      </w:r>
      <w:r>
        <w:t>, numri i përgjithshëm i popullsisë që jeton në zonën e programit është 369,891</w:t>
      </w:r>
      <w:r w:rsidR="00770BDD">
        <w:rPr>
          <w:rStyle w:val="FootnoteReference"/>
        </w:rPr>
        <w:footnoteReference w:id="65"/>
      </w:r>
      <w:r>
        <w:rPr>
          <w:position w:val="6"/>
          <w:sz w:val="16"/>
        </w:rPr>
        <w:t xml:space="preserve"> </w:t>
      </w:r>
      <w:r>
        <w:t>banorë, ose rreth 13.2% e popullsisë së përgjithshme të vendit. Rajoni i Shkodrës është rajoni i gjashtë më i madh i vendit me një popullsi prej 215,347 banorë, ose rreth 7.6% e popullsisë së përgjithshme, e ndjekur nga Lezha e cila renditet e dhjeta mes rajoneve të vendit, që numëron një total prej 134,027 banorë apo 4.7% të popullsisë së përgjithshme të Shqipërisë. Rrethi i Tropojës regjistron një popullsi totale prej 20,517 banorë, e cila përbën 0.07% të popullsisë së përgjithshme të</w:t>
      </w:r>
      <w:r>
        <w:rPr>
          <w:spacing w:val="-24"/>
        </w:rPr>
        <w:t xml:space="preserve"> </w:t>
      </w:r>
      <w:r>
        <w:t>Shqipërisë.</w:t>
      </w:r>
    </w:p>
    <w:p w14:paraId="60758A14" w14:textId="0C41B179" w:rsidR="00C61F48" w:rsidRDefault="00C61F48" w:rsidP="00770BDD">
      <w:pPr>
        <w:pStyle w:val="TEKSTI"/>
      </w:pPr>
      <w:r>
        <w:t xml:space="preserve">Zona e programit në Mal të Zi ka një popullsi kryesisht urbane, duke zënë rreth 52% të popullsisë së saj, e cila është më e ulët, në krahasim me 62% që jetojnë në zonat urbane në nivel kombëtar. Rreth 49% e popullsisë në zonën e programit është e përqendruar në Podgoricë. Nga ana tjetër, Andrijevica ka përqendrimin më të madh të popullsisë rurale, e cila përbëhet nga 79.3%, e pasuar nga Berane dhe Danilovgrad me përkatësisht 67.4% dhe 62%. Gjithashtu, bashkitë Plav dhe Tivar dominohen nga popullsia rurale me 59%, ndërsa të gjitha bashkitë e tjera në zonën e programit janë të dominuara nga popullsi urbane, e cila varion nga 53.7% në Ulqin deri në 84.6% në Cetinjë, e cila shënon përqendrimin më të lartë të popullsisë urbane. Në </w:t>
      </w:r>
      <w:r>
        <w:rPr>
          <w:b/>
        </w:rPr>
        <w:t xml:space="preserve">Shqipëri </w:t>
      </w:r>
      <w:r>
        <w:t xml:space="preserve">situata është ndryshe, pasi popullsia është kryesisht rurale, me një mesatare prej 53.2%. Këtë mesatare e përcakton rajoni i Shkodrës, pasi popullsia rurale është 55.6% e 119,794 banorëve të tij. Në të kundërt, rajoni i Lezhës ka një dominim të popullsisë urbane, </w:t>
      </w:r>
      <w:r>
        <w:rPr>
          <w:spacing w:val="29"/>
        </w:rPr>
        <w:t xml:space="preserve"> </w:t>
      </w:r>
      <w:r>
        <w:t>me</w:t>
      </w:r>
      <w:r w:rsidR="00770BDD">
        <w:t xml:space="preserve"> </w:t>
      </w:r>
      <w:r>
        <w:t>rreth 53.8% të popullsisë. Ndërsa rrethi i Tropojës ka një popullsi kryesisht rurale, e cila përbën rreth  74% të popullsisë së</w:t>
      </w:r>
      <w:r>
        <w:rPr>
          <w:spacing w:val="-9"/>
        </w:rPr>
        <w:t xml:space="preserve"> </w:t>
      </w:r>
      <w:r>
        <w:t>tij.</w:t>
      </w:r>
    </w:p>
    <w:p w14:paraId="183F11A9" w14:textId="77777777" w:rsidR="00C61F48" w:rsidRDefault="00C61F48" w:rsidP="00770BDD">
      <w:pPr>
        <w:pStyle w:val="TEKSTI"/>
      </w:pPr>
      <w:r>
        <w:t>Përbërja e popullsisë në zonën e programimit të të dyja vendeve tregon se 50% e popullsisë i takon segmentit moshor 15-49 vjeç.</w:t>
      </w:r>
    </w:p>
    <w:p w14:paraId="4F422834" w14:textId="77777777" w:rsidR="00770BDD" w:rsidRDefault="00770BDD" w:rsidP="00770BDD">
      <w:pPr>
        <w:pStyle w:val="TEKSTI"/>
      </w:pPr>
    </w:p>
    <w:p w14:paraId="4695458E" w14:textId="77777777" w:rsidR="00C61F48" w:rsidRPr="00770BDD" w:rsidRDefault="00C61F48" w:rsidP="00770BDD">
      <w:pPr>
        <w:pStyle w:val="TEKSTI"/>
        <w:jc w:val="center"/>
        <w:rPr>
          <w:b/>
        </w:rPr>
      </w:pPr>
      <w:r w:rsidRPr="00770BDD">
        <w:rPr>
          <w:b/>
        </w:rPr>
        <w:t>Grafiku 4. Përbërja e popullsisë sipas grupmoshave në zonën e programit_Census i vitit 2011</w:t>
      </w:r>
    </w:p>
    <w:p w14:paraId="679A2529" w14:textId="77777777" w:rsidR="00C61F48" w:rsidRDefault="00C61F48" w:rsidP="00C61F48">
      <w:pPr>
        <w:pStyle w:val="BodyText"/>
        <w:rPr>
          <w:b/>
          <w:sz w:val="16"/>
        </w:rPr>
      </w:pPr>
    </w:p>
    <w:p w14:paraId="1F90882A" w14:textId="77777777" w:rsidR="00C61F48" w:rsidRDefault="00C61F48" w:rsidP="00C61F48">
      <w:pPr>
        <w:tabs>
          <w:tab w:val="left" w:pos="4787"/>
        </w:tabs>
        <w:ind w:left="56"/>
        <w:jc w:val="center"/>
        <w:rPr>
          <w:b/>
          <w:sz w:val="18"/>
        </w:rPr>
      </w:pPr>
      <w:r>
        <w:rPr>
          <w:b/>
          <w:sz w:val="18"/>
        </w:rPr>
        <w:t>Mali</w:t>
      </w:r>
      <w:r>
        <w:rPr>
          <w:b/>
          <w:spacing w:val="-3"/>
          <w:sz w:val="18"/>
        </w:rPr>
        <w:t xml:space="preserve"> </w:t>
      </w:r>
      <w:r>
        <w:rPr>
          <w:b/>
          <w:sz w:val="18"/>
        </w:rPr>
        <w:t>i</w:t>
      </w:r>
      <w:r>
        <w:rPr>
          <w:b/>
          <w:spacing w:val="-2"/>
          <w:sz w:val="18"/>
        </w:rPr>
        <w:t xml:space="preserve"> </w:t>
      </w:r>
      <w:r>
        <w:rPr>
          <w:b/>
          <w:sz w:val="18"/>
        </w:rPr>
        <w:t>Zi</w:t>
      </w:r>
      <w:r>
        <w:rPr>
          <w:b/>
          <w:sz w:val="18"/>
        </w:rPr>
        <w:tab/>
        <w:t>Shqipëria</w:t>
      </w:r>
    </w:p>
    <w:p w14:paraId="06C466D0" w14:textId="45400C7A" w:rsidR="00C61F48" w:rsidRDefault="00C61F48" w:rsidP="00C61F48">
      <w:pPr>
        <w:pStyle w:val="BodyText"/>
        <w:spacing w:before="9"/>
        <w:rPr>
          <w:b/>
          <w:sz w:val="11"/>
        </w:rPr>
      </w:pPr>
      <w:r>
        <w:rPr>
          <w:noProof/>
          <w:lang w:val="sq-AL" w:eastAsia="sq-AL"/>
        </w:rPr>
        <w:drawing>
          <wp:anchor distT="0" distB="0" distL="0" distR="0" simplePos="0" relativeHeight="251658245" behindDoc="0" locked="0" layoutInCell="1" allowOverlap="1" wp14:anchorId="2EC38327" wp14:editId="44211C1B">
            <wp:simplePos x="0" y="0"/>
            <wp:positionH relativeFrom="page">
              <wp:posOffset>1193165</wp:posOffset>
            </wp:positionH>
            <wp:positionV relativeFrom="paragraph">
              <wp:posOffset>115570</wp:posOffset>
            </wp:positionV>
            <wp:extent cx="2372360" cy="1286510"/>
            <wp:effectExtent l="0" t="0" r="8890" b="889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2360"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q-AL" w:eastAsia="sq-AL"/>
        </w:rPr>
        <w:drawing>
          <wp:anchor distT="0" distB="0" distL="0" distR="0" simplePos="0" relativeHeight="251658246" behindDoc="0" locked="0" layoutInCell="1" allowOverlap="1" wp14:anchorId="1D8B3E98" wp14:editId="39A15D03">
            <wp:simplePos x="0" y="0"/>
            <wp:positionH relativeFrom="page">
              <wp:posOffset>4137660</wp:posOffset>
            </wp:positionH>
            <wp:positionV relativeFrom="paragraph">
              <wp:posOffset>255905</wp:posOffset>
            </wp:positionV>
            <wp:extent cx="2384425" cy="1231265"/>
            <wp:effectExtent l="0" t="0" r="0" b="6985"/>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4425" cy="1231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8EBD7" w14:textId="77777777" w:rsidR="00C61F48" w:rsidRDefault="00C61F48" w:rsidP="00C61F48">
      <w:pPr>
        <w:pStyle w:val="BodyText"/>
        <w:rPr>
          <w:b/>
          <w:sz w:val="18"/>
        </w:rPr>
      </w:pPr>
    </w:p>
    <w:p w14:paraId="34CF63F5" w14:textId="41E8EDCC" w:rsidR="00C61F48" w:rsidRDefault="00C61F48" w:rsidP="00820927">
      <w:pPr>
        <w:pStyle w:val="TEKSTI"/>
      </w:pPr>
      <w:r>
        <w:t xml:space="preserve">Zona e programit në të dy vendet ka përjetuar flukse të </w:t>
      </w:r>
      <w:r>
        <w:rPr>
          <w:b/>
        </w:rPr>
        <w:t>migrimit të brendshëm</w:t>
      </w:r>
      <w:r>
        <w:t xml:space="preserve">. Lëvizja e popullsisë  drejt rajoneve qendrore dhe bregdetare, të cilat janë gjerësisht më të zhvilluara dhe ofrojnë më shumë mundësi, është e pranishme në zonën e programit. Në </w:t>
      </w:r>
      <w:r>
        <w:rPr>
          <w:b/>
        </w:rPr>
        <w:t>Mal të Zi</w:t>
      </w:r>
      <w:r>
        <w:t>, këto modele të migrimit të brendshëm, por edhe të jashtëm, kanë ndikuar në disa prej bashkive në zonën e programit, të cilat regjistrojnë një rritje negative të popullsisë, si Andrijevica me -5.5%, e ndjekur nga Danilovgrad me -1.4% dhe Cetinje</w:t>
      </w:r>
      <w:r>
        <w:rPr>
          <w:spacing w:val="-26"/>
        </w:rPr>
        <w:t xml:space="preserve"> </w:t>
      </w:r>
      <w:r>
        <w:t>me</w:t>
      </w:r>
      <w:r w:rsidR="00820927">
        <w:t xml:space="preserve"> </w:t>
      </w:r>
      <w:r>
        <w:t>-1.2%</w:t>
      </w:r>
      <w:r w:rsidR="00820927">
        <w:rPr>
          <w:rStyle w:val="FootnoteReference"/>
        </w:rPr>
        <w:footnoteReference w:id="66"/>
      </w:r>
      <w:r>
        <w:t xml:space="preserve">. Në zonën e programit në </w:t>
      </w:r>
      <w:r>
        <w:rPr>
          <w:b/>
        </w:rPr>
        <w:t>Shqipëri</w:t>
      </w:r>
      <w:r>
        <w:t xml:space="preserve">, edhe pse pjesa më e madhe e popullsisë banon në zonat rurale, përsëri ka ndryshime të dallueshme të popullsisë. Popullsia rurale në Shkodër dhe Lezhë ka rënë respektivisht me 25.3% dhe 42.67%. Nga ana tjetër, popullsia </w:t>
      </w:r>
      <w:r w:rsidR="00820927">
        <w:t>urbane në Shkodër është tkurrur</w:t>
      </w:r>
      <w:r>
        <w:t xml:space="preserve"> me 0.28% në vitin 2011, ndërkohë që popullsia urbane në Lezhë është rritur me një normë mbresëlënëse prej 49.4%</w:t>
      </w:r>
      <w:r w:rsidR="00820927">
        <w:rPr>
          <w:rStyle w:val="FootnoteReference"/>
        </w:rPr>
        <w:footnoteReference w:id="67"/>
      </w:r>
      <w:r>
        <w:t>, ndërsa në rrethin e Tropojës ka ruajtur një profil të thellë rural.</w:t>
      </w:r>
    </w:p>
    <w:p w14:paraId="133A90C3" w14:textId="77777777" w:rsidR="00C61F48" w:rsidRPr="00770BDD" w:rsidRDefault="00C61F48" w:rsidP="00770BDD">
      <w:pPr>
        <w:pStyle w:val="TEKSTI"/>
        <w:rPr>
          <w:b/>
        </w:rPr>
      </w:pPr>
      <w:bookmarkStart w:id="44" w:name="_bookmark41"/>
      <w:bookmarkEnd w:id="44"/>
      <w:r w:rsidRPr="00770BDD">
        <w:rPr>
          <w:b/>
        </w:rPr>
        <w:t>Dendësia</w:t>
      </w:r>
    </w:p>
    <w:p w14:paraId="693EAC40" w14:textId="063EC72A" w:rsidR="00C61F48" w:rsidRDefault="00C61F48" w:rsidP="00820927">
      <w:pPr>
        <w:pStyle w:val="TEKSTI"/>
      </w:pPr>
      <w:r>
        <w:t xml:space="preserve">Dendësia e popullsisë e regjistruar në zonën e programit në </w:t>
      </w:r>
      <w:r>
        <w:rPr>
          <w:b/>
        </w:rPr>
        <w:t xml:space="preserve">Mal të Zi </w:t>
      </w:r>
      <w:r w:rsidR="00820927">
        <w:t xml:space="preserve">gjithashtu tregon flukset </w:t>
      </w:r>
      <w:r>
        <w:t>e migrimit të brendshëm dhe të jashtëm nga zonat më pak të zhvilluara apo zonat rurale, drejt zonave urbane dhe më tërheqëse ekonomikisht. Dendësia e popullsisë së Andrijevicës dhe Cetinjës është shumë e ulët, me 18 banorë për km</w:t>
      </w:r>
      <w:r>
        <w:rPr>
          <w:position w:val="10"/>
          <w:sz w:val="14"/>
        </w:rPr>
        <w:t>2</w:t>
      </w:r>
      <w:r>
        <w:t>, e ndjekur nga Plava me 27 dhe Danilovgrad me 37 banorë për km</w:t>
      </w:r>
      <w:r>
        <w:rPr>
          <w:position w:val="10"/>
          <w:sz w:val="14"/>
        </w:rPr>
        <w:t>2</w:t>
      </w:r>
      <w:r>
        <w:t>. Nga ana tjetër, bashkia turistike e Budvës ka dendësinë më të lartë të popullsisë me 157 banorë, e ndjekur nga Podgorica me 129 banorë për km</w:t>
      </w:r>
      <w:r>
        <w:rPr>
          <w:position w:val="10"/>
          <w:sz w:val="14"/>
        </w:rPr>
        <w:t>2</w:t>
      </w:r>
      <w:r>
        <w:t>. Qytetet bregdetare të Ulqinit dhe Tivarit kanë gjithashtu një dendësi të lartë të popullsisë, me përkatësisht 78 dhe 70 banorë për km</w:t>
      </w:r>
      <w:r>
        <w:rPr>
          <w:position w:val="10"/>
          <w:sz w:val="14"/>
        </w:rPr>
        <w:t>2</w:t>
      </w:r>
      <w:r>
        <w:t>, duke qenë mbi mesataren prej 45 banorë për km</w:t>
      </w:r>
      <w:r>
        <w:rPr>
          <w:position w:val="10"/>
          <w:sz w:val="14"/>
        </w:rPr>
        <w:t xml:space="preserve">2 </w:t>
      </w:r>
      <w:r>
        <w:t xml:space="preserve">në Mal të Zi. Në zonën </w:t>
      </w:r>
      <w:r>
        <w:rPr>
          <w:b/>
        </w:rPr>
        <w:t xml:space="preserve">Shqiptare </w:t>
      </w:r>
      <w:r>
        <w:t>të programit, dendësia mesatare e popullsisë është 71 banorë për km</w:t>
      </w:r>
      <w:r>
        <w:rPr>
          <w:position w:val="10"/>
          <w:sz w:val="14"/>
        </w:rPr>
        <w:t>2</w:t>
      </w:r>
      <w:r>
        <w:t>. Dendësia më e lartë e popullsisë vërehet në rajonin e Lezhës, i cili me 83 banorë për km</w:t>
      </w:r>
      <w:r>
        <w:rPr>
          <w:position w:val="10"/>
          <w:sz w:val="14"/>
        </w:rPr>
        <w:t xml:space="preserve">2 </w:t>
      </w:r>
      <w:r>
        <w:t>është më afër me mesataren kombëtare prej 97 banorë për km</w:t>
      </w:r>
      <w:r>
        <w:rPr>
          <w:position w:val="10"/>
          <w:sz w:val="14"/>
        </w:rPr>
        <w:t>2</w:t>
      </w:r>
      <w:r>
        <w:t>, e ndjekur nga Shkodra me një dendësi të popullsisë prej 60 banorë për km</w:t>
      </w:r>
      <w:r>
        <w:rPr>
          <w:position w:val="10"/>
          <w:sz w:val="14"/>
        </w:rPr>
        <w:t>2</w:t>
      </w:r>
      <w:r>
        <w:t>, ndërsa rrethi i Tropojës regjistron një dendësi shumë të</w:t>
      </w:r>
      <w:r w:rsidR="00820927">
        <w:t xml:space="preserve"> </w:t>
      </w:r>
      <w:r>
        <w:t>ulët me 19 banorë për km</w:t>
      </w:r>
      <w:r>
        <w:rPr>
          <w:position w:val="10"/>
          <w:sz w:val="14"/>
        </w:rPr>
        <w:t>2</w:t>
      </w:r>
      <w:r>
        <w:t>. Është njëlloj e rëndësishme si për Malin e Zi ashtu edhe për Shqipërinë që të ndryshojnë ose të frenojnë disi tendencat e migrimit, pasi ato përfaqësojnë një shqetësim dhe një sfidë, veçanërisht kur politikat e zhvillimit mbështeten në turizëm dhe agro-biznes.</w:t>
      </w:r>
    </w:p>
    <w:p w14:paraId="047E8264" w14:textId="77777777" w:rsidR="00C61F48" w:rsidRPr="00820927" w:rsidRDefault="00C61F48" w:rsidP="00820927">
      <w:pPr>
        <w:pStyle w:val="TEKSTI"/>
        <w:rPr>
          <w:b/>
        </w:rPr>
      </w:pPr>
      <w:bookmarkStart w:id="45" w:name="_bookmark42"/>
      <w:bookmarkEnd w:id="45"/>
      <w:r w:rsidRPr="00820927">
        <w:rPr>
          <w:b/>
        </w:rPr>
        <w:t>Minoritetet</w:t>
      </w:r>
    </w:p>
    <w:p w14:paraId="045CE46A" w14:textId="5CB1F3D7" w:rsidR="00C61F48" w:rsidRDefault="00C61F48" w:rsidP="00820927">
      <w:pPr>
        <w:pStyle w:val="TEKSTI"/>
      </w:pPr>
      <w:r>
        <w:t xml:space="preserve">Struktura etnike e zonës së programit ndryshon shumë. Në </w:t>
      </w:r>
      <w:r>
        <w:rPr>
          <w:b/>
        </w:rPr>
        <w:t xml:space="preserve">Mal të Zi </w:t>
      </w:r>
      <w:r>
        <w:t>ka diversitet të madh në popullsi, pasi shumica e saj është e përbërë nga malazezët dhe serbët, e ndjekur nga boshnjakët dhe shqiptarët. Grupet më të mëdha etnike në zonën e programit në Mal të Zi</w:t>
      </w:r>
      <w:r w:rsidR="00DF760F">
        <w:rPr>
          <w:rStyle w:val="FootnoteReference"/>
        </w:rPr>
        <w:footnoteReference w:id="68"/>
      </w:r>
      <w:r>
        <w:rPr>
          <w:position w:val="6"/>
          <w:sz w:val="16"/>
        </w:rPr>
        <w:t xml:space="preserve"> </w:t>
      </w:r>
      <w:r>
        <w:t xml:space="preserve">janë Serbët, të cilët përbëjnë 24.8% të popullsisë. Grupi i dytë më i madh minoritar përbëhet nga boshnjakët me 16.3%, dhe grupi i tretë me përqindje më të lartë i përket shqiptarëve me 10.7 %. Në bashkitë bregdetare dhe në bashkinë e Plavës, shqiptarët përbëjnë një minoritet të fortë, ndërsa në bashkinë e Ulqinit ata përbëjnë një shumicë prej 70%. Në </w:t>
      </w:r>
      <w:r>
        <w:rPr>
          <w:b/>
        </w:rPr>
        <w:t>Shqipëri</w:t>
      </w:r>
      <w:r>
        <w:t>, prania e grupeve etnike në zonën e programit është e  papërfillshme.  Shqiptarët etnikë përbëjnë shumicën absolute të popullsisë. Ka vetëm një komunitet shumë të vogël të malazezëve etnikë në Shkodër, duke zënë rreth 0.13%</w:t>
      </w:r>
      <w:r w:rsidR="00875701">
        <w:rPr>
          <w:rStyle w:val="FootnoteReference"/>
        </w:rPr>
        <w:footnoteReference w:id="69"/>
      </w:r>
      <w:r>
        <w:rPr>
          <w:position w:val="6"/>
          <w:sz w:val="16"/>
        </w:rPr>
        <w:t xml:space="preserve"> </w:t>
      </w:r>
      <w:r>
        <w:t>të popullsisë së përgjithshme të rajonit të Shkodrës.</w:t>
      </w:r>
    </w:p>
    <w:p w14:paraId="7AB35ED1" w14:textId="77777777" w:rsidR="00C61F48" w:rsidRPr="00820927" w:rsidRDefault="00C61F48" w:rsidP="00820927">
      <w:pPr>
        <w:pStyle w:val="TEKSTI"/>
        <w:rPr>
          <w:b/>
        </w:rPr>
      </w:pPr>
      <w:bookmarkStart w:id="46" w:name="_bookmark43"/>
      <w:bookmarkEnd w:id="46"/>
      <w:r w:rsidRPr="00820927">
        <w:rPr>
          <w:b/>
        </w:rPr>
        <w:t>Varfëria</w:t>
      </w:r>
    </w:p>
    <w:p w14:paraId="4E496D7D" w14:textId="16ACEC3E" w:rsidR="00C61F48" w:rsidRDefault="00C61F48" w:rsidP="00820927">
      <w:pPr>
        <w:pStyle w:val="TEKSTI"/>
      </w:pPr>
      <w:r>
        <w:t xml:space="preserve">Kufiri absolut i varfërisë në </w:t>
      </w:r>
      <w:r>
        <w:rPr>
          <w:b/>
        </w:rPr>
        <w:t xml:space="preserve">Mal të Zi </w:t>
      </w:r>
      <w:r>
        <w:t>në vitin 2011 ishte 175,25 Euro për të rritur, duke regjistruar një rritje prej 5 Euro në krahasim me vitin e kaluar 2010</w:t>
      </w:r>
      <w:r w:rsidR="00875701">
        <w:rPr>
          <w:rStyle w:val="FootnoteReference"/>
        </w:rPr>
        <w:footnoteReference w:id="70"/>
      </w:r>
      <w:r>
        <w:t>. Vulnerabiliteti i popullsisë së Malit të Zi 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w:t>
      </w:r>
      <w:r>
        <w:rPr>
          <w:spacing w:val="-14"/>
        </w:rPr>
        <w:t xml:space="preserve"> </w:t>
      </w:r>
      <w:r>
        <w:t>2011</w:t>
      </w:r>
      <w:r w:rsidR="00875701">
        <w:rPr>
          <w:rStyle w:val="FootnoteReference"/>
        </w:rPr>
        <w:footnoteReference w:id="71"/>
      </w:r>
      <w:r>
        <w:t>.</w:t>
      </w:r>
    </w:p>
    <w:p w14:paraId="71FA2E19" w14:textId="77777777" w:rsidR="00C61F48" w:rsidRDefault="00C61F48" w:rsidP="00820927">
      <w:pPr>
        <w:pStyle w:val="TEKSTI"/>
      </w:pPr>
      <w:r>
        <w:t>Pabarazitë rajonale janë të dukshme - varfëria është e përhapur në rajonet veriore (mbi 50% e njerëzve të varfër të vendit jetojnë atje) dhe zvogëlohet ndjeshëm në jug, në rajonet qendrore dhe bregdetare.</w:t>
      </w:r>
    </w:p>
    <w:p w14:paraId="25C75F2F" w14:textId="138F2F52" w:rsidR="00C61F48" w:rsidRDefault="00C61F48" w:rsidP="00820927">
      <w:pPr>
        <w:pStyle w:val="TEKSTI"/>
      </w:pPr>
      <w:r>
        <w:t xml:space="preserve">Kufiri absolut i varfërisë në </w:t>
      </w:r>
      <w:r>
        <w:rPr>
          <w:b/>
        </w:rPr>
        <w:t xml:space="preserve">Shqipëri </w:t>
      </w:r>
      <w:r>
        <w:t>në vitin 2012 ishte 35.2 Euro për të rritur</w:t>
      </w:r>
      <w:r w:rsidR="00875701">
        <w:rPr>
          <w:rStyle w:val="FootnoteReference"/>
        </w:rPr>
        <w:footnoteReference w:id="72"/>
      </w:r>
      <w:r>
        <w:t>. Varfëria është rritur në Shqipëri, pasi norma e varfërisë në vitin 2012 arriti në 14.3% kundrejt 12.4% të regjistruar në vitin 2008. Vulnerabiliteti i popullsisë së Shqipërisë u rrit në vitin 2012; numri i regjistruar i personave nën vijën e varfërisë u rrit me 8.4%. Varfëria ekstreme ka arritur në 2.2% në vitin 2012, kundrejt 1.2% të regjistruar në vitin 2008.</w:t>
      </w:r>
    </w:p>
    <w:p w14:paraId="6C9B4957" w14:textId="77777777" w:rsidR="00C61F48" w:rsidRDefault="00C61F48" w:rsidP="00820927">
      <w:pPr>
        <w:pStyle w:val="TEKSTI"/>
      </w:pPr>
      <w:r>
        <w:t>Gjatë vitit 2012, rritjet në normat e varfërisë në zonat urbane kanë qenë më të shpejta në krahasim me normën e varfërisë në zonat rurale. Numri i personave të varfër në zonat rurale ka rënë me 11.8%, ndërsa numri i personave të varfër në zonat urbane është rritur ndjeshëm me 36.8% në vitin 2012 krahasuar me vitin 2008. Kjo tregon se popullsia e zonave rurale dhe rajoneve veriore të Shqipërisë ka lëvizur drejt zonave urbane, kryesisht kryeqytetit - Tiranës, dhe në zonat bregdetare - këto të fundit regjistrojnë normën më të lartë të varfërisë në vitin 2012, me një mesatare prej 17.6%.</w:t>
      </w:r>
    </w:p>
    <w:p w14:paraId="3D982D01" w14:textId="77777777" w:rsidR="00C61F48" w:rsidRDefault="00C61F48" w:rsidP="002B5267">
      <w:pPr>
        <w:pStyle w:val="TEKSTI"/>
      </w:pPr>
      <w:r>
        <w:t>Rajonet në zonën e programit janë më të varfër në krahasim me mesataren kombëtare të shkallës së varfërisë prej 14.3%. Rajoni i Lezhës regjistron një normë varfërie 17.5%, ndërsa rajoni i Shkodrës është pak më mirë, me një normë varfërie 15.7%. Qarku i Tropojës i përket rajonit më të varfër të Shqipërisë, Kukësit, me një normë varfërie 21.8%. Varfëria është bërë një shqetësim urban, duke treguar një ecuri  të ngadaltë të ekonomisë gjatë viteve të fundit, ndërsa ripërtëritja e potencialit urban tashmë të përdorur, është bërë e domosdoshme për të sjellë rritjen</w:t>
      </w:r>
      <w:r>
        <w:rPr>
          <w:spacing w:val="-26"/>
        </w:rPr>
        <w:t xml:space="preserve"> </w:t>
      </w:r>
      <w:r>
        <w:t>ekonomike.</w:t>
      </w:r>
    </w:p>
    <w:p w14:paraId="24A77B65" w14:textId="1D00C6BB" w:rsidR="00C61F48" w:rsidRPr="002B5267" w:rsidRDefault="008E2767" w:rsidP="002B5267">
      <w:pPr>
        <w:pStyle w:val="TEKSTI"/>
        <w:rPr>
          <w:b/>
        </w:rPr>
      </w:pPr>
      <w:bookmarkStart w:id="47" w:name="_bookmark44"/>
      <w:bookmarkEnd w:id="47"/>
      <w:r>
        <w:rPr>
          <w:b/>
        </w:rPr>
        <w:t xml:space="preserve">2.3.2 </w:t>
      </w:r>
      <w:r w:rsidR="00C61F48" w:rsidRPr="002B5267">
        <w:rPr>
          <w:b/>
        </w:rPr>
        <w:t>Arsimi</w:t>
      </w:r>
    </w:p>
    <w:p w14:paraId="48358B03" w14:textId="77777777" w:rsidR="00C61F48" w:rsidRDefault="00C61F48" w:rsidP="002B5267">
      <w:pPr>
        <w:pStyle w:val="TEKSTI"/>
      </w:pPr>
      <w:r>
        <w:t>Sistemi arsimor në Mal të Zi ka menaxhim të centralizuar, ndërsa në Shqipëri është i decentralizuar me përgjegjësi të përbashkët ndërmjet pushtetit qendror dhe lokal.</w:t>
      </w:r>
    </w:p>
    <w:p w14:paraId="4922CA35" w14:textId="77777777" w:rsidR="00C61F48" w:rsidRDefault="00C61F48" w:rsidP="002B5267">
      <w:pPr>
        <w:pStyle w:val="TEKSTI"/>
      </w:pPr>
      <w:r>
        <w:t>Niveli i pabarabartë arsimor është i pranishëm në zonën e programit, me një rritje të analfabetizmit në zonat e thella. Të rinjtë me arsim të lartë kanë tendencë për tu larguar drejt rajoneve që ofrojnë më shumë mundësi apo jashtë vendit. Sistemi i arsimit të mesëm është më pak tërheqës dhe i  aksesueshëm, veçanërisht për popullsinë e re në zonat rurale të programit. Shkollat private dhe Formimi Profesional 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w:t>
      </w:r>
      <w:r>
        <w:rPr>
          <w:spacing w:val="-5"/>
        </w:rPr>
        <w:t xml:space="preserve"> </w:t>
      </w:r>
      <w:r>
        <w:t>shkollore</w:t>
      </w:r>
      <w:r>
        <w:rPr>
          <w:spacing w:val="-2"/>
        </w:rPr>
        <w:t xml:space="preserve"> </w:t>
      </w:r>
      <w:r>
        <w:t>është</w:t>
      </w:r>
      <w:r>
        <w:rPr>
          <w:spacing w:val="-2"/>
        </w:rPr>
        <w:t xml:space="preserve"> </w:t>
      </w:r>
      <w:r>
        <w:t>një</w:t>
      </w:r>
      <w:r>
        <w:rPr>
          <w:spacing w:val="-2"/>
        </w:rPr>
        <w:t xml:space="preserve"> </w:t>
      </w:r>
      <w:r>
        <w:t>përparësi</w:t>
      </w:r>
      <w:r>
        <w:rPr>
          <w:spacing w:val="-5"/>
        </w:rPr>
        <w:t xml:space="preserve"> </w:t>
      </w:r>
      <w:r>
        <w:t>e</w:t>
      </w:r>
      <w:r>
        <w:rPr>
          <w:spacing w:val="-4"/>
        </w:rPr>
        <w:t xml:space="preserve"> </w:t>
      </w:r>
      <w:r>
        <w:t>madhe</w:t>
      </w:r>
      <w:r>
        <w:rPr>
          <w:spacing w:val="-4"/>
        </w:rPr>
        <w:t xml:space="preserve"> </w:t>
      </w:r>
      <w:r>
        <w:t>për</w:t>
      </w:r>
      <w:r>
        <w:rPr>
          <w:spacing w:val="-2"/>
        </w:rPr>
        <w:t xml:space="preserve"> </w:t>
      </w:r>
      <w:r>
        <w:t>të</w:t>
      </w:r>
      <w:r>
        <w:rPr>
          <w:spacing w:val="-2"/>
        </w:rPr>
        <w:t xml:space="preserve"> </w:t>
      </w:r>
      <w:r>
        <w:t>dyja</w:t>
      </w:r>
      <w:r>
        <w:rPr>
          <w:spacing w:val="-2"/>
        </w:rPr>
        <w:t xml:space="preserve"> </w:t>
      </w:r>
      <w:r>
        <w:t>qeveritë,</w:t>
      </w:r>
      <w:r>
        <w:rPr>
          <w:spacing w:val="-4"/>
        </w:rPr>
        <w:t xml:space="preserve"> </w:t>
      </w:r>
      <w:r>
        <w:t>në</w:t>
      </w:r>
      <w:r>
        <w:rPr>
          <w:spacing w:val="-2"/>
        </w:rPr>
        <w:t xml:space="preserve"> </w:t>
      </w:r>
      <w:r>
        <w:t>nivel</w:t>
      </w:r>
      <w:r>
        <w:rPr>
          <w:spacing w:val="-2"/>
        </w:rPr>
        <w:t xml:space="preserve"> </w:t>
      </w:r>
      <w:r>
        <w:t>qendror</w:t>
      </w:r>
      <w:r>
        <w:rPr>
          <w:spacing w:val="-5"/>
        </w:rPr>
        <w:t xml:space="preserve"> </w:t>
      </w:r>
      <w:r>
        <w:t>dhe</w:t>
      </w:r>
      <w:r>
        <w:rPr>
          <w:spacing w:val="-2"/>
        </w:rPr>
        <w:t xml:space="preserve"> </w:t>
      </w:r>
      <w:r>
        <w:t>lokal.</w:t>
      </w:r>
    </w:p>
    <w:p w14:paraId="56B41E1B" w14:textId="4E31AB17" w:rsidR="00C61F48" w:rsidRDefault="00C61F48" w:rsidP="002B5267">
      <w:pPr>
        <w:pStyle w:val="TEKSTI"/>
      </w:pPr>
      <w:r>
        <w:t xml:space="preserve">Nevojat për arsimin 9-vjeçar dhe të mesëm janë gjerësisht të mbuluara në zonën e programit të </w:t>
      </w:r>
      <w:r>
        <w:rPr>
          <w:b/>
        </w:rPr>
        <w:t>Malit të Zi</w:t>
      </w:r>
      <w:r>
        <w:t>. Mali i Zi ka një mbulim të mirë të territorit me shkollat 9-vjeçare dhe të mesme, duke përfshirë zonat rurale. Zona e programit ka 213 shkolla 9-vjeçare</w:t>
      </w:r>
      <w:r w:rsidR="002B5267">
        <w:rPr>
          <w:rStyle w:val="FootnoteReference"/>
        </w:rPr>
        <w:footnoteReference w:id="73"/>
      </w:r>
      <w:r>
        <w:rPr>
          <w:position w:val="6"/>
          <w:sz w:val="16"/>
        </w:rPr>
        <w:t xml:space="preserve"> </w:t>
      </w:r>
      <w:r>
        <w:t>për rreth 44,047 nxënës, dhe 29 shkolla të mesme, të cilat ofrojnë arsimim për rreth 19,881 nxënës. Arsimimi ofrohet në gjuhën malazeze dhe gjithashtu në gjuhën shqipe (në komunat e populluara me shqiptarë etnikë). Numri mesatar i nxënësve për klasë në shkollat 9-vjeçare qëndron në 22.4, ndërsa mesatarja e nxënësve për klasë në shkollat e mesme është 27.7, duke treguar një raport të mirë mësues / nxënës, duke lejuar kështu një proces cilësor të mësimdhënies.</w:t>
      </w:r>
    </w:p>
    <w:p w14:paraId="56F3DD41" w14:textId="2A088DE7" w:rsidR="00C61F48" w:rsidRDefault="00C61F48" w:rsidP="002B5267">
      <w:pPr>
        <w:pStyle w:val="TEKSTI"/>
      </w:pPr>
      <w:r>
        <w:t>Ekzistojnë 3 Universitete në zonën e programit</w:t>
      </w:r>
      <w:r w:rsidR="00E744CD">
        <w:rPr>
          <w:rStyle w:val="FootnoteReference"/>
        </w:rPr>
        <w:footnoteReference w:id="74"/>
      </w:r>
      <w:r>
        <w:t>: Universiteti publik i Malit të Zi me bazë në Podgoricë, i cili ka 20 fakultete dhe 3 institute kërkimore - me degë në Budva dhe Cetinjë; Universiteti Mesdhetar me bazë në Podgoricë; dhe Universiteti Donja Gorica (në periferi të Podgoricës). Të tre Universitetet kanë pasur një numër të përgjithshëm prej 21,134 studentësh gjatë vitit akademik 2012 - 2013, ku 86.4% i përkasin Universitetit publik të Malit të Zi.</w:t>
      </w:r>
    </w:p>
    <w:p w14:paraId="647BF295" w14:textId="77777777" w:rsidR="00C61F48" w:rsidRDefault="00C61F48" w:rsidP="0070175E">
      <w:pPr>
        <w:pStyle w:val="TEKSTI"/>
      </w:pPr>
      <w:r>
        <w:t>Problemet kryesore të sektorit të arsimit në Mal të Zi përfshijnë: nevojën për të përmirësuar infrastrukturën e shkollave; integrimin e pamjaftueshëm të Romëve dhe grupeve të tjera të margjinalizuara në sistemin arsimor; përfshirjen e pamjaftueshme të fëmijëve me nevoja të veçanta; nevojën për të përputhur më mirë kurrikulat me kërkesat e tregut të punës dhe sipërmarrjes; mungesën e burimeve financiare për kërkime shkencore dhe zhvillim.</w:t>
      </w:r>
    </w:p>
    <w:p w14:paraId="09B5E870" w14:textId="50C22C4B" w:rsidR="00C61F48" w:rsidRDefault="00C61F48" w:rsidP="0070175E">
      <w:pPr>
        <w:pStyle w:val="TEKSTI"/>
      </w:pPr>
      <w:r>
        <w:t xml:space="preserve">Mali i Zi shpenzon rreth 0.41% të GDP-së në </w:t>
      </w:r>
      <w:r>
        <w:rPr>
          <w:b/>
        </w:rPr>
        <w:t>Kërkim shkencor dhe Zhvillim</w:t>
      </w:r>
      <w:r w:rsidR="0070175E">
        <w:rPr>
          <w:rStyle w:val="FootnoteReference"/>
          <w:b/>
        </w:rPr>
        <w:footnoteReference w:id="75"/>
      </w:r>
      <w:r>
        <w:t>; 58% i përkasin sektorit publik; 27% burojnë nga bizneset private dhe rreth 15% financohen nga projektet e BE dhe organizatave të tjera ndërkombëtare. 59.4% e studiuesve është e punësuar në arsimin e lartë - pasuar nga sektori i Qeverisë me 32% dhe bizneset me 8%. Kërkimi shkencor dhe Zhvillimi në sektorin jo-fitimprurës llogaritet për vetëm 0.6%.</w:t>
      </w:r>
    </w:p>
    <w:p w14:paraId="22A2B8A0" w14:textId="77777777" w:rsidR="00C61F48" w:rsidRDefault="00C61F48" w:rsidP="0070175E">
      <w:pPr>
        <w:pStyle w:val="TEKSTI"/>
      </w:pPr>
      <w:r>
        <w:t xml:space="preserve">Zona e programit në </w:t>
      </w:r>
      <w:r>
        <w:rPr>
          <w:b/>
        </w:rPr>
        <w:t xml:space="preserve">Shqipëri </w:t>
      </w:r>
      <w:r>
        <w:t>ka një mbulim të mirë me institucione të arsimit 9-vjeçar dhe të mesëm. Ajo ka një total prej 300 shkolla 9-vjeçare, nga të cilat 222 ndodhen në zonat rurale, duke i shërbyer 54,274 nxënësve, ose 62% të numrit të përgjithshëm të nxënësve. Gjithashtu ka 72 shkolla të mesme për 16,974 nxënës, nga të cilat rreth 33% ndodhen në zonat rurale.</w:t>
      </w:r>
    </w:p>
    <w:p w14:paraId="5791A4D8" w14:textId="29E80553" w:rsidR="00C61F48" w:rsidRDefault="00C61F48" w:rsidP="0070175E">
      <w:pPr>
        <w:pStyle w:val="TEKSTI"/>
      </w:pPr>
      <w:r>
        <w:t>Ekzistojnë 3 shkolla profesionale në Lezhë dhe 9 në Shkodër, të cilat i shërbejnë një numri të përgjithshëm prej 3,330 nxënës; vetëm 10.5% e këtyre nxënësve vijnë nga zonat rurale. Ekziston një Universitet në Shkodër, i cili përfaqëson ndoshta qendrën më të rëndësishme të zhvillimit intelektual, social dhe kulturor në zonën e programit - Universiteti "Luigj Gurakuqi", i cili ka 6 fakultete. Janë 14,538 studentë</w:t>
      </w:r>
      <w:r w:rsidR="0070175E">
        <w:rPr>
          <w:rStyle w:val="FootnoteReference"/>
        </w:rPr>
        <w:footnoteReference w:id="76"/>
      </w:r>
      <w:r>
        <w:rPr>
          <w:position w:val="6"/>
          <w:sz w:val="16"/>
        </w:rPr>
        <w:t xml:space="preserve"> </w:t>
      </w:r>
      <w:r>
        <w:t xml:space="preserve">të regjistruar në Universitetin e Shkodrës për vitin akademik 2011 - 2012. Ai ka një marrëveshje bashkëpunimi me Universitetin e Podgoricës që nga viti 2004. Universiteti ka një Qendër Kërkimore të Ujit </w:t>
      </w:r>
      <w:r w:rsidR="007E6F63">
        <w:rPr>
          <w:rStyle w:val="FootnoteReference"/>
        </w:rPr>
        <w:footnoteReference w:id="77"/>
      </w:r>
      <w:r>
        <w:t>.</w:t>
      </w:r>
    </w:p>
    <w:p w14:paraId="096DE0B1" w14:textId="78BD99D4" w:rsidR="00C61F48" w:rsidRDefault="00C61F48" w:rsidP="0070175E">
      <w:pPr>
        <w:pStyle w:val="TEKSTI"/>
      </w:pPr>
      <w:r>
        <w:t>Shqipëria shpenzon rreth 0.02% të GDP-së së saj</w:t>
      </w:r>
      <w:r w:rsidR="007E6F63">
        <w:rPr>
          <w:rStyle w:val="FootnoteReference"/>
        </w:rPr>
        <w:footnoteReference w:id="78"/>
      </w:r>
      <w:r>
        <w:rPr>
          <w:position w:val="6"/>
          <w:sz w:val="16"/>
        </w:rPr>
        <w:t xml:space="preserve"> </w:t>
      </w:r>
      <w:r>
        <w:t xml:space="preserve">për </w:t>
      </w:r>
      <w:r>
        <w:rPr>
          <w:b/>
        </w:rPr>
        <w:t>Kërkimin shkencor dhe Zhvillimin</w:t>
      </w:r>
      <w:r>
        <w:t>, një shifër tepër modeste e cila është përdorur tërësisht në sistemin publik.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ngritjen e një qendre të përbashkët për studimet e avancuara për rreziqet sizmike në Ballkanin</w:t>
      </w:r>
      <w:r>
        <w:rPr>
          <w:spacing w:val="-2"/>
        </w:rPr>
        <w:t xml:space="preserve"> </w:t>
      </w:r>
      <w:r>
        <w:t>Perëndimor.</w:t>
      </w:r>
    </w:p>
    <w:p w14:paraId="5751A131" w14:textId="77777777" w:rsidR="00C61F48" w:rsidRDefault="00C61F48" w:rsidP="0070175E">
      <w:pPr>
        <w:pStyle w:val="TEKSTI"/>
      </w:pPr>
      <w:r>
        <w:t>Si përfundim,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të ndryshëm, të tillë si bujqësia apo</w:t>
      </w:r>
      <w:r>
        <w:rPr>
          <w:spacing w:val="-7"/>
        </w:rPr>
        <w:t xml:space="preserve"> </w:t>
      </w:r>
      <w:r>
        <w:t>turizmi.</w:t>
      </w:r>
    </w:p>
    <w:p w14:paraId="6722284B" w14:textId="224577AD" w:rsidR="00C61F48" w:rsidRPr="0070175E" w:rsidRDefault="008E2767" w:rsidP="0070175E">
      <w:pPr>
        <w:pStyle w:val="TEKSTI"/>
        <w:rPr>
          <w:b/>
        </w:rPr>
      </w:pPr>
      <w:bookmarkStart w:id="48" w:name="_bookmark45"/>
      <w:bookmarkEnd w:id="48"/>
      <w:r>
        <w:rPr>
          <w:b/>
        </w:rPr>
        <w:t xml:space="preserve">2.3.3 </w:t>
      </w:r>
      <w:r w:rsidR="00C61F48" w:rsidRPr="0070175E">
        <w:rPr>
          <w:b/>
        </w:rPr>
        <w:t>Shëndetësia</w:t>
      </w:r>
    </w:p>
    <w:p w14:paraId="2470B890" w14:textId="77777777" w:rsidR="00C61F48" w:rsidRDefault="00C61F48" w:rsidP="0070175E">
      <w:pPr>
        <w:pStyle w:val="TEKSTI"/>
      </w:pPr>
      <w:r>
        <w:t>Organizimi i sistemit shëndetësor në Mal të Zi dhe Shqipëri është i ngjashëm; ai është kryesisht publik  me një prani modeste (por në rritje) private, dhe mbulimi territorial është i pajisur siç duhet me shërbimet e kujdesit shëndetësor parësor, dytësor dhe</w:t>
      </w:r>
      <w:r>
        <w:rPr>
          <w:spacing w:val="-26"/>
        </w:rPr>
        <w:t xml:space="preserve"> </w:t>
      </w:r>
      <w:r>
        <w:t>tretësor.</w:t>
      </w:r>
    </w:p>
    <w:p w14:paraId="5A1C6DCE" w14:textId="3C22EB17" w:rsidR="00C61F48" w:rsidRDefault="00C61F48" w:rsidP="004252F4">
      <w:pPr>
        <w:pStyle w:val="TEKSTI"/>
      </w:pPr>
      <w:r>
        <w:t xml:space="preserve">Strategjia Kombëtare e Zhvillimit të Qëndrueshëm të </w:t>
      </w:r>
      <w:r>
        <w:rPr>
          <w:b/>
        </w:rPr>
        <w:t xml:space="preserve">Malit të Zi </w:t>
      </w:r>
      <w:r w:rsidR="004252F4">
        <w:t xml:space="preserve">shpreh keqardhjen për faktin </w:t>
      </w:r>
      <w:r>
        <w:t>se "sistemi i kujdesit shëndetësor është përshtatur në një masë të madhe vetëm për ofrimin e shërbimeve</w:t>
      </w:r>
      <w:r w:rsidR="004252F4">
        <w:t xml:space="preserve"> </w:t>
      </w:r>
      <w:r>
        <w:t>kurative" dhe përcakton si prioritet forcimin dhe sistemimin e programeve të parandalimit dhe promovimit të shëndetit. Disa tregues të shëndetit (p.sh. norma e vdekshmërisë foshnjore, shkalla e vdekshmërisë së nënave), tregojnë një përmirësim të rregullt në shëndetin publik në Mal të Zi.</w:t>
      </w:r>
    </w:p>
    <w:p w14:paraId="0FAD684E" w14:textId="77777777" w:rsidR="00C61F48" w:rsidRDefault="00C61F48" w:rsidP="007E6F63">
      <w:pPr>
        <w:pStyle w:val="TEKSTI"/>
      </w:pPr>
      <w:r>
        <w:t>Kujdesi shëndetësor parësor në Mal të Zi ofrohet në nivel bashkie dhe të gjitha bashkitë kanë nga një qendër shëndetësore për kujdesin primar. Që nga miratimi i "modelit të mjekut të zgjedhur" numri i personave të siguruar të regjistruar arrin në 83%. Kujdesi shëndetësor dytësor është gjithashtu mjaft i pranishëm në territorin e zonës së programit. Qendra Klinike në Podgoricë shërben si spital i përgjithshëm për Podgoricën, Danilovgradin dhe Kolashinin, duke ofruar edhe kujdesin shëndetësor terciar për të gjithë Malin e Zi. Përveç kësaj, zona e programit ka edhe 3 spitale të tjerë të përgjithshëm (në Tivar, Beranë, dhe Cetinjë) si dhe 2 qendra shëndetësore në Plavë dhe Rozhajë.</w:t>
      </w:r>
    </w:p>
    <w:p w14:paraId="0A874477" w14:textId="6D1AC995" w:rsidR="00C61F48" w:rsidRDefault="00C61F48" w:rsidP="007E6F63">
      <w:pPr>
        <w:pStyle w:val="TEKSTI"/>
      </w:pPr>
      <w:r>
        <w:t>Numri i përgjithshëm i të punësuarve në sektorin e shëndetësisë në zonën e programit arrin në 3,331 persona</w:t>
      </w:r>
      <w:r w:rsidR="004252F4">
        <w:rPr>
          <w:rStyle w:val="FootnoteReference"/>
        </w:rPr>
        <w:footnoteReference w:id="79"/>
      </w:r>
      <w:r>
        <w:t>, ose rreth 61.9% të fuqisë punëtore të përgjithshme të punësuar në sektorin e shëndetësisë në Mal të Zi.</w:t>
      </w:r>
    </w:p>
    <w:p w14:paraId="5DFC9937" w14:textId="406E0DEF" w:rsidR="00C61F48" w:rsidRDefault="00C61F48" w:rsidP="004252F4">
      <w:pPr>
        <w:pStyle w:val="TEKSTI"/>
      </w:pPr>
      <w:r>
        <w:t xml:space="preserve">Ngjashëm me Malin e Zi, kujdesi shëndetësor parësor në </w:t>
      </w:r>
      <w:r>
        <w:rPr>
          <w:b/>
        </w:rPr>
        <w:t xml:space="preserve">Shqipëri </w:t>
      </w:r>
      <w:r>
        <w:t>ofrohet në nivel komune dhe bashkie, ndërsa kujdesi shëndetësor dytësor është i vendosur kryesisht në qendrat më të mëdha urbane. Zona e programit ka një rrjet prej 421 institucionesh shëndetësore</w:t>
      </w:r>
      <w:r w:rsidR="004252F4">
        <w:rPr>
          <w:rStyle w:val="FootnoteReference"/>
        </w:rPr>
        <w:footnoteReference w:id="80"/>
      </w:r>
      <w:r>
        <w:rPr>
          <w:position w:val="6"/>
          <w:sz w:val="16"/>
        </w:rPr>
        <w:t xml:space="preserve"> </w:t>
      </w:r>
      <w:r>
        <w:t>në sektorin</w:t>
      </w:r>
      <w:r w:rsidR="004252F4">
        <w:t xml:space="preserve"> e kujdesit shëndetësor parësor </w:t>
      </w:r>
      <w:r>
        <w:t>– 46% prej të cilave ofrojnë shërbime në rajonin e Shkodrës, 37% në rajonin e Lezhës dhe 17% në qarkun e Tropojës. Në zonë gjenden 10 spitale; 6 në Shkodër, 3 në rajonin e Lezhës dhe 1 në qarkun e Tropojës.</w:t>
      </w:r>
    </w:p>
    <w:p w14:paraId="3E8EA960" w14:textId="59047997" w:rsidR="00C61F48" w:rsidRDefault="00C61F48" w:rsidP="004252F4">
      <w:pPr>
        <w:pStyle w:val="TEKSTI"/>
      </w:pPr>
      <w:r>
        <w:t xml:space="preserve">Kujdesi shëndetësor dytësor është mjaft i pranishëm në rajonin e zonës </w:t>
      </w:r>
      <w:r>
        <w:rPr>
          <w:spacing w:val="2"/>
        </w:rPr>
        <w:t xml:space="preserve">së </w:t>
      </w:r>
      <w:r w:rsidR="004252F4">
        <w:t>programit me një total prej</w:t>
      </w:r>
      <w:r>
        <w:t xml:space="preserve"> 10 spitalesh. Rajoni i Shkodrës ka 6 spitale: 1 në bashkinë Pukë me 11 mjekë, dhe 5 spitale në Shkodër – duke përfshirë spitalin rajonal të Shkodrës – me 85 mjekë dhe 262 infermierë, ndërsa shërbimet shëndetësore në Malësi të Madhe ofrohen nga 19 mjekë dhe 92</w:t>
      </w:r>
      <w:r>
        <w:rPr>
          <w:spacing w:val="-21"/>
        </w:rPr>
        <w:t xml:space="preserve"> </w:t>
      </w:r>
      <w:r>
        <w:t>infermierë.</w:t>
      </w:r>
    </w:p>
    <w:p w14:paraId="0204A2EB" w14:textId="77777777" w:rsidR="00C61F48" w:rsidRDefault="00C61F48" w:rsidP="007E6F63">
      <w:pPr>
        <w:pStyle w:val="TEKSTI"/>
      </w:pPr>
      <w:r>
        <w:t>Rajoni i Lezhës ka 3 spitale: 1 në bashkinë Lezhë, 1 në bashkinë Rrëshen dhe 1 në bashkinë Laç. Numri i përgjithshëm i mjekëve në rajonin e Lezhës shkon në 83, të mbështetur nga 341 infermierë.</w:t>
      </w:r>
    </w:p>
    <w:p w14:paraId="06EAB916" w14:textId="77777777" w:rsidR="00C61F48" w:rsidRDefault="00C61F48" w:rsidP="007E6F63">
      <w:pPr>
        <w:pStyle w:val="TEKSTI"/>
      </w:pPr>
      <w:r>
        <w:t>Qarku i Tropojës ka 1 spital në bashkinë Bajram Curri; spitali ka 13 mjekë të mbështetur nga 134 infermierë.</w:t>
      </w:r>
    </w:p>
    <w:p w14:paraId="75CB3ECF" w14:textId="77777777" w:rsidR="00C61F48" w:rsidRDefault="00C61F48" w:rsidP="007E6F63">
      <w:pPr>
        <w:pStyle w:val="TEKSTI"/>
      </w:pPr>
      <w:r>
        <w:t>Në përgjithësi, shërbimet shëndetësore në Shqipëri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 shëndetësor.</w:t>
      </w:r>
    </w:p>
    <w:p w14:paraId="4B0C885D" w14:textId="31A809E6" w:rsidR="00C61F48" w:rsidRPr="004252F4" w:rsidRDefault="008E2767" w:rsidP="007E6F63">
      <w:pPr>
        <w:pStyle w:val="TEKSTI"/>
        <w:rPr>
          <w:b/>
        </w:rPr>
      </w:pPr>
      <w:bookmarkStart w:id="49" w:name="_bookmark46"/>
      <w:bookmarkEnd w:id="49"/>
      <w:r>
        <w:rPr>
          <w:b/>
        </w:rPr>
        <w:t xml:space="preserve">2.3.4 </w:t>
      </w:r>
      <w:r w:rsidR="00C61F48" w:rsidRPr="004252F4">
        <w:rPr>
          <w:b/>
        </w:rPr>
        <w:t>Kultura</w:t>
      </w:r>
    </w:p>
    <w:p w14:paraId="62AE9A0D" w14:textId="3D75254F" w:rsidR="00C61F48" w:rsidRDefault="00C61F48" w:rsidP="00E3714B">
      <w:pPr>
        <w:pStyle w:val="TEKSTI"/>
      </w:pPr>
      <w:r>
        <w:t>Në përgjithësi, në zonën e programit kultura karakterizohet nga elemente të ndryshme të 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w:t>
      </w:r>
      <w:r w:rsidR="00E3714B">
        <w:t xml:space="preserve"> në promovimin dhe zhvillimin e </w:t>
      </w:r>
      <w:r>
        <w:t xml:space="preserve"> mëtejshëm të turizmit. Bashkëpunimi ndërkufitar mund të luajë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w:t>
      </w:r>
      <w:r>
        <w:rPr>
          <w:spacing w:val="-6"/>
        </w:rPr>
        <w:t xml:space="preserve"> </w:t>
      </w:r>
      <w:r>
        <w:t>kufitare.</w:t>
      </w:r>
    </w:p>
    <w:p w14:paraId="5F58CF32" w14:textId="77777777" w:rsidR="00C61F48" w:rsidRDefault="00C61F48" w:rsidP="00E3714B">
      <w:pPr>
        <w:pStyle w:val="TEKSTI"/>
      </w:pPr>
      <w:r>
        <w:t xml:space="preserve">Zona e programit në </w:t>
      </w:r>
      <w:r>
        <w:rPr>
          <w:b/>
        </w:rPr>
        <w:t xml:space="preserve">Mal të Zi </w:t>
      </w:r>
      <w:r>
        <w:t>përmban një shumëllojshmëri të besimeve fetare, traditave, dhe kulturave. Zona përmban popullsi me kombësi të përzier (malazezët, serbët, shqiptarët, boshnjakët), me një histori të gjatë të të qenurit të lidhur ngushtë me njëri-tjetrin. Një histori dhe traditë e tillë krijon një terren të mirë për iniciativat ndërkufitare, pasi marrëdhëniet ndërkufitare dhe lidhjet kulturore janë të rrënjosura thellë në mendësinë e popullsisë në zonën e programit.</w:t>
      </w:r>
    </w:p>
    <w:p w14:paraId="55B24FAA" w14:textId="52250D15" w:rsidR="00C61F48" w:rsidRDefault="00C61F48" w:rsidP="00E3714B">
      <w:pPr>
        <w:pStyle w:val="TEKSTI"/>
      </w:pPr>
      <w:r>
        <w:t>Në Shqipëri, zona e programit është e pasur në trashëgimi kulturore. Përveç kalasë së famshme të Rozafës, në Shkodër ka disa muzeume, një numër të konsiderueshëm të vendeve arkeologjike dhe atraksione turistike të lidhura me trashëgiminë kulturore të rajonit dhe qytetit. Lezha, një park arkeologjik që prej vitit 2005, ka gjithashtu rrënojat e kalasë së saj, të cilat dominojnë qytetin, së bashku me atraksione të tjera si muzetë dhe kishat, të cilat mund të gjenden në rajon. Monumenti më i rëndësishëm në rajonin e Lezhës është memoriali i heroit kombëtar shqiptar Gjergj Kastriot  Skënderbeu, i vendosur mbi rrënojat e kishës së lashtë ku u themelua Lidhja Shqiptare për të luftuar otomanët në vitin 1444 në qytetin e Lezhës.</w:t>
      </w:r>
    </w:p>
    <w:p w14:paraId="05F1760D" w14:textId="16908922" w:rsidR="00C61F48" w:rsidRPr="00E3714B" w:rsidRDefault="008E2767" w:rsidP="00E3714B">
      <w:pPr>
        <w:pStyle w:val="TEKSTI"/>
        <w:rPr>
          <w:b/>
        </w:rPr>
      </w:pPr>
      <w:bookmarkStart w:id="50" w:name="_bookmark47"/>
      <w:bookmarkEnd w:id="50"/>
      <w:r>
        <w:rPr>
          <w:b/>
        </w:rPr>
        <w:t xml:space="preserve">2.3.5 </w:t>
      </w:r>
      <w:r w:rsidR="00C61F48" w:rsidRPr="00E3714B">
        <w:rPr>
          <w:b/>
        </w:rPr>
        <w:t>Shoqëria</w:t>
      </w:r>
      <w:r w:rsidR="00C61F48" w:rsidRPr="00E3714B">
        <w:rPr>
          <w:b/>
          <w:spacing w:val="-5"/>
        </w:rPr>
        <w:t xml:space="preserve"> </w:t>
      </w:r>
      <w:r w:rsidR="00C61F48" w:rsidRPr="00E3714B">
        <w:rPr>
          <w:b/>
        </w:rPr>
        <w:t>Civile</w:t>
      </w:r>
    </w:p>
    <w:p w14:paraId="1B4A8F71" w14:textId="33513532" w:rsidR="00C61F48" w:rsidRDefault="00C61F48" w:rsidP="00E3714B">
      <w:pPr>
        <w:pStyle w:val="TEKSTI"/>
      </w:pPr>
      <w:r>
        <w:t xml:space="preserve">Në </w:t>
      </w:r>
      <w:r>
        <w:rPr>
          <w:b/>
        </w:rPr>
        <w:t xml:space="preserve">Mal të Zi </w:t>
      </w:r>
      <w:r>
        <w:t>janë 5,843</w:t>
      </w:r>
      <w:r w:rsidR="007C447F">
        <w:rPr>
          <w:rStyle w:val="FootnoteReference"/>
        </w:rPr>
        <w:footnoteReference w:id="81"/>
      </w:r>
      <w:r>
        <w:rPr>
          <w:position w:val="6"/>
          <w:sz w:val="16"/>
        </w:rPr>
        <w:t xml:space="preserve"> </w:t>
      </w:r>
      <w:r>
        <w:t>Organizata të Shoqërisë Civile (OSHC) të regjistruara. Pjesa më e madhe e tyre janë shoqata qytetare (5665), dhe 175 janë fondacione. OSHC-të me më shumë ndikim dhe përvojë janë të vendosura në Podgoricë, aktive në sektorë të ndryshëm (të drejtat e njeriut, politikat publike, mjedisi dhe zhvillimi rural, ngritja e kapaciteteve, aftësitë e kufizuara, etj.). Shumica e tyre kanë një përvojë në përcaktimin e projekteve BNK. Në rajone të tjera dhe veçanërisht në rajonin verior, situata e OSHC-ve është më e pasigurt. Kapacitetet njerëzore dhe kapacitetet e financimit janë përgjithësisht të pamjaftueshme; partneriteti me autoritetet lokale, si dhe krijimi i rrjeteve rajonale të  OSHC-ve  janë ende të dobëta. Megjithatë, rrjeti lokal i organizatave komunitare është i shumëllojshëm dhe i pasur. Disa prej tyre, të tilla si shoqatat e malësorëve, mund të luajnë një rol të rëndësishëm në zbatimin e nismave BNK.</w:t>
      </w:r>
    </w:p>
    <w:p w14:paraId="609C962C" w14:textId="3B6140D4" w:rsidR="00C61F48" w:rsidRDefault="00C61F48" w:rsidP="008E2767">
      <w:pPr>
        <w:pStyle w:val="TEKSTI"/>
      </w:pPr>
      <w:r>
        <w:t xml:space="preserve">Sektori i OSHC-ve në </w:t>
      </w:r>
      <w:r>
        <w:rPr>
          <w:b/>
        </w:rPr>
        <w:t xml:space="preserve">Shqipëri </w:t>
      </w:r>
      <w:r>
        <w:t>është i vogël dhe relativisht i pazhvilluar. Zyrtarisht ekzistojnë 2,231 shoqata, 311 fondacione dhe 552 qendra të regjistruara</w:t>
      </w:r>
      <w:r w:rsidR="007C447F">
        <w:rPr>
          <w:rStyle w:val="FootnoteReference"/>
        </w:rPr>
        <w:footnoteReference w:id="82"/>
      </w:r>
      <w:r>
        <w:t>. Pjesa më e madhe e OSHC-ve janë të përqendruara në kryeqytet (Tiranë), ose në rajonin qendror (i cili përfshin Tiranën dhe qytetet e mëdha të tilla si Shkodra, Durrësi, Elbasani, Korça). Shoqëria civile është e përfaqësuar dobët në të gjitha zonat rurale. Aktivitetet kryesore të OSHC-ve bazohen tek advokimi dhe kërkimi në fush</w:t>
      </w:r>
      <w:r w:rsidR="008E2767">
        <w:t xml:space="preserve">at e promovimit të të drejtave të </w:t>
      </w:r>
      <w:r>
        <w:t>njeriut</w:t>
      </w:r>
      <w:r w:rsidR="008E2767">
        <w:t>, mbrojtjes  dhe të drejtave të</w:t>
      </w:r>
      <w:r>
        <w:t xml:space="preserve"> fëmijëve,  demokracisë  </w:t>
      </w:r>
      <w:r w:rsidR="007C447F">
        <w:t xml:space="preserve">dhe qeverisjes  së mirë, si dhe </w:t>
      </w:r>
      <w:r>
        <w:t>kërkimeve dhe advokimit mbi politikat, dhe zhvillimit ekonomik. Aksesi në financimet qeveritare dhe private është i kufizuar. Sektori i Shoqërisë Civile në Shqipëri, si një i tërë, është pak i integruar dhe përfaqësuar. Nuk ka asnjë forum të sektorëve të gjerë ose rrjet që i dedikohet koordinimit të  përpjekjeve të</w:t>
      </w:r>
      <w:r>
        <w:rPr>
          <w:spacing w:val="-7"/>
        </w:rPr>
        <w:t xml:space="preserve"> </w:t>
      </w:r>
      <w:r>
        <w:t>OShC-ve.</w:t>
      </w:r>
    </w:p>
    <w:p w14:paraId="350E13AD" w14:textId="41E9A941" w:rsidR="00C61F48" w:rsidRPr="008E2767" w:rsidRDefault="008E2767" w:rsidP="008E2767">
      <w:pPr>
        <w:pStyle w:val="TEKSTI"/>
        <w:rPr>
          <w:b/>
        </w:rPr>
      </w:pPr>
      <w:bookmarkStart w:id="51" w:name="_bookmark48"/>
      <w:bookmarkEnd w:id="51"/>
      <w:r w:rsidRPr="008E2767">
        <w:rPr>
          <w:b/>
        </w:rPr>
        <w:t xml:space="preserve">2.4 </w:t>
      </w:r>
      <w:r w:rsidR="00C61F48" w:rsidRPr="008E2767">
        <w:rPr>
          <w:b/>
        </w:rPr>
        <w:t>INFRASTRUKTURA</w:t>
      </w:r>
    </w:p>
    <w:p w14:paraId="7815AD62" w14:textId="11A62BCF" w:rsidR="00C61F48" w:rsidRDefault="00C61F48" w:rsidP="008E2767">
      <w:pPr>
        <w:pStyle w:val="TEKSTI"/>
      </w:pPr>
      <w:r>
        <w:t>Mali i Zi dhe Shqipëria janë pjesë e SEETO</w:t>
      </w:r>
      <w:r w:rsidR="009D1AC4">
        <w:rPr>
          <w:rStyle w:val="FootnoteReference"/>
        </w:rPr>
        <w:footnoteReference w:id="83"/>
      </w:r>
      <w:r>
        <w:rPr>
          <w:position w:val="6"/>
          <w:sz w:val="16"/>
        </w:rPr>
        <w:t xml:space="preserve"> </w:t>
      </w:r>
      <w:r>
        <w:t>– Rrjeti kryesor. Linja më e rëndësishme në këtë zonë është rruga që lidh Podgoricën me Shkodrën nëpërmjet Bozaj -Hani Hotit, e cila është pjesë e Rrjetit Evropian të Rrugëve thelbësore.</w:t>
      </w:r>
    </w:p>
    <w:p w14:paraId="72A98B20" w14:textId="77777777" w:rsidR="00C61F48" w:rsidRDefault="00C61F48" w:rsidP="008E2767">
      <w:pPr>
        <w:pStyle w:val="TEKSTI"/>
      </w:pPr>
      <w:r>
        <w:t>Pozicioni i zonës së programit thekson rëndësinë e një infrastrukture të mirë transporti në zhvillimin e ardhshëm të turizmit, tregtisë, shkëmbimeve kulturore dhe në rritjen e konkurrencës. Infrastruktura rrugore që lidh Malin e Zi dhe Shqipërinë, në veçanti përmes akseve Sukobinë - Muriqan dhe Bozaj -  Hani i Hotit është përmirësuar në mënyrë të konsiderueshme. Edhe infrastruktura e shërbimeve nga këto pika të kalimit kufitar është përmirësuar, duke lejuar komunikimin më të shpejtë midis dy zonave, duke lehtësuar kështu transportin, tregtinë dhe turizmin. Pika e tretë kufitare në Gjercan - Plavë është më pak e zhvilluar. Një pikë e katërt e kalimit kufitar në Cijevna Zatrijebačka -Triesh, do të krijohet pas përfundimit të ndërtimit të rreth 23 km rrugë brenda territorit shqiptar, e cila është në ndërtim e sipër me financim të BERZH. Ajo do të shkurtojë ndjeshëm kohën e udhëtimit nga Plava në Podgoricë (koha e udhëtimit e pritur nëpër territorin shqiptar do të jetë rreth gjysmë</w:t>
      </w:r>
      <w:r>
        <w:rPr>
          <w:spacing w:val="-22"/>
        </w:rPr>
        <w:t xml:space="preserve"> </w:t>
      </w:r>
      <w:r>
        <w:t>ore).</w:t>
      </w:r>
    </w:p>
    <w:p w14:paraId="6D4B34A5" w14:textId="77777777" w:rsidR="00C61F48" w:rsidRPr="007756B5" w:rsidRDefault="00C61F48" w:rsidP="008E2767">
      <w:pPr>
        <w:pStyle w:val="TEKSTI"/>
        <w:rPr>
          <w:b/>
        </w:rPr>
      </w:pPr>
      <w:r w:rsidRPr="007756B5">
        <w:rPr>
          <w:b/>
        </w:rPr>
        <w:t>Rrugët</w:t>
      </w:r>
    </w:p>
    <w:p w14:paraId="792F9F0A" w14:textId="77777777" w:rsidR="00C61F48" w:rsidRDefault="00C61F48" w:rsidP="008E2767">
      <w:pPr>
        <w:pStyle w:val="TEKSTI"/>
      </w:pPr>
      <w:r>
        <w:t xml:space="preserve">Në </w:t>
      </w:r>
      <w:r>
        <w:rPr>
          <w:b/>
        </w:rPr>
        <w:t xml:space="preserve">Mal të Zi </w:t>
      </w:r>
      <w:r>
        <w:t>nuk ka autostrada; rrugët kryesore të vendit janë rrugë të tipit me një karrexhatë. Lidhjet midis Podgoricës dhe qyteteve bregdetare janë përmirësuar ndjeshëm, kohët e udhëtimit janë bërë më të shkurtra dhe rrugët janë bërë më të sigurta me përfundimin e tunelit Sozina (koha e udhëtimit nga Podgorica në Tivar, gjysmë ore) dhe përmirësimet e shumta të rrugëve në drejtim të Cetinjës dhe Tivarit. Megjithatë, rrjeti i rrugëve sekondare dhe rurale, i menaxhuar nga bashkitë, kërkon përmirësime pasi shpesh është në gjendje të keqe.</w:t>
      </w:r>
    </w:p>
    <w:p w14:paraId="32F541A3" w14:textId="77777777" w:rsidR="00C61F48" w:rsidRDefault="00C61F48" w:rsidP="008E2767">
      <w:pPr>
        <w:pStyle w:val="TEKSTI"/>
      </w:pPr>
      <w:r>
        <w:t xml:space="preserve">Në zonën </w:t>
      </w:r>
      <w:r>
        <w:rPr>
          <w:b/>
        </w:rPr>
        <w:t xml:space="preserve">shqiptare </w:t>
      </w:r>
      <w:r>
        <w:t>të programit, infrastruktura e rrugëve është përmirësuar ndjeshëm në 5 vitet e fundit, edhe pse Tropoja ka ende nevojë për përmirësime në rrjetin e saj rrugor. Transporti i mallrave dhe i njerëzve tani është më i lehtë dhe më i shpejtë. Të udhëtosh nga Tirana për në Lezhë dhe Shkodër nuk merr më shumë se 120 minuta; një pjesë e kësaj rruge i përket autostradës Durrës-Kukës - "Rruga e Kombit", e cila lidh Shqipërinë me Kosovën.</w:t>
      </w:r>
    </w:p>
    <w:p w14:paraId="05E3DF90" w14:textId="77777777" w:rsidR="00C61F48" w:rsidRPr="007756B5" w:rsidRDefault="00C61F48" w:rsidP="008E2767">
      <w:pPr>
        <w:pStyle w:val="TEKSTI"/>
        <w:rPr>
          <w:b/>
        </w:rPr>
      </w:pPr>
      <w:r w:rsidRPr="007756B5">
        <w:rPr>
          <w:b/>
        </w:rPr>
        <w:t>Transporti Hekurudhor</w:t>
      </w:r>
    </w:p>
    <w:p w14:paraId="565B6CE9" w14:textId="592CF226" w:rsidR="00C61F48" w:rsidRDefault="00C61F48" w:rsidP="009D1AC4">
      <w:pPr>
        <w:pStyle w:val="TEKSTI"/>
      </w:pPr>
      <w:r>
        <w:t xml:space="preserve">Mali i Zi dhe Shqipëria kanë rënë dakord për të integruar procedurat e organizimit të </w:t>
      </w:r>
      <w:r>
        <w:rPr>
          <w:b/>
        </w:rPr>
        <w:t xml:space="preserve">transportit hekurudhor </w:t>
      </w:r>
      <w:r>
        <w:t>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Duke  qenë se zhvillimi i infrastrukturës është fokusuar kryesisht në rrjetin rrugor, rrjeti hekurudhor ka marrë pak</w:t>
      </w:r>
      <w:r>
        <w:rPr>
          <w:spacing w:val="11"/>
        </w:rPr>
        <w:t xml:space="preserve"> </w:t>
      </w:r>
      <w:r>
        <w:t>vëmendje</w:t>
      </w:r>
      <w:r>
        <w:rPr>
          <w:spacing w:val="11"/>
        </w:rPr>
        <w:t xml:space="preserve"> </w:t>
      </w:r>
      <w:r>
        <w:t>nga</w:t>
      </w:r>
      <w:r>
        <w:rPr>
          <w:spacing w:val="11"/>
        </w:rPr>
        <w:t xml:space="preserve"> </w:t>
      </w:r>
      <w:r>
        <w:t>qeveritë</w:t>
      </w:r>
      <w:r>
        <w:rPr>
          <w:spacing w:val="11"/>
        </w:rPr>
        <w:t xml:space="preserve"> </w:t>
      </w:r>
      <w:r>
        <w:t>përkatëse,</w:t>
      </w:r>
      <w:r>
        <w:rPr>
          <w:spacing w:val="11"/>
        </w:rPr>
        <w:t xml:space="preserve"> </w:t>
      </w:r>
      <w:r>
        <w:t>duke</w:t>
      </w:r>
      <w:r>
        <w:rPr>
          <w:spacing w:val="11"/>
        </w:rPr>
        <w:t xml:space="preserve"> </w:t>
      </w:r>
      <w:r>
        <w:t>çuar</w:t>
      </w:r>
      <w:r>
        <w:rPr>
          <w:spacing w:val="11"/>
        </w:rPr>
        <w:t xml:space="preserve"> </w:t>
      </w:r>
      <w:r>
        <w:t>në</w:t>
      </w:r>
      <w:r>
        <w:rPr>
          <w:spacing w:val="9"/>
        </w:rPr>
        <w:t xml:space="preserve"> </w:t>
      </w:r>
      <w:r>
        <w:t>përkeqësimin</w:t>
      </w:r>
      <w:r>
        <w:rPr>
          <w:spacing w:val="10"/>
        </w:rPr>
        <w:t xml:space="preserve"> </w:t>
      </w:r>
      <w:r>
        <w:t>e</w:t>
      </w:r>
      <w:r>
        <w:rPr>
          <w:spacing w:val="11"/>
        </w:rPr>
        <w:t xml:space="preserve"> </w:t>
      </w:r>
      <w:r>
        <w:t>kushteve</w:t>
      </w:r>
      <w:r>
        <w:rPr>
          <w:spacing w:val="11"/>
        </w:rPr>
        <w:t xml:space="preserve"> </w:t>
      </w:r>
      <w:r>
        <w:t>fizike</w:t>
      </w:r>
      <w:r>
        <w:rPr>
          <w:spacing w:val="11"/>
        </w:rPr>
        <w:t xml:space="preserve"> </w:t>
      </w:r>
      <w:r>
        <w:t>të</w:t>
      </w:r>
      <w:r>
        <w:rPr>
          <w:spacing w:val="11"/>
        </w:rPr>
        <w:t xml:space="preserve"> </w:t>
      </w:r>
      <w:r>
        <w:t>kësaj</w:t>
      </w:r>
      <w:r>
        <w:rPr>
          <w:spacing w:val="11"/>
        </w:rPr>
        <w:t xml:space="preserve"> </w:t>
      </w:r>
      <w:r w:rsidR="009D1AC4">
        <w:t xml:space="preserve">hekurudhe </w:t>
      </w:r>
      <w:r>
        <w:t>ndër vite. Planet e ardhshme përfshijnë elektrifikimin e saj, të paktën në anën e Malit të Zi, si dhe përdorimin e kësaj hekurudhe edhe për transportin e udhëtarëve, duke miratuar komunën urbane të Tuz-it, një nënndarje të Komunës së Podgoricës, si stacion të përbashkët kufitar.</w:t>
      </w:r>
    </w:p>
    <w:p w14:paraId="0C6DF925" w14:textId="77777777" w:rsidR="00C61F48" w:rsidRPr="009D1AC4" w:rsidRDefault="00C61F48" w:rsidP="009D1AC4">
      <w:pPr>
        <w:pStyle w:val="TEKSTI"/>
        <w:rPr>
          <w:b/>
        </w:rPr>
      </w:pPr>
      <w:r w:rsidRPr="009D1AC4">
        <w:rPr>
          <w:b/>
        </w:rPr>
        <w:t>Transporti Ajror dhe Detar</w:t>
      </w:r>
    </w:p>
    <w:p w14:paraId="71FBB364" w14:textId="77777777" w:rsidR="00C61F48" w:rsidRDefault="00C61F48" w:rsidP="009D1AC4">
      <w:pPr>
        <w:pStyle w:val="TEKSTI"/>
      </w:pPr>
      <w:r>
        <w:rPr>
          <w:b/>
          <w:i/>
        </w:rPr>
        <w:t xml:space="preserve">Aeroporti </w:t>
      </w:r>
      <w:r>
        <w:t xml:space="preserve">i Podgoricës në Mal të Zi është i vetmi aeroport në zonën e programit. Në zonën e programit në </w:t>
      </w:r>
      <w:r>
        <w:rPr>
          <w:b/>
        </w:rPr>
        <w:t xml:space="preserve">Mal të Zi </w:t>
      </w:r>
      <w:r>
        <w:t xml:space="preserve">gjendet </w:t>
      </w:r>
      <w:r>
        <w:rPr>
          <w:b/>
        </w:rPr>
        <w:t xml:space="preserve">porti </w:t>
      </w:r>
      <w:r>
        <w:t>i Tivarit, më i madhi në Mal të Zi, si dhe molet në Budva dhe porti i vogël i Ulqinit.</w:t>
      </w:r>
    </w:p>
    <w:p w14:paraId="601DF0F2" w14:textId="77777777" w:rsidR="00C61F48" w:rsidRDefault="00C61F48" w:rsidP="009D1AC4">
      <w:pPr>
        <w:pStyle w:val="TEKSTI"/>
      </w:pPr>
      <w:r>
        <w:t xml:space="preserve">Në zonën e programit në </w:t>
      </w:r>
      <w:r>
        <w:rPr>
          <w:b/>
        </w:rPr>
        <w:t xml:space="preserve">Shqipëri </w:t>
      </w:r>
      <w:r>
        <w:t>është porti i Shëngjinit (qarku i Lezhës), i cili i shërben nevojave të pjesës veriore të Shqipërisë për transportin detar.</w:t>
      </w:r>
    </w:p>
    <w:p w14:paraId="77B16A39" w14:textId="77777777" w:rsidR="00C61F48" w:rsidRPr="009D1AC4" w:rsidRDefault="00C61F48" w:rsidP="009D1AC4">
      <w:pPr>
        <w:pStyle w:val="TEKSTI"/>
        <w:rPr>
          <w:b/>
        </w:rPr>
      </w:pPr>
      <w:r w:rsidRPr="009D1AC4">
        <w:rPr>
          <w:b/>
        </w:rPr>
        <w:t>Telekomunikacioni</w:t>
      </w:r>
    </w:p>
    <w:p w14:paraId="6C4505A4" w14:textId="195F0564" w:rsidR="00C61F48" w:rsidRDefault="00C61F48" w:rsidP="009D1AC4">
      <w:pPr>
        <w:pStyle w:val="TEKSTI"/>
      </w:pPr>
      <w:r>
        <w:t xml:space="preserve">Telekomunikacioni në zonën e programit përfiton si nga telefonia fikse, ashtu edhe nga ajo celulare. Telefonia fikse në </w:t>
      </w:r>
      <w:r>
        <w:rPr>
          <w:b/>
        </w:rPr>
        <w:t xml:space="preserve">Mal të Zi </w:t>
      </w:r>
      <w:r>
        <w:t>është plotësisht e dixhitalizuar. Numri i abonentëve është rreth 1.700.856</w:t>
      </w:r>
      <w:r w:rsidR="009D1AC4">
        <w:rPr>
          <w:rStyle w:val="FootnoteReference"/>
        </w:rPr>
        <w:footnoteReference w:id="84"/>
      </w:r>
      <w:r>
        <w:rPr>
          <w:position w:val="6"/>
          <w:sz w:val="16"/>
        </w:rPr>
        <w:t xml:space="preserve"> </w:t>
      </w:r>
      <w:r>
        <w:t>duke korresponduar me një normë prej 27,55%. Tregu i telefonisë celulare ka tre operatorë telekomunikacioni. Në vitin 2012, tre kompanitë celulare raportuan një total prej 990,868 përdoruesish, që korrespondon me një normë prej 159%.</w:t>
      </w:r>
    </w:p>
    <w:p w14:paraId="2EF64503" w14:textId="5AD23950" w:rsidR="00C61F48" w:rsidRDefault="00C61F48" w:rsidP="009D1AC4">
      <w:pPr>
        <w:pStyle w:val="TEKSTI"/>
      </w:pPr>
      <w:r>
        <w:t xml:space="preserve">Në </w:t>
      </w:r>
      <w:r>
        <w:rPr>
          <w:b/>
        </w:rPr>
        <w:t>Shqipëri</w:t>
      </w:r>
      <w:r>
        <w:t>, niveli i depërtimit të telefonisë fikse dhe celulare në zonën e programit qëndron në 88.15%</w:t>
      </w:r>
      <w:r w:rsidR="009D1AC4">
        <w:rPr>
          <w:rStyle w:val="FootnoteReference"/>
        </w:rPr>
        <w:footnoteReference w:id="85"/>
      </w:r>
      <w:r>
        <w:t>, pak nën mesataren kombëtare prej 89.47%. Megjithatë, me përjashtim të qyteteve kryesore, depërtimi i telefonisë fikse në zonat rurale është i ulët; komunikimi është i bazuar kryesisht në telefonat celularë. Ekziston një ofrues kombëtar i telefonisë fikse, ndërkohë që ka 4 operatorë celularë. Niveli i depërtimit të telefonisë celulare në Shqipëri është mbi 130%.</w:t>
      </w:r>
    </w:p>
    <w:p w14:paraId="38C2553D" w14:textId="77777777" w:rsidR="00C61F48" w:rsidRPr="009D1AC4" w:rsidRDefault="00C61F48" w:rsidP="009D1AC4">
      <w:pPr>
        <w:pStyle w:val="TEKSTI"/>
        <w:rPr>
          <w:b/>
        </w:rPr>
      </w:pPr>
      <w:r w:rsidRPr="009D1AC4">
        <w:rPr>
          <w:b/>
        </w:rPr>
        <w:t>Teknologjitë e Informacionit</w:t>
      </w:r>
    </w:p>
    <w:p w14:paraId="124CD423" w14:textId="76CB5B6C" w:rsidR="00C61F48" w:rsidRDefault="00C61F48" w:rsidP="009D1AC4">
      <w:pPr>
        <w:pStyle w:val="TEKSTI"/>
      </w:pPr>
      <w:r>
        <w:t xml:space="preserve">Njohuritë kompjuterike në </w:t>
      </w:r>
      <w:r>
        <w:rPr>
          <w:b/>
        </w:rPr>
        <w:t>Mal të Zi</w:t>
      </w:r>
      <w:r w:rsidR="009D1AC4">
        <w:rPr>
          <w:rStyle w:val="FootnoteReference"/>
          <w:b/>
        </w:rPr>
        <w:footnoteReference w:id="86"/>
      </w:r>
      <w:r>
        <w:rPr>
          <w:position w:val="6"/>
          <w:sz w:val="16"/>
        </w:rPr>
        <w:t xml:space="preserve"> </w:t>
      </w:r>
      <w:r>
        <w:t>i përkasin mesatarisht 35% të popullsisë nga 15 vjeç e lart. Rreth 16% e popullsisë ka njohuri të pjesshme mbi kompjuterin. Përqindja më e madhe e njohjes së kompjuterit në zonën e programit është hasur në Budva me 46%, në Podgoricë 41%, ndërsa më e ulëta është në Andrijevica me rreth 18%. Njohuritë kompjuterike janë më të larta midis popullsisë më të re, dhe ato bien me rritjen e moshës.</w:t>
      </w:r>
    </w:p>
    <w:p w14:paraId="2873076D" w14:textId="77777777" w:rsidR="00C61F48" w:rsidRDefault="00C61F48" w:rsidP="009D1AC4">
      <w:pPr>
        <w:pStyle w:val="TEKSTI"/>
      </w:pPr>
      <w:r>
        <w:t xml:space="preserve">Në </w:t>
      </w:r>
      <w:r>
        <w:rPr>
          <w:b/>
        </w:rPr>
        <w:t>Shqipëri</w:t>
      </w:r>
      <w:r>
        <w:t>, niveli i përdorimit të internetit (që do të thotë se ka një kompjuter që përdoret për të hyrë në internet) në familjet në zonën e programit qëndron në 9.97%, i cili është nën mesataren kombëtare prej 12.35%.</w:t>
      </w:r>
    </w:p>
    <w:p w14:paraId="5FF0A9BA" w14:textId="77777777" w:rsidR="00C61F48" w:rsidRPr="009D1AC4" w:rsidRDefault="00C61F48" w:rsidP="009D1AC4">
      <w:pPr>
        <w:pStyle w:val="TEKSTI"/>
        <w:rPr>
          <w:b/>
        </w:rPr>
      </w:pPr>
      <w:r w:rsidRPr="009D1AC4">
        <w:rPr>
          <w:b/>
        </w:rPr>
        <w:t>Energjia</w:t>
      </w:r>
    </w:p>
    <w:p w14:paraId="2EAC2933" w14:textId="77777777" w:rsidR="00C61F48" w:rsidRDefault="00C61F48" w:rsidP="009D1AC4">
      <w:pPr>
        <w:pStyle w:val="TEKSTI"/>
      </w:pPr>
      <w:r>
        <w:t xml:space="preserve">Energjia është e disponueshme në të gjitha bashkitë në zonën e programit në </w:t>
      </w:r>
      <w:r>
        <w:rPr>
          <w:b/>
        </w:rPr>
        <w:t>Mal të Zi</w:t>
      </w:r>
      <w:r>
        <w:t>. Shumica e nevojave energjetike plotësohen nëpërmjet importeve – e gjithë nafta dhe derivatet importohen, ashtu si dhe një e treta e konsumimit të elektricitetit. Madhësia e tregut të energjisë elektrike është rreth 3.720G Wh/ vit, nga të cilat 28.2% janë të importuara, duke treguar një nivel të moderuar të shfrytëzimit të potencialit të vet hidroenergjetik.</w:t>
      </w:r>
    </w:p>
    <w:p w14:paraId="09C257F3" w14:textId="24C76EE9" w:rsidR="00C61F48" w:rsidRDefault="00C61F48" w:rsidP="009D1AC4">
      <w:pPr>
        <w:pStyle w:val="TEKSTI"/>
      </w:pPr>
      <w:r>
        <w:t xml:space="preserve">Kapaciteti aktual i instaluar në </w:t>
      </w:r>
      <w:r>
        <w:rPr>
          <w:b/>
        </w:rPr>
        <w:t xml:space="preserve">Shqipëri </w:t>
      </w:r>
      <w:r>
        <w:t>është 1,726 MW</w:t>
      </w:r>
      <w:r w:rsidR="00B87E5D">
        <w:rPr>
          <w:rStyle w:val="FootnoteReference"/>
        </w:rPr>
        <w:footnoteReference w:id="87"/>
      </w:r>
      <w:r>
        <w:t>, një normë shfrytëzimi e vetëm 35% të potencialit të saj hidroenergjetik. Pjesa më e madhe e energjisë hidrike të vendit, rreth 52.3%, gjenerohet në zonën e programit, i cili ka tre hidrocentralet më të mëdha të Shqipërisë: Fierzës, Komanit dhe Vaut të Dejës me kapacitet prej 1,350 MW në total. Impianti i Hidrocentralit të Ashtës me kapacitet të instaluar prej 53 MW u vu në punë në shtator 2012. Prodhimi i përgjithshëm i energjisë elektrike në vitin 2012 në Shqipëri arriti në 4,288GWh, duke mbuluar vetëm 57% të konsumit të saj vjetor, dhe duke e bërë kështu Shqipërinë një rrjet importues të energjisë. Përfundimi i linjës ndërlidhëse 400 kv midis Shqipërisë dhe Malit të Zi (Elbasan-Podgoricë), rrit kapacitetet e shkëmbimeve të energjisë midis dy vendeve dhe lidh Shqipërinë me rrjetet rajonale dhe Evropiane, duke rritur sigurinë e furnizimit me energji elektrike në vend. Edhe pse ka burime të mëdha, por ende të pashfrytëzuara hidrocentrale, Shqipëria karakterizohet nga një efikasitet i ulët në përdorimin e energjisë elektrike. Përdorimi i  energjisë për qëllime ngrohje është i përhapur në shkallë të</w:t>
      </w:r>
      <w:r>
        <w:rPr>
          <w:spacing w:val="-19"/>
        </w:rPr>
        <w:t xml:space="preserve"> </w:t>
      </w:r>
      <w:r>
        <w:t>gjerë.</w:t>
      </w:r>
    </w:p>
    <w:p w14:paraId="7FB4BF58" w14:textId="77777777" w:rsidR="00C61F48" w:rsidRDefault="00C61F48" w:rsidP="009D1AC4">
      <w:pPr>
        <w:pStyle w:val="TEKSTI"/>
      </w:pPr>
      <w:r>
        <w:t>Furnizimi me Ujë dhe Kanalizimet</w:t>
      </w:r>
    </w:p>
    <w:p w14:paraId="541D8A67" w14:textId="4D4169E8" w:rsidR="00C61F48" w:rsidRDefault="00C61F48" w:rsidP="009D1AC4">
      <w:pPr>
        <w:pStyle w:val="TEKSTI"/>
      </w:pPr>
      <w:r>
        <w:t xml:space="preserve">Shumica e familjeve (247,354) në </w:t>
      </w:r>
      <w:r>
        <w:rPr>
          <w:b/>
        </w:rPr>
        <w:t xml:space="preserve">Mal të Zi </w:t>
      </w:r>
      <w:r>
        <w:t>përdorin ujin nga sistemi publik i ujit, edhe pse sistemi publik i ujit mund të jetë i pamjaftueshëm në zonat rurale dhe gjatë kohës së verës. Nga numri i përgjithshëm i banesave</w:t>
      </w:r>
      <w:r w:rsidR="00B87E5D">
        <w:rPr>
          <w:rStyle w:val="FootnoteReference"/>
        </w:rPr>
        <w:footnoteReference w:id="88"/>
      </w:r>
      <w:r>
        <w:t>, 92% prej tyre kanë akses në sistemet e furnizimit me ujë brenda shtëpive të tyre, dhe po i njëjti numër banesash është i lidhur me sistemin e kanalizimit brenda shtëpisë. Në zonën e programit, Budva ka shkallën më të lartë të aksesit në sistemet e furnizimit me ujë dhe të kanalizimeve, me një mesatare prej 99%, ndërsa Andrijevica ka normën më të ulët të aksesit në këto dy shërbime, mesatarisht 76%.</w:t>
      </w:r>
    </w:p>
    <w:p w14:paraId="0C537FF1" w14:textId="00E49CE9" w:rsidR="00C61F48" w:rsidRDefault="00C61F48" w:rsidP="009D1AC4">
      <w:pPr>
        <w:pStyle w:val="TEKSTI"/>
      </w:pPr>
      <w:r>
        <w:t xml:space="preserve">Në zonën e programit në </w:t>
      </w:r>
      <w:r>
        <w:rPr>
          <w:b/>
        </w:rPr>
        <w:t>Shqipëri</w:t>
      </w:r>
      <w:r>
        <w:t>, furnizimi me ujë dhe sistemet e kanalizimit dhe ujitjes mbeten problematike. Aksesi në ujë brenda banesave për rreth 106,094 familje</w:t>
      </w:r>
      <w:r w:rsidR="00B87E5D">
        <w:rPr>
          <w:rStyle w:val="FootnoteReference"/>
        </w:rPr>
        <w:footnoteReference w:id="89"/>
      </w:r>
      <w:r>
        <w:rPr>
          <w:position w:val="6"/>
          <w:sz w:val="16"/>
        </w:rPr>
        <w:t xml:space="preserve"> </w:t>
      </w:r>
      <w:r>
        <w:t xml:space="preserve">në zonën e programit është i siguruar për vetëm rreth 55.4% të tyre; rreth 39.5% e banesave kanë akses </w:t>
      </w:r>
      <w:r>
        <w:rPr>
          <w:spacing w:val="3"/>
        </w:rPr>
        <w:t xml:space="preserve">të </w:t>
      </w:r>
      <w:r>
        <w:t>pjesshëm në sistemet e furnizimit me ujë, ndërsa 5.1% e familjeve në zonën e programit nuk kanë akses në sistemin e ujësjellësit. Numri i familjeve pa akses në sistemet e ujësjellësit dhe të kanalizimeve është më i lartë në Shkodër me 1.13%, e pasuar nga Lezha me vetëm 0.98%, ndërsa rrethi i Tropojës regjistron 0.75% - duke qenë më mirë se mesatarja kombëtare me 1.12%. Përmirësime të mëtejshme në infrastrukturë janë të nevojshme për të ruajtur dhe për të nxitur nivele të qëndrueshme të turizmit, si dhe për të zvogëluar pabarazitë</w:t>
      </w:r>
      <w:r>
        <w:rPr>
          <w:spacing w:val="-1"/>
        </w:rPr>
        <w:t xml:space="preserve"> </w:t>
      </w:r>
      <w:r>
        <w:t>rajonale.</w:t>
      </w:r>
    </w:p>
    <w:p w14:paraId="7A5FF0F4" w14:textId="77777777" w:rsidR="00C61F48" w:rsidRDefault="00C61F48" w:rsidP="009D1AC4">
      <w:pPr>
        <w:pStyle w:val="TEKSTI"/>
      </w:pPr>
    </w:p>
    <w:p w14:paraId="4DABA784" w14:textId="7F64470D" w:rsidR="00C61F48" w:rsidRPr="00B87E5D" w:rsidRDefault="006441F6" w:rsidP="00B87E5D">
      <w:pPr>
        <w:pStyle w:val="TEKSTI"/>
        <w:rPr>
          <w:b/>
        </w:rPr>
      </w:pPr>
      <w:bookmarkStart w:id="52" w:name="_bookmark49"/>
      <w:bookmarkEnd w:id="52"/>
      <w:r>
        <w:rPr>
          <w:b/>
        </w:rPr>
        <w:t xml:space="preserve">2.5 </w:t>
      </w:r>
      <w:r w:rsidR="00C61F48" w:rsidRPr="00B87E5D">
        <w:rPr>
          <w:b/>
        </w:rPr>
        <w:t>MJEDISI</w:t>
      </w:r>
    </w:p>
    <w:p w14:paraId="0A72B3D5" w14:textId="4506394D" w:rsidR="00C61F48" w:rsidRDefault="00C61F48" w:rsidP="006441F6">
      <w:pPr>
        <w:pStyle w:val="TEKSTI"/>
      </w:pPr>
      <w:r>
        <w:t>Mbrojtja dhe ruajtja e mjedisit janë të rëndësishme për një zhvillim të qëndrueshëm të zonës së programit, e cila është mjaft e pasur në burime mjedisore dhe biodiversitet në të dyja anët e kufirit. Zona e programit është shumë e pasur në burime natyrore dhe biodiversitet.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vend-groposjet e paligjshme, të</w:t>
      </w:r>
      <w:r w:rsidR="006441F6">
        <w:t xml:space="preserve"> cilat rrezikojnë ndotjen e lumenjve dhe</w:t>
      </w:r>
      <w:r>
        <w:t xml:space="preserve"> li</w:t>
      </w:r>
      <w:r w:rsidR="006441F6">
        <w:t>qeneve;  përdorimi intensiv i pesticideve,  i cili</w:t>
      </w:r>
      <w:r>
        <w:t xml:space="preserve"> po</w:t>
      </w:r>
      <w:r>
        <w:rPr>
          <w:spacing w:val="-12"/>
        </w:rPr>
        <w:t xml:space="preserve"> </w:t>
      </w:r>
      <w:r w:rsidR="006441F6">
        <w:t xml:space="preserve">dëmton </w:t>
      </w:r>
      <w:r>
        <w:t>bujqësinë; peshkimi i tepruar dhe gjuetia e jashtëligjshme, të cilat kërcënojnë faunën në liqene dhe lumenj. Degradimi i tokës është i pranishëm në të dyja anët e kufirit.</w:t>
      </w:r>
    </w:p>
    <w:p w14:paraId="6D69B656" w14:textId="65DCBCBD" w:rsidR="00C61F48" w:rsidRDefault="00C61F48" w:rsidP="00B87E5D">
      <w:pPr>
        <w:pStyle w:val="TEKSTI"/>
      </w:pPr>
      <w:r>
        <w:rPr>
          <w:b/>
        </w:rPr>
        <w:t xml:space="preserve">Mali i Zi </w:t>
      </w:r>
      <w:r>
        <w:t>ka një diversitet të lartë biologjik, për shkak të sfondit të tij gjeologjik, klimës dhe pozicionit në afërsi të detit dhe maleve. Mali i Zi ka dy vende të Trashëgimisë Botërore, një rezervë të biosferës dhe pesë parqet kombëtare. Mbrojtja dhe ruajtja e mjedisit është një shtyllë e të gjitha strategjive të zhvillimit të vendit. Rrjeti kombëtar i zonave të mbrojtura të Malit të Zi mbulon 108,866 ha</w:t>
      </w:r>
      <w:r w:rsidR="006441F6">
        <w:rPr>
          <w:rStyle w:val="FootnoteReference"/>
        </w:rPr>
        <w:footnoteReference w:id="90"/>
      </w:r>
      <w:r>
        <w:rPr>
          <w:position w:val="6"/>
          <w:sz w:val="16"/>
        </w:rPr>
        <w:t xml:space="preserve"> </w:t>
      </w:r>
      <w:r>
        <w:t>ose 7.88% të territorit të përgjithshëm. Ajo përbëhet nga 5 parqe kombëtare - Liqeni i Shkodrës, Durmitor, Lovćen, Biogradska Gora, dhe Prokletije. Zona e programit është e pasur në burime natyrore dhe përmban katër parqe kombëtare në zonën e programit të Malit të Zi:</w:t>
      </w:r>
    </w:p>
    <w:p w14:paraId="0B84F7C8" w14:textId="77777777" w:rsidR="00C61F48" w:rsidRDefault="00C61F48" w:rsidP="00B87E5D">
      <w:pPr>
        <w:pStyle w:val="TEKSTI"/>
      </w:pPr>
      <w:r>
        <w:rPr>
          <w:i/>
        </w:rPr>
        <w:t xml:space="preserve">Liqeni i Shkodrës </w:t>
      </w:r>
      <w:r>
        <w:t>ndodhet në bashkitë e Podgoricës dhe Tivarit. Një e treta e liqenit i përket Shqipërisë. Pjesa e Malit të Zi (rreth 40.000 hektarë) është renditur si një Park Kombëtar në vitin 1983. Si liqeni më i madh në Ballkan, ai është jashtëzakonisht i pasur me zogj dhe peshq, si dhe me bimësi kënete. Liqeni i Shkodrës është në listën e zonave lagunore të rëndësishme në nivel ndërkombëtar, si habitat ujor dhe i zogjve migratorë (Konventa e</w:t>
      </w:r>
      <w:r>
        <w:rPr>
          <w:spacing w:val="-25"/>
        </w:rPr>
        <w:t xml:space="preserve"> </w:t>
      </w:r>
      <w:r>
        <w:t>Ramsarit).</w:t>
      </w:r>
    </w:p>
    <w:p w14:paraId="072274EC" w14:textId="77777777" w:rsidR="00C61F48" w:rsidRDefault="00C61F48" w:rsidP="00B87E5D">
      <w:pPr>
        <w:pStyle w:val="TEKSTI"/>
      </w:pPr>
      <w:r>
        <w:rPr>
          <w:i/>
        </w:rPr>
        <w:t xml:space="preserve">Biogradska Gora </w:t>
      </w:r>
      <w:r>
        <w:t>është i rrethuar nga bashkitë Andrijevice, Berane, Kolashin, dhe Mojkovac. Parku Kombëtar u shpall në vitin 1952 dhe mbulon 54 km</w:t>
      </w:r>
      <w:r>
        <w:rPr>
          <w:position w:val="10"/>
          <w:sz w:val="14"/>
        </w:rPr>
        <w:t>2</w:t>
      </w:r>
      <w:r>
        <w:t>. Ai është i njohur për pyjet e tij të paprekur (midis pyjeve të fundit primarë në Evropë), diversitetin e madh të florës dhe faunës dhe për gjashtë liqenet e tij akullnajore, duke përfshirë Liqenin e famshëm</w:t>
      </w:r>
      <w:r>
        <w:rPr>
          <w:spacing w:val="-25"/>
        </w:rPr>
        <w:t xml:space="preserve"> </w:t>
      </w:r>
      <w:r>
        <w:t>Biogradsko.</w:t>
      </w:r>
    </w:p>
    <w:p w14:paraId="4FEC3D3A" w14:textId="77777777" w:rsidR="00C61F48" w:rsidRDefault="00C61F48" w:rsidP="00B87E5D">
      <w:pPr>
        <w:pStyle w:val="TEKSTI"/>
      </w:pPr>
      <w:r>
        <w:rPr>
          <w:i/>
        </w:rPr>
        <w:t xml:space="preserve">Lovćen </w:t>
      </w:r>
      <w:r>
        <w:t>është një park kombëtar në zonë malore që gjendet në bashkitë Budva dhe Cetinje, dhe mbulon një sipërfaqe prej 6220</w:t>
      </w:r>
      <w:r>
        <w:rPr>
          <w:spacing w:val="-16"/>
        </w:rPr>
        <w:t xml:space="preserve"> </w:t>
      </w:r>
      <w:r>
        <w:t>hektarësh.</w:t>
      </w:r>
    </w:p>
    <w:p w14:paraId="34F5BC74" w14:textId="77777777" w:rsidR="00C61F48" w:rsidRDefault="00C61F48" w:rsidP="00B87E5D">
      <w:pPr>
        <w:pStyle w:val="TEKSTI"/>
      </w:pPr>
      <w:r>
        <w:rPr>
          <w:i/>
        </w:rPr>
        <w:t xml:space="preserve">Prokletije </w:t>
      </w:r>
      <w:r>
        <w:t>është një varg malor që shtrihet nga Shqipëria veriore, në Kosovën jug-perëndimore dhe në zonën lindore të Malit të Zi. Si një vend natyror i paprekur dhe i jashtëzakonshëm, ai u shpall  një Park Kombëtar në Mal të Zi në vitin 2009 (Parku mbulon rreth 210 km</w:t>
      </w:r>
      <w:r>
        <w:rPr>
          <w:position w:val="10"/>
          <w:sz w:val="14"/>
        </w:rPr>
        <w:t>2</w:t>
      </w:r>
      <w:r>
        <w:t>, kryesisht në bashkitë Plavë dhe Guci). Ai është Parku i fundit Kombëtar i listuar në Mal të Zi. Për këtë arsye, njësia e menaxhimit të parkut nuk është themeluar</w:t>
      </w:r>
      <w:r>
        <w:rPr>
          <w:spacing w:val="-11"/>
        </w:rPr>
        <w:t xml:space="preserve"> </w:t>
      </w:r>
      <w:r>
        <w:t>ende.</w:t>
      </w:r>
    </w:p>
    <w:p w14:paraId="524B7493" w14:textId="77777777" w:rsidR="00C61F48" w:rsidRDefault="00C61F48" w:rsidP="00B87E5D">
      <w:pPr>
        <w:pStyle w:val="TEKSTI"/>
      </w:pPr>
      <w:r>
        <w:t xml:space="preserve">Industria dhe bujqësia nuk janë ndotës të mëdhenj në zonën e programit, edhe pse nivelet e fluorit në Podgoricë tejkalojnë kufijtë e lejuar 3-6 herë gjatë vitit. Ndërkohë ekziston një nevojë e përgjithshme  për rinovimin teknologjik. Kërcënimet kryesore për mjedisin janë të lidhura me mungesën e sistemeve të trajtimit të ujërave të ndotura (Podgorica është pjesërisht e pajisur me impiante të trajtimit të ujërave të zeza) dhe vend-groposjeve të përshtatshme për mbetjet e ngurta. Disa projekte investimi të bashkë- financuar nga BE-ja ose të mbështetur nga bankat evropiane janë planifikuar dhe duhet </w:t>
      </w:r>
      <w:r>
        <w:rPr>
          <w:spacing w:val="2"/>
        </w:rPr>
        <w:t xml:space="preserve">të </w:t>
      </w:r>
      <w:r>
        <w:t>përmirësojnë këtë</w:t>
      </w:r>
      <w:r>
        <w:rPr>
          <w:spacing w:val="-7"/>
        </w:rPr>
        <w:t xml:space="preserve"> </w:t>
      </w:r>
      <w:r>
        <w:t>situatë.</w:t>
      </w:r>
    </w:p>
    <w:p w14:paraId="45FF451F" w14:textId="19C45BA2" w:rsidR="006441F6" w:rsidRPr="006441F6" w:rsidRDefault="00C61F48" w:rsidP="006441F6">
      <w:pPr>
        <w:pStyle w:val="TEKSTI"/>
        <w:rPr>
          <w:rFonts w:ascii="Arial Narrow"/>
          <w:sz w:val="16"/>
        </w:rPr>
      </w:pPr>
      <w:r>
        <w:t xml:space="preserve">Në </w:t>
      </w:r>
      <w:r w:rsidRPr="006441F6">
        <w:rPr>
          <w:b/>
        </w:rPr>
        <w:t>Shqipëri</w:t>
      </w:r>
      <w:r>
        <w:t>, zona e programit ofron një biodiversitet dhe klimë të pasur, pasi ajo përfshin malet, kodrat, fushat, liqenin, lumenjtë dhe bregdetin. Ajo ka 8 parqe kombëtare</w:t>
      </w:r>
      <w:r w:rsidR="006441F6">
        <w:rPr>
          <w:rStyle w:val="FootnoteReference"/>
        </w:rPr>
        <w:footnoteReference w:id="91"/>
      </w:r>
      <w:r>
        <w:t xml:space="preserve">, rezerva natyrore dhe peizazhe të mbrojtura, të cilat mbulojnë mbi 13% të territorit të përgjithshëm. Agjencitë Rajonale të Mjedisit janë të pranishme në të dy rajonet e zonës shqiptare të programimit. Qarku Tropojë mbulohet nga </w:t>
      </w:r>
    </w:p>
    <w:p w14:paraId="33C3FB5A" w14:textId="77777777" w:rsidR="00C61F48" w:rsidRPr="005677CA" w:rsidRDefault="00C61F48" w:rsidP="005677CA">
      <w:pPr>
        <w:pStyle w:val="TEKSTI"/>
        <w:rPr>
          <w:b/>
        </w:rPr>
      </w:pPr>
      <w:r w:rsidRPr="005677CA">
        <w:rPr>
          <w:b/>
        </w:rPr>
        <w:t>Agjencia Rajonale e Mjedisit e Rajonit të Kukësit.</w:t>
      </w:r>
    </w:p>
    <w:p w14:paraId="6B75D2DE" w14:textId="77777777" w:rsidR="00C61F48" w:rsidRDefault="00C61F48" w:rsidP="005677CA">
      <w:pPr>
        <w:pStyle w:val="TEKSTI"/>
      </w:pPr>
      <w:r>
        <w:t>Në qarkun e Shkodrës ndodhen tre parqe kombëtare - Parku kombëtar i Thethit, i cili ndodhet në zonën malore në kufi me Malin e Zi; Liqeni i Shkodrës dhe Lumi Buna, të cilat janë cilësuar si vende Ramsar. Parku më i rëndësishëm natyror në zonën e programit është Liqeni i Shkodrës. Bashkëpunimi midis dy vendeve në lidhje me mbrojtjen dhe rehabilitimin e liqenit të Shkodrës është rritur në dekadën e fundit. Zonat e mbrojtura në qarkun e Lezhës përfshijnë Berzanën, Kune-Vain-Tale, dhe Patok-Fushëkuqe- Ishëm, të cilat janë të gjitha Burime Natyrore të Menaxhuara. Qarku i Lezhës gjithashtu përfshin 4.745  ha peizazhe të mbrojtura. Zona e mbrojtur më e rëndësishme në qarkun e Lezhës është Kune-Vain-Tale, një kompleks lagunash me ishullin e rërës së Kunes prej 125 ha në të djathtë të deltës së lumit Drin. Kjo zonë ka një florë të pasur dhe përmban rreth 70 lloje shpendësh, 22 lloje zvarranikësh (nga 33 që janë  në nivel kombëtar) dhe gjithashtu 6 lloje amfibësh nga një total prej 15 në nivel</w:t>
      </w:r>
      <w:r>
        <w:rPr>
          <w:spacing w:val="-27"/>
        </w:rPr>
        <w:t xml:space="preserve"> </w:t>
      </w:r>
      <w:r>
        <w:t>kombëtar.</w:t>
      </w:r>
    </w:p>
    <w:p w14:paraId="22277215" w14:textId="77777777" w:rsidR="00C61F48" w:rsidRDefault="00C61F48" w:rsidP="005677CA">
      <w:pPr>
        <w:pStyle w:val="TEKSTI"/>
      </w:pPr>
      <w:r>
        <w:t>Qarkut i Tropojës ka një Park Kombëtar që nga viti 1996, dhe 29 zona të mbrojtura që nga viti 2002. Parku Natyror i Luginës së Valbonës është zona më e rëndësishme e qarkut, pasi ajo përfshin një sipërfaqe prej 8000 ha.</w:t>
      </w:r>
    </w:p>
    <w:p w14:paraId="5E50449A" w14:textId="77777777" w:rsidR="00C61F48" w:rsidRDefault="00C61F48" w:rsidP="005677CA">
      <w:pPr>
        <w:pStyle w:val="TEKSTI"/>
        <w:rPr>
          <w:sz w:val="20"/>
        </w:rPr>
      </w:pPr>
      <w:r>
        <w:t xml:space="preserve">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mbi-kullotjes. Mbrojtja e burimeve natyrore me fokus tek pyjet, zonat e mbrojtura dhe shfrytëzimi i burimeve ujore përfaqësojnë vlerat ekonomike dhe mjedisore për këtë zonë. Megjithëse ndërgjegjësimi për mbrojtjen e mjedisit është rritur, një shkallë më e lartë e zbatimit të standardeve për mbrojtjen e mjedisit është e nevojshme për të siguruar zhvillimin e duhur urban dhe zgjerimin e turizmit. Reduktimi i ndotjes ekzistuese, </w:t>
      </w:r>
      <w:r>
        <w:rPr>
          <w:sz w:val="20"/>
        </w:rPr>
        <w:t>menaxhimi i mbetjeve urbane dhe sigurimi i cilësisë së ujit të pijshëm për qëllime të mbrojtjes së shëndetit publik dhe garantimit të një mjedisi të pastër, i lidhur me masat për të mbrojtur tokën nga shkatërrimi natyror dhe artificial si dhe zbatimi i një procesi strategjik të planifikimit urban, janë sfidat kryesore për tu përballuar në zonën e</w:t>
      </w:r>
      <w:r>
        <w:rPr>
          <w:spacing w:val="-4"/>
          <w:sz w:val="20"/>
        </w:rPr>
        <w:t xml:space="preserve"> </w:t>
      </w:r>
      <w:r>
        <w:rPr>
          <w:sz w:val="20"/>
        </w:rPr>
        <w:t>programit.</w:t>
      </w:r>
    </w:p>
    <w:p w14:paraId="5A0971E3" w14:textId="08B3C63C" w:rsidR="00C61F48" w:rsidRPr="005677CA" w:rsidRDefault="005677CA" w:rsidP="005677CA">
      <w:pPr>
        <w:pStyle w:val="TEKSTI"/>
      </w:pPr>
      <w:bookmarkStart w:id="53" w:name="_bookmark50"/>
      <w:bookmarkEnd w:id="53"/>
      <w:r w:rsidRPr="005677CA">
        <w:t xml:space="preserve">2.6 </w:t>
      </w:r>
      <w:r w:rsidR="00C61F48" w:rsidRPr="005677CA">
        <w:t>MARRËVESHJET LIGJORE DHE</w:t>
      </w:r>
      <w:r w:rsidR="00C61F48" w:rsidRPr="005677CA">
        <w:rPr>
          <w:spacing w:val="-16"/>
        </w:rPr>
        <w:t xml:space="preserve"> </w:t>
      </w:r>
      <w:r w:rsidR="00C61F48" w:rsidRPr="005677CA">
        <w:t>INSTITUCIONALE</w:t>
      </w:r>
    </w:p>
    <w:p w14:paraId="3762E72F" w14:textId="77777777" w:rsidR="00C61F48" w:rsidRPr="005677CA" w:rsidRDefault="00C61F48" w:rsidP="005677CA">
      <w:pPr>
        <w:pStyle w:val="TEKSTI"/>
      </w:pPr>
      <w:r w:rsidRPr="005677CA">
        <w:rPr>
          <w:b/>
        </w:rPr>
        <w:t xml:space="preserve">Mali i Zi </w:t>
      </w:r>
      <w:r w:rsidRPr="005677CA">
        <w:t>është i ndarë në 23 bashki, si njësi bazë të qeverisjes vendore.</w:t>
      </w:r>
    </w:p>
    <w:p w14:paraId="684BC81E" w14:textId="77777777" w:rsidR="00C61F48" w:rsidRPr="005677CA" w:rsidRDefault="00C61F48" w:rsidP="005677CA">
      <w:pPr>
        <w:pStyle w:val="TEKSTI"/>
      </w:pPr>
      <w:r w:rsidRPr="005677CA">
        <w:t>Objektivat e vendit përfshihen në një numër të strategjive, të cilat vënë në dukje prioritetet zhvillimore që mund të shërbejnë si fushat e ndërhyrjes për Programin e Bashkëpunimit Ndërkufitar. Strategjitë më të lidhura me qëllimet e Programit të Bashkëpunimit Ndërkufitar janë:</w:t>
      </w:r>
    </w:p>
    <w:p w14:paraId="3E492321" w14:textId="1D107705" w:rsidR="00C61F48" w:rsidRPr="005677CA" w:rsidRDefault="005677CA" w:rsidP="005677CA">
      <w:pPr>
        <w:pStyle w:val="TEKSTI"/>
      </w:pPr>
      <w:r>
        <w:t>-</w:t>
      </w:r>
      <w:r w:rsidR="00C61F48" w:rsidRPr="005677CA">
        <w:t>Drejtimet e zhvillimit të Malit të Zi 2013 –</w:t>
      </w:r>
      <w:r w:rsidR="00C61F48" w:rsidRPr="005677CA">
        <w:rPr>
          <w:spacing w:val="-19"/>
        </w:rPr>
        <w:t xml:space="preserve"> </w:t>
      </w:r>
      <w:r w:rsidR="00C61F48" w:rsidRPr="005677CA">
        <w:t>2016;</w:t>
      </w:r>
    </w:p>
    <w:p w14:paraId="16D588F9" w14:textId="1BB2B0C4" w:rsidR="00C61F48" w:rsidRPr="005677CA" w:rsidRDefault="005677CA" w:rsidP="005677CA">
      <w:pPr>
        <w:pStyle w:val="TEKSTI"/>
      </w:pPr>
      <w:r>
        <w:t>-</w:t>
      </w:r>
      <w:r w:rsidR="00C61F48" w:rsidRPr="005677CA">
        <w:t>Strategjia Kombëtare e Zhvillimit të Qëndrueshëm të Malit të Zi</w:t>
      </w:r>
      <w:r w:rsidR="00C61F48" w:rsidRPr="005677CA">
        <w:rPr>
          <w:spacing w:val="-23"/>
        </w:rPr>
        <w:t xml:space="preserve"> </w:t>
      </w:r>
      <w:r w:rsidR="00C61F48" w:rsidRPr="005677CA">
        <w:t>(2007);</w:t>
      </w:r>
    </w:p>
    <w:p w14:paraId="18F48616" w14:textId="313420A7" w:rsidR="00C61F48" w:rsidRPr="005677CA" w:rsidRDefault="005677CA" w:rsidP="005677CA">
      <w:pPr>
        <w:pStyle w:val="TEKSTI"/>
      </w:pPr>
      <w:r>
        <w:t>-</w:t>
      </w:r>
      <w:r w:rsidR="00C61F48" w:rsidRPr="005677CA">
        <w:t>Strategjia e Zhvillimit Rajonal 2010 –</w:t>
      </w:r>
      <w:r w:rsidR="00C61F48" w:rsidRPr="005677CA">
        <w:rPr>
          <w:spacing w:val="-15"/>
        </w:rPr>
        <w:t xml:space="preserve"> </w:t>
      </w:r>
      <w:r w:rsidR="00C61F48" w:rsidRPr="005677CA">
        <w:t>2014;</w:t>
      </w:r>
    </w:p>
    <w:p w14:paraId="77C8B45C" w14:textId="37D56B27" w:rsidR="00C61F48" w:rsidRPr="005677CA" w:rsidRDefault="005677CA" w:rsidP="005677CA">
      <w:pPr>
        <w:pStyle w:val="TEKSTI"/>
      </w:pPr>
      <w:r>
        <w:t>-</w:t>
      </w:r>
      <w:r w:rsidR="00C61F48" w:rsidRPr="005677CA">
        <w:t>Strategjia për Zhvillimin e Ndërmarrjeve të Vogla dhe të</w:t>
      </w:r>
      <w:r w:rsidR="00C61F48" w:rsidRPr="005677CA">
        <w:rPr>
          <w:spacing w:val="-31"/>
        </w:rPr>
        <w:t xml:space="preserve"> </w:t>
      </w:r>
      <w:r w:rsidR="00C61F48" w:rsidRPr="005677CA">
        <w:t>Mesme 2011-2015;</w:t>
      </w:r>
    </w:p>
    <w:p w14:paraId="69BC1A5E" w14:textId="117C91C2" w:rsidR="00C61F48" w:rsidRPr="005677CA" w:rsidRDefault="005677CA" w:rsidP="005677CA">
      <w:pPr>
        <w:pStyle w:val="TEKSTI"/>
      </w:pPr>
      <w:r>
        <w:t>-</w:t>
      </w:r>
      <w:r w:rsidR="00C61F48" w:rsidRPr="005677CA">
        <w:t>Strategjia për Bujqësinë</w:t>
      </w:r>
      <w:r w:rsidR="00C61F48" w:rsidRPr="005677CA">
        <w:rPr>
          <w:spacing w:val="-13"/>
        </w:rPr>
        <w:t xml:space="preserve"> </w:t>
      </w:r>
      <w:r w:rsidR="00C61F48" w:rsidRPr="005677CA">
        <w:t>(2014-2020);</w:t>
      </w:r>
    </w:p>
    <w:p w14:paraId="704C662E" w14:textId="72F08A1A" w:rsidR="00C61F48" w:rsidRPr="005677CA" w:rsidRDefault="005677CA" w:rsidP="005677CA">
      <w:pPr>
        <w:pStyle w:val="TEKSTI"/>
      </w:pPr>
      <w:r>
        <w:t>-</w:t>
      </w:r>
      <w:r w:rsidR="00C61F48" w:rsidRPr="005677CA">
        <w:t>Strategjia Kombëtare për Punësimin dhe Zhvillimin e Burimeve Njerëzore</w:t>
      </w:r>
      <w:r w:rsidR="00C61F48" w:rsidRPr="005677CA">
        <w:rPr>
          <w:spacing w:val="-25"/>
        </w:rPr>
        <w:t xml:space="preserve"> </w:t>
      </w:r>
      <w:r w:rsidR="00C61F48" w:rsidRPr="005677CA">
        <w:t>2012-2015;</w:t>
      </w:r>
    </w:p>
    <w:p w14:paraId="3DF8F157" w14:textId="10EF045B" w:rsidR="00C61F48" w:rsidRPr="005677CA" w:rsidRDefault="005677CA" w:rsidP="005677CA">
      <w:pPr>
        <w:pStyle w:val="TEKSTI"/>
      </w:pPr>
      <w:r>
        <w:t>-</w:t>
      </w:r>
      <w:r w:rsidR="00C61F48" w:rsidRPr="005677CA">
        <w:t>Strategjia për Zhvillimin e Arsimit Profesional në Mal të Zi</w:t>
      </w:r>
      <w:r w:rsidR="00C61F48" w:rsidRPr="005677CA">
        <w:rPr>
          <w:spacing w:val="-24"/>
        </w:rPr>
        <w:t xml:space="preserve"> </w:t>
      </w:r>
      <w:r w:rsidR="00C61F48" w:rsidRPr="005677CA">
        <w:t>2010-2014.</w:t>
      </w:r>
    </w:p>
    <w:p w14:paraId="124F6F8C" w14:textId="77777777" w:rsidR="00C61F48" w:rsidRPr="005677CA" w:rsidRDefault="00C61F48" w:rsidP="005677CA">
      <w:pPr>
        <w:pStyle w:val="TEKSTI"/>
      </w:pPr>
      <w:r w:rsidRPr="005677CA">
        <w:t xml:space="preserve">Pushteti lokal në </w:t>
      </w:r>
      <w:r w:rsidRPr="005677CA">
        <w:rPr>
          <w:b/>
        </w:rPr>
        <w:t xml:space="preserve">Shqipëri </w:t>
      </w:r>
      <w:r w:rsidRPr="005677CA">
        <w:t xml:space="preserve">përbëhet nga dy nivele: </w:t>
      </w:r>
      <w:r w:rsidRPr="005677CA">
        <w:rPr>
          <w:u w:val="single"/>
        </w:rPr>
        <w:t xml:space="preserve">niveli i parë </w:t>
      </w:r>
      <w:r w:rsidRPr="005677CA">
        <w:t xml:space="preserve">përbëhet nga 374 njësi të qeverisjes vendore (NjQV) të ndara në 65 bashki në zonat urbane dhe 309 komuna në zonat rurale, të cilat mund të ndahen më tej në fshatra (3020); </w:t>
      </w:r>
      <w:r w:rsidRPr="005677CA">
        <w:rPr>
          <w:u w:val="single"/>
        </w:rPr>
        <w:t xml:space="preserve">niveli i dytë </w:t>
      </w:r>
      <w:r w:rsidRPr="005677CA">
        <w:t>përbëhet nga 12 rajone (</w:t>
      </w:r>
      <w:r w:rsidRPr="005677CA">
        <w:rPr>
          <w:i/>
        </w:rPr>
        <w:t>qarku</w:t>
      </w:r>
      <w:r w:rsidRPr="005677CA">
        <w:t>). Strategjitë më të lidhura me qëllimet e Programit të Bashkëpunimit Ndërkufitar janë:</w:t>
      </w:r>
    </w:p>
    <w:p w14:paraId="0C7718A4" w14:textId="035371B3" w:rsidR="00C61F48" w:rsidRPr="005677CA" w:rsidRDefault="005677CA" w:rsidP="005677CA">
      <w:pPr>
        <w:pStyle w:val="TEKSTI"/>
      </w:pPr>
      <w:r>
        <w:t>-</w:t>
      </w:r>
      <w:r w:rsidR="00C61F48" w:rsidRPr="005677CA">
        <w:t>Strategjia Kombëtare për Zhvillim dhe</w:t>
      </w:r>
      <w:r w:rsidR="00C61F48" w:rsidRPr="005677CA">
        <w:rPr>
          <w:spacing w:val="-13"/>
        </w:rPr>
        <w:t xml:space="preserve"> </w:t>
      </w:r>
      <w:r w:rsidR="00C61F48" w:rsidRPr="005677CA">
        <w:t>Integrim;</w:t>
      </w:r>
    </w:p>
    <w:p w14:paraId="4FF909B1" w14:textId="333D86EB" w:rsidR="00C61F48" w:rsidRPr="005677CA" w:rsidRDefault="005677CA" w:rsidP="005677CA">
      <w:pPr>
        <w:pStyle w:val="TEKSTI"/>
      </w:pPr>
      <w:r>
        <w:t>-</w:t>
      </w:r>
      <w:r w:rsidR="00C61F48" w:rsidRPr="005677CA">
        <w:t>Strategjia Kombëtare ndër-sektoriale për Zhvillimin Rajonal</w:t>
      </w:r>
      <w:r w:rsidR="00C61F48" w:rsidRPr="005677CA">
        <w:rPr>
          <w:spacing w:val="-23"/>
        </w:rPr>
        <w:t xml:space="preserve"> </w:t>
      </w:r>
      <w:r w:rsidR="00C61F48" w:rsidRPr="005677CA">
        <w:t>2007;</w:t>
      </w:r>
    </w:p>
    <w:p w14:paraId="3A319041" w14:textId="5A6DA343" w:rsidR="005677CA" w:rsidRDefault="005677CA" w:rsidP="005677CA">
      <w:pPr>
        <w:pStyle w:val="TEKSTI"/>
      </w:pPr>
      <w:r>
        <w:t>-</w:t>
      </w:r>
      <w:r w:rsidR="00C61F48" w:rsidRPr="005677CA">
        <w:t>Kuadri Strategjik i Zhvillimit Rajonal të Shkodrës 2010 –</w:t>
      </w:r>
      <w:r w:rsidR="00C61F48" w:rsidRPr="005677CA">
        <w:rPr>
          <w:spacing w:val="-23"/>
        </w:rPr>
        <w:t xml:space="preserve"> </w:t>
      </w:r>
      <w:r>
        <w:t>2016;</w:t>
      </w:r>
    </w:p>
    <w:p w14:paraId="3122E157" w14:textId="3B1D3388" w:rsidR="00C61F48" w:rsidRPr="005677CA" w:rsidRDefault="005677CA" w:rsidP="005677CA">
      <w:pPr>
        <w:pStyle w:val="TEKSTI"/>
      </w:pPr>
      <w:r>
        <w:t>-</w:t>
      </w:r>
      <w:r w:rsidR="00C61F48" w:rsidRPr="005677CA">
        <w:t>Kuadri Strategjik i Zhvillimit Rajonal të Lezhës 2010 –</w:t>
      </w:r>
      <w:r w:rsidR="00C61F48" w:rsidRPr="005677CA">
        <w:rPr>
          <w:spacing w:val="-21"/>
        </w:rPr>
        <w:t xml:space="preserve"> </w:t>
      </w:r>
      <w:r w:rsidR="00C61F48" w:rsidRPr="005677CA">
        <w:t>2016.</w:t>
      </w:r>
    </w:p>
    <w:p w14:paraId="222BA3AB" w14:textId="77777777" w:rsidR="00C61F48" w:rsidRDefault="00C61F48" w:rsidP="005677CA">
      <w:pPr>
        <w:pStyle w:val="TEKSTI"/>
      </w:pPr>
    </w:p>
    <w:p w14:paraId="75BA041F" w14:textId="77777777" w:rsidR="005677CA" w:rsidRDefault="005677CA" w:rsidP="005677CA">
      <w:pPr>
        <w:pStyle w:val="TEKSTI"/>
      </w:pPr>
    </w:p>
    <w:p w14:paraId="7F32A185" w14:textId="77777777" w:rsidR="00C61F48" w:rsidRDefault="00C61F48" w:rsidP="005677CA">
      <w:pPr>
        <w:pStyle w:val="TEKSTI"/>
        <w:rPr>
          <w:rFonts w:ascii="Times New Roman"/>
        </w:rPr>
      </w:pPr>
    </w:p>
    <w:p w14:paraId="5957F492" w14:textId="77777777" w:rsidR="00EE3EB2" w:rsidRDefault="00EE3EB2" w:rsidP="005677CA">
      <w:pPr>
        <w:pStyle w:val="TEKSTI"/>
        <w:rPr>
          <w:rFonts w:ascii="Times New Roman"/>
        </w:rPr>
      </w:pPr>
    </w:p>
    <w:p w14:paraId="1E4E6D44" w14:textId="77777777" w:rsidR="00EE3EB2" w:rsidRDefault="00EE3EB2" w:rsidP="005677CA">
      <w:pPr>
        <w:pStyle w:val="TEKSTI"/>
        <w:rPr>
          <w:rFonts w:ascii="Times New Roman"/>
        </w:rPr>
      </w:pPr>
    </w:p>
    <w:p w14:paraId="41C29694" w14:textId="77777777" w:rsidR="00EE3EB2" w:rsidRDefault="00EE3EB2" w:rsidP="005677CA">
      <w:pPr>
        <w:pStyle w:val="TEKSTI"/>
        <w:rPr>
          <w:rFonts w:ascii="Times New Roman"/>
        </w:rPr>
      </w:pPr>
    </w:p>
    <w:p w14:paraId="6117938A" w14:textId="77777777" w:rsidR="00EE3EB2" w:rsidRDefault="00EE3EB2" w:rsidP="005677CA">
      <w:pPr>
        <w:pStyle w:val="TEKSTI"/>
        <w:rPr>
          <w:rFonts w:ascii="Times New Roman"/>
        </w:rPr>
      </w:pPr>
    </w:p>
    <w:p w14:paraId="608404ED" w14:textId="77777777" w:rsidR="00EE3EB2" w:rsidRDefault="00EE3EB2" w:rsidP="005677CA">
      <w:pPr>
        <w:pStyle w:val="TEKSTI"/>
        <w:rPr>
          <w:rFonts w:ascii="Times New Roman"/>
        </w:rPr>
      </w:pPr>
    </w:p>
    <w:p w14:paraId="43BDD23D" w14:textId="77777777" w:rsidR="00EE3EB2" w:rsidRDefault="00EE3EB2" w:rsidP="005677CA">
      <w:pPr>
        <w:pStyle w:val="TEKSTI"/>
        <w:rPr>
          <w:rFonts w:ascii="Times New Roman"/>
        </w:rPr>
      </w:pPr>
    </w:p>
    <w:p w14:paraId="546B79AE" w14:textId="77777777" w:rsidR="00C61F48" w:rsidRDefault="00C61F48" w:rsidP="005677CA">
      <w:pPr>
        <w:pStyle w:val="TEKSTI"/>
        <w:rPr>
          <w:rFonts w:ascii="Times New Roman"/>
        </w:rPr>
      </w:pPr>
    </w:p>
    <w:p w14:paraId="323C7386" w14:textId="77777777" w:rsidR="00C61F48" w:rsidRDefault="00C61F48" w:rsidP="00C61F48">
      <w:pPr>
        <w:pStyle w:val="BodyText"/>
        <w:spacing w:before="4"/>
        <w:rPr>
          <w:rFonts w:ascii="Times New Roman"/>
          <w:sz w:val="10"/>
        </w:rPr>
      </w:pP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546"/>
        <w:gridCol w:w="2162"/>
        <w:gridCol w:w="6362"/>
      </w:tblGrid>
      <w:tr w:rsidR="00C61F48" w:rsidRPr="005677CA" w14:paraId="6700B4C8" w14:textId="77777777" w:rsidTr="005677CA">
        <w:trPr>
          <w:trHeight w:hRule="exact" w:val="227"/>
        </w:trPr>
        <w:tc>
          <w:tcPr>
            <w:tcW w:w="301" w:type="pct"/>
            <w:tcBorders>
              <w:bottom w:val="single" w:sz="24" w:space="0" w:color="FFFFFF"/>
            </w:tcBorders>
            <w:shd w:val="clear" w:color="auto" w:fill="4AACC5"/>
          </w:tcPr>
          <w:p w14:paraId="54289A05" w14:textId="77777777" w:rsidR="00C61F48" w:rsidRPr="005677CA" w:rsidRDefault="00C61F48" w:rsidP="00BA13DB">
            <w:pPr>
              <w:rPr>
                <w:rFonts w:ascii="Garamond" w:hAnsi="Garamond"/>
              </w:rPr>
            </w:pPr>
          </w:p>
        </w:tc>
        <w:tc>
          <w:tcPr>
            <w:tcW w:w="1192" w:type="pct"/>
            <w:tcBorders>
              <w:bottom w:val="single" w:sz="24" w:space="0" w:color="FFFFFF"/>
              <w:right w:val="single" w:sz="9" w:space="0" w:color="FFFFFF"/>
            </w:tcBorders>
            <w:shd w:val="clear" w:color="auto" w:fill="4AACC5"/>
          </w:tcPr>
          <w:p w14:paraId="34A99074" w14:textId="77777777" w:rsidR="00C61F48" w:rsidRPr="005677CA" w:rsidRDefault="00C61F48" w:rsidP="00BA13DB">
            <w:pPr>
              <w:rPr>
                <w:rFonts w:ascii="Garamond" w:hAnsi="Garamond"/>
              </w:rPr>
            </w:pPr>
          </w:p>
        </w:tc>
        <w:tc>
          <w:tcPr>
            <w:tcW w:w="3507" w:type="pct"/>
            <w:tcBorders>
              <w:left w:val="single" w:sz="9" w:space="0" w:color="FFFFFF"/>
              <w:bottom w:val="single" w:sz="24" w:space="0" w:color="FFFFFF"/>
            </w:tcBorders>
            <w:shd w:val="clear" w:color="auto" w:fill="4AACC5"/>
          </w:tcPr>
          <w:p w14:paraId="6817756D" w14:textId="77777777" w:rsidR="00C61F48" w:rsidRPr="005677CA" w:rsidRDefault="00C61F48" w:rsidP="00BA13DB">
            <w:pPr>
              <w:rPr>
                <w:rFonts w:ascii="Garamond" w:hAnsi="Garamond"/>
              </w:rPr>
            </w:pPr>
          </w:p>
        </w:tc>
      </w:tr>
      <w:tr w:rsidR="00C61F48" w:rsidRPr="005677CA" w14:paraId="45523589" w14:textId="77777777" w:rsidTr="005677CA">
        <w:trPr>
          <w:trHeight w:hRule="exact" w:val="625"/>
        </w:trPr>
        <w:tc>
          <w:tcPr>
            <w:tcW w:w="301" w:type="pct"/>
            <w:tcBorders>
              <w:top w:val="single" w:sz="24" w:space="0" w:color="FFFFFF"/>
              <w:bottom w:val="single" w:sz="8" w:space="0" w:color="FFFFFF"/>
              <w:right w:val="single" w:sz="24" w:space="0" w:color="FFFFFF"/>
            </w:tcBorders>
            <w:shd w:val="clear" w:color="auto" w:fill="4AACC5"/>
          </w:tcPr>
          <w:p w14:paraId="212442DC"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1</w:t>
            </w:r>
          </w:p>
        </w:tc>
        <w:tc>
          <w:tcPr>
            <w:tcW w:w="1192" w:type="pct"/>
            <w:tcBorders>
              <w:top w:val="single" w:sz="24" w:space="0" w:color="FFFFFF"/>
              <w:left w:val="single" w:sz="24" w:space="0" w:color="FFFFFF"/>
              <w:bottom w:val="single" w:sz="8" w:space="0" w:color="FFFFFF"/>
              <w:right w:val="single" w:sz="9" w:space="0" w:color="FFFFFF"/>
            </w:tcBorders>
            <w:shd w:val="clear" w:color="auto" w:fill="A4D4E1"/>
          </w:tcPr>
          <w:p w14:paraId="0725C279" w14:textId="77777777" w:rsidR="00C61F48" w:rsidRPr="005677CA" w:rsidRDefault="00C61F48" w:rsidP="00BA13DB">
            <w:pPr>
              <w:pStyle w:val="TableParagraph"/>
              <w:ind w:left="254" w:right="294"/>
              <w:rPr>
                <w:rFonts w:ascii="Garamond" w:hAnsi="Garamond"/>
                <w:sz w:val="16"/>
              </w:rPr>
            </w:pPr>
            <w:r w:rsidRPr="005677CA">
              <w:rPr>
                <w:rFonts w:ascii="Garamond" w:hAnsi="Garamond"/>
                <w:sz w:val="16"/>
              </w:rPr>
              <w:t>Konkurrenca, zhvillimi i biznesit dhe NVM- ve, tregtia dhe investimet</w:t>
            </w:r>
          </w:p>
        </w:tc>
        <w:tc>
          <w:tcPr>
            <w:tcW w:w="3507" w:type="pct"/>
            <w:tcBorders>
              <w:top w:val="single" w:sz="24" w:space="0" w:color="FFFFFF"/>
              <w:left w:val="single" w:sz="9" w:space="0" w:color="FFFFFF"/>
              <w:bottom w:val="single" w:sz="8" w:space="0" w:color="FFFFFF"/>
            </w:tcBorders>
            <w:shd w:val="clear" w:color="auto" w:fill="A4D4E1"/>
          </w:tcPr>
          <w:p w14:paraId="4EA2598C" w14:textId="77777777" w:rsidR="00C61F48" w:rsidRPr="005677CA" w:rsidRDefault="00C61F48" w:rsidP="00BA13DB">
            <w:pPr>
              <w:pStyle w:val="TableParagraph"/>
              <w:spacing w:line="194" w:lineRule="exact"/>
              <w:ind w:left="95"/>
              <w:rPr>
                <w:rFonts w:ascii="Garamond" w:hAnsi="Garamond"/>
                <w:sz w:val="16"/>
              </w:rPr>
            </w:pPr>
            <w:r w:rsidRPr="005677CA">
              <w:rPr>
                <w:rFonts w:ascii="Garamond" w:hAnsi="Garamond"/>
                <w:sz w:val="16"/>
              </w:rPr>
              <w:t>-</w:t>
            </w:r>
          </w:p>
        </w:tc>
      </w:tr>
      <w:tr w:rsidR="00C61F48" w:rsidRPr="005677CA" w14:paraId="36572B02" w14:textId="77777777" w:rsidTr="005677CA">
        <w:trPr>
          <w:trHeight w:hRule="exact" w:val="606"/>
        </w:trPr>
        <w:tc>
          <w:tcPr>
            <w:tcW w:w="301" w:type="pct"/>
            <w:tcBorders>
              <w:top w:val="single" w:sz="8" w:space="0" w:color="FFFFFF"/>
              <w:bottom w:val="single" w:sz="9" w:space="0" w:color="FFFFFF"/>
              <w:right w:val="single" w:sz="24" w:space="0" w:color="FFFFFF"/>
            </w:tcBorders>
            <w:shd w:val="clear" w:color="auto" w:fill="4AACC5"/>
          </w:tcPr>
          <w:p w14:paraId="7DDCB543"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2</w:t>
            </w:r>
          </w:p>
        </w:tc>
        <w:tc>
          <w:tcPr>
            <w:tcW w:w="1192" w:type="pct"/>
            <w:tcBorders>
              <w:top w:val="single" w:sz="8" w:space="0" w:color="FFFFFF"/>
              <w:left w:val="single" w:sz="24" w:space="0" w:color="FFFFFF"/>
              <w:bottom w:val="single" w:sz="9" w:space="0" w:color="FFFFFF"/>
              <w:right w:val="single" w:sz="9" w:space="0" w:color="FFFFFF"/>
            </w:tcBorders>
            <w:shd w:val="clear" w:color="auto" w:fill="A4D4E1"/>
          </w:tcPr>
          <w:p w14:paraId="1722CC25" w14:textId="77777777" w:rsidR="00C61F48" w:rsidRPr="005677CA" w:rsidRDefault="00C61F48" w:rsidP="00BA13DB">
            <w:pPr>
              <w:pStyle w:val="TableParagraph"/>
              <w:ind w:left="254" w:right="15"/>
              <w:rPr>
                <w:rFonts w:ascii="Garamond" w:hAnsi="Garamond"/>
                <w:sz w:val="16"/>
              </w:rPr>
            </w:pPr>
            <w:r w:rsidRPr="005677CA">
              <w:rPr>
                <w:rFonts w:ascii="Garamond" w:hAnsi="Garamond"/>
                <w:sz w:val="16"/>
              </w:rPr>
              <w:t>Punësimi, Lëvizja gjeografike e punonjësve, dhe Përfshirja sociale</w:t>
            </w:r>
          </w:p>
        </w:tc>
        <w:tc>
          <w:tcPr>
            <w:tcW w:w="3507" w:type="pct"/>
            <w:tcBorders>
              <w:top w:val="single" w:sz="8" w:space="0" w:color="FFFFFF"/>
              <w:left w:val="single" w:sz="9" w:space="0" w:color="FFFFFF"/>
              <w:bottom w:val="single" w:sz="9" w:space="0" w:color="FFFFFF"/>
            </w:tcBorders>
            <w:shd w:val="clear" w:color="auto" w:fill="D2EAF0"/>
          </w:tcPr>
          <w:p w14:paraId="2CFE6436" w14:textId="40535E5D" w:rsidR="00C61F48" w:rsidRPr="005677CA" w:rsidRDefault="00EE3EB2" w:rsidP="00BA13DB">
            <w:pPr>
              <w:pStyle w:val="TableParagraph"/>
              <w:ind w:left="95" w:right="185"/>
              <w:rPr>
                <w:rFonts w:ascii="Garamond" w:hAnsi="Garamond"/>
                <w:sz w:val="16"/>
              </w:rPr>
            </w:pPr>
            <w:r>
              <w:rPr>
                <w:rFonts w:ascii="Garamond" w:hAnsi="Garamond"/>
                <w:sz w:val="16"/>
              </w:rPr>
              <w:t>- "Konkluzionet e Malit të Zi</w:t>
            </w:r>
            <w:r w:rsidR="00C61F48" w:rsidRPr="005677CA">
              <w:rPr>
                <w:rFonts w:ascii="Garamond" w:hAnsi="Garamond"/>
                <w:sz w:val="16"/>
              </w:rPr>
              <w:t>" dokument i nënshkruar gjatë Forumeve të Konferencës së tretë Ministrore mbi Punësimin dhe Politikat Sociale në Evropën Juglindore, në 26.10.2007.</w:t>
            </w:r>
          </w:p>
        </w:tc>
      </w:tr>
      <w:tr w:rsidR="00C61F48" w:rsidRPr="005677CA" w14:paraId="57DD1D09" w14:textId="77777777" w:rsidTr="005677CA">
        <w:trPr>
          <w:trHeight w:hRule="exact" w:val="606"/>
        </w:trPr>
        <w:tc>
          <w:tcPr>
            <w:tcW w:w="301" w:type="pct"/>
            <w:tcBorders>
              <w:top w:val="single" w:sz="9" w:space="0" w:color="FFFFFF"/>
              <w:bottom w:val="single" w:sz="8" w:space="0" w:color="FFFFFF"/>
              <w:right w:val="single" w:sz="24" w:space="0" w:color="FFFFFF"/>
            </w:tcBorders>
            <w:shd w:val="clear" w:color="auto" w:fill="4AACC5"/>
          </w:tcPr>
          <w:p w14:paraId="4919B8D4"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3</w:t>
            </w:r>
          </w:p>
        </w:tc>
        <w:tc>
          <w:tcPr>
            <w:tcW w:w="1192" w:type="pct"/>
            <w:tcBorders>
              <w:top w:val="single" w:sz="9" w:space="0" w:color="FFFFFF"/>
              <w:left w:val="single" w:sz="24" w:space="0" w:color="FFFFFF"/>
              <w:bottom w:val="single" w:sz="8" w:space="0" w:color="FFFFFF"/>
              <w:right w:val="single" w:sz="9" w:space="0" w:color="FFFFFF"/>
            </w:tcBorders>
            <w:shd w:val="clear" w:color="auto" w:fill="A4D4E1"/>
          </w:tcPr>
          <w:p w14:paraId="7AD47354" w14:textId="77777777" w:rsidR="00C61F48" w:rsidRPr="005677CA" w:rsidRDefault="00C61F48" w:rsidP="00BA13DB">
            <w:pPr>
              <w:pStyle w:val="TableParagraph"/>
              <w:ind w:left="254" w:right="272"/>
              <w:rPr>
                <w:rFonts w:ascii="Garamond" w:hAnsi="Garamond"/>
                <w:sz w:val="16"/>
              </w:rPr>
            </w:pPr>
            <w:r w:rsidRPr="005677CA">
              <w:rPr>
                <w:rFonts w:ascii="Garamond" w:hAnsi="Garamond"/>
                <w:sz w:val="16"/>
              </w:rPr>
              <w:t>Kërkimi shkencor, Zhvillimi dhe Inovacioni Teknologjik dhe TIK</w:t>
            </w:r>
          </w:p>
        </w:tc>
        <w:tc>
          <w:tcPr>
            <w:tcW w:w="3507" w:type="pct"/>
            <w:tcBorders>
              <w:top w:val="single" w:sz="9" w:space="0" w:color="FFFFFF"/>
              <w:left w:val="single" w:sz="9" w:space="0" w:color="FFFFFF"/>
              <w:bottom w:val="single" w:sz="8" w:space="0" w:color="FFFFFF"/>
            </w:tcBorders>
            <w:shd w:val="clear" w:color="auto" w:fill="A4D4E1"/>
          </w:tcPr>
          <w:p w14:paraId="4359674F" w14:textId="77777777" w:rsidR="00C61F48" w:rsidRPr="005677CA" w:rsidRDefault="00C61F48" w:rsidP="00BA13DB">
            <w:pPr>
              <w:pStyle w:val="TableParagraph"/>
              <w:ind w:left="95" w:right="205"/>
              <w:rPr>
                <w:rFonts w:ascii="Garamond" w:hAnsi="Garamond"/>
                <w:sz w:val="16"/>
              </w:rPr>
            </w:pPr>
            <w:r w:rsidRPr="005677CA">
              <w:rPr>
                <w:rFonts w:ascii="Garamond" w:hAnsi="Garamond"/>
                <w:sz w:val="16"/>
              </w:rPr>
              <w:t>- Marrëveshja midis Shqipërisë dhe Malit të Zi për bashkëpunimin shkencor dhe teknologjik, nënshkruar më 16.12.2008.</w:t>
            </w:r>
          </w:p>
        </w:tc>
      </w:tr>
      <w:tr w:rsidR="00C61F48" w:rsidRPr="005677CA" w14:paraId="06D24802" w14:textId="77777777" w:rsidTr="005677CA">
        <w:trPr>
          <w:trHeight w:hRule="exact" w:val="1923"/>
        </w:trPr>
        <w:tc>
          <w:tcPr>
            <w:tcW w:w="301" w:type="pct"/>
            <w:tcBorders>
              <w:top w:val="single" w:sz="8" w:space="0" w:color="FFFFFF"/>
              <w:bottom w:val="single" w:sz="8" w:space="0" w:color="FFFFFF"/>
              <w:right w:val="single" w:sz="24" w:space="0" w:color="FFFFFF"/>
            </w:tcBorders>
            <w:shd w:val="clear" w:color="auto" w:fill="4AACC5"/>
          </w:tcPr>
          <w:p w14:paraId="58AFCC38"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4</w:t>
            </w:r>
          </w:p>
        </w:tc>
        <w:tc>
          <w:tcPr>
            <w:tcW w:w="1192" w:type="pct"/>
            <w:tcBorders>
              <w:top w:val="single" w:sz="8" w:space="0" w:color="FFFFFF"/>
              <w:left w:val="single" w:sz="24" w:space="0" w:color="FFFFFF"/>
              <w:bottom w:val="single" w:sz="8" w:space="0" w:color="FFFFFF"/>
              <w:right w:val="single" w:sz="9" w:space="0" w:color="FFFFFF"/>
            </w:tcBorders>
            <w:shd w:val="clear" w:color="auto" w:fill="A4D4E1"/>
          </w:tcPr>
          <w:p w14:paraId="6B3A5409" w14:textId="77777777" w:rsidR="00C61F48" w:rsidRPr="005677CA" w:rsidRDefault="00C61F48" w:rsidP="00BA13DB">
            <w:pPr>
              <w:pStyle w:val="TableParagraph"/>
              <w:ind w:left="254" w:right="118"/>
              <w:rPr>
                <w:rFonts w:ascii="Garamond" w:hAnsi="Garamond"/>
                <w:sz w:val="16"/>
              </w:rPr>
            </w:pPr>
            <w:r w:rsidRPr="005677CA">
              <w:rPr>
                <w:rFonts w:ascii="Garamond" w:hAnsi="Garamond"/>
                <w:sz w:val="16"/>
              </w:rPr>
              <w:t>Mbrojtja e Mjedisit, Ndryshimet Klimatike dhe Parandalimi i rrezikut</w:t>
            </w:r>
          </w:p>
        </w:tc>
        <w:tc>
          <w:tcPr>
            <w:tcW w:w="3507" w:type="pct"/>
            <w:tcBorders>
              <w:top w:val="single" w:sz="8" w:space="0" w:color="FFFFFF"/>
              <w:left w:val="single" w:sz="9" w:space="0" w:color="FFFFFF"/>
              <w:bottom w:val="single" w:sz="8" w:space="0" w:color="FFFFFF"/>
            </w:tcBorders>
            <w:shd w:val="clear" w:color="auto" w:fill="D2EAF0"/>
          </w:tcPr>
          <w:p w14:paraId="37B6D95A" w14:textId="77777777" w:rsidR="00C61F48" w:rsidRPr="005677CA" w:rsidRDefault="00C61F48" w:rsidP="00C61F48">
            <w:pPr>
              <w:pStyle w:val="TableParagraph"/>
              <w:numPr>
                <w:ilvl w:val="0"/>
                <w:numId w:val="32"/>
              </w:numPr>
              <w:tabs>
                <w:tab w:val="left" w:pos="183"/>
              </w:tabs>
              <w:ind w:right="144" w:firstLine="0"/>
              <w:rPr>
                <w:rFonts w:ascii="Garamond" w:hAnsi="Garamond"/>
                <w:sz w:val="16"/>
              </w:rPr>
            </w:pPr>
            <w:r w:rsidRPr="005677CA">
              <w:rPr>
                <w:rFonts w:ascii="Garamond" w:hAnsi="Garamond"/>
                <w:sz w:val="16"/>
              </w:rPr>
              <w:t>Marrëveshja ndërmjet Qeverisë së Shqipërisë dhe Malit të Zi mbi problemet e ujit. Statuti i Komisionit të përbashkët ndër-qeveritar Shqiptaro-Malazez në trajtimin e kufijve ujor dhe Protokolli i mbledhjes së këtij Komisioni nënshkruar më 31.10.2001, hyrë në fuqi më 13 Shkurt</w:t>
            </w:r>
            <w:r w:rsidRPr="005677CA">
              <w:rPr>
                <w:rFonts w:ascii="Garamond" w:hAnsi="Garamond"/>
                <w:spacing w:val="-4"/>
                <w:sz w:val="16"/>
              </w:rPr>
              <w:t xml:space="preserve"> </w:t>
            </w:r>
            <w:r w:rsidRPr="005677CA">
              <w:rPr>
                <w:rFonts w:ascii="Garamond" w:hAnsi="Garamond"/>
                <w:sz w:val="16"/>
              </w:rPr>
              <w:t>2003.</w:t>
            </w:r>
          </w:p>
          <w:p w14:paraId="7CBD23BD" w14:textId="77777777" w:rsidR="00C61F48" w:rsidRPr="005677CA" w:rsidRDefault="00C61F48" w:rsidP="00C61F48">
            <w:pPr>
              <w:pStyle w:val="TableParagraph"/>
              <w:numPr>
                <w:ilvl w:val="0"/>
                <w:numId w:val="32"/>
              </w:numPr>
              <w:tabs>
                <w:tab w:val="left" w:pos="183"/>
              </w:tabs>
              <w:spacing w:before="1"/>
              <w:ind w:right="199" w:firstLine="0"/>
              <w:rPr>
                <w:rFonts w:ascii="Garamond" w:hAnsi="Garamond"/>
                <w:sz w:val="16"/>
              </w:rPr>
            </w:pPr>
            <w:r w:rsidRPr="005677CA">
              <w:rPr>
                <w:rFonts w:ascii="Garamond" w:hAnsi="Garamond"/>
                <w:sz w:val="16"/>
              </w:rPr>
              <w:t>Memorandumi</w:t>
            </w:r>
            <w:r w:rsidRPr="005677CA">
              <w:rPr>
                <w:rFonts w:ascii="Garamond" w:hAnsi="Garamond"/>
                <w:spacing w:val="-3"/>
                <w:sz w:val="16"/>
              </w:rPr>
              <w:t xml:space="preserve"> </w:t>
            </w:r>
            <w:r w:rsidRPr="005677CA">
              <w:rPr>
                <w:rFonts w:ascii="Garamond" w:hAnsi="Garamond"/>
                <w:sz w:val="16"/>
              </w:rPr>
              <w:t>i</w:t>
            </w:r>
            <w:r w:rsidRPr="005677CA">
              <w:rPr>
                <w:rFonts w:ascii="Garamond" w:hAnsi="Garamond"/>
                <w:spacing w:val="-4"/>
                <w:sz w:val="16"/>
              </w:rPr>
              <w:t xml:space="preserve"> </w:t>
            </w:r>
            <w:r w:rsidRPr="005677CA">
              <w:rPr>
                <w:rFonts w:ascii="Garamond" w:hAnsi="Garamond"/>
                <w:sz w:val="16"/>
              </w:rPr>
              <w:t>Mirëkuptimit</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2"/>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1"/>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 dhe Qeverisë së Republikës së Malit të Zi për shfrytëzimin e LTL 400 KV, nënshkruar më 02.07.2004.</w:t>
            </w:r>
          </w:p>
          <w:p w14:paraId="7F1105E3" w14:textId="77777777" w:rsidR="00C61F48" w:rsidRPr="005677CA" w:rsidRDefault="00C61F48" w:rsidP="00C61F48">
            <w:pPr>
              <w:pStyle w:val="TableParagraph"/>
              <w:numPr>
                <w:ilvl w:val="0"/>
                <w:numId w:val="32"/>
              </w:numPr>
              <w:tabs>
                <w:tab w:val="left" w:pos="183"/>
              </w:tabs>
              <w:spacing w:before="1"/>
              <w:ind w:right="200" w:firstLine="0"/>
              <w:jc w:val="both"/>
              <w:rPr>
                <w:rFonts w:ascii="Garamond" w:hAnsi="Garamond"/>
                <w:sz w:val="16"/>
              </w:rPr>
            </w:pPr>
            <w:r w:rsidRPr="005677CA">
              <w:rPr>
                <w:rFonts w:ascii="Garamond" w:hAnsi="Garamond"/>
                <w:sz w:val="16"/>
              </w:rPr>
              <w:t>Memorandumi</w:t>
            </w:r>
            <w:r w:rsidRPr="005677CA">
              <w:rPr>
                <w:rFonts w:ascii="Garamond" w:hAnsi="Garamond"/>
                <w:spacing w:val="-3"/>
                <w:sz w:val="16"/>
              </w:rPr>
              <w:t xml:space="preserve"> </w:t>
            </w:r>
            <w:r w:rsidRPr="005677CA">
              <w:rPr>
                <w:rFonts w:ascii="Garamond" w:hAnsi="Garamond"/>
                <w:sz w:val="16"/>
              </w:rPr>
              <w:t>i</w:t>
            </w:r>
            <w:r w:rsidRPr="005677CA">
              <w:rPr>
                <w:rFonts w:ascii="Garamond" w:hAnsi="Garamond"/>
                <w:spacing w:val="-4"/>
                <w:sz w:val="16"/>
              </w:rPr>
              <w:t xml:space="preserve"> </w:t>
            </w:r>
            <w:r w:rsidRPr="005677CA">
              <w:rPr>
                <w:rFonts w:ascii="Garamond" w:hAnsi="Garamond"/>
                <w:sz w:val="16"/>
              </w:rPr>
              <w:t>Mirëkuptimit</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2"/>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 dhe Qeverisë së Malit të Zi mbi zhvillimin ndërkufitar të liqenit të Shkodrës, nënshkruar më 26.05.2006.</w:t>
            </w:r>
          </w:p>
          <w:p w14:paraId="4B1BDBF6" w14:textId="77777777" w:rsidR="00C61F48" w:rsidRPr="005677CA" w:rsidRDefault="00C61F48" w:rsidP="00C61F48">
            <w:pPr>
              <w:pStyle w:val="TableParagraph"/>
              <w:numPr>
                <w:ilvl w:val="0"/>
                <w:numId w:val="32"/>
              </w:numPr>
              <w:tabs>
                <w:tab w:val="left" w:pos="219"/>
              </w:tabs>
              <w:ind w:right="113" w:firstLine="36"/>
              <w:jc w:val="both"/>
              <w:rPr>
                <w:rFonts w:ascii="Garamond" w:hAnsi="Garamond"/>
                <w:sz w:val="16"/>
              </w:rPr>
            </w:pPr>
            <w:r w:rsidRPr="005677CA">
              <w:rPr>
                <w:rFonts w:ascii="Garamond" w:hAnsi="Garamond"/>
                <w:sz w:val="16"/>
              </w:rPr>
              <w:t>Memorandumi</w:t>
            </w:r>
            <w:r w:rsidRPr="005677CA">
              <w:rPr>
                <w:rFonts w:ascii="Garamond" w:hAnsi="Garamond"/>
                <w:spacing w:val="-3"/>
                <w:sz w:val="16"/>
              </w:rPr>
              <w:t xml:space="preserve"> </w:t>
            </w:r>
            <w:r w:rsidRPr="005677CA">
              <w:rPr>
                <w:rFonts w:ascii="Garamond" w:hAnsi="Garamond"/>
                <w:sz w:val="16"/>
              </w:rPr>
              <w:t>i</w:t>
            </w:r>
            <w:r w:rsidRPr="005677CA">
              <w:rPr>
                <w:rFonts w:ascii="Garamond" w:hAnsi="Garamond"/>
                <w:spacing w:val="-4"/>
                <w:sz w:val="16"/>
              </w:rPr>
              <w:t xml:space="preserve"> </w:t>
            </w:r>
            <w:r w:rsidRPr="005677CA">
              <w:rPr>
                <w:rFonts w:ascii="Garamond" w:hAnsi="Garamond"/>
                <w:sz w:val="16"/>
              </w:rPr>
              <w:t>Mirëkuptimit</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Ministrisë</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3"/>
                <w:sz w:val="16"/>
              </w:rPr>
              <w:t xml:space="preserve"> </w:t>
            </w:r>
            <w:r w:rsidRPr="005677CA">
              <w:rPr>
                <w:rFonts w:ascii="Garamond" w:hAnsi="Garamond"/>
                <w:sz w:val="16"/>
              </w:rPr>
              <w:t>Mjedisit,</w:t>
            </w:r>
            <w:r w:rsidRPr="005677CA">
              <w:rPr>
                <w:rFonts w:ascii="Garamond" w:hAnsi="Garamond"/>
                <w:spacing w:val="-2"/>
                <w:sz w:val="16"/>
              </w:rPr>
              <w:t xml:space="preserve"> </w:t>
            </w:r>
            <w:r w:rsidRPr="005677CA">
              <w:rPr>
                <w:rFonts w:ascii="Garamond" w:hAnsi="Garamond"/>
                <w:sz w:val="16"/>
              </w:rPr>
              <w:t>Pyjeve</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Administrimit</w:t>
            </w:r>
            <w:r w:rsidRPr="005677CA">
              <w:rPr>
                <w:rFonts w:ascii="Garamond" w:hAnsi="Garamond"/>
                <w:spacing w:val="-3"/>
                <w:sz w:val="16"/>
              </w:rPr>
              <w:t xml:space="preserve"> </w:t>
            </w:r>
            <w:r w:rsidRPr="005677CA">
              <w:rPr>
                <w:rFonts w:ascii="Garamond" w:hAnsi="Garamond"/>
                <w:sz w:val="16"/>
              </w:rPr>
              <w:t>të Ujërave të Republikës së Shqipërisë dhe Ministrisë së Bujqësisë, Pyjeve dhe Administrimit të Ujërave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Malit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1"/>
                <w:sz w:val="16"/>
              </w:rPr>
              <w:t xml:space="preserve"> </w:t>
            </w:r>
            <w:r w:rsidRPr="005677CA">
              <w:rPr>
                <w:rFonts w:ascii="Garamond" w:hAnsi="Garamond"/>
                <w:sz w:val="16"/>
              </w:rPr>
              <w:t>Zi,</w:t>
            </w:r>
            <w:r w:rsidRPr="005677CA">
              <w:rPr>
                <w:rFonts w:ascii="Garamond" w:hAnsi="Garamond"/>
                <w:spacing w:val="-2"/>
                <w:sz w:val="16"/>
              </w:rPr>
              <w:t xml:space="preserve"> </w:t>
            </w:r>
            <w:r w:rsidRPr="005677CA">
              <w:rPr>
                <w:rFonts w:ascii="Garamond" w:hAnsi="Garamond"/>
                <w:sz w:val="16"/>
              </w:rPr>
              <w:t>nënshkruar</w:t>
            </w:r>
            <w:r w:rsidRPr="005677CA">
              <w:rPr>
                <w:rFonts w:ascii="Garamond" w:hAnsi="Garamond"/>
                <w:spacing w:val="-3"/>
                <w:sz w:val="16"/>
              </w:rPr>
              <w:t xml:space="preserve"> </w:t>
            </w:r>
            <w:r w:rsidRPr="005677CA">
              <w:rPr>
                <w:rFonts w:ascii="Garamond" w:hAnsi="Garamond"/>
                <w:sz w:val="16"/>
              </w:rPr>
              <w:t>më</w:t>
            </w:r>
            <w:r w:rsidRPr="005677CA">
              <w:rPr>
                <w:rFonts w:ascii="Garamond" w:hAnsi="Garamond"/>
                <w:spacing w:val="-3"/>
                <w:sz w:val="16"/>
              </w:rPr>
              <w:t xml:space="preserve"> </w:t>
            </w:r>
            <w:r w:rsidRPr="005677CA">
              <w:rPr>
                <w:rFonts w:ascii="Garamond" w:hAnsi="Garamond"/>
                <w:sz w:val="16"/>
              </w:rPr>
              <w:t>14.12.2010,</w:t>
            </w:r>
            <w:r w:rsidRPr="005677CA">
              <w:rPr>
                <w:rFonts w:ascii="Garamond" w:hAnsi="Garamond"/>
                <w:spacing w:val="-2"/>
                <w:sz w:val="16"/>
              </w:rPr>
              <w:t xml:space="preserve"> </w:t>
            </w:r>
            <w:r w:rsidRPr="005677CA">
              <w:rPr>
                <w:rFonts w:ascii="Garamond" w:hAnsi="Garamond"/>
                <w:sz w:val="16"/>
              </w:rPr>
              <w:t>hyrë</w:t>
            </w:r>
            <w:r w:rsidRPr="005677CA">
              <w:rPr>
                <w:rFonts w:ascii="Garamond" w:hAnsi="Garamond"/>
                <w:spacing w:val="-3"/>
                <w:sz w:val="16"/>
              </w:rPr>
              <w:t xml:space="preserve"> </w:t>
            </w:r>
            <w:r w:rsidRPr="005677CA">
              <w:rPr>
                <w:rFonts w:ascii="Garamond" w:hAnsi="Garamond"/>
                <w:sz w:val="16"/>
              </w:rPr>
              <w:t>në</w:t>
            </w:r>
            <w:r w:rsidRPr="005677CA">
              <w:rPr>
                <w:rFonts w:ascii="Garamond" w:hAnsi="Garamond"/>
                <w:spacing w:val="-3"/>
                <w:sz w:val="16"/>
              </w:rPr>
              <w:t xml:space="preserve"> </w:t>
            </w:r>
            <w:r w:rsidRPr="005677CA">
              <w:rPr>
                <w:rFonts w:ascii="Garamond" w:hAnsi="Garamond"/>
                <w:sz w:val="16"/>
              </w:rPr>
              <w:t>fuqi</w:t>
            </w:r>
            <w:r w:rsidRPr="005677CA">
              <w:rPr>
                <w:rFonts w:ascii="Garamond" w:hAnsi="Garamond"/>
                <w:spacing w:val="-3"/>
                <w:sz w:val="16"/>
              </w:rPr>
              <w:t xml:space="preserve"> </w:t>
            </w:r>
            <w:r w:rsidRPr="005677CA">
              <w:rPr>
                <w:rFonts w:ascii="Garamond" w:hAnsi="Garamond"/>
                <w:sz w:val="16"/>
              </w:rPr>
              <w:t>në</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njëjtën</w:t>
            </w:r>
            <w:r w:rsidRPr="005677CA">
              <w:rPr>
                <w:rFonts w:ascii="Garamond" w:hAnsi="Garamond"/>
                <w:spacing w:val="-3"/>
                <w:sz w:val="16"/>
              </w:rPr>
              <w:t xml:space="preserve"> </w:t>
            </w:r>
            <w:r w:rsidRPr="005677CA">
              <w:rPr>
                <w:rFonts w:ascii="Garamond" w:hAnsi="Garamond"/>
                <w:sz w:val="16"/>
              </w:rPr>
              <w:t>ditë.</w:t>
            </w:r>
          </w:p>
        </w:tc>
      </w:tr>
      <w:tr w:rsidR="00C61F48" w:rsidRPr="005677CA" w14:paraId="00D19D99" w14:textId="77777777" w:rsidTr="005677CA">
        <w:trPr>
          <w:trHeight w:hRule="exact" w:val="3680"/>
        </w:trPr>
        <w:tc>
          <w:tcPr>
            <w:tcW w:w="301" w:type="pct"/>
            <w:tcBorders>
              <w:top w:val="single" w:sz="8" w:space="0" w:color="FFFFFF"/>
              <w:bottom w:val="single" w:sz="8" w:space="0" w:color="FFFFFF"/>
              <w:right w:val="single" w:sz="24" w:space="0" w:color="FFFFFF"/>
            </w:tcBorders>
            <w:shd w:val="clear" w:color="auto" w:fill="4AACC5"/>
          </w:tcPr>
          <w:p w14:paraId="4C212DD2"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5</w:t>
            </w:r>
          </w:p>
        </w:tc>
        <w:tc>
          <w:tcPr>
            <w:tcW w:w="1192" w:type="pct"/>
            <w:tcBorders>
              <w:top w:val="single" w:sz="8" w:space="0" w:color="FFFFFF"/>
              <w:left w:val="single" w:sz="24" w:space="0" w:color="FFFFFF"/>
              <w:bottom w:val="single" w:sz="8" w:space="0" w:color="FFFFFF"/>
              <w:right w:val="single" w:sz="9" w:space="0" w:color="FFFFFF"/>
            </w:tcBorders>
            <w:shd w:val="clear" w:color="auto" w:fill="A4D4E1"/>
          </w:tcPr>
          <w:p w14:paraId="2FE7BADD" w14:textId="77777777" w:rsidR="00C61F48" w:rsidRPr="005677CA" w:rsidRDefault="00C61F48" w:rsidP="00BA13DB">
            <w:pPr>
              <w:pStyle w:val="TableParagraph"/>
              <w:ind w:left="254" w:right="330"/>
              <w:rPr>
                <w:rFonts w:ascii="Garamond" w:hAnsi="Garamond"/>
                <w:sz w:val="16"/>
              </w:rPr>
            </w:pPr>
            <w:r w:rsidRPr="005677CA">
              <w:rPr>
                <w:rFonts w:ascii="Garamond" w:hAnsi="Garamond"/>
                <w:sz w:val="16"/>
              </w:rPr>
              <w:t>Transporti dhe Infrastrukturat publike</w:t>
            </w:r>
          </w:p>
        </w:tc>
        <w:tc>
          <w:tcPr>
            <w:tcW w:w="3507" w:type="pct"/>
            <w:tcBorders>
              <w:top w:val="single" w:sz="8" w:space="0" w:color="FFFFFF"/>
              <w:left w:val="single" w:sz="9" w:space="0" w:color="FFFFFF"/>
              <w:bottom w:val="single" w:sz="8" w:space="0" w:color="FFFFFF"/>
            </w:tcBorders>
            <w:shd w:val="clear" w:color="auto" w:fill="A4D4E1"/>
          </w:tcPr>
          <w:p w14:paraId="67F88780" w14:textId="77777777" w:rsidR="00C61F48" w:rsidRPr="005677CA" w:rsidRDefault="00C61F48" w:rsidP="00C61F48">
            <w:pPr>
              <w:pStyle w:val="TableParagraph"/>
              <w:numPr>
                <w:ilvl w:val="0"/>
                <w:numId w:val="31"/>
              </w:numPr>
              <w:tabs>
                <w:tab w:val="left" w:pos="216"/>
              </w:tabs>
              <w:ind w:right="128" w:firstLine="0"/>
              <w:rPr>
                <w:rFonts w:ascii="Garamond" w:hAnsi="Garamond"/>
                <w:sz w:val="16"/>
              </w:rPr>
            </w:pPr>
            <w:r w:rsidRPr="005677CA">
              <w:rPr>
                <w:rFonts w:ascii="Garamond" w:hAnsi="Garamond"/>
                <w:sz w:val="16"/>
              </w:rPr>
              <w:t>Marrëveshja</w:t>
            </w:r>
            <w:r w:rsidRPr="005677CA">
              <w:rPr>
                <w:rFonts w:ascii="Garamond" w:hAnsi="Garamond"/>
                <w:spacing w:val="-4"/>
                <w:sz w:val="16"/>
              </w:rPr>
              <w:t xml:space="preserve"> </w:t>
            </w:r>
            <w:r w:rsidRPr="005677CA">
              <w:rPr>
                <w:rFonts w:ascii="Garamond" w:hAnsi="Garamond"/>
                <w:sz w:val="16"/>
              </w:rPr>
              <w:t>ndërmjet</w:t>
            </w:r>
            <w:r w:rsidRPr="005677CA">
              <w:rPr>
                <w:rFonts w:ascii="Garamond" w:hAnsi="Garamond"/>
                <w:spacing w:val="-4"/>
                <w:sz w:val="16"/>
              </w:rPr>
              <w:t xml:space="preserve"> </w:t>
            </w:r>
            <w:r w:rsidRPr="005677CA">
              <w:rPr>
                <w:rFonts w:ascii="Garamond" w:hAnsi="Garamond"/>
                <w:sz w:val="16"/>
              </w:rPr>
              <w:t>Ministrisë</w:t>
            </w:r>
            <w:r w:rsidRPr="005677CA">
              <w:rPr>
                <w:rFonts w:ascii="Garamond" w:hAnsi="Garamond"/>
                <w:spacing w:val="-4"/>
                <w:sz w:val="16"/>
              </w:rPr>
              <w:t xml:space="preserve"> </w:t>
            </w:r>
            <w:r w:rsidRPr="005677CA">
              <w:rPr>
                <w:rFonts w:ascii="Garamond" w:hAnsi="Garamond"/>
                <w:sz w:val="16"/>
              </w:rPr>
              <w:t>së</w:t>
            </w:r>
            <w:r w:rsidRPr="005677CA">
              <w:rPr>
                <w:rFonts w:ascii="Garamond" w:hAnsi="Garamond"/>
                <w:spacing w:val="-2"/>
                <w:sz w:val="16"/>
              </w:rPr>
              <w:t xml:space="preserve"> </w:t>
            </w:r>
            <w:r w:rsidRPr="005677CA">
              <w:rPr>
                <w:rFonts w:ascii="Garamond" w:hAnsi="Garamond"/>
                <w:sz w:val="16"/>
              </w:rPr>
              <w:t>Punëve</w:t>
            </w:r>
            <w:r w:rsidRPr="005677CA">
              <w:rPr>
                <w:rFonts w:ascii="Garamond" w:hAnsi="Garamond"/>
                <w:spacing w:val="-4"/>
                <w:sz w:val="16"/>
              </w:rPr>
              <w:t xml:space="preserve"> </w:t>
            </w:r>
            <w:r w:rsidRPr="005677CA">
              <w:rPr>
                <w:rFonts w:ascii="Garamond" w:hAnsi="Garamond"/>
                <w:sz w:val="16"/>
              </w:rPr>
              <w:t>të</w:t>
            </w:r>
            <w:r w:rsidRPr="005677CA">
              <w:rPr>
                <w:rFonts w:ascii="Garamond" w:hAnsi="Garamond"/>
                <w:spacing w:val="-4"/>
                <w:sz w:val="16"/>
              </w:rPr>
              <w:t xml:space="preserve"> </w:t>
            </w:r>
            <w:r w:rsidRPr="005677CA">
              <w:rPr>
                <w:rFonts w:ascii="Garamond" w:hAnsi="Garamond"/>
                <w:sz w:val="16"/>
              </w:rPr>
              <w:t>Brendshme</w:t>
            </w:r>
            <w:r w:rsidRPr="005677CA">
              <w:rPr>
                <w:rFonts w:ascii="Garamond" w:hAnsi="Garamond"/>
                <w:spacing w:val="-4"/>
                <w:sz w:val="16"/>
              </w:rPr>
              <w:t xml:space="preserve"> </w:t>
            </w:r>
            <w:r w:rsidRPr="005677CA">
              <w:rPr>
                <w:rFonts w:ascii="Garamond" w:hAnsi="Garamond"/>
                <w:sz w:val="16"/>
              </w:rPr>
              <w:t>të</w:t>
            </w:r>
            <w:r w:rsidRPr="005677CA">
              <w:rPr>
                <w:rFonts w:ascii="Garamond" w:hAnsi="Garamond"/>
                <w:spacing w:val="-2"/>
                <w:sz w:val="16"/>
              </w:rPr>
              <w:t xml:space="preserve"> </w:t>
            </w:r>
            <w:r w:rsidRPr="005677CA">
              <w:rPr>
                <w:rFonts w:ascii="Garamond" w:hAnsi="Garamond"/>
                <w:sz w:val="16"/>
              </w:rPr>
              <w:t>Republikës</w:t>
            </w:r>
            <w:r w:rsidRPr="005677CA">
              <w:rPr>
                <w:rFonts w:ascii="Garamond" w:hAnsi="Garamond"/>
                <w:spacing w:val="-4"/>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5"/>
                <w:sz w:val="16"/>
              </w:rPr>
              <w:t xml:space="preserve"> </w:t>
            </w:r>
            <w:r w:rsidRPr="005677CA">
              <w:rPr>
                <w:rFonts w:ascii="Garamond" w:hAnsi="Garamond"/>
                <w:sz w:val="16"/>
              </w:rPr>
              <w:t>dhe Ministrisë së Punëve të Brendshme të Malit të Zi mbi vendosjen e qarkullimit të përhershme ndërkombëtar nëpërmjet pikës kufitare Han i Hotit-Bozhaj, nënshkruar më 24.01.2000.</w:t>
            </w:r>
          </w:p>
          <w:p w14:paraId="447323D3" w14:textId="77777777" w:rsidR="00C61F48" w:rsidRPr="005677CA" w:rsidRDefault="00C61F48" w:rsidP="00C61F48">
            <w:pPr>
              <w:pStyle w:val="TableParagraph"/>
              <w:numPr>
                <w:ilvl w:val="0"/>
                <w:numId w:val="31"/>
              </w:numPr>
              <w:tabs>
                <w:tab w:val="left" w:pos="216"/>
              </w:tabs>
              <w:ind w:right="221" w:firstLine="0"/>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3"/>
                <w:sz w:val="16"/>
              </w:rPr>
              <w:t xml:space="preserve"> </w:t>
            </w:r>
            <w:r w:rsidRPr="005677CA">
              <w:rPr>
                <w:rFonts w:ascii="Garamond" w:hAnsi="Garamond"/>
                <w:sz w:val="16"/>
              </w:rPr>
              <w:t>së Malit të Zi mbi transportin rrugor ndërkombëtar të udhëtarëve dhe mallrave, nënshkruar më 02.07.2000 dhe hyrë në fuqi më</w:t>
            </w:r>
            <w:r w:rsidRPr="005677CA">
              <w:rPr>
                <w:rFonts w:ascii="Garamond" w:hAnsi="Garamond"/>
                <w:spacing w:val="-11"/>
                <w:sz w:val="16"/>
              </w:rPr>
              <w:t xml:space="preserve"> </w:t>
            </w:r>
            <w:r w:rsidRPr="005677CA">
              <w:rPr>
                <w:rFonts w:ascii="Garamond" w:hAnsi="Garamond"/>
                <w:sz w:val="16"/>
              </w:rPr>
              <w:t>11.11.2004.</w:t>
            </w:r>
          </w:p>
          <w:p w14:paraId="103225D4" w14:textId="77777777" w:rsidR="00C61F48" w:rsidRPr="005677CA" w:rsidRDefault="00C61F48" w:rsidP="00C61F48">
            <w:pPr>
              <w:pStyle w:val="TableParagraph"/>
              <w:numPr>
                <w:ilvl w:val="0"/>
                <w:numId w:val="31"/>
              </w:numPr>
              <w:tabs>
                <w:tab w:val="left" w:pos="216"/>
              </w:tabs>
              <w:ind w:right="221" w:firstLine="0"/>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3"/>
                <w:sz w:val="16"/>
              </w:rPr>
              <w:t xml:space="preserve"> </w:t>
            </w:r>
            <w:r w:rsidRPr="005677CA">
              <w:rPr>
                <w:rFonts w:ascii="Garamond" w:hAnsi="Garamond"/>
                <w:sz w:val="16"/>
              </w:rPr>
              <w:t>së Malit të Zi për krijimin e linjës ndërkombëtare të liqenit për udhëtarët, Shkodër-Virpazar, nënshkruar në Podgoricë më</w:t>
            </w:r>
            <w:r w:rsidRPr="005677CA">
              <w:rPr>
                <w:rFonts w:ascii="Garamond" w:hAnsi="Garamond"/>
                <w:spacing w:val="-10"/>
                <w:sz w:val="16"/>
              </w:rPr>
              <w:t xml:space="preserve"> </w:t>
            </w:r>
            <w:r w:rsidRPr="005677CA">
              <w:rPr>
                <w:rFonts w:ascii="Garamond" w:hAnsi="Garamond"/>
                <w:sz w:val="16"/>
              </w:rPr>
              <w:t>02.07.2004.</w:t>
            </w:r>
          </w:p>
          <w:p w14:paraId="6EE1F720" w14:textId="77777777" w:rsidR="00C61F48" w:rsidRPr="005677CA" w:rsidRDefault="00C61F48" w:rsidP="00C61F48">
            <w:pPr>
              <w:pStyle w:val="TableParagraph"/>
              <w:numPr>
                <w:ilvl w:val="0"/>
                <w:numId w:val="31"/>
              </w:numPr>
              <w:tabs>
                <w:tab w:val="left" w:pos="216"/>
              </w:tabs>
              <w:ind w:right="221" w:firstLine="0"/>
              <w:jc w:val="both"/>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3"/>
                <w:sz w:val="16"/>
              </w:rPr>
              <w:t xml:space="preserve"> </w:t>
            </w:r>
            <w:r w:rsidRPr="005677CA">
              <w:rPr>
                <w:rFonts w:ascii="Garamond" w:hAnsi="Garamond"/>
                <w:sz w:val="16"/>
              </w:rPr>
              <w:t>së Malit të Zi për marrëdhëniet reciproke për çështjet doganore, nënshkruar më 23.12.2005, hyrë në fuqi më 1 dhjetor</w:t>
            </w:r>
            <w:r w:rsidRPr="005677CA">
              <w:rPr>
                <w:rFonts w:ascii="Garamond" w:hAnsi="Garamond"/>
                <w:spacing w:val="-11"/>
                <w:sz w:val="16"/>
              </w:rPr>
              <w:t xml:space="preserve"> </w:t>
            </w:r>
            <w:r w:rsidRPr="005677CA">
              <w:rPr>
                <w:rFonts w:ascii="Garamond" w:hAnsi="Garamond"/>
                <w:sz w:val="16"/>
              </w:rPr>
              <w:t>2007.</w:t>
            </w:r>
          </w:p>
          <w:p w14:paraId="6DD280E8" w14:textId="77777777" w:rsidR="00C61F48" w:rsidRPr="005677CA" w:rsidRDefault="00C61F48" w:rsidP="00C61F48">
            <w:pPr>
              <w:pStyle w:val="TableParagraph"/>
              <w:numPr>
                <w:ilvl w:val="0"/>
                <w:numId w:val="31"/>
              </w:numPr>
              <w:tabs>
                <w:tab w:val="left" w:pos="216"/>
              </w:tabs>
              <w:ind w:right="221" w:firstLine="0"/>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3"/>
                <w:sz w:val="16"/>
              </w:rPr>
              <w:t xml:space="preserve"> </w:t>
            </w:r>
            <w:r w:rsidRPr="005677CA">
              <w:rPr>
                <w:rFonts w:ascii="Garamond" w:hAnsi="Garamond"/>
                <w:sz w:val="16"/>
              </w:rPr>
              <w:t>së Malit të Zi mbi organizimin e trafikut hekurudhor ndërmjet dy vendeve, nënshkruar më 16.05.2006.</w:t>
            </w:r>
          </w:p>
          <w:p w14:paraId="3FA82EE8" w14:textId="77777777" w:rsidR="00C61F48" w:rsidRPr="005677CA" w:rsidRDefault="00C61F48" w:rsidP="00C61F48">
            <w:pPr>
              <w:pStyle w:val="TableParagraph"/>
              <w:numPr>
                <w:ilvl w:val="0"/>
                <w:numId w:val="31"/>
              </w:numPr>
              <w:tabs>
                <w:tab w:val="left" w:pos="216"/>
              </w:tabs>
              <w:ind w:right="221" w:firstLine="0"/>
              <w:jc w:val="both"/>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3"/>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3"/>
                <w:sz w:val="16"/>
              </w:rPr>
              <w:t xml:space="preserve"> </w:t>
            </w:r>
            <w:r w:rsidRPr="005677CA">
              <w:rPr>
                <w:rFonts w:ascii="Garamond" w:hAnsi="Garamond"/>
                <w:sz w:val="16"/>
              </w:rPr>
              <w:t>së Malit të Zi për hapjen e pikës së përbashkët kufitare Murriqan-Sukobinë, e nënshkruar më 17 janar 2007.</w:t>
            </w:r>
          </w:p>
          <w:p w14:paraId="321C400A" w14:textId="77777777" w:rsidR="00C61F48" w:rsidRPr="005677CA" w:rsidRDefault="00C61F48" w:rsidP="00C61F48">
            <w:pPr>
              <w:pStyle w:val="TableParagraph"/>
              <w:numPr>
                <w:ilvl w:val="0"/>
                <w:numId w:val="31"/>
              </w:numPr>
              <w:tabs>
                <w:tab w:val="left" w:pos="216"/>
              </w:tabs>
              <w:spacing w:before="2"/>
              <w:ind w:right="220" w:firstLine="0"/>
              <w:rPr>
                <w:rFonts w:ascii="Garamond" w:hAnsi="Garamond"/>
                <w:sz w:val="16"/>
              </w:rPr>
            </w:pPr>
            <w:r w:rsidRPr="005677CA">
              <w:rPr>
                <w:rFonts w:ascii="Garamond" w:hAnsi="Garamond"/>
                <w:sz w:val="16"/>
              </w:rPr>
              <w:t>Marrëveshja</w:t>
            </w:r>
            <w:r w:rsidRPr="005677CA">
              <w:rPr>
                <w:rFonts w:ascii="Garamond" w:hAnsi="Garamond"/>
                <w:spacing w:val="-3"/>
                <w:sz w:val="16"/>
              </w:rPr>
              <w:t xml:space="preserve"> </w:t>
            </w:r>
            <w:r w:rsidRPr="005677CA">
              <w:rPr>
                <w:rFonts w:ascii="Garamond" w:hAnsi="Garamond"/>
                <w:sz w:val="16"/>
              </w:rPr>
              <w:t>ndërmjet</w:t>
            </w:r>
            <w:r w:rsidRPr="005677CA">
              <w:rPr>
                <w:rFonts w:ascii="Garamond" w:hAnsi="Garamond"/>
                <w:spacing w:val="-3"/>
                <w:sz w:val="16"/>
              </w:rPr>
              <w:t xml:space="preserve"> </w:t>
            </w:r>
            <w:r w:rsidRPr="005677CA">
              <w:rPr>
                <w:rFonts w:ascii="Garamond" w:hAnsi="Garamond"/>
                <w:sz w:val="16"/>
              </w:rPr>
              <w:t>Këshillit</w:t>
            </w:r>
            <w:r w:rsidRPr="005677CA">
              <w:rPr>
                <w:rFonts w:ascii="Garamond" w:hAnsi="Garamond"/>
                <w:spacing w:val="-2"/>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Ministrave</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3"/>
                <w:sz w:val="16"/>
              </w:rPr>
              <w:t xml:space="preserve"> </w:t>
            </w:r>
            <w:r w:rsidRPr="005677CA">
              <w:rPr>
                <w:rFonts w:ascii="Garamond" w:hAnsi="Garamond"/>
                <w:sz w:val="16"/>
              </w:rPr>
              <w:t>Republikës</w:t>
            </w:r>
            <w:r w:rsidRPr="005677CA">
              <w:rPr>
                <w:rFonts w:ascii="Garamond" w:hAnsi="Garamond"/>
                <w:spacing w:val="-3"/>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2"/>
                <w:sz w:val="16"/>
              </w:rPr>
              <w:t xml:space="preserve"> </w:t>
            </w:r>
            <w:r w:rsidRPr="005677CA">
              <w:rPr>
                <w:rFonts w:ascii="Garamond" w:hAnsi="Garamond"/>
                <w:sz w:val="16"/>
              </w:rPr>
              <w:t>dhe</w:t>
            </w:r>
            <w:r w:rsidRPr="005677CA">
              <w:rPr>
                <w:rFonts w:ascii="Garamond" w:hAnsi="Garamond"/>
                <w:spacing w:val="-3"/>
                <w:sz w:val="16"/>
              </w:rPr>
              <w:t xml:space="preserve"> </w:t>
            </w:r>
            <w:r w:rsidRPr="005677CA">
              <w:rPr>
                <w:rFonts w:ascii="Garamond" w:hAnsi="Garamond"/>
                <w:sz w:val="16"/>
              </w:rPr>
              <w:t>Qeverisë</w:t>
            </w:r>
            <w:r w:rsidRPr="005677CA">
              <w:rPr>
                <w:rFonts w:ascii="Garamond" w:hAnsi="Garamond"/>
                <w:spacing w:val="-2"/>
                <w:sz w:val="16"/>
              </w:rPr>
              <w:t xml:space="preserve"> </w:t>
            </w:r>
            <w:r w:rsidRPr="005677CA">
              <w:rPr>
                <w:rFonts w:ascii="Garamond" w:hAnsi="Garamond"/>
                <w:sz w:val="16"/>
              </w:rPr>
              <w:t>së Malit të Zi për kryerjen e transportit kufitar hekurudhor ndërmjet dy vendeve, të nënshkruar në Podgoricë, më</w:t>
            </w:r>
            <w:r w:rsidRPr="005677CA">
              <w:rPr>
                <w:rFonts w:ascii="Garamond" w:hAnsi="Garamond"/>
                <w:spacing w:val="-13"/>
                <w:sz w:val="16"/>
              </w:rPr>
              <w:t xml:space="preserve"> </w:t>
            </w:r>
            <w:r w:rsidRPr="005677CA">
              <w:rPr>
                <w:rFonts w:ascii="Garamond" w:hAnsi="Garamond"/>
                <w:sz w:val="16"/>
              </w:rPr>
              <w:t>03.08.2012.</w:t>
            </w:r>
          </w:p>
        </w:tc>
      </w:tr>
      <w:tr w:rsidR="00C61F48" w:rsidRPr="005677CA" w14:paraId="3BA74370" w14:textId="77777777" w:rsidTr="005677CA">
        <w:trPr>
          <w:trHeight w:hRule="exact" w:val="1192"/>
        </w:trPr>
        <w:tc>
          <w:tcPr>
            <w:tcW w:w="301" w:type="pct"/>
            <w:tcBorders>
              <w:top w:val="single" w:sz="8" w:space="0" w:color="FFFFFF"/>
              <w:bottom w:val="single" w:sz="9" w:space="0" w:color="FFFFFF"/>
              <w:right w:val="single" w:sz="24" w:space="0" w:color="FFFFFF"/>
            </w:tcBorders>
            <w:shd w:val="clear" w:color="auto" w:fill="4AACC5"/>
          </w:tcPr>
          <w:p w14:paraId="0497A185"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6</w:t>
            </w:r>
          </w:p>
        </w:tc>
        <w:tc>
          <w:tcPr>
            <w:tcW w:w="1192" w:type="pct"/>
            <w:tcBorders>
              <w:top w:val="single" w:sz="8" w:space="0" w:color="FFFFFF"/>
              <w:left w:val="single" w:sz="24" w:space="0" w:color="FFFFFF"/>
              <w:bottom w:val="single" w:sz="9" w:space="0" w:color="FFFFFF"/>
              <w:right w:val="single" w:sz="9" w:space="0" w:color="FFFFFF"/>
            </w:tcBorders>
            <w:shd w:val="clear" w:color="auto" w:fill="A4D4E1"/>
          </w:tcPr>
          <w:p w14:paraId="481C21DD" w14:textId="77777777" w:rsidR="00C61F48" w:rsidRPr="005677CA" w:rsidRDefault="00C61F48" w:rsidP="00BA13DB">
            <w:pPr>
              <w:pStyle w:val="TableParagraph"/>
              <w:ind w:left="254" w:right="210"/>
              <w:rPr>
                <w:rFonts w:ascii="Garamond" w:hAnsi="Garamond"/>
                <w:sz w:val="16"/>
              </w:rPr>
            </w:pPr>
            <w:r w:rsidRPr="005677CA">
              <w:rPr>
                <w:rFonts w:ascii="Garamond" w:hAnsi="Garamond"/>
                <w:sz w:val="16"/>
              </w:rPr>
              <w:t>Turizmi dhe Trashëgimia Kulturore</w:t>
            </w:r>
          </w:p>
        </w:tc>
        <w:tc>
          <w:tcPr>
            <w:tcW w:w="3507" w:type="pct"/>
            <w:tcBorders>
              <w:top w:val="single" w:sz="8" w:space="0" w:color="FFFFFF"/>
              <w:left w:val="single" w:sz="9" w:space="0" w:color="FFFFFF"/>
              <w:bottom w:val="single" w:sz="9" w:space="0" w:color="FFFFFF"/>
            </w:tcBorders>
            <w:shd w:val="clear" w:color="auto" w:fill="D2EAF0"/>
          </w:tcPr>
          <w:p w14:paraId="7A4C099C" w14:textId="77777777" w:rsidR="00C61F48" w:rsidRPr="005677CA" w:rsidRDefault="00C61F48" w:rsidP="00C61F48">
            <w:pPr>
              <w:pStyle w:val="TableParagraph"/>
              <w:numPr>
                <w:ilvl w:val="0"/>
                <w:numId w:val="30"/>
              </w:numPr>
              <w:tabs>
                <w:tab w:val="left" w:pos="183"/>
              </w:tabs>
              <w:ind w:right="107" w:firstLine="0"/>
              <w:rPr>
                <w:rFonts w:ascii="Garamond" w:hAnsi="Garamond"/>
                <w:sz w:val="16"/>
              </w:rPr>
            </w:pPr>
            <w:r w:rsidRPr="005677CA">
              <w:rPr>
                <w:rFonts w:ascii="Garamond" w:hAnsi="Garamond"/>
                <w:sz w:val="16"/>
              </w:rPr>
              <w:t>Marrëveshja mbi bashkëpunimin kulturor ndërmjet Ministrisë së Turizmit, Kulturës, Rinisë dhe</w:t>
            </w:r>
            <w:r w:rsidRPr="005677CA">
              <w:rPr>
                <w:rFonts w:ascii="Garamond" w:hAnsi="Garamond"/>
                <w:spacing w:val="-4"/>
                <w:sz w:val="16"/>
              </w:rPr>
              <w:t xml:space="preserve"> </w:t>
            </w:r>
            <w:r w:rsidRPr="005677CA">
              <w:rPr>
                <w:rFonts w:ascii="Garamond" w:hAnsi="Garamond"/>
                <w:sz w:val="16"/>
              </w:rPr>
              <w:t>Sporteve</w:t>
            </w:r>
            <w:r w:rsidRPr="005677CA">
              <w:rPr>
                <w:rFonts w:ascii="Garamond" w:hAnsi="Garamond"/>
                <w:spacing w:val="-2"/>
                <w:sz w:val="16"/>
              </w:rPr>
              <w:t xml:space="preserve"> </w:t>
            </w:r>
            <w:r w:rsidRPr="005677CA">
              <w:rPr>
                <w:rFonts w:ascii="Garamond" w:hAnsi="Garamond"/>
                <w:sz w:val="16"/>
              </w:rPr>
              <w:t>të</w:t>
            </w:r>
            <w:r w:rsidRPr="005677CA">
              <w:rPr>
                <w:rFonts w:ascii="Garamond" w:hAnsi="Garamond"/>
                <w:spacing w:val="-4"/>
                <w:sz w:val="16"/>
              </w:rPr>
              <w:t xml:space="preserve"> </w:t>
            </w:r>
            <w:r w:rsidRPr="005677CA">
              <w:rPr>
                <w:rFonts w:ascii="Garamond" w:hAnsi="Garamond"/>
                <w:sz w:val="16"/>
              </w:rPr>
              <w:t>Republikës</w:t>
            </w:r>
            <w:r w:rsidRPr="005677CA">
              <w:rPr>
                <w:rFonts w:ascii="Garamond" w:hAnsi="Garamond"/>
                <w:spacing w:val="-2"/>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4"/>
                <w:sz w:val="16"/>
              </w:rPr>
              <w:t xml:space="preserve"> </w:t>
            </w:r>
            <w:r w:rsidRPr="005677CA">
              <w:rPr>
                <w:rFonts w:ascii="Garamond" w:hAnsi="Garamond"/>
                <w:sz w:val="16"/>
              </w:rPr>
              <w:t>dhe</w:t>
            </w:r>
            <w:r w:rsidRPr="005677CA">
              <w:rPr>
                <w:rFonts w:ascii="Garamond" w:hAnsi="Garamond"/>
                <w:spacing w:val="-4"/>
                <w:sz w:val="16"/>
              </w:rPr>
              <w:t xml:space="preserve"> </w:t>
            </w:r>
            <w:r w:rsidRPr="005677CA">
              <w:rPr>
                <w:rFonts w:ascii="Garamond" w:hAnsi="Garamond"/>
                <w:sz w:val="16"/>
              </w:rPr>
              <w:t>Ministrisë</w:t>
            </w:r>
            <w:r w:rsidRPr="005677CA">
              <w:rPr>
                <w:rFonts w:ascii="Garamond" w:hAnsi="Garamond"/>
                <w:spacing w:val="-4"/>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Kulturës,</w:t>
            </w:r>
            <w:r w:rsidRPr="005677CA">
              <w:rPr>
                <w:rFonts w:ascii="Garamond" w:hAnsi="Garamond"/>
                <w:spacing w:val="-3"/>
                <w:sz w:val="16"/>
              </w:rPr>
              <w:t xml:space="preserve"> </w:t>
            </w:r>
            <w:r w:rsidRPr="005677CA">
              <w:rPr>
                <w:rFonts w:ascii="Garamond" w:hAnsi="Garamond"/>
                <w:sz w:val="16"/>
              </w:rPr>
              <w:t>Sporteve</w:t>
            </w:r>
            <w:r w:rsidRPr="005677CA">
              <w:rPr>
                <w:rFonts w:ascii="Garamond" w:hAnsi="Garamond"/>
                <w:spacing w:val="-4"/>
                <w:sz w:val="16"/>
              </w:rPr>
              <w:t xml:space="preserve"> </w:t>
            </w:r>
            <w:r w:rsidRPr="005677CA">
              <w:rPr>
                <w:rFonts w:ascii="Garamond" w:hAnsi="Garamond"/>
                <w:sz w:val="16"/>
              </w:rPr>
              <w:t>dhe</w:t>
            </w:r>
            <w:r w:rsidRPr="005677CA">
              <w:rPr>
                <w:rFonts w:ascii="Garamond" w:hAnsi="Garamond"/>
                <w:spacing w:val="-4"/>
                <w:sz w:val="16"/>
              </w:rPr>
              <w:t xml:space="preserve"> </w:t>
            </w:r>
            <w:r w:rsidRPr="005677CA">
              <w:rPr>
                <w:rFonts w:ascii="Garamond" w:hAnsi="Garamond"/>
                <w:sz w:val="16"/>
              </w:rPr>
              <w:t>Medias</w:t>
            </w:r>
            <w:r w:rsidRPr="005677CA">
              <w:rPr>
                <w:rFonts w:ascii="Garamond" w:hAnsi="Garamond"/>
                <w:spacing w:val="-2"/>
                <w:sz w:val="16"/>
              </w:rPr>
              <w:t xml:space="preserve"> </w:t>
            </w:r>
            <w:r w:rsidRPr="005677CA">
              <w:rPr>
                <w:rFonts w:ascii="Garamond" w:hAnsi="Garamond"/>
                <w:sz w:val="16"/>
              </w:rPr>
              <w:t>të Malit</w:t>
            </w:r>
            <w:r w:rsidRPr="005677CA">
              <w:rPr>
                <w:rFonts w:ascii="Garamond" w:hAnsi="Garamond"/>
                <w:spacing w:val="-3"/>
                <w:sz w:val="16"/>
              </w:rPr>
              <w:t xml:space="preserve"> </w:t>
            </w:r>
            <w:r w:rsidRPr="005677CA">
              <w:rPr>
                <w:rFonts w:ascii="Garamond" w:hAnsi="Garamond"/>
                <w:sz w:val="16"/>
              </w:rPr>
              <w:t>të</w:t>
            </w:r>
            <w:r w:rsidRPr="005677CA">
              <w:rPr>
                <w:rFonts w:ascii="Garamond" w:hAnsi="Garamond"/>
                <w:spacing w:val="-1"/>
                <w:sz w:val="16"/>
              </w:rPr>
              <w:t xml:space="preserve"> </w:t>
            </w:r>
            <w:r w:rsidRPr="005677CA">
              <w:rPr>
                <w:rFonts w:ascii="Garamond" w:hAnsi="Garamond"/>
                <w:sz w:val="16"/>
              </w:rPr>
              <w:t>Zi,</w:t>
            </w:r>
            <w:r w:rsidRPr="005677CA">
              <w:rPr>
                <w:rFonts w:ascii="Garamond" w:hAnsi="Garamond"/>
                <w:spacing w:val="-2"/>
                <w:sz w:val="16"/>
              </w:rPr>
              <w:t xml:space="preserve"> </w:t>
            </w:r>
            <w:r w:rsidRPr="005677CA">
              <w:rPr>
                <w:rFonts w:ascii="Garamond" w:hAnsi="Garamond"/>
                <w:sz w:val="16"/>
              </w:rPr>
              <w:t>nënshkruar</w:t>
            </w:r>
            <w:r w:rsidRPr="005677CA">
              <w:rPr>
                <w:rFonts w:ascii="Garamond" w:hAnsi="Garamond"/>
                <w:spacing w:val="-3"/>
                <w:sz w:val="16"/>
              </w:rPr>
              <w:t xml:space="preserve"> </w:t>
            </w:r>
            <w:r w:rsidRPr="005677CA">
              <w:rPr>
                <w:rFonts w:ascii="Garamond" w:hAnsi="Garamond"/>
                <w:sz w:val="16"/>
              </w:rPr>
              <w:t>më</w:t>
            </w:r>
            <w:r w:rsidRPr="005677CA">
              <w:rPr>
                <w:rFonts w:ascii="Garamond" w:hAnsi="Garamond"/>
                <w:spacing w:val="-3"/>
                <w:sz w:val="16"/>
              </w:rPr>
              <w:t xml:space="preserve"> </w:t>
            </w:r>
            <w:r w:rsidRPr="005677CA">
              <w:rPr>
                <w:rFonts w:ascii="Garamond" w:hAnsi="Garamond"/>
                <w:sz w:val="16"/>
              </w:rPr>
              <w:t>28.02.2001,</w:t>
            </w:r>
            <w:r w:rsidRPr="005677CA">
              <w:rPr>
                <w:rFonts w:ascii="Garamond" w:hAnsi="Garamond"/>
                <w:spacing w:val="-2"/>
                <w:sz w:val="16"/>
              </w:rPr>
              <w:t xml:space="preserve"> </w:t>
            </w:r>
            <w:r w:rsidRPr="005677CA">
              <w:rPr>
                <w:rFonts w:ascii="Garamond" w:hAnsi="Garamond"/>
                <w:sz w:val="16"/>
              </w:rPr>
              <w:t>dhe</w:t>
            </w:r>
            <w:r w:rsidRPr="005677CA">
              <w:rPr>
                <w:rFonts w:ascii="Garamond" w:hAnsi="Garamond"/>
                <w:spacing w:val="-4"/>
                <w:sz w:val="16"/>
              </w:rPr>
              <w:t xml:space="preserve"> </w:t>
            </w:r>
            <w:r w:rsidRPr="005677CA">
              <w:rPr>
                <w:rFonts w:ascii="Garamond" w:hAnsi="Garamond"/>
                <w:sz w:val="16"/>
              </w:rPr>
              <w:t>hyrë</w:t>
            </w:r>
            <w:r w:rsidRPr="005677CA">
              <w:rPr>
                <w:rFonts w:ascii="Garamond" w:hAnsi="Garamond"/>
                <w:spacing w:val="-3"/>
                <w:sz w:val="16"/>
              </w:rPr>
              <w:t xml:space="preserve"> </w:t>
            </w:r>
            <w:r w:rsidRPr="005677CA">
              <w:rPr>
                <w:rFonts w:ascii="Garamond" w:hAnsi="Garamond"/>
                <w:sz w:val="16"/>
              </w:rPr>
              <w:t>në</w:t>
            </w:r>
            <w:r w:rsidRPr="005677CA">
              <w:rPr>
                <w:rFonts w:ascii="Garamond" w:hAnsi="Garamond"/>
                <w:spacing w:val="-3"/>
                <w:sz w:val="16"/>
              </w:rPr>
              <w:t xml:space="preserve"> </w:t>
            </w:r>
            <w:r w:rsidRPr="005677CA">
              <w:rPr>
                <w:rFonts w:ascii="Garamond" w:hAnsi="Garamond"/>
                <w:sz w:val="16"/>
              </w:rPr>
              <w:t>fuqi</w:t>
            </w:r>
            <w:r w:rsidRPr="005677CA">
              <w:rPr>
                <w:rFonts w:ascii="Garamond" w:hAnsi="Garamond"/>
                <w:spacing w:val="-1"/>
                <w:sz w:val="16"/>
              </w:rPr>
              <w:t xml:space="preserve"> </w:t>
            </w:r>
            <w:r w:rsidRPr="005677CA">
              <w:rPr>
                <w:rFonts w:ascii="Garamond" w:hAnsi="Garamond"/>
                <w:sz w:val="16"/>
              </w:rPr>
              <w:t>në</w:t>
            </w:r>
            <w:r w:rsidRPr="005677CA">
              <w:rPr>
                <w:rFonts w:ascii="Garamond" w:hAnsi="Garamond"/>
                <w:spacing w:val="-3"/>
                <w:sz w:val="16"/>
              </w:rPr>
              <w:t xml:space="preserve"> </w:t>
            </w:r>
            <w:r w:rsidRPr="005677CA">
              <w:rPr>
                <w:rFonts w:ascii="Garamond" w:hAnsi="Garamond"/>
                <w:sz w:val="16"/>
              </w:rPr>
              <w:t>datën</w:t>
            </w:r>
            <w:r w:rsidRPr="005677CA">
              <w:rPr>
                <w:rFonts w:ascii="Garamond" w:hAnsi="Garamond"/>
                <w:spacing w:val="-1"/>
                <w:sz w:val="16"/>
              </w:rPr>
              <w:t xml:space="preserve"> </w:t>
            </w:r>
            <w:r w:rsidRPr="005677CA">
              <w:rPr>
                <w:rFonts w:ascii="Garamond" w:hAnsi="Garamond"/>
                <w:sz w:val="16"/>
              </w:rPr>
              <w:t>e</w:t>
            </w:r>
            <w:r w:rsidRPr="005677CA">
              <w:rPr>
                <w:rFonts w:ascii="Garamond" w:hAnsi="Garamond"/>
                <w:spacing w:val="-3"/>
                <w:sz w:val="16"/>
              </w:rPr>
              <w:t xml:space="preserve"> </w:t>
            </w:r>
            <w:r w:rsidRPr="005677CA">
              <w:rPr>
                <w:rFonts w:ascii="Garamond" w:hAnsi="Garamond"/>
                <w:sz w:val="16"/>
              </w:rPr>
              <w:t>nënshkrimit.</w:t>
            </w:r>
          </w:p>
          <w:p w14:paraId="52199CF5" w14:textId="77777777" w:rsidR="00C61F48" w:rsidRPr="005677CA" w:rsidRDefault="00C61F48" w:rsidP="00C61F48">
            <w:pPr>
              <w:pStyle w:val="TableParagraph"/>
              <w:numPr>
                <w:ilvl w:val="0"/>
                <w:numId w:val="30"/>
              </w:numPr>
              <w:tabs>
                <w:tab w:val="left" w:pos="183"/>
              </w:tabs>
              <w:ind w:right="106" w:firstLine="0"/>
              <w:rPr>
                <w:rFonts w:ascii="Garamond" w:hAnsi="Garamond"/>
                <w:sz w:val="16"/>
              </w:rPr>
            </w:pPr>
            <w:r w:rsidRPr="005677CA">
              <w:rPr>
                <w:rFonts w:ascii="Garamond" w:hAnsi="Garamond"/>
                <w:sz w:val="16"/>
              </w:rPr>
              <w:t>Marrëveshja për bashkëpunimin kulturor ndërmjet Ministrisë së Turizmit, Kulturës, Rinisë dhe</w:t>
            </w:r>
            <w:r w:rsidRPr="005677CA">
              <w:rPr>
                <w:rFonts w:ascii="Garamond" w:hAnsi="Garamond"/>
                <w:spacing w:val="-4"/>
                <w:sz w:val="16"/>
              </w:rPr>
              <w:t xml:space="preserve"> </w:t>
            </w:r>
            <w:r w:rsidRPr="005677CA">
              <w:rPr>
                <w:rFonts w:ascii="Garamond" w:hAnsi="Garamond"/>
                <w:sz w:val="16"/>
              </w:rPr>
              <w:t>Sporteve</w:t>
            </w:r>
            <w:r w:rsidRPr="005677CA">
              <w:rPr>
                <w:rFonts w:ascii="Garamond" w:hAnsi="Garamond"/>
                <w:spacing w:val="-2"/>
                <w:sz w:val="16"/>
              </w:rPr>
              <w:t xml:space="preserve"> </w:t>
            </w:r>
            <w:r w:rsidRPr="005677CA">
              <w:rPr>
                <w:rFonts w:ascii="Garamond" w:hAnsi="Garamond"/>
                <w:sz w:val="16"/>
              </w:rPr>
              <w:t>të</w:t>
            </w:r>
            <w:r w:rsidRPr="005677CA">
              <w:rPr>
                <w:rFonts w:ascii="Garamond" w:hAnsi="Garamond"/>
                <w:spacing w:val="-4"/>
                <w:sz w:val="16"/>
              </w:rPr>
              <w:t xml:space="preserve"> </w:t>
            </w:r>
            <w:r w:rsidRPr="005677CA">
              <w:rPr>
                <w:rFonts w:ascii="Garamond" w:hAnsi="Garamond"/>
                <w:sz w:val="16"/>
              </w:rPr>
              <w:t>Republikës</w:t>
            </w:r>
            <w:r w:rsidRPr="005677CA">
              <w:rPr>
                <w:rFonts w:ascii="Garamond" w:hAnsi="Garamond"/>
                <w:spacing w:val="-2"/>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Shqipërisë</w:t>
            </w:r>
            <w:r w:rsidRPr="005677CA">
              <w:rPr>
                <w:rFonts w:ascii="Garamond" w:hAnsi="Garamond"/>
                <w:spacing w:val="-4"/>
                <w:sz w:val="16"/>
              </w:rPr>
              <w:t xml:space="preserve"> </w:t>
            </w:r>
            <w:r w:rsidRPr="005677CA">
              <w:rPr>
                <w:rFonts w:ascii="Garamond" w:hAnsi="Garamond"/>
                <w:sz w:val="16"/>
              </w:rPr>
              <w:t>dhe</w:t>
            </w:r>
            <w:r w:rsidRPr="005677CA">
              <w:rPr>
                <w:rFonts w:ascii="Garamond" w:hAnsi="Garamond"/>
                <w:spacing w:val="-4"/>
                <w:sz w:val="16"/>
              </w:rPr>
              <w:t xml:space="preserve"> </w:t>
            </w:r>
            <w:r w:rsidRPr="005677CA">
              <w:rPr>
                <w:rFonts w:ascii="Garamond" w:hAnsi="Garamond"/>
                <w:sz w:val="16"/>
              </w:rPr>
              <w:t>Ministrisë</w:t>
            </w:r>
            <w:r w:rsidRPr="005677CA">
              <w:rPr>
                <w:rFonts w:ascii="Garamond" w:hAnsi="Garamond"/>
                <w:spacing w:val="-4"/>
                <w:sz w:val="16"/>
              </w:rPr>
              <w:t xml:space="preserve"> </w:t>
            </w:r>
            <w:r w:rsidRPr="005677CA">
              <w:rPr>
                <w:rFonts w:ascii="Garamond" w:hAnsi="Garamond"/>
                <w:sz w:val="16"/>
              </w:rPr>
              <w:t>së</w:t>
            </w:r>
            <w:r w:rsidRPr="005677CA">
              <w:rPr>
                <w:rFonts w:ascii="Garamond" w:hAnsi="Garamond"/>
                <w:spacing w:val="-4"/>
                <w:sz w:val="16"/>
              </w:rPr>
              <w:t xml:space="preserve"> </w:t>
            </w:r>
            <w:r w:rsidRPr="005677CA">
              <w:rPr>
                <w:rFonts w:ascii="Garamond" w:hAnsi="Garamond"/>
                <w:sz w:val="16"/>
              </w:rPr>
              <w:t>Kulturës,</w:t>
            </w:r>
            <w:r w:rsidRPr="005677CA">
              <w:rPr>
                <w:rFonts w:ascii="Garamond" w:hAnsi="Garamond"/>
                <w:spacing w:val="-3"/>
                <w:sz w:val="16"/>
              </w:rPr>
              <w:t xml:space="preserve"> </w:t>
            </w:r>
            <w:r w:rsidRPr="005677CA">
              <w:rPr>
                <w:rFonts w:ascii="Garamond" w:hAnsi="Garamond"/>
                <w:sz w:val="16"/>
              </w:rPr>
              <w:t>Sporteve</w:t>
            </w:r>
            <w:r w:rsidRPr="005677CA">
              <w:rPr>
                <w:rFonts w:ascii="Garamond" w:hAnsi="Garamond"/>
                <w:spacing w:val="-4"/>
                <w:sz w:val="16"/>
              </w:rPr>
              <w:t xml:space="preserve"> </w:t>
            </w:r>
            <w:r w:rsidRPr="005677CA">
              <w:rPr>
                <w:rFonts w:ascii="Garamond" w:hAnsi="Garamond"/>
                <w:sz w:val="16"/>
              </w:rPr>
              <w:t>dhe</w:t>
            </w:r>
            <w:r w:rsidRPr="005677CA">
              <w:rPr>
                <w:rFonts w:ascii="Garamond" w:hAnsi="Garamond"/>
                <w:spacing w:val="-4"/>
                <w:sz w:val="16"/>
              </w:rPr>
              <w:t xml:space="preserve"> </w:t>
            </w:r>
            <w:r w:rsidRPr="005677CA">
              <w:rPr>
                <w:rFonts w:ascii="Garamond" w:hAnsi="Garamond"/>
                <w:sz w:val="16"/>
              </w:rPr>
              <w:t>Medias</w:t>
            </w:r>
            <w:r w:rsidRPr="005677CA">
              <w:rPr>
                <w:rFonts w:ascii="Garamond" w:hAnsi="Garamond"/>
                <w:spacing w:val="-2"/>
                <w:sz w:val="16"/>
              </w:rPr>
              <w:t xml:space="preserve"> </w:t>
            </w:r>
            <w:r w:rsidRPr="005677CA">
              <w:rPr>
                <w:rFonts w:ascii="Garamond" w:hAnsi="Garamond"/>
                <w:sz w:val="16"/>
              </w:rPr>
              <w:t>të Malit të Zi, nënshkruar më 10.11.2009, dhe hyrë në fuqi në datën e</w:t>
            </w:r>
            <w:r w:rsidRPr="005677CA">
              <w:rPr>
                <w:rFonts w:ascii="Garamond" w:hAnsi="Garamond"/>
                <w:spacing w:val="-25"/>
                <w:sz w:val="16"/>
              </w:rPr>
              <w:t xml:space="preserve"> </w:t>
            </w:r>
            <w:r w:rsidRPr="005677CA">
              <w:rPr>
                <w:rFonts w:ascii="Garamond" w:hAnsi="Garamond"/>
                <w:sz w:val="16"/>
              </w:rPr>
              <w:t>nënshkrimit.</w:t>
            </w:r>
          </w:p>
        </w:tc>
      </w:tr>
      <w:tr w:rsidR="00C61F48" w:rsidRPr="005677CA" w14:paraId="2BA1EB84" w14:textId="77777777" w:rsidTr="005677CA">
        <w:trPr>
          <w:trHeight w:hRule="exact" w:val="215"/>
        </w:trPr>
        <w:tc>
          <w:tcPr>
            <w:tcW w:w="301" w:type="pct"/>
            <w:tcBorders>
              <w:top w:val="single" w:sz="9" w:space="0" w:color="FFFFFF"/>
              <w:bottom w:val="single" w:sz="8" w:space="0" w:color="FFFFFF"/>
              <w:right w:val="single" w:sz="24" w:space="0" w:color="FFFFFF"/>
            </w:tcBorders>
            <w:shd w:val="clear" w:color="auto" w:fill="4AACC5"/>
          </w:tcPr>
          <w:p w14:paraId="1AD2F0C3"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7</w:t>
            </w:r>
          </w:p>
        </w:tc>
        <w:tc>
          <w:tcPr>
            <w:tcW w:w="1192" w:type="pct"/>
            <w:tcBorders>
              <w:top w:val="single" w:sz="9" w:space="0" w:color="FFFFFF"/>
              <w:left w:val="single" w:sz="24" w:space="0" w:color="FFFFFF"/>
              <w:bottom w:val="single" w:sz="8" w:space="0" w:color="FFFFFF"/>
              <w:right w:val="single" w:sz="9" w:space="0" w:color="FFFFFF"/>
            </w:tcBorders>
            <w:shd w:val="clear" w:color="auto" w:fill="A4D4E1"/>
          </w:tcPr>
          <w:p w14:paraId="296B30D9" w14:textId="77777777" w:rsidR="00C61F48" w:rsidRPr="005677CA" w:rsidRDefault="00C61F48" w:rsidP="00BA13DB">
            <w:pPr>
              <w:pStyle w:val="TableParagraph"/>
              <w:spacing w:line="194" w:lineRule="exact"/>
              <w:ind w:left="254" w:right="294"/>
              <w:rPr>
                <w:rFonts w:ascii="Garamond" w:hAnsi="Garamond"/>
                <w:sz w:val="16"/>
              </w:rPr>
            </w:pPr>
            <w:r w:rsidRPr="005677CA">
              <w:rPr>
                <w:rFonts w:ascii="Garamond" w:hAnsi="Garamond"/>
                <w:sz w:val="16"/>
              </w:rPr>
              <w:t>Rinia dhe arsimi</w:t>
            </w:r>
          </w:p>
        </w:tc>
        <w:tc>
          <w:tcPr>
            <w:tcW w:w="3507" w:type="pct"/>
            <w:tcBorders>
              <w:top w:val="single" w:sz="9" w:space="0" w:color="FFFFFF"/>
              <w:left w:val="single" w:sz="9" w:space="0" w:color="FFFFFF"/>
              <w:bottom w:val="single" w:sz="8" w:space="0" w:color="FFFFFF"/>
            </w:tcBorders>
            <w:shd w:val="clear" w:color="auto" w:fill="A4D4E1"/>
          </w:tcPr>
          <w:p w14:paraId="103DBDAA" w14:textId="77777777" w:rsidR="00C61F48" w:rsidRPr="005677CA" w:rsidRDefault="00C61F48" w:rsidP="00BA13DB">
            <w:pPr>
              <w:pStyle w:val="TableParagraph"/>
              <w:spacing w:line="194" w:lineRule="exact"/>
              <w:ind w:left="95"/>
              <w:rPr>
                <w:rFonts w:ascii="Garamond" w:hAnsi="Garamond"/>
                <w:sz w:val="16"/>
              </w:rPr>
            </w:pPr>
            <w:r w:rsidRPr="005677CA">
              <w:rPr>
                <w:rFonts w:ascii="Garamond" w:hAnsi="Garamond"/>
                <w:sz w:val="16"/>
              </w:rPr>
              <w:t>-</w:t>
            </w:r>
          </w:p>
        </w:tc>
      </w:tr>
      <w:tr w:rsidR="00C61F48" w:rsidRPr="005677CA" w14:paraId="3C98266C" w14:textId="77777777" w:rsidTr="005677CA">
        <w:trPr>
          <w:trHeight w:hRule="exact" w:val="792"/>
        </w:trPr>
        <w:tc>
          <w:tcPr>
            <w:tcW w:w="301" w:type="pct"/>
            <w:tcBorders>
              <w:top w:val="single" w:sz="8" w:space="0" w:color="FFFFFF"/>
              <w:right w:val="single" w:sz="24" w:space="0" w:color="FFFFFF"/>
            </w:tcBorders>
            <w:shd w:val="clear" w:color="auto" w:fill="4AACC5"/>
          </w:tcPr>
          <w:p w14:paraId="7DD4E8BD" w14:textId="77777777" w:rsidR="00C61F48" w:rsidRPr="005677CA" w:rsidRDefault="00C61F48" w:rsidP="00BA13DB">
            <w:pPr>
              <w:pStyle w:val="TableParagraph"/>
              <w:spacing w:line="194" w:lineRule="exact"/>
              <w:ind w:right="146"/>
              <w:jc w:val="right"/>
              <w:rPr>
                <w:rFonts w:ascii="Garamond" w:hAnsi="Garamond"/>
                <w:b/>
                <w:sz w:val="16"/>
              </w:rPr>
            </w:pPr>
            <w:r w:rsidRPr="005677CA">
              <w:rPr>
                <w:rFonts w:ascii="Garamond" w:hAnsi="Garamond"/>
                <w:b/>
                <w:sz w:val="16"/>
              </w:rPr>
              <w:t>8</w:t>
            </w:r>
          </w:p>
        </w:tc>
        <w:tc>
          <w:tcPr>
            <w:tcW w:w="1192" w:type="pct"/>
            <w:tcBorders>
              <w:top w:val="single" w:sz="8" w:space="0" w:color="FFFFFF"/>
              <w:left w:val="single" w:sz="24" w:space="0" w:color="FFFFFF"/>
              <w:right w:val="single" w:sz="9" w:space="0" w:color="FFFFFF"/>
            </w:tcBorders>
            <w:shd w:val="clear" w:color="auto" w:fill="A4D4E1"/>
          </w:tcPr>
          <w:p w14:paraId="6BF186EE" w14:textId="77777777" w:rsidR="00C61F48" w:rsidRPr="005677CA" w:rsidRDefault="00C61F48" w:rsidP="00BA13DB">
            <w:pPr>
              <w:pStyle w:val="TableParagraph"/>
              <w:ind w:left="254" w:right="174"/>
              <w:rPr>
                <w:rFonts w:ascii="Garamond" w:hAnsi="Garamond"/>
                <w:sz w:val="16"/>
              </w:rPr>
            </w:pPr>
            <w:r w:rsidRPr="005677CA">
              <w:rPr>
                <w:rFonts w:ascii="Garamond" w:hAnsi="Garamond"/>
                <w:sz w:val="16"/>
              </w:rPr>
              <w:t>Qeverisja Lokale dhe Rajonale, Planifikimi dhe Administrimi i Ngritjes së Kapaciteteve</w:t>
            </w:r>
          </w:p>
        </w:tc>
        <w:tc>
          <w:tcPr>
            <w:tcW w:w="3507" w:type="pct"/>
            <w:tcBorders>
              <w:top w:val="single" w:sz="8" w:space="0" w:color="FFFFFF"/>
              <w:left w:val="single" w:sz="9" w:space="0" w:color="FFFFFF"/>
            </w:tcBorders>
            <w:shd w:val="clear" w:color="auto" w:fill="D2EAF0"/>
          </w:tcPr>
          <w:p w14:paraId="2BD2446F" w14:textId="77777777" w:rsidR="00C61F48" w:rsidRPr="005677CA" w:rsidRDefault="00C61F48" w:rsidP="00BA13DB">
            <w:pPr>
              <w:pStyle w:val="TableParagraph"/>
              <w:spacing w:line="194" w:lineRule="exact"/>
              <w:ind w:left="95"/>
              <w:rPr>
                <w:rFonts w:ascii="Garamond" w:hAnsi="Garamond"/>
                <w:sz w:val="16"/>
              </w:rPr>
            </w:pPr>
            <w:r w:rsidRPr="005677CA">
              <w:rPr>
                <w:rFonts w:ascii="Garamond" w:hAnsi="Garamond"/>
                <w:sz w:val="16"/>
              </w:rPr>
              <w:t>-</w:t>
            </w:r>
          </w:p>
        </w:tc>
      </w:tr>
    </w:tbl>
    <w:p w14:paraId="06759A11" w14:textId="77777777" w:rsidR="00C61F48" w:rsidRDefault="00C61F48" w:rsidP="00C61F48">
      <w:pPr>
        <w:pStyle w:val="BodyText"/>
        <w:rPr>
          <w:rFonts w:ascii="Times New Roman"/>
          <w:sz w:val="20"/>
        </w:rPr>
      </w:pPr>
    </w:p>
    <w:p w14:paraId="5C3D6A0C" w14:textId="77777777" w:rsidR="00C61F48" w:rsidRDefault="00C61F48" w:rsidP="005677CA">
      <w:pPr>
        <w:pStyle w:val="TEKSTI"/>
      </w:pPr>
    </w:p>
    <w:p w14:paraId="3B1A4845" w14:textId="6B9F9991" w:rsidR="00C61F48" w:rsidRPr="005677CA" w:rsidRDefault="005677CA" w:rsidP="005677CA">
      <w:pPr>
        <w:pStyle w:val="TEKSTI"/>
        <w:rPr>
          <w:b/>
        </w:rPr>
      </w:pPr>
      <w:bookmarkStart w:id="54" w:name="_bookmark51"/>
      <w:bookmarkEnd w:id="54"/>
      <w:r w:rsidRPr="005677CA">
        <w:rPr>
          <w:b/>
        </w:rPr>
        <w:t xml:space="preserve">3.7.  </w:t>
      </w:r>
      <w:r w:rsidR="00C61F48" w:rsidRPr="005677CA">
        <w:rPr>
          <w:b/>
        </w:rPr>
        <w:t xml:space="preserve"> KONKLUZIONE</w:t>
      </w:r>
    </w:p>
    <w:p w14:paraId="69899955" w14:textId="77777777" w:rsidR="00C61F48" w:rsidRDefault="00C61F48" w:rsidP="005677CA">
      <w:pPr>
        <w:pStyle w:val="TEKSTI"/>
      </w:pPr>
      <w:r>
        <w:t>Zona e programit është e ndryshme, e megjithatë, disa tipare të përbashkëta në lidhje me natyrën, pozicionin gjeografik, tendencat demografike, ekonominë, kapitalin njerëzor etj., mund të gjenerojnë sinergji dhe të jenë një mundësi e mirë për zhvillimin dhe zbatimin e iniciativave BNK.</w:t>
      </w:r>
    </w:p>
    <w:p w14:paraId="5ECC3CCD" w14:textId="1ABFED11" w:rsidR="00C61F48" w:rsidRDefault="00C61F48" w:rsidP="005677CA">
      <w:pPr>
        <w:pStyle w:val="TEKSTI"/>
      </w:pPr>
      <w:r>
        <w:rPr>
          <w:b/>
        </w:rPr>
        <w:t xml:space="preserve">Karakteristikat ekonomike </w:t>
      </w:r>
      <w:r>
        <w:t>të të dy vendeve tregojnë tendenca të ngjashme. Të dy vendet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w:t>
      </w:r>
    </w:p>
    <w:p w14:paraId="5C456607" w14:textId="4FF66C35" w:rsidR="00C61F48" w:rsidRDefault="00C61F48" w:rsidP="005677CA">
      <w:pPr>
        <w:pStyle w:val="TEKSTI"/>
      </w:pPr>
      <w:r>
        <w:rPr>
          <w:b/>
        </w:rPr>
        <w:t xml:space="preserve">Konkurrenca është e ulët në të dyja anët e kufirit. </w:t>
      </w:r>
      <w:r>
        <w:t>Produktivitet më i lartë dhe investime të mëtejshme në njohuritë mbi përdorimin e teknologjive të inovacionit është një parakusht për 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w:t>
      </w:r>
    </w:p>
    <w:p w14:paraId="6D680769" w14:textId="3BA21A16" w:rsidR="00C61F48" w:rsidRDefault="00C61F48" w:rsidP="005677CA">
      <w:pPr>
        <w:pStyle w:val="TEKSTI"/>
      </w:pPr>
      <w:r>
        <w:rPr>
          <w:b/>
        </w:rPr>
        <w:t xml:space="preserve">Forcimi i rrjeteve të NVM-ve dhe lidhjet e shërbimeve ekzistuese në zonat kufitare janë një potencial që përdoret shumë pak. </w:t>
      </w:r>
      <w:r>
        <w:t>Mbi 97% e NVM-ve të regjistruara punësojnë më pak se 4 persona. Niveli i bashkëpunimit përtej kufirit është minimal. Promovimi i biznesit virtual do të jetë i rëndësishëm. Me pak fjalë, në aspektin e zhvillimit të sektorit privat ka sinergji të qarta për t'u zhvilluar brenda zonës së programit, të cilat duhen mbështetur nga programi i bashkëpunimit ndërkufitar.</w:t>
      </w:r>
    </w:p>
    <w:p w14:paraId="4AF1446D" w14:textId="54CFA4A5" w:rsidR="00C61F48" w:rsidRDefault="00C61F48" w:rsidP="005677CA">
      <w:pPr>
        <w:pStyle w:val="TEKSTI"/>
      </w:pPr>
      <w:r>
        <w:rPr>
          <w:b/>
        </w:rPr>
        <w:t xml:space="preserve">Të dyja anët e zonës së programit janë duke u bërë gjithnjë e më tërheqëse për investitorët e huaj, </w:t>
      </w:r>
      <w:r>
        <w:t>por tek të dyja anët ka nevojë për përmirësimin e kushteve, veçanërisht të infrastrukturës, për të bërë biznes. Investimet në turizëm, në energjinë e rinovueshme dhe në bujqësi mund ti bëjnë këto të fundit sektorët potencialë për tërheqjen e më shumë IHD-ve (Investime të Huaja Direkte). Industritë e përpunimit të dritës dhe ushqimit janë konsideruar gjithashtu si një potencial për rritjen e përshpejtuar ekonomike të zonës së</w:t>
      </w:r>
      <w:r>
        <w:rPr>
          <w:spacing w:val="-19"/>
        </w:rPr>
        <w:t xml:space="preserve"> </w:t>
      </w:r>
      <w:r>
        <w:t>programit.</w:t>
      </w:r>
    </w:p>
    <w:p w14:paraId="7F0D0CEA" w14:textId="3CEC21F0" w:rsidR="00C61F48" w:rsidRDefault="00C61F48" w:rsidP="005677CA">
      <w:pPr>
        <w:pStyle w:val="TEKSTI"/>
      </w:pPr>
      <w:r>
        <w:rPr>
          <w:b/>
        </w:rPr>
        <w:t xml:space="preserve">Bujqësia është një potencial i madh ekonomik në zonën e programit, por përdoret pak. </w:t>
      </w:r>
      <w:r>
        <w:t>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Përmirësimi i aksesit në treg dhe forcimi i sistemit të sigurisë ushqimore dhe organeve inspektues do të jenë të rëndësishme për rritjen e</w:t>
      </w:r>
      <w:r>
        <w:rPr>
          <w:spacing w:val="47"/>
        </w:rPr>
        <w:t xml:space="preserve"> </w:t>
      </w:r>
      <w:r w:rsidR="005677CA">
        <w:t xml:space="preserve">konkurrencës </w:t>
      </w:r>
      <w:r>
        <w:t>në sektorin e bujqësisë. Ndërhyrja e ardhshme duhet të synojë përmirësimin e efikasitetit në bujqësi dhe pylltari, si dhe të zhvillojë burime shtesë të të ardhurave nga ruajtja e pasurive natyrore dhe turizmit.</w:t>
      </w:r>
    </w:p>
    <w:p w14:paraId="32B573CE" w14:textId="49DEBF6A" w:rsidR="00C61F48" w:rsidRDefault="00C61F48" w:rsidP="005677CA">
      <w:pPr>
        <w:pStyle w:val="TEKSTI"/>
      </w:pPr>
      <w:r>
        <w:rPr>
          <w:b/>
        </w:rPr>
        <w:t xml:space="preserve">Papunësia mbetet një problem i mprehtë </w:t>
      </w:r>
      <w:r>
        <w:t>për popullsinë e zonës së programit, veçanërisht për grupet e ndjeshme sociale siç janë të rinjtë, popullsia rurale, dhe gratë. Pasiguria e punësimit konsiderohet si arsyeja kryesore për shkallën e lartë të migracionit, veçanërisht në zonat  rurale ose më pak të zhvilluara, ku niveli i papunësisë është i lartë si rezultat i mjeteve të jetesës dhe prodhimeve bujqësore të një niveli të ulët që ofrojnë një formë të sigurimit shoqëror për pjesën më të madhe të popullsisë rurale dhe të punës, si një amortizator kundër normave të larta të papunësisë së</w:t>
      </w:r>
      <w:r>
        <w:rPr>
          <w:spacing w:val="-6"/>
        </w:rPr>
        <w:t xml:space="preserve"> </w:t>
      </w:r>
      <w:r>
        <w:t>regjistruar.</w:t>
      </w:r>
    </w:p>
    <w:p w14:paraId="762876FB" w14:textId="01622D70" w:rsidR="00C61F48" w:rsidRDefault="00C61F48" w:rsidP="005677CA">
      <w:pPr>
        <w:pStyle w:val="TEKSTI"/>
      </w:pPr>
      <w:r>
        <w:rPr>
          <w:b/>
        </w:rPr>
        <w:t xml:space="preserve">Mbrojtja e mjedisit ka nevojë për vëmendje serioze në planet e ardhshëm të zhvillimit të zonës së programit. </w:t>
      </w:r>
      <w:r>
        <w:t>Me zhvillimin e përgjithshëm të zonës së programit mbështetur kryesisht në  burimet natyrore, mbrojtja e mjedisit dhe ruajtja e këtyre burimeve është vendimtare për zhvillimin e qëndrueshëm të zonës. Përmirësimi i menaxhimit të mbeturinave, kontrolli i ndotjes, dhe përmirësimi i menaxhimit të tokave janë ndër prioritetet kryesore për t'u adresuar nga planet zhvillimore qeveritare dhe lokale. Vleftësimi i mëtejshëm i burimeve natyrore në funksion të zhvillimit ekonomik është një çështje kyçe për zhvillimin e zonës, veçanërisht në anën shqiptare të kufirit.</w:t>
      </w:r>
    </w:p>
    <w:p w14:paraId="09697086" w14:textId="2E75D2B1" w:rsidR="00C61F48" w:rsidRDefault="00C61F48" w:rsidP="009200B0">
      <w:pPr>
        <w:pStyle w:val="TEKSTI"/>
      </w:pPr>
      <w:r>
        <w:rPr>
          <w:b/>
        </w:rPr>
        <w:t xml:space="preserve">Infrastruktura e varfër është një sfidë kryesore për zhvillimin ekonomik dhe social </w:t>
      </w:r>
      <w:r>
        <w:t>të zonës 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w:t>
      </w:r>
      <w:r>
        <w:rPr>
          <w:spacing w:val="-24"/>
        </w:rPr>
        <w:t xml:space="preserve"> </w:t>
      </w:r>
      <w:r>
        <w:t>zonë.</w:t>
      </w:r>
    </w:p>
    <w:p w14:paraId="2D0E898A" w14:textId="0B841AEB" w:rsidR="00C61F48" w:rsidRDefault="00C61F48" w:rsidP="009200B0">
      <w:pPr>
        <w:pStyle w:val="TEKSTI"/>
      </w:pPr>
      <w:r>
        <w:rPr>
          <w:b/>
        </w:rPr>
        <w:t>Zona e programit ka potencial të lartë turistik, por këto mund</w:t>
      </w:r>
      <w:r w:rsidR="009200B0">
        <w:rPr>
          <w:b/>
        </w:rPr>
        <w:t xml:space="preserve">ësi janë përdorur kryesisht në </w:t>
      </w:r>
      <w:r>
        <w:rPr>
          <w:b/>
        </w:rPr>
        <w:t>anën e Malit të Zi</w:t>
      </w:r>
      <w:r>
        <w:t>, ndërsa turizmi në anën e Shqipërisë është zhvilluar pak, pavarësisht potencialit të madh që ka. Iniciativa BNK me qëllim për të prodhuar një ofertë të përbashkët turistike, duhet të konsiderohet. Sinergji të dukshme, me mundësi që të mbështeten nga bashkëpunimi ndërkufitar (programi BNK), mund të ndërtohen midis rajoneve në Shqipëri dhe zonave  bregdetare në Mal të Zi, por edhe me "zonat më pak turistike" në veri-lindje të Malit të Zi, të cilat kanë karakteristika të ngjashme me veriun e Shqipërisë, në aspektin e mjedisit, natyrës së egër dhe</w:t>
      </w:r>
      <w:r>
        <w:rPr>
          <w:spacing w:val="-3"/>
        </w:rPr>
        <w:t xml:space="preserve"> </w:t>
      </w:r>
      <w:r>
        <w:t>maleve.</w:t>
      </w:r>
    </w:p>
    <w:p w14:paraId="23DB3468" w14:textId="5F07D12C" w:rsidR="00C61F48" w:rsidRDefault="00C61F48" w:rsidP="009200B0">
      <w:pPr>
        <w:pStyle w:val="TEKSTI"/>
      </w:pPr>
      <w:r>
        <w:rPr>
          <w:b/>
        </w:rPr>
        <w:t xml:space="preserve">Ekziston një trashëgimi e pasur historike-kulturore-artistike në zonën në kufi, e cila duhet të ruhet. </w:t>
      </w:r>
      <w:r>
        <w:t>Vleftësimi i mëtejshëm i trashëgimisë historike dhe kulturore mund të kontribuojë në forcimin</w:t>
      </w:r>
      <w:r>
        <w:rPr>
          <w:spacing w:val="13"/>
        </w:rPr>
        <w:t xml:space="preserve"> </w:t>
      </w:r>
      <w:r>
        <w:t>e</w:t>
      </w:r>
      <w:r>
        <w:rPr>
          <w:spacing w:val="13"/>
        </w:rPr>
        <w:t xml:space="preserve"> </w:t>
      </w:r>
      <w:r>
        <w:t>identitetit</w:t>
      </w:r>
      <w:r>
        <w:rPr>
          <w:spacing w:val="15"/>
        </w:rPr>
        <w:t xml:space="preserve"> </w:t>
      </w:r>
      <w:r>
        <w:t>të</w:t>
      </w:r>
      <w:r>
        <w:rPr>
          <w:spacing w:val="13"/>
        </w:rPr>
        <w:t xml:space="preserve"> </w:t>
      </w:r>
      <w:r>
        <w:t>zonës.</w:t>
      </w:r>
      <w:r>
        <w:rPr>
          <w:spacing w:val="15"/>
        </w:rPr>
        <w:t xml:space="preserve"> </w:t>
      </w:r>
      <w:r>
        <w:t>Trashëgimia</w:t>
      </w:r>
      <w:r>
        <w:rPr>
          <w:spacing w:val="12"/>
        </w:rPr>
        <w:t xml:space="preserve"> </w:t>
      </w:r>
      <w:r>
        <w:t>kulturore</w:t>
      </w:r>
      <w:r>
        <w:rPr>
          <w:spacing w:val="13"/>
        </w:rPr>
        <w:t xml:space="preserve"> </w:t>
      </w:r>
      <w:r>
        <w:t>është</w:t>
      </w:r>
      <w:r>
        <w:rPr>
          <w:spacing w:val="13"/>
        </w:rPr>
        <w:t xml:space="preserve"> </w:t>
      </w:r>
      <w:r>
        <w:t>një</w:t>
      </w:r>
      <w:r>
        <w:rPr>
          <w:spacing w:val="13"/>
        </w:rPr>
        <w:t xml:space="preserve"> </w:t>
      </w:r>
      <w:r>
        <w:t>pasuri</w:t>
      </w:r>
      <w:r>
        <w:rPr>
          <w:spacing w:val="14"/>
        </w:rPr>
        <w:t xml:space="preserve"> </w:t>
      </w:r>
      <w:r>
        <w:t>për</w:t>
      </w:r>
      <w:r>
        <w:rPr>
          <w:spacing w:val="13"/>
        </w:rPr>
        <w:t xml:space="preserve"> </w:t>
      </w:r>
      <w:r>
        <w:t>zhvillimin</w:t>
      </w:r>
      <w:r>
        <w:rPr>
          <w:spacing w:val="13"/>
        </w:rPr>
        <w:t xml:space="preserve"> </w:t>
      </w:r>
      <w:r>
        <w:t>ekonomik</w:t>
      </w:r>
      <w:r>
        <w:rPr>
          <w:spacing w:val="12"/>
        </w:rPr>
        <w:t xml:space="preserve"> </w:t>
      </w:r>
      <w:r w:rsidR="009200B0">
        <w:t xml:space="preserve">të </w:t>
      </w:r>
      <w:r>
        <w:t>zonës së programit. Bashkëpunimi midis institucioneve kulturore është i pranishëm, por ai mund të intensifikohet akoma më</w:t>
      </w:r>
      <w:r>
        <w:rPr>
          <w:spacing w:val="-7"/>
        </w:rPr>
        <w:t xml:space="preserve"> </w:t>
      </w:r>
      <w:r>
        <w:t>tej.</w:t>
      </w:r>
    </w:p>
    <w:p w14:paraId="2B7647DC" w14:textId="49F07E71" w:rsidR="00C61F48" w:rsidRDefault="00C61F48" w:rsidP="009200B0">
      <w:pPr>
        <w:pStyle w:val="TEKSTI"/>
      </w:pPr>
      <w:r>
        <w:rPr>
          <w:b/>
        </w:rPr>
        <w:t xml:space="preserve">Përmirësimi i cilësisë së sistemit arsimor dhe infrastrukturës shkollore është një sfidë dhe prioritet </w:t>
      </w:r>
      <w:r>
        <w:t>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w:t>
      </w:r>
      <w:r>
        <w:rPr>
          <w:spacing w:val="-16"/>
        </w:rPr>
        <w:t xml:space="preserve"> </w:t>
      </w:r>
      <w:r>
        <w:t>kërkimore.</w:t>
      </w:r>
    </w:p>
    <w:p w14:paraId="73AF80BC" w14:textId="2A2F9FC0" w:rsidR="00C61F48" w:rsidRDefault="00C61F48" w:rsidP="009200B0">
      <w:pPr>
        <w:pStyle w:val="TEKSTI"/>
      </w:pPr>
      <w:r>
        <w:t xml:space="preserve">Në përgjithësi, </w:t>
      </w:r>
      <w:r>
        <w:rPr>
          <w:b/>
        </w:rPr>
        <w:t xml:space="preserve">sektori i shëndetësisë </w:t>
      </w:r>
      <w:r>
        <w:t>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sigurisht që ka vend për aktivitete të mundshme të përbashkëta që lidhen me fushatat parandaluese dhe edukimin</w:t>
      </w:r>
      <w:r>
        <w:rPr>
          <w:spacing w:val="-19"/>
        </w:rPr>
        <w:t xml:space="preserve"> </w:t>
      </w:r>
      <w:r>
        <w:t>shëndetësor.</w:t>
      </w:r>
    </w:p>
    <w:p w14:paraId="2EEAA6E2" w14:textId="00105568" w:rsidR="00C61F48" w:rsidRDefault="00C61F48" w:rsidP="009200B0">
      <w:pPr>
        <w:pStyle w:val="TEKSTI"/>
      </w:pPr>
      <w:r>
        <w:rPr>
          <w:b/>
        </w:rPr>
        <w:t xml:space="preserve">Inkurajimi i rrjeteve rajonale të OShC-ve </w:t>
      </w:r>
      <w:r>
        <w:t>(duke përfshirë organizatat e sportit, rinisë dhe ato kulturore) mund të kontribuojë në ruajtjen dhe forcimin e lidhjeve ndërmjet komuniteteve në të dyja anët e kufirit në këtë zonë të programit</w:t>
      </w:r>
      <w:r>
        <w:rPr>
          <w:spacing w:val="-16"/>
        </w:rPr>
        <w:t xml:space="preserve"> </w:t>
      </w:r>
      <w:r>
        <w:t>shumë-etnik.</w:t>
      </w:r>
    </w:p>
    <w:p w14:paraId="7B10E5DE" w14:textId="0DA9234B" w:rsidR="00C61F48" w:rsidRDefault="00C61F48" w:rsidP="009200B0">
      <w:pPr>
        <w:pStyle w:val="TEKSTI"/>
      </w:pPr>
      <w:r>
        <w:rPr>
          <w:b/>
        </w:rPr>
        <w:t xml:space="preserve">Depërtimi i kërkimit shkencor &amp; zhvillimit dhe i teknologjisë së informacionit dhe komunikimit (TIK) është në disproporcion të dukshëm midis vendeve të programit, dhe mbetet në nivel të ulët. </w:t>
      </w:r>
      <w:r>
        <w:t>Investimet e pamjaftueshme, mungesa e aktiviteteve mbështetëse në nivel qendror, rajonal ose lokal për kërkimin shkencor dhe zhvillimin, janë të pranishme, pavarësisht faktit që në zonën e programit ka 4 Universitete. Nuk ka të dhëna specifike mbi kërkimin shkencor, zhvillimin dhe inovacionin, por praktikisht mungon bashkëpunimi midis institucioneve edukuese në të dy vendet, dhe kjo fushë është e pa</w:t>
      </w:r>
      <w:r>
        <w:rPr>
          <w:spacing w:val="-11"/>
        </w:rPr>
        <w:t xml:space="preserve"> </w:t>
      </w:r>
      <w:r>
        <w:t>eksploruar.</w:t>
      </w:r>
    </w:p>
    <w:p w14:paraId="524F7793" w14:textId="2CBBA3AE" w:rsidR="00C61F48" w:rsidRDefault="00C61F48" w:rsidP="009200B0">
      <w:pPr>
        <w:pStyle w:val="TEKSTI"/>
      </w:pPr>
      <w:r>
        <w:rPr>
          <w:b/>
        </w:rPr>
        <w:t xml:space="preserve">Në përgjithësi, qeveritë lokale dhe rajonale janë të dobëta financiarisht dhe nuk mund të nxisin zhvillimin lokal. </w:t>
      </w:r>
      <w:r>
        <w:t>Ndryshe nga Shqipëria, Mali i Zi nuk ka qeverisje lokale. Atyre iu mungojnë  aftësitë menaxhuese, të kontrollit financiar dhe buxhetimit, si dhe qasjet demokratike në proceset vendim-marrëse. Absorbimi i fondeve të BE-së është i ulët. Bashkëpunimi midis qeverive lokale ndërmjet dy vendeve mund të përmirësohet. Procesi i decentralizimit është duke vazhduar në të dy</w:t>
      </w:r>
      <w:r>
        <w:rPr>
          <w:spacing w:val="-1"/>
        </w:rPr>
        <w:t xml:space="preserve"> </w:t>
      </w:r>
      <w:r>
        <w:t>vendet.</w:t>
      </w:r>
    </w:p>
    <w:p w14:paraId="08E2E14E" w14:textId="77777777" w:rsidR="00C61F48" w:rsidRDefault="00C61F48" w:rsidP="003A27F1">
      <w:pPr>
        <w:pStyle w:val="TEKSTI"/>
      </w:pPr>
    </w:p>
    <w:p w14:paraId="3786ADBF" w14:textId="77777777" w:rsidR="00A522FB" w:rsidRDefault="00A522FB" w:rsidP="003A27F1">
      <w:pPr>
        <w:pStyle w:val="TEKSTI"/>
        <w:rPr>
          <w:b/>
        </w:rPr>
      </w:pPr>
      <w:bookmarkStart w:id="55" w:name="_bookmark52"/>
      <w:bookmarkEnd w:id="55"/>
    </w:p>
    <w:p w14:paraId="44C4371A" w14:textId="77777777" w:rsidR="00A522FB" w:rsidRDefault="00A522FB" w:rsidP="003A27F1">
      <w:pPr>
        <w:pStyle w:val="TEKSTI"/>
        <w:rPr>
          <w:b/>
        </w:rPr>
      </w:pPr>
    </w:p>
    <w:p w14:paraId="3682BB8F" w14:textId="77777777" w:rsidR="00A522FB" w:rsidRDefault="00A522FB" w:rsidP="003A27F1">
      <w:pPr>
        <w:pStyle w:val="TEKSTI"/>
        <w:rPr>
          <w:b/>
        </w:rPr>
      </w:pPr>
    </w:p>
    <w:p w14:paraId="506231FE" w14:textId="77777777" w:rsidR="00A522FB" w:rsidRDefault="00A522FB" w:rsidP="003A27F1">
      <w:pPr>
        <w:pStyle w:val="TEKSTI"/>
        <w:rPr>
          <w:b/>
        </w:rPr>
      </w:pPr>
    </w:p>
    <w:p w14:paraId="6224BD54" w14:textId="77777777" w:rsidR="00A522FB" w:rsidRDefault="00A522FB" w:rsidP="003A27F1">
      <w:pPr>
        <w:pStyle w:val="TEKSTI"/>
        <w:rPr>
          <w:b/>
        </w:rPr>
      </w:pPr>
    </w:p>
    <w:p w14:paraId="36803A79" w14:textId="77777777" w:rsidR="00A522FB" w:rsidRDefault="00A522FB" w:rsidP="003A27F1">
      <w:pPr>
        <w:pStyle w:val="TEKSTI"/>
        <w:rPr>
          <w:b/>
        </w:rPr>
      </w:pPr>
    </w:p>
    <w:p w14:paraId="70501091" w14:textId="77777777" w:rsidR="00A522FB" w:rsidRDefault="00A522FB" w:rsidP="003A27F1">
      <w:pPr>
        <w:pStyle w:val="TEKSTI"/>
        <w:rPr>
          <w:b/>
        </w:rPr>
      </w:pPr>
    </w:p>
    <w:p w14:paraId="4A9877FF" w14:textId="77777777" w:rsidR="00A522FB" w:rsidRDefault="00A522FB" w:rsidP="003A27F1">
      <w:pPr>
        <w:pStyle w:val="TEKSTI"/>
        <w:rPr>
          <w:b/>
        </w:rPr>
      </w:pPr>
    </w:p>
    <w:p w14:paraId="56404C13" w14:textId="77777777" w:rsidR="00A522FB" w:rsidRDefault="00A522FB" w:rsidP="003A27F1">
      <w:pPr>
        <w:pStyle w:val="TEKSTI"/>
        <w:rPr>
          <w:b/>
        </w:rPr>
      </w:pPr>
    </w:p>
    <w:p w14:paraId="7BB357F4" w14:textId="77777777" w:rsidR="00A522FB" w:rsidRDefault="00A522FB" w:rsidP="003A27F1">
      <w:pPr>
        <w:pStyle w:val="TEKSTI"/>
        <w:rPr>
          <w:b/>
        </w:rPr>
      </w:pPr>
    </w:p>
    <w:p w14:paraId="2A4230CA" w14:textId="77777777" w:rsidR="00A522FB" w:rsidRDefault="00A522FB" w:rsidP="003A27F1">
      <w:pPr>
        <w:pStyle w:val="TEKSTI"/>
        <w:rPr>
          <w:b/>
        </w:rPr>
      </w:pPr>
    </w:p>
    <w:p w14:paraId="485686AE" w14:textId="77777777" w:rsidR="00A522FB" w:rsidRDefault="00A522FB" w:rsidP="003A27F1">
      <w:pPr>
        <w:pStyle w:val="TEKSTI"/>
        <w:rPr>
          <w:b/>
        </w:rPr>
      </w:pPr>
    </w:p>
    <w:p w14:paraId="3A799E1F" w14:textId="77777777" w:rsidR="00A522FB" w:rsidRDefault="00A522FB" w:rsidP="003A27F1">
      <w:pPr>
        <w:pStyle w:val="TEKSTI"/>
        <w:rPr>
          <w:b/>
        </w:rPr>
      </w:pPr>
    </w:p>
    <w:p w14:paraId="66B3EE17" w14:textId="77777777" w:rsidR="00A522FB" w:rsidRDefault="00A522FB" w:rsidP="003A27F1">
      <w:pPr>
        <w:pStyle w:val="TEKSTI"/>
        <w:rPr>
          <w:b/>
        </w:rPr>
      </w:pPr>
    </w:p>
    <w:p w14:paraId="02EA3592" w14:textId="77777777" w:rsidR="00C61F48" w:rsidRPr="003A27F1" w:rsidRDefault="00C61F48" w:rsidP="003A27F1">
      <w:pPr>
        <w:pStyle w:val="TEKSTI"/>
        <w:rPr>
          <w:b/>
        </w:rPr>
      </w:pPr>
      <w:r w:rsidRPr="003A27F1">
        <w:rPr>
          <w:b/>
        </w:rPr>
        <w:t>4. ANALIZA SWOT</w:t>
      </w:r>
    </w:p>
    <w:p w14:paraId="6E15D969" w14:textId="77777777" w:rsidR="00C61F48" w:rsidRPr="003A27F1" w:rsidRDefault="00C61F48" w:rsidP="003A27F1">
      <w:pPr>
        <w:pStyle w:val="TEKSTI"/>
      </w:pPr>
    </w:p>
    <w:tbl>
      <w:tblPr>
        <w:tblW w:w="0" w:type="auto"/>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48"/>
        <w:gridCol w:w="2110"/>
        <w:gridCol w:w="2302"/>
        <w:gridCol w:w="2302"/>
        <w:gridCol w:w="2216"/>
      </w:tblGrid>
      <w:tr w:rsidR="00C61F48" w:rsidRPr="001E661C" w14:paraId="40BE47D2" w14:textId="77777777" w:rsidTr="00BA13DB">
        <w:trPr>
          <w:trHeight w:hRule="exact" w:val="560"/>
        </w:trPr>
        <w:tc>
          <w:tcPr>
            <w:tcW w:w="648" w:type="dxa"/>
            <w:tcBorders>
              <w:bottom w:val="thinThickMediumGap" w:sz="12" w:space="0" w:color="000000"/>
              <w:right w:val="single" w:sz="6" w:space="0" w:color="000000"/>
            </w:tcBorders>
            <w:shd w:val="clear" w:color="auto" w:fill="6F2F9F"/>
          </w:tcPr>
          <w:p w14:paraId="574273E7" w14:textId="77777777" w:rsidR="00C61F48" w:rsidRPr="001E661C" w:rsidRDefault="00C61F48" w:rsidP="00BA13DB">
            <w:pPr>
              <w:rPr>
                <w:rFonts w:ascii="Garamond" w:hAnsi="Garamond"/>
                <w:sz w:val="16"/>
                <w:szCs w:val="16"/>
              </w:rPr>
            </w:pPr>
          </w:p>
        </w:tc>
        <w:tc>
          <w:tcPr>
            <w:tcW w:w="2110" w:type="dxa"/>
            <w:tcBorders>
              <w:left w:val="single" w:sz="6" w:space="0" w:color="000000"/>
              <w:bottom w:val="thinThickMediumGap" w:sz="12" w:space="0" w:color="000000"/>
              <w:right w:val="single" w:sz="6" w:space="0" w:color="000000"/>
            </w:tcBorders>
            <w:shd w:val="clear" w:color="auto" w:fill="6F2F9F"/>
          </w:tcPr>
          <w:p w14:paraId="2B653EE9" w14:textId="77777777" w:rsidR="00C61F48" w:rsidRPr="001E661C" w:rsidRDefault="00C61F48" w:rsidP="00BA13DB">
            <w:pPr>
              <w:pStyle w:val="TableParagraph"/>
              <w:ind w:left="367" w:right="157"/>
              <w:rPr>
                <w:rFonts w:ascii="Garamond" w:hAnsi="Garamond"/>
                <w:b/>
                <w:sz w:val="16"/>
                <w:szCs w:val="16"/>
              </w:rPr>
            </w:pPr>
            <w:r w:rsidRPr="001E661C">
              <w:rPr>
                <w:rFonts w:ascii="Garamond" w:hAnsi="Garamond"/>
                <w:b/>
                <w:color w:val="FFFFFF" w:themeColor="background1"/>
                <w:sz w:val="16"/>
                <w:szCs w:val="16"/>
              </w:rPr>
              <w:t>PIKAT E FORTA</w:t>
            </w:r>
          </w:p>
        </w:tc>
        <w:tc>
          <w:tcPr>
            <w:tcW w:w="2302" w:type="dxa"/>
            <w:tcBorders>
              <w:left w:val="single" w:sz="6" w:space="0" w:color="000000"/>
              <w:bottom w:val="thinThickMediumGap" w:sz="12" w:space="0" w:color="000000"/>
              <w:right w:val="single" w:sz="6" w:space="0" w:color="000000"/>
            </w:tcBorders>
            <w:shd w:val="clear" w:color="auto" w:fill="6F2F9F"/>
          </w:tcPr>
          <w:p w14:paraId="662B29E3" w14:textId="77777777" w:rsidR="00C61F48" w:rsidRPr="001E661C" w:rsidRDefault="00C61F48" w:rsidP="00BA13DB">
            <w:pPr>
              <w:pStyle w:val="TableParagraph"/>
              <w:ind w:left="391" w:right="312"/>
              <w:rPr>
                <w:rFonts w:ascii="Garamond" w:hAnsi="Garamond"/>
                <w:b/>
                <w:color w:val="FFFFFF" w:themeColor="background1"/>
                <w:sz w:val="16"/>
                <w:szCs w:val="16"/>
              </w:rPr>
            </w:pPr>
            <w:r w:rsidRPr="001E661C">
              <w:rPr>
                <w:rFonts w:ascii="Garamond" w:hAnsi="Garamond"/>
                <w:b/>
                <w:color w:val="FFFFFF" w:themeColor="background1"/>
                <w:sz w:val="16"/>
                <w:szCs w:val="16"/>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20F2E0FA" w14:textId="77777777" w:rsidR="00C61F48" w:rsidRPr="001E661C" w:rsidRDefault="00C61F48" w:rsidP="00BA13DB">
            <w:pPr>
              <w:pStyle w:val="TableParagraph"/>
              <w:ind w:left="587" w:right="112"/>
              <w:rPr>
                <w:rFonts w:ascii="Garamond" w:hAnsi="Garamond"/>
                <w:b/>
                <w:color w:val="FFFFFF" w:themeColor="background1"/>
                <w:sz w:val="16"/>
                <w:szCs w:val="16"/>
              </w:rPr>
            </w:pPr>
            <w:r w:rsidRPr="001E661C">
              <w:rPr>
                <w:rFonts w:ascii="Garamond" w:hAnsi="Garamond"/>
                <w:b/>
                <w:color w:val="FFFFFF" w:themeColor="background1"/>
                <w:sz w:val="16"/>
                <w:szCs w:val="16"/>
              </w:rPr>
              <w:t>MUNDËSITË</w:t>
            </w:r>
          </w:p>
        </w:tc>
        <w:tc>
          <w:tcPr>
            <w:tcW w:w="2216" w:type="dxa"/>
            <w:tcBorders>
              <w:left w:val="single" w:sz="6" w:space="0" w:color="000000"/>
              <w:bottom w:val="thinThickMediumGap" w:sz="12" w:space="0" w:color="000000"/>
            </w:tcBorders>
            <w:shd w:val="clear" w:color="auto" w:fill="6F2F9F"/>
          </w:tcPr>
          <w:p w14:paraId="20ADA5CC" w14:textId="77777777" w:rsidR="00C61F48" w:rsidRPr="001E661C" w:rsidRDefault="00C61F48" w:rsidP="00BA13DB">
            <w:pPr>
              <w:pStyle w:val="TableParagraph"/>
              <w:ind w:left="506" w:right="76"/>
              <w:rPr>
                <w:rFonts w:ascii="Garamond" w:hAnsi="Garamond"/>
                <w:b/>
                <w:color w:val="FFFFFF" w:themeColor="background1"/>
                <w:sz w:val="16"/>
                <w:szCs w:val="16"/>
              </w:rPr>
            </w:pPr>
            <w:r w:rsidRPr="001E661C">
              <w:rPr>
                <w:rFonts w:ascii="Garamond" w:hAnsi="Garamond"/>
                <w:b/>
                <w:color w:val="FFFFFF" w:themeColor="background1"/>
                <w:sz w:val="16"/>
                <w:szCs w:val="16"/>
              </w:rPr>
              <w:t>KËRCËNIMET</w:t>
            </w:r>
          </w:p>
        </w:tc>
      </w:tr>
      <w:tr w:rsidR="00C61F48" w:rsidRPr="001E661C" w14:paraId="46BC8BB0" w14:textId="77777777" w:rsidTr="00686AD4">
        <w:trPr>
          <w:trHeight w:hRule="exact" w:val="8320"/>
        </w:trPr>
        <w:tc>
          <w:tcPr>
            <w:tcW w:w="648" w:type="dxa"/>
            <w:tcBorders>
              <w:top w:val="thickThinMediumGap" w:sz="12" w:space="0" w:color="000000"/>
              <w:right w:val="single" w:sz="6" w:space="0" w:color="000000"/>
            </w:tcBorders>
            <w:textDirection w:val="btLr"/>
          </w:tcPr>
          <w:p w14:paraId="5ED60C6B" w14:textId="77777777" w:rsidR="00C61F48" w:rsidRPr="001E661C" w:rsidRDefault="00C61F48" w:rsidP="001E661C">
            <w:pPr>
              <w:pStyle w:val="TableParagraph"/>
              <w:spacing w:before="88"/>
              <w:ind w:left="393"/>
              <w:jc w:val="center"/>
              <w:rPr>
                <w:rFonts w:ascii="Garamond" w:hAnsi="Garamond"/>
                <w:b/>
                <w:sz w:val="16"/>
                <w:szCs w:val="16"/>
              </w:rPr>
            </w:pPr>
            <w:r w:rsidRPr="001E661C">
              <w:rPr>
                <w:rFonts w:ascii="Garamond" w:hAnsi="Garamond"/>
                <w:b/>
                <w:sz w:val="16"/>
                <w:szCs w:val="16"/>
              </w:rPr>
              <w:t>RR</w:t>
            </w:r>
            <w:r w:rsidRPr="001E661C">
              <w:rPr>
                <w:rFonts w:ascii="Garamond" w:hAnsi="Garamond"/>
                <w:b/>
                <w:spacing w:val="-2"/>
                <w:sz w:val="16"/>
                <w:szCs w:val="16"/>
              </w:rPr>
              <w:t>I</w:t>
            </w:r>
            <w:r w:rsidRPr="001E661C">
              <w:rPr>
                <w:rFonts w:ascii="Garamond" w:hAnsi="Garamond"/>
                <w:b/>
                <w:sz w:val="16"/>
                <w:szCs w:val="16"/>
              </w:rPr>
              <w:t>T</w:t>
            </w:r>
            <w:r w:rsidRPr="001E661C">
              <w:rPr>
                <w:rFonts w:ascii="Garamond" w:hAnsi="Garamond"/>
                <w:b/>
                <w:spacing w:val="-2"/>
                <w:sz w:val="16"/>
                <w:szCs w:val="16"/>
              </w:rPr>
              <w:t>J</w:t>
            </w:r>
            <w:r w:rsidRPr="001E661C">
              <w:rPr>
                <w:rFonts w:ascii="Garamond" w:hAnsi="Garamond"/>
                <w:b/>
                <w:sz w:val="16"/>
                <w:szCs w:val="16"/>
              </w:rPr>
              <w:t>A</w:t>
            </w:r>
            <w:r w:rsidRPr="001E661C">
              <w:rPr>
                <w:rFonts w:ascii="Garamond" w:hAnsi="Garamond"/>
                <w:b/>
                <w:spacing w:val="-2"/>
                <w:sz w:val="16"/>
                <w:szCs w:val="16"/>
              </w:rPr>
              <w:t xml:space="preserve"> </w:t>
            </w:r>
            <w:r w:rsidRPr="001E661C">
              <w:rPr>
                <w:rFonts w:ascii="Garamond" w:hAnsi="Garamond"/>
                <w:b/>
                <w:sz w:val="16"/>
                <w:szCs w:val="16"/>
              </w:rPr>
              <w:t xml:space="preserve">E </w:t>
            </w:r>
            <w:r w:rsidRPr="001E661C">
              <w:rPr>
                <w:rFonts w:ascii="Garamond" w:hAnsi="Garamond"/>
                <w:b/>
                <w:spacing w:val="-1"/>
                <w:sz w:val="16"/>
                <w:szCs w:val="16"/>
              </w:rPr>
              <w:t>KONK</w:t>
            </w:r>
            <w:r w:rsidRPr="001E661C">
              <w:rPr>
                <w:rFonts w:ascii="Garamond" w:hAnsi="Garamond"/>
                <w:b/>
                <w:spacing w:val="-3"/>
                <w:sz w:val="16"/>
                <w:szCs w:val="16"/>
              </w:rPr>
              <w:t>U</w:t>
            </w:r>
            <w:r w:rsidRPr="001E661C">
              <w:rPr>
                <w:rFonts w:ascii="Garamond" w:hAnsi="Garamond"/>
                <w:b/>
                <w:sz w:val="16"/>
                <w:szCs w:val="16"/>
              </w:rPr>
              <w:t>RR</w:t>
            </w:r>
            <w:r w:rsidRPr="001E661C">
              <w:rPr>
                <w:rFonts w:ascii="Garamond" w:hAnsi="Garamond"/>
                <w:b/>
                <w:spacing w:val="-3"/>
                <w:sz w:val="16"/>
                <w:szCs w:val="16"/>
              </w:rPr>
              <w:t>E</w:t>
            </w:r>
            <w:r w:rsidRPr="001E661C">
              <w:rPr>
                <w:rFonts w:ascii="Garamond" w:hAnsi="Garamond"/>
                <w:b/>
                <w:spacing w:val="-2"/>
                <w:sz w:val="16"/>
                <w:szCs w:val="16"/>
              </w:rPr>
              <w:t>N</w:t>
            </w:r>
            <w:r w:rsidRPr="001E661C">
              <w:rPr>
                <w:rFonts w:ascii="Garamond" w:hAnsi="Garamond"/>
                <w:b/>
                <w:sz w:val="16"/>
                <w:szCs w:val="16"/>
              </w:rPr>
              <w:t>CË</w:t>
            </w:r>
            <w:r w:rsidRPr="001E661C">
              <w:rPr>
                <w:rFonts w:ascii="Garamond" w:hAnsi="Garamond"/>
                <w:b/>
                <w:spacing w:val="-1"/>
                <w:sz w:val="16"/>
                <w:szCs w:val="16"/>
              </w:rPr>
              <w:t>S</w:t>
            </w:r>
            <w:r w:rsidRPr="001E661C">
              <w:rPr>
                <w:rFonts w:ascii="Garamond" w:hAnsi="Garamond"/>
                <w:b/>
                <w:sz w:val="16"/>
                <w:szCs w:val="16"/>
              </w:rPr>
              <w:t>,</w:t>
            </w:r>
            <w:r w:rsidRPr="001E661C">
              <w:rPr>
                <w:rFonts w:ascii="Garamond" w:hAnsi="Garamond"/>
                <w:b/>
                <w:spacing w:val="-2"/>
                <w:sz w:val="16"/>
                <w:szCs w:val="16"/>
              </w:rPr>
              <w:t xml:space="preserve"> </w:t>
            </w:r>
            <w:r w:rsidRPr="001E661C">
              <w:rPr>
                <w:rFonts w:ascii="Garamond" w:hAnsi="Garamond"/>
                <w:b/>
                <w:sz w:val="16"/>
                <w:szCs w:val="16"/>
              </w:rPr>
              <w:t>ZH</w:t>
            </w:r>
            <w:r w:rsidRPr="001E661C">
              <w:rPr>
                <w:rFonts w:ascii="Garamond" w:hAnsi="Garamond"/>
                <w:b/>
                <w:spacing w:val="-1"/>
                <w:sz w:val="16"/>
                <w:szCs w:val="16"/>
              </w:rPr>
              <w:t>V</w:t>
            </w:r>
            <w:r w:rsidRPr="001E661C">
              <w:rPr>
                <w:rFonts w:ascii="Garamond" w:hAnsi="Garamond"/>
                <w:b/>
                <w:sz w:val="16"/>
                <w:szCs w:val="16"/>
              </w:rPr>
              <w:t>IL</w:t>
            </w:r>
            <w:r w:rsidRPr="001E661C">
              <w:rPr>
                <w:rFonts w:ascii="Garamond" w:hAnsi="Garamond"/>
                <w:b/>
                <w:spacing w:val="-2"/>
                <w:sz w:val="16"/>
                <w:szCs w:val="16"/>
              </w:rPr>
              <w:t>L</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B</w:t>
            </w:r>
            <w:r w:rsidRPr="001E661C">
              <w:rPr>
                <w:rFonts w:ascii="Garamond" w:hAnsi="Garamond"/>
                <w:b/>
                <w:spacing w:val="-2"/>
                <w:sz w:val="16"/>
                <w:szCs w:val="16"/>
              </w:rPr>
              <w:t>I</w:t>
            </w:r>
            <w:r w:rsidRPr="001E661C">
              <w:rPr>
                <w:rFonts w:ascii="Garamond" w:hAnsi="Garamond"/>
                <w:b/>
                <w:sz w:val="16"/>
                <w:szCs w:val="16"/>
              </w:rPr>
              <w:t>Z</w:t>
            </w:r>
            <w:r w:rsidRPr="001E661C">
              <w:rPr>
                <w:rFonts w:ascii="Garamond" w:hAnsi="Garamond"/>
                <w:b/>
                <w:spacing w:val="-2"/>
                <w:sz w:val="16"/>
                <w:szCs w:val="16"/>
              </w:rPr>
              <w:t>N</w:t>
            </w:r>
            <w:r w:rsidRPr="001E661C">
              <w:rPr>
                <w:rFonts w:ascii="Garamond" w:hAnsi="Garamond"/>
                <w:b/>
                <w:sz w:val="16"/>
                <w:szCs w:val="16"/>
              </w:rPr>
              <w:t>E</w:t>
            </w:r>
            <w:r w:rsidRPr="001E661C">
              <w:rPr>
                <w:rFonts w:ascii="Garamond" w:hAnsi="Garamond"/>
                <w:b/>
                <w:spacing w:val="-1"/>
                <w:sz w:val="16"/>
                <w:szCs w:val="16"/>
              </w:rPr>
              <w:t>S</w:t>
            </w:r>
            <w:r w:rsidRPr="001E661C">
              <w:rPr>
                <w:rFonts w:ascii="Garamond" w:hAnsi="Garamond"/>
                <w:b/>
                <w:sz w:val="16"/>
                <w:szCs w:val="16"/>
              </w:rPr>
              <w:t>IT</w:t>
            </w:r>
            <w:r w:rsidRPr="001E661C">
              <w:rPr>
                <w:rFonts w:ascii="Garamond" w:hAnsi="Garamond"/>
                <w:b/>
                <w:spacing w:val="-2"/>
                <w:sz w:val="16"/>
                <w:szCs w:val="16"/>
              </w:rPr>
              <w:t xml:space="preserve"> </w:t>
            </w:r>
            <w:r w:rsidRPr="001E661C">
              <w:rPr>
                <w:rFonts w:ascii="Garamond" w:hAnsi="Garamond"/>
                <w:b/>
                <w:spacing w:val="-1"/>
                <w:sz w:val="16"/>
                <w:szCs w:val="16"/>
              </w:rPr>
              <w:t>DH</w:t>
            </w:r>
            <w:r w:rsidRPr="001E661C">
              <w:rPr>
                <w:rFonts w:ascii="Garamond" w:hAnsi="Garamond"/>
                <w:b/>
                <w:sz w:val="16"/>
                <w:szCs w:val="16"/>
              </w:rPr>
              <w:t>E</w:t>
            </w:r>
            <w:r w:rsidRPr="001E661C">
              <w:rPr>
                <w:rFonts w:ascii="Garamond" w:hAnsi="Garamond"/>
                <w:b/>
                <w:spacing w:val="-4"/>
                <w:sz w:val="16"/>
                <w:szCs w:val="16"/>
              </w:rPr>
              <w:t xml:space="preserve"> </w:t>
            </w:r>
            <w:r w:rsidRPr="001E661C">
              <w:rPr>
                <w:rFonts w:ascii="Garamond" w:hAnsi="Garamond"/>
                <w:b/>
                <w:sz w:val="16"/>
                <w:szCs w:val="16"/>
              </w:rPr>
              <w:t>N</w:t>
            </w:r>
            <w:r w:rsidRPr="001E661C">
              <w:rPr>
                <w:rFonts w:ascii="Garamond" w:hAnsi="Garamond"/>
                <w:b/>
                <w:spacing w:val="-1"/>
                <w:sz w:val="16"/>
                <w:szCs w:val="16"/>
              </w:rPr>
              <w:t>V</w:t>
            </w:r>
            <w:r w:rsidRPr="001E661C">
              <w:rPr>
                <w:rFonts w:ascii="Garamond" w:hAnsi="Garamond"/>
                <w:b/>
                <w:spacing w:val="2"/>
                <w:sz w:val="16"/>
                <w:szCs w:val="16"/>
              </w:rPr>
              <w:t>M</w:t>
            </w:r>
            <w:r w:rsidRPr="001E661C">
              <w:rPr>
                <w:rFonts w:ascii="Garamond" w:hAnsi="Garamond"/>
                <w:b/>
                <w:spacing w:val="-1"/>
                <w:sz w:val="16"/>
                <w:szCs w:val="16"/>
              </w:rPr>
              <w:t>-</w:t>
            </w:r>
            <w:r w:rsidRPr="001E661C">
              <w:rPr>
                <w:rFonts w:ascii="Garamond" w:hAnsi="Garamond"/>
                <w:b/>
                <w:sz w:val="16"/>
                <w:szCs w:val="16"/>
              </w:rPr>
              <w:t>v</w:t>
            </w:r>
            <w:r w:rsidRPr="001E661C">
              <w:rPr>
                <w:rFonts w:ascii="Garamond" w:hAnsi="Garamond"/>
                <w:b/>
                <w:spacing w:val="-1"/>
                <w:sz w:val="16"/>
                <w:szCs w:val="16"/>
              </w:rPr>
              <w:t>e</w:t>
            </w:r>
            <w:r w:rsidRPr="001E661C">
              <w:rPr>
                <w:rFonts w:ascii="Garamond" w:hAnsi="Garamond"/>
                <w:b/>
                <w:sz w:val="16"/>
                <w:szCs w:val="16"/>
              </w:rPr>
              <w:t>,</w:t>
            </w:r>
            <w:r w:rsidRPr="001E661C">
              <w:rPr>
                <w:rFonts w:ascii="Garamond" w:hAnsi="Garamond"/>
                <w:b/>
                <w:spacing w:val="-2"/>
                <w:sz w:val="16"/>
                <w:szCs w:val="16"/>
              </w:rPr>
              <w:t xml:space="preserve"> </w:t>
            </w:r>
            <w:r w:rsidRPr="001E661C">
              <w:rPr>
                <w:rFonts w:ascii="Garamond" w:hAnsi="Garamond"/>
                <w:b/>
                <w:sz w:val="16"/>
                <w:szCs w:val="16"/>
              </w:rPr>
              <w:t>T</w:t>
            </w:r>
            <w:r w:rsidRPr="001E661C">
              <w:rPr>
                <w:rFonts w:ascii="Garamond" w:hAnsi="Garamond"/>
                <w:b/>
                <w:spacing w:val="-2"/>
                <w:sz w:val="16"/>
                <w:szCs w:val="16"/>
              </w:rPr>
              <w:t>R</w:t>
            </w:r>
            <w:r w:rsidRPr="001E661C">
              <w:rPr>
                <w:rFonts w:ascii="Garamond" w:hAnsi="Garamond"/>
                <w:b/>
                <w:sz w:val="16"/>
                <w:szCs w:val="16"/>
              </w:rPr>
              <w:t>EG</w:t>
            </w:r>
            <w:r w:rsidRPr="001E661C">
              <w:rPr>
                <w:rFonts w:ascii="Garamond" w:hAnsi="Garamond"/>
                <w:b/>
                <w:spacing w:val="-3"/>
                <w:sz w:val="16"/>
                <w:szCs w:val="16"/>
              </w:rPr>
              <w:t>Ë</w:t>
            </w:r>
            <w:r w:rsidRPr="001E661C">
              <w:rPr>
                <w:rFonts w:ascii="Garamond" w:hAnsi="Garamond"/>
                <w:b/>
                <w:spacing w:val="-2"/>
                <w:sz w:val="16"/>
                <w:szCs w:val="16"/>
              </w:rPr>
              <w:t>T</w:t>
            </w:r>
            <w:r w:rsidRPr="001E661C">
              <w:rPr>
                <w:rFonts w:ascii="Garamond" w:hAnsi="Garamond"/>
                <w:b/>
                <w:sz w:val="16"/>
                <w:szCs w:val="16"/>
              </w:rPr>
              <w:t>IA</w:t>
            </w:r>
            <w:r w:rsidRPr="001E661C">
              <w:rPr>
                <w:rFonts w:ascii="Garamond" w:hAnsi="Garamond"/>
                <w:b/>
                <w:spacing w:val="-2"/>
                <w:sz w:val="16"/>
                <w:szCs w:val="16"/>
              </w:rPr>
              <w:t xml:space="preserve"> </w:t>
            </w:r>
            <w:r w:rsidRPr="001E661C">
              <w:rPr>
                <w:rFonts w:ascii="Garamond" w:hAnsi="Garamond"/>
                <w:b/>
                <w:spacing w:val="-1"/>
                <w:sz w:val="16"/>
                <w:szCs w:val="16"/>
              </w:rPr>
              <w:t>DH</w:t>
            </w:r>
            <w:r w:rsidRPr="001E661C">
              <w:rPr>
                <w:rFonts w:ascii="Garamond" w:hAnsi="Garamond"/>
                <w:b/>
                <w:sz w:val="16"/>
                <w:szCs w:val="16"/>
              </w:rPr>
              <w:t>E</w:t>
            </w:r>
            <w:r w:rsidRPr="001E661C">
              <w:rPr>
                <w:rFonts w:ascii="Garamond" w:hAnsi="Garamond"/>
                <w:b/>
                <w:spacing w:val="-2"/>
                <w:sz w:val="16"/>
                <w:szCs w:val="16"/>
              </w:rPr>
              <w:t xml:space="preserve"> </w:t>
            </w:r>
            <w:r w:rsidRPr="001E661C">
              <w:rPr>
                <w:rFonts w:ascii="Garamond" w:hAnsi="Garamond"/>
                <w:b/>
                <w:sz w:val="16"/>
                <w:szCs w:val="16"/>
              </w:rPr>
              <w:t>I</w:t>
            </w:r>
            <w:r w:rsidRPr="001E661C">
              <w:rPr>
                <w:rFonts w:ascii="Garamond" w:hAnsi="Garamond"/>
                <w:b/>
                <w:spacing w:val="-2"/>
                <w:sz w:val="16"/>
                <w:szCs w:val="16"/>
              </w:rPr>
              <w:t>N</w:t>
            </w:r>
            <w:r w:rsidRPr="001E661C">
              <w:rPr>
                <w:rFonts w:ascii="Garamond" w:hAnsi="Garamond"/>
                <w:b/>
                <w:spacing w:val="-1"/>
                <w:sz w:val="16"/>
                <w:szCs w:val="16"/>
              </w:rPr>
              <w:t>V</w:t>
            </w:r>
            <w:r w:rsidRPr="001E661C">
              <w:rPr>
                <w:rFonts w:ascii="Garamond" w:hAnsi="Garamond"/>
                <w:b/>
                <w:sz w:val="16"/>
                <w:szCs w:val="16"/>
              </w:rPr>
              <w:t>E</w:t>
            </w:r>
            <w:r w:rsidRPr="001E661C">
              <w:rPr>
                <w:rFonts w:ascii="Garamond" w:hAnsi="Garamond"/>
                <w:b/>
                <w:spacing w:val="1"/>
                <w:sz w:val="16"/>
                <w:szCs w:val="16"/>
              </w:rPr>
              <w:t>S</w:t>
            </w:r>
            <w:r w:rsidRPr="001E661C">
              <w:rPr>
                <w:rFonts w:ascii="Garamond" w:hAnsi="Garamond"/>
                <w:b/>
                <w:spacing w:val="-2"/>
                <w:sz w:val="16"/>
                <w:szCs w:val="16"/>
              </w:rPr>
              <w:t>T</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pacing w:val="-3"/>
                <w:sz w:val="16"/>
                <w:szCs w:val="16"/>
              </w:rPr>
              <w:t>E</w:t>
            </w:r>
            <w:r w:rsidRPr="001E661C">
              <w:rPr>
                <w:rFonts w:ascii="Garamond" w:hAnsi="Garamond"/>
                <w:b/>
                <w:sz w:val="16"/>
                <w:szCs w:val="16"/>
              </w:rPr>
              <w:t>T</w:t>
            </w:r>
          </w:p>
        </w:tc>
        <w:tc>
          <w:tcPr>
            <w:tcW w:w="2110" w:type="dxa"/>
            <w:tcBorders>
              <w:top w:val="thickThinMediumGap" w:sz="12" w:space="0" w:color="000000"/>
              <w:left w:val="single" w:sz="6" w:space="0" w:color="000000"/>
              <w:right w:val="single" w:sz="6" w:space="0" w:color="000000"/>
            </w:tcBorders>
          </w:tcPr>
          <w:p w14:paraId="54A74980" w14:textId="6A9F432A" w:rsidR="00C61F48" w:rsidRPr="001E661C" w:rsidRDefault="00C61F48" w:rsidP="00BA13DB">
            <w:pPr>
              <w:pStyle w:val="TableParagraph"/>
              <w:spacing w:before="1"/>
              <w:ind w:left="172" w:right="157"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Marrëveshja e tr</w:t>
            </w:r>
            <w:r w:rsidR="00A522FB">
              <w:rPr>
                <w:rFonts w:ascii="Garamond" w:hAnsi="Garamond"/>
                <w:sz w:val="16"/>
                <w:szCs w:val="16"/>
              </w:rPr>
              <w:t>egtisë së lirë midis dy vendeve</w:t>
            </w:r>
            <w:r w:rsidRPr="001E661C">
              <w:rPr>
                <w:rFonts w:ascii="Garamond" w:hAnsi="Garamond"/>
                <w:sz w:val="16"/>
                <w:szCs w:val="16"/>
              </w:rPr>
              <w:t>. Të dy vendet marrin pjesë në CEFTA;</w:t>
            </w:r>
          </w:p>
          <w:p w14:paraId="30BB8B2B" w14:textId="77777777" w:rsidR="00C61F48" w:rsidRPr="001E661C" w:rsidRDefault="00C61F48" w:rsidP="00BA13DB">
            <w:pPr>
              <w:pStyle w:val="TableParagraph"/>
              <w:spacing w:before="80"/>
              <w:ind w:left="172" w:right="30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Klima e favorshme e biznesit dhe taksat e korporatave. Kuadri i përgjithshëm ligjor dhe institucional, i cili favorizon tërheqjen e investimeve të Huaja Direkte;</w:t>
            </w:r>
          </w:p>
          <w:p w14:paraId="25D6B808" w14:textId="1604C335" w:rsidR="00C61F48" w:rsidRPr="001E661C" w:rsidRDefault="00C61F48" w:rsidP="00BA13DB">
            <w:pPr>
              <w:pStyle w:val="TableParagraph"/>
              <w:spacing w:before="80"/>
              <w:ind w:left="172" w:right="83"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Protokolli ekzistues i bashkëpunimit ekonomik ndër</w:t>
            </w:r>
            <w:r w:rsidR="00A522FB">
              <w:rPr>
                <w:rFonts w:ascii="Garamond" w:hAnsi="Garamond"/>
                <w:sz w:val="16"/>
                <w:szCs w:val="16"/>
              </w:rPr>
              <w:t>mjet Shqipërisë dhe Malit të Zi</w:t>
            </w:r>
            <w:r w:rsidRPr="001E661C">
              <w:rPr>
                <w:rFonts w:ascii="Garamond" w:hAnsi="Garamond"/>
                <w:sz w:val="16"/>
                <w:szCs w:val="16"/>
              </w:rPr>
              <w:t>. Ekzistenca e Forumit Ekonomik Rajonal ndërmjet Rajonit të Shkodrës dhe Malit të Zi</w:t>
            </w:r>
          </w:p>
          <w:p w14:paraId="395EC25B" w14:textId="77777777" w:rsidR="00C61F48" w:rsidRPr="001E661C" w:rsidRDefault="00C61F48" w:rsidP="00C61F48">
            <w:pPr>
              <w:pStyle w:val="TableParagraph"/>
              <w:numPr>
                <w:ilvl w:val="0"/>
                <w:numId w:val="29"/>
              </w:numPr>
              <w:tabs>
                <w:tab w:val="left" w:pos="212"/>
              </w:tabs>
              <w:spacing w:before="80"/>
              <w:ind w:right="255" w:hanging="72"/>
              <w:rPr>
                <w:rFonts w:ascii="Garamond" w:hAnsi="Garamond"/>
                <w:sz w:val="16"/>
                <w:szCs w:val="16"/>
              </w:rPr>
            </w:pPr>
            <w:r w:rsidRPr="001E661C">
              <w:rPr>
                <w:rFonts w:ascii="Garamond" w:hAnsi="Garamond"/>
                <w:sz w:val="16"/>
                <w:szCs w:val="16"/>
              </w:rPr>
              <w:t>Një numër i madhe</w:t>
            </w:r>
            <w:r w:rsidRPr="001E661C">
              <w:rPr>
                <w:rFonts w:ascii="Garamond" w:hAnsi="Garamond"/>
                <w:spacing w:val="-7"/>
                <w:sz w:val="16"/>
                <w:szCs w:val="16"/>
              </w:rPr>
              <w:t xml:space="preserve"> </w:t>
            </w:r>
            <w:r w:rsidRPr="001E661C">
              <w:rPr>
                <w:rFonts w:ascii="Garamond" w:hAnsi="Garamond"/>
                <w:sz w:val="16"/>
                <w:szCs w:val="16"/>
              </w:rPr>
              <w:t>dhe në rritje i NVM-ve në të gjithë rajonin me aktivitete të shumëllojshme;</w:t>
            </w:r>
          </w:p>
          <w:p w14:paraId="0352E06C" w14:textId="77777777" w:rsidR="00C61F48" w:rsidRPr="001E661C" w:rsidRDefault="00C61F48" w:rsidP="00BA13DB">
            <w:pPr>
              <w:pStyle w:val="TableParagraph"/>
              <w:spacing w:before="80"/>
              <w:ind w:left="172" w:right="151"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Burimet natyrore, Liqeni i Shkodrës, si dhe trashëgimia kulturore si potencial për zhvillimin e turizmit;</w:t>
            </w:r>
          </w:p>
          <w:p w14:paraId="1D784E07" w14:textId="77777777" w:rsidR="00C61F48" w:rsidRPr="001E661C" w:rsidRDefault="00C61F48" w:rsidP="00C61F48">
            <w:pPr>
              <w:pStyle w:val="TableParagraph"/>
              <w:numPr>
                <w:ilvl w:val="0"/>
                <w:numId w:val="29"/>
              </w:numPr>
              <w:tabs>
                <w:tab w:val="left" w:pos="212"/>
              </w:tabs>
              <w:spacing w:before="80"/>
              <w:ind w:right="83" w:hanging="72"/>
              <w:rPr>
                <w:rFonts w:ascii="Garamond" w:hAnsi="Garamond"/>
                <w:sz w:val="16"/>
                <w:szCs w:val="16"/>
              </w:rPr>
            </w:pPr>
            <w:r w:rsidRPr="001E661C">
              <w:rPr>
                <w:rFonts w:ascii="Garamond" w:hAnsi="Garamond"/>
                <w:sz w:val="16"/>
                <w:szCs w:val="16"/>
              </w:rPr>
              <w:t>Mbulimi relativisht i mirë i zonës së programit me universitete dhe qendra</w:t>
            </w:r>
            <w:r w:rsidRPr="001E661C">
              <w:rPr>
                <w:rFonts w:ascii="Garamond" w:hAnsi="Garamond"/>
                <w:spacing w:val="-8"/>
                <w:sz w:val="16"/>
                <w:szCs w:val="16"/>
              </w:rPr>
              <w:t xml:space="preserve"> </w:t>
            </w:r>
            <w:r w:rsidRPr="001E661C">
              <w:rPr>
                <w:rFonts w:ascii="Garamond" w:hAnsi="Garamond"/>
                <w:sz w:val="16"/>
                <w:szCs w:val="16"/>
              </w:rPr>
              <w:t>të formimit</w:t>
            </w:r>
            <w:r w:rsidRPr="001E661C">
              <w:rPr>
                <w:rFonts w:ascii="Garamond" w:hAnsi="Garamond"/>
                <w:spacing w:val="-10"/>
                <w:sz w:val="16"/>
                <w:szCs w:val="16"/>
              </w:rPr>
              <w:t xml:space="preserve"> </w:t>
            </w:r>
            <w:r w:rsidRPr="001E661C">
              <w:rPr>
                <w:rFonts w:ascii="Garamond" w:hAnsi="Garamond"/>
                <w:sz w:val="16"/>
                <w:szCs w:val="16"/>
              </w:rPr>
              <w:t>profesional;</w:t>
            </w:r>
          </w:p>
          <w:p w14:paraId="2B561E44" w14:textId="77777777" w:rsidR="00C61F48" w:rsidRPr="001E661C" w:rsidRDefault="00C61F48" w:rsidP="00C61F48">
            <w:pPr>
              <w:pStyle w:val="TableParagraph"/>
              <w:numPr>
                <w:ilvl w:val="0"/>
                <w:numId w:val="29"/>
              </w:numPr>
              <w:tabs>
                <w:tab w:val="left" w:pos="212"/>
              </w:tabs>
              <w:spacing w:before="80"/>
              <w:ind w:right="89" w:hanging="72"/>
              <w:rPr>
                <w:rFonts w:ascii="Garamond" w:hAnsi="Garamond"/>
                <w:sz w:val="16"/>
                <w:szCs w:val="16"/>
              </w:rPr>
            </w:pPr>
            <w:r w:rsidRPr="001E661C">
              <w:rPr>
                <w:rFonts w:ascii="Garamond" w:hAnsi="Garamond"/>
                <w:sz w:val="16"/>
                <w:szCs w:val="16"/>
              </w:rPr>
              <w:t>Ekzistenca e</w:t>
            </w:r>
            <w:r w:rsidRPr="001E661C">
              <w:rPr>
                <w:rFonts w:ascii="Garamond" w:hAnsi="Garamond"/>
                <w:spacing w:val="-7"/>
                <w:sz w:val="16"/>
                <w:szCs w:val="16"/>
              </w:rPr>
              <w:t xml:space="preserve"> </w:t>
            </w:r>
            <w:r w:rsidRPr="001E661C">
              <w:rPr>
                <w:rFonts w:ascii="Garamond" w:hAnsi="Garamond"/>
                <w:sz w:val="16"/>
                <w:szCs w:val="16"/>
              </w:rPr>
              <w:t>inkubatorëve të biznesit (Mal i Zi) dhe agjencive rajonale të zhvillimit</w:t>
            </w:r>
            <w:r w:rsidRPr="001E661C">
              <w:rPr>
                <w:rFonts w:ascii="Garamond" w:hAnsi="Garamond"/>
                <w:spacing w:val="-6"/>
                <w:sz w:val="16"/>
                <w:szCs w:val="16"/>
              </w:rPr>
              <w:t xml:space="preserve"> </w:t>
            </w:r>
            <w:r w:rsidRPr="001E661C">
              <w:rPr>
                <w:rFonts w:ascii="Garamond" w:hAnsi="Garamond"/>
                <w:sz w:val="16"/>
                <w:szCs w:val="16"/>
              </w:rPr>
              <w:t>(Shqipëri);</w:t>
            </w:r>
          </w:p>
          <w:p w14:paraId="21D3D844" w14:textId="77777777" w:rsidR="00C61F48" w:rsidRPr="001E661C" w:rsidRDefault="00C61F48" w:rsidP="00C61F48">
            <w:pPr>
              <w:pStyle w:val="TableParagraph"/>
              <w:numPr>
                <w:ilvl w:val="0"/>
                <w:numId w:val="29"/>
              </w:numPr>
              <w:tabs>
                <w:tab w:val="left" w:pos="212"/>
              </w:tabs>
              <w:spacing w:before="80"/>
              <w:ind w:right="181" w:hanging="72"/>
              <w:rPr>
                <w:rFonts w:ascii="Garamond" w:hAnsi="Garamond"/>
                <w:sz w:val="16"/>
                <w:szCs w:val="16"/>
              </w:rPr>
            </w:pPr>
            <w:r w:rsidRPr="001E661C">
              <w:rPr>
                <w:rFonts w:ascii="Garamond" w:hAnsi="Garamond"/>
                <w:sz w:val="16"/>
                <w:szCs w:val="16"/>
              </w:rPr>
              <w:t>Rritja e investimeve në infrastrukturë me qëllim për të mbështetur zhvillimin e industrisë së turizmit në zonat përreth Liqenit të</w:t>
            </w:r>
            <w:r w:rsidRPr="001E661C">
              <w:rPr>
                <w:rFonts w:ascii="Garamond" w:hAnsi="Garamond"/>
                <w:spacing w:val="-9"/>
                <w:sz w:val="16"/>
                <w:szCs w:val="16"/>
              </w:rPr>
              <w:t xml:space="preserve"> </w:t>
            </w:r>
            <w:r w:rsidRPr="001E661C">
              <w:rPr>
                <w:rFonts w:ascii="Garamond" w:hAnsi="Garamond"/>
                <w:sz w:val="16"/>
                <w:szCs w:val="16"/>
              </w:rPr>
              <w:t>Shkodrës.</w:t>
            </w:r>
          </w:p>
        </w:tc>
        <w:tc>
          <w:tcPr>
            <w:tcW w:w="2302" w:type="dxa"/>
            <w:tcBorders>
              <w:top w:val="thickThinMediumGap" w:sz="12" w:space="0" w:color="000000"/>
              <w:left w:val="single" w:sz="6" w:space="0" w:color="000000"/>
              <w:right w:val="single" w:sz="6" w:space="0" w:color="000000"/>
            </w:tcBorders>
          </w:tcPr>
          <w:p w14:paraId="571C8012" w14:textId="77777777" w:rsidR="00C61F48" w:rsidRPr="001E661C" w:rsidRDefault="00C61F48" w:rsidP="00BA13DB">
            <w:pPr>
              <w:pStyle w:val="TableParagraph"/>
              <w:spacing w:before="1"/>
              <w:ind w:left="172" w:right="31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Konkurrenca e ulët e bizneseve , produktivitet i ulët dhe njohuri të pamjaftueshme;</w:t>
            </w:r>
          </w:p>
          <w:p w14:paraId="7B6A046F" w14:textId="77777777" w:rsidR="00C61F48" w:rsidRPr="001E661C" w:rsidRDefault="00C61F48" w:rsidP="00C61F48">
            <w:pPr>
              <w:pStyle w:val="TableParagraph"/>
              <w:numPr>
                <w:ilvl w:val="0"/>
                <w:numId w:val="28"/>
              </w:numPr>
              <w:tabs>
                <w:tab w:val="left" w:pos="212"/>
              </w:tabs>
              <w:spacing w:before="80"/>
              <w:ind w:right="484" w:hanging="72"/>
              <w:rPr>
                <w:rFonts w:ascii="Garamond" w:hAnsi="Garamond"/>
                <w:sz w:val="16"/>
                <w:szCs w:val="16"/>
              </w:rPr>
            </w:pPr>
            <w:r w:rsidRPr="001E661C">
              <w:rPr>
                <w:rFonts w:ascii="Garamond" w:hAnsi="Garamond"/>
                <w:sz w:val="16"/>
                <w:szCs w:val="16"/>
              </w:rPr>
              <w:t>Migrimi dhe largimi i vazhdueshëm i fuqisë punëtore të</w:t>
            </w:r>
            <w:r w:rsidRPr="001E661C">
              <w:rPr>
                <w:rFonts w:ascii="Garamond" w:hAnsi="Garamond"/>
                <w:spacing w:val="-10"/>
                <w:sz w:val="16"/>
                <w:szCs w:val="16"/>
              </w:rPr>
              <w:t xml:space="preserve"> </w:t>
            </w:r>
            <w:r w:rsidRPr="001E661C">
              <w:rPr>
                <w:rFonts w:ascii="Garamond" w:hAnsi="Garamond"/>
                <w:sz w:val="16"/>
                <w:szCs w:val="16"/>
              </w:rPr>
              <w:t>kualifikuar;</w:t>
            </w:r>
          </w:p>
          <w:p w14:paraId="2D39049F" w14:textId="77777777" w:rsidR="00C61F48" w:rsidRPr="001E661C" w:rsidRDefault="00C61F48" w:rsidP="00C61F48">
            <w:pPr>
              <w:pStyle w:val="TableParagraph"/>
              <w:numPr>
                <w:ilvl w:val="0"/>
                <w:numId w:val="28"/>
              </w:numPr>
              <w:tabs>
                <w:tab w:val="left" w:pos="212"/>
              </w:tabs>
              <w:spacing w:before="81"/>
              <w:ind w:right="486" w:hanging="72"/>
              <w:rPr>
                <w:rFonts w:ascii="Garamond" w:hAnsi="Garamond"/>
                <w:sz w:val="16"/>
                <w:szCs w:val="16"/>
              </w:rPr>
            </w:pPr>
            <w:r w:rsidRPr="001E661C">
              <w:rPr>
                <w:rFonts w:ascii="Garamond" w:hAnsi="Garamond"/>
                <w:sz w:val="16"/>
                <w:szCs w:val="16"/>
              </w:rPr>
              <w:t>Ekspozimi i kufizuar në tregjet</w:t>
            </w:r>
            <w:r w:rsidRPr="001E661C">
              <w:rPr>
                <w:rFonts w:ascii="Garamond" w:hAnsi="Garamond"/>
                <w:spacing w:val="-9"/>
                <w:sz w:val="16"/>
                <w:szCs w:val="16"/>
              </w:rPr>
              <w:t xml:space="preserve"> </w:t>
            </w:r>
            <w:r w:rsidRPr="001E661C">
              <w:rPr>
                <w:rFonts w:ascii="Garamond" w:hAnsi="Garamond"/>
                <w:sz w:val="16"/>
                <w:szCs w:val="16"/>
              </w:rPr>
              <w:t>ndërkombëtare;</w:t>
            </w:r>
          </w:p>
          <w:p w14:paraId="7F73099F" w14:textId="77777777" w:rsidR="00C61F48" w:rsidRPr="001E661C" w:rsidRDefault="00C61F48" w:rsidP="00C61F48">
            <w:pPr>
              <w:pStyle w:val="TableParagraph"/>
              <w:numPr>
                <w:ilvl w:val="0"/>
                <w:numId w:val="28"/>
              </w:numPr>
              <w:tabs>
                <w:tab w:val="left" w:pos="212"/>
              </w:tabs>
              <w:spacing w:before="80"/>
              <w:ind w:right="119" w:hanging="72"/>
              <w:rPr>
                <w:rFonts w:ascii="Garamond" w:hAnsi="Garamond"/>
                <w:sz w:val="16"/>
                <w:szCs w:val="16"/>
              </w:rPr>
            </w:pPr>
            <w:r w:rsidRPr="001E661C">
              <w:rPr>
                <w:rFonts w:ascii="Garamond" w:hAnsi="Garamond"/>
                <w:sz w:val="16"/>
                <w:szCs w:val="16"/>
              </w:rPr>
              <w:t>Organizimi në shkallë të</w:t>
            </w:r>
            <w:r w:rsidRPr="001E661C">
              <w:rPr>
                <w:rFonts w:ascii="Garamond" w:hAnsi="Garamond"/>
                <w:spacing w:val="-9"/>
                <w:sz w:val="16"/>
                <w:szCs w:val="16"/>
              </w:rPr>
              <w:t xml:space="preserve"> </w:t>
            </w:r>
            <w:r w:rsidRPr="001E661C">
              <w:rPr>
                <w:rFonts w:ascii="Garamond" w:hAnsi="Garamond"/>
                <w:sz w:val="16"/>
                <w:szCs w:val="16"/>
              </w:rPr>
              <w:t>ulët i bujqësisë dhe produktivitet i ulët i aktiviteteve të agrobiznesit;</w:t>
            </w:r>
          </w:p>
          <w:p w14:paraId="7B450C00" w14:textId="77777777" w:rsidR="00C61F48" w:rsidRPr="001E661C" w:rsidRDefault="00C61F48" w:rsidP="00C61F48">
            <w:pPr>
              <w:pStyle w:val="TableParagraph"/>
              <w:numPr>
                <w:ilvl w:val="0"/>
                <w:numId w:val="28"/>
              </w:numPr>
              <w:tabs>
                <w:tab w:val="left" w:pos="212"/>
              </w:tabs>
              <w:spacing w:before="80"/>
              <w:ind w:right="81" w:hanging="72"/>
              <w:rPr>
                <w:rFonts w:ascii="Garamond" w:hAnsi="Garamond"/>
                <w:sz w:val="16"/>
                <w:szCs w:val="16"/>
              </w:rPr>
            </w:pPr>
            <w:r w:rsidRPr="001E661C">
              <w:rPr>
                <w:rFonts w:ascii="Garamond" w:hAnsi="Garamond"/>
                <w:sz w:val="16"/>
                <w:szCs w:val="16"/>
              </w:rPr>
              <w:t>Kultura e kufizuar e sipërmarrjes, e dominuar nga tregtia afatshkurtër dhe aktivitetet e shërbimit më shumë sesa nga investimet kapitale</w:t>
            </w:r>
            <w:r w:rsidRPr="001E661C">
              <w:rPr>
                <w:rFonts w:ascii="Garamond" w:hAnsi="Garamond"/>
                <w:spacing w:val="-6"/>
                <w:sz w:val="16"/>
                <w:szCs w:val="16"/>
              </w:rPr>
              <w:t xml:space="preserve"> </w:t>
            </w:r>
            <w:r w:rsidRPr="001E661C">
              <w:rPr>
                <w:rFonts w:ascii="Garamond" w:hAnsi="Garamond"/>
                <w:sz w:val="16"/>
                <w:szCs w:val="16"/>
              </w:rPr>
              <w:t>afatgjata;</w:t>
            </w:r>
          </w:p>
          <w:p w14:paraId="22EA43ED" w14:textId="77777777" w:rsidR="00C61F48" w:rsidRPr="001E661C" w:rsidRDefault="00C61F48" w:rsidP="00C61F48">
            <w:pPr>
              <w:pStyle w:val="TableParagraph"/>
              <w:numPr>
                <w:ilvl w:val="0"/>
                <w:numId w:val="28"/>
              </w:numPr>
              <w:tabs>
                <w:tab w:val="left" w:pos="212"/>
              </w:tabs>
              <w:spacing w:before="80"/>
              <w:ind w:right="301" w:hanging="72"/>
              <w:rPr>
                <w:rFonts w:ascii="Garamond" w:hAnsi="Garamond"/>
                <w:sz w:val="16"/>
                <w:szCs w:val="16"/>
              </w:rPr>
            </w:pPr>
            <w:r w:rsidRPr="001E661C">
              <w:rPr>
                <w:rFonts w:ascii="Garamond" w:hAnsi="Garamond"/>
                <w:sz w:val="16"/>
                <w:szCs w:val="16"/>
              </w:rPr>
              <w:t>Pabarazia e lartë në zhvillimin urban dhe</w:t>
            </w:r>
            <w:r w:rsidRPr="001E661C">
              <w:rPr>
                <w:rFonts w:ascii="Garamond" w:hAnsi="Garamond"/>
                <w:spacing w:val="-8"/>
                <w:sz w:val="16"/>
                <w:szCs w:val="16"/>
              </w:rPr>
              <w:t xml:space="preserve"> </w:t>
            </w:r>
            <w:r w:rsidRPr="001E661C">
              <w:rPr>
                <w:rFonts w:ascii="Garamond" w:hAnsi="Garamond"/>
                <w:sz w:val="16"/>
                <w:szCs w:val="16"/>
              </w:rPr>
              <w:t>rural;</w:t>
            </w:r>
          </w:p>
          <w:p w14:paraId="103CB28B" w14:textId="77777777" w:rsidR="00C61F48" w:rsidRPr="001E661C" w:rsidRDefault="00C61F48" w:rsidP="00C61F48">
            <w:pPr>
              <w:pStyle w:val="TableParagraph"/>
              <w:numPr>
                <w:ilvl w:val="0"/>
                <w:numId w:val="28"/>
              </w:numPr>
              <w:tabs>
                <w:tab w:val="left" w:pos="212"/>
              </w:tabs>
              <w:spacing w:before="78"/>
              <w:ind w:left="211"/>
              <w:rPr>
                <w:rFonts w:ascii="Garamond" w:hAnsi="Garamond"/>
                <w:sz w:val="16"/>
                <w:szCs w:val="16"/>
              </w:rPr>
            </w:pPr>
            <w:r w:rsidRPr="001E661C">
              <w:rPr>
                <w:rFonts w:ascii="Garamond" w:hAnsi="Garamond"/>
                <w:sz w:val="16"/>
                <w:szCs w:val="16"/>
              </w:rPr>
              <w:t>Niveli i ulët i</w:t>
            </w:r>
            <w:r w:rsidRPr="001E661C">
              <w:rPr>
                <w:rFonts w:ascii="Garamond" w:hAnsi="Garamond"/>
                <w:spacing w:val="-11"/>
                <w:sz w:val="16"/>
                <w:szCs w:val="16"/>
              </w:rPr>
              <w:t xml:space="preserve"> </w:t>
            </w:r>
            <w:r w:rsidRPr="001E661C">
              <w:rPr>
                <w:rFonts w:ascii="Garamond" w:hAnsi="Garamond"/>
                <w:sz w:val="16"/>
                <w:szCs w:val="16"/>
              </w:rPr>
              <w:t>teknologjisë;</w:t>
            </w:r>
          </w:p>
          <w:p w14:paraId="039A3100" w14:textId="77777777" w:rsidR="00C61F48" w:rsidRPr="001E661C" w:rsidRDefault="00C61F48" w:rsidP="00BA13DB">
            <w:pPr>
              <w:pStyle w:val="TableParagraph"/>
              <w:spacing w:before="80"/>
              <w:ind w:left="172" w:right="14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Disponueshmëria e kufizuar e skemave të mikro-kredive.</w:t>
            </w:r>
          </w:p>
        </w:tc>
        <w:tc>
          <w:tcPr>
            <w:tcW w:w="2302" w:type="dxa"/>
            <w:tcBorders>
              <w:top w:val="thickThinMediumGap" w:sz="12" w:space="0" w:color="000000"/>
              <w:left w:val="single" w:sz="6" w:space="0" w:color="000000"/>
              <w:right w:val="single" w:sz="6" w:space="0" w:color="000000"/>
            </w:tcBorders>
          </w:tcPr>
          <w:p w14:paraId="4D5690CF" w14:textId="77777777" w:rsidR="00C61F48" w:rsidRPr="001E661C" w:rsidRDefault="00C61F48" w:rsidP="00BA13DB">
            <w:pPr>
              <w:pStyle w:val="TableParagraph"/>
              <w:spacing w:before="1"/>
              <w:ind w:left="172" w:right="11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Mundësia për të zhvilluar mekanizma dhe instrumente të ndryshme duke synuar lehtësimin në vendosjen e partneritetit të biznesit në iniciativat ndërkufitare;</w:t>
            </w:r>
          </w:p>
          <w:p w14:paraId="0CFE3DCD" w14:textId="77777777" w:rsidR="00C61F48" w:rsidRPr="001E661C" w:rsidRDefault="00C61F48" w:rsidP="00BA13DB">
            <w:pPr>
              <w:pStyle w:val="TableParagraph"/>
              <w:spacing w:before="80"/>
              <w:ind w:left="172" w:right="32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Specializimi i NVM-ve dhe forcimi i tyre nëpërmjet rritjes së vlerës së produkteve të tyre;</w:t>
            </w:r>
          </w:p>
          <w:p w14:paraId="1095AAD5" w14:textId="77777777" w:rsidR="00C61F48" w:rsidRPr="001E661C" w:rsidRDefault="00C61F48" w:rsidP="00BA13DB">
            <w:pPr>
              <w:pStyle w:val="TableParagraph"/>
              <w:spacing w:before="80"/>
              <w:ind w:left="172" w:right="23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Krijimi i produktit të integruar të turizmit , duke përfshirë të dy zonat e liqenit, bregun dhe zonën malore ;</w:t>
            </w:r>
          </w:p>
          <w:p w14:paraId="58C75A2F" w14:textId="77777777" w:rsidR="00C61F48" w:rsidRPr="001E661C" w:rsidRDefault="00C61F48" w:rsidP="00BA13DB">
            <w:pPr>
              <w:pStyle w:val="TableParagraph"/>
              <w:spacing w:before="80"/>
              <w:ind w:left="172" w:right="9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Identifikimi i disa produkteve të veçanta të zonës që mund të njihen në nivel kombëtar dhe ndërkombëtar;</w:t>
            </w:r>
          </w:p>
          <w:p w14:paraId="72DBAEBD" w14:textId="77777777" w:rsidR="00C61F48" w:rsidRPr="001E661C" w:rsidRDefault="00C61F48" w:rsidP="00BA13DB">
            <w:pPr>
              <w:pStyle w:val="TableParagraph"/>
              <w:spacing w:before="80"/>
              <w:ind w:left="172" w:right="258"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Zhvillimi i mëtejshëm i produkteve të agrikulturës dhe industrisë së agro – përpunimit;</w:t>
            </w:r>
          </w:p>
          <w:p w14:paraId="70CB778D" w14:textId="77777777" w:rsidR="00C61F48" w:rsidRPr="001E661C" w:rsidRDefault="00C61F48" w:rsidP="00BA13DB">
            <w:pPr>
              <w:pStyle w:val="TableParagraph"/>
              <w:spacing w:before="80"/>
              <w:ind w:left="172" w:right="9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Përmirësimi i nivelit të arsimit profesional me</w:t>
            </w:r>
            <w:r w:rsidRPr="001E661C">
              <w:rPr>
                <w:rFonts w:ascii="Garamond" w:hAnsi="Garamond"/>
                <w:spacing w:val="-11"/>
                <w:sz w:val="16"/>
                <w:szCs w:val="16"/>
              </w:rPr>
              <w:t xml:space="preserve"> </w:t>
            </w:r>
            <w:r w:rsidRPr="001E661C">
              <w:rPr>
                <w:rFonts w:ascii="Garamond" w:hAnsi="Garamond"/>
                <w:sz w:val="16"/>
                <w:szCs w:val="16"/>
              </w:rPr>
              <w:t>qëllim që ti shërbejë më mirë kërkesave të tregut të</w:t>
            </w:r>
            <w:r w:rsidRPr="001E661C">
              <w:rPr>
                <w:rFonts w:ascii="Garamond" w:hAnsi="Garamond"/>
                <w:spacing w:val="-10"/>
                <w:sz w:val="16"/>
                <w:szCs w:val="16"/>
              </w:rPr>
              <w:t xml:space="preserve"> </w:t>
            </w:r>
            <w:r w:rsidRPr="001E661C">
              <w:rPr>
                <w:rFonts w:ascii="Garamond" w:hAnsi="Garamond"/>
                <w:sz w:val="16"/>
                <w:szCs w:val="16"/>
              </w:rPr>
              <w:t>punës;</w:t>
            </w:r>
          </w:p>
          <w:p w14:paraId="48B655D5" w14:textId="77777777" w:rsidR="00C61F48" w:rsidRPr="001E661C" w:rsidRDefault="00C61F48" w:rsidP="00BA13DB">
            <w:pPr>
              <w:pStyle w:val="TableParagraph"/>
              <w:spacing w:before="80"/>
              <w:ind w:left="172" w:right="21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Rritja e partneritetit privat/ publik për ndërtimin e infrastrukturës adekuate rrugore;</w:t>
            </w:r>
          </w:p>
          <w:p w14:paraId="16079EBA" w14:textId="77777777" w:rsidR="00C61F48" w:rsidRPr="001E661C" w:rsidRDefault="00C61F48" w:rsidP="00C61F48">
            <w:pPr>
              <w:pStyle w:val="TableParagraph"/>
              <w:numPr>
                <w:ilvl w:val="0"/>
                <w:numId w:val="27"/>
              </w:numPr>
              <w:tabs>
                <w:tab w:val="left" w:pos="224"/>
              </w:tabs>
              <w:spacing w:before="78"/>
              <w:ind w:right="119" w:firstLine="0"/>
              <w:rPr>
                <w:rFonts w:ascii="Garamond" w:hAnsi="Garamond"/>
                <w:sz w:val="16"/>
                <w:szCs w:val="16"/>
              </w:rPr>
            </w:pPr>
            <w:r w:rsidRPr="001E661C">
              <w:rPr>
                <w:rFonts w:ascii="Garamond" w:hAnsi="Garamond"/>
                <w:sz w:val="16"/>
                <w:szCs w:val="16"/>
              </w:rPr>
              <w:t>Përparësitë që rrjedhin nga niveli relativisht i ulët i kostove të punës</w:t>
            </w:r>
            <w:r w:rsidRPr="001E661C">
              <w:rPr>
                <w:rFonts w:ascii="Garamond" w:hAnsi="Garamond"/>
                <w:spacing w:val="-10"/>
                <w:sz w:val="16"/>
                <w:szCs w:val="16"/>
              </w:rPr>
              <w:t xml:space="preserve"> </w:t>
            </w:r>
            <w:r w:rsidRPr="001E661C">
              <w:rPr>
                <w:rFonts w:ascii="Garamond" w:hAnsi="Garamond"/>
                <w:sz w:val="16"/>
                <w:szCs w:val="16"/>
              </w:rPr>
              <w:t>(veçanërisht në veri të</w:t>
            </w:r>
            <w:r w:rsidRPr="001E661C">
              <w:rPr>
                <w:rFonts w:ascii="Garamond" w:hAnsi="Garamond"/>
                <w:spacing w:val="-8"/>
                <w:sz w:val="16"/>
                <w:szCs w:val="16"/>
              </w:rPr>
              <w:t xml:space="preserve"> </w:t>
            </w:r>
            <w:r w:rsidRPr="001E661C">
              <w:rPr>
                <w:rFonts w:ascii="Garamond" w:hAnsi="Garamond"/>
                <w:sz w:val="16"/>
                <w:szCs w:val="16"/>
              </w:rPr>
              <w:t>Shqipërisë).</w:t>
            </w:r>
          </w:p>
        </w:tc>
        <w:tc>
          <w:tcPr>
            <w:tcW w:w="2216" w:type="dxa"/>
            <w:tcBorders>
              <w:top w:val="thickThinMediumGap" w:sz="12" w:space="0" w:color="000000"/>
              <w:left w:val="single" w:sz="6" w:space="0" w:color="000000"/>
            </w:tcBorders>
          </w:tcPr>
          <w:p w14:paraId="3D6110F3" w14:textId="77777777" w:rsidR="00C61F48" w:rsidRPr="001E661C" w:rsidRDefault="00C61F48" w:rsidP="00BA13DB">
            <w:pPr>
              <w:pStyle w:val="TableParagraph"/>
              <w:spacing w:before="1"/>
              <w:ind w:left="172" w:right="7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Aksesi i kufizuar në sistemin e kredive për fermat dhe NVM- të mund të ngadalësojë zhvillimin ekonomik;</w:t>
            </w:r>
          </w:p>
          <w:p w14:paraId="4FD409C7" w14:textId="77777777" w:rsidR="00C61F48" w:rsidRPr="001E661C" w:rsidRDefault="00C61F48" w:rsidP="00C61F48">
            <w:pPr>
              <w:pStyle w:val="TableParagraph"/>
              <w:numPr>
                <w:ilvl w:val="0"/>
                <w:numId w:val="26"/>
              </w:numPr>
              <w:tabs>
                <w:tab w:val="left" w:pos="212"/>
              </w:tabs>
              <w:spacing w:before="78"/>
              <w:ind w:right="467" w:hanging="72"/>
              <w:rPr>
                <w:rFonts w:ascii="Garamond" w:hAnsi="Garamond"/>
                <w:sz w:val="16"/>
                <w:szCs w:val="16"/>
              </w:rPr>
            </w:pPr>
            <w:r w:rsidRPr="001E661C">
              <w:rPr>
                <w:rFonts w:ascii="Garamond" w:hAnsi="Garamond"/>
                <w:sz w:val="16"/>
                <w:szCs w:val="16"/>
              </w:rPr>
              <w:t>Administratat e vetë - qeverisjes lokale të pazhvilluara dhe të pa pajisura;</w:t>
            </w:r>
          </w:p>
          <w:p w14:paraId="1487E66C" w14:textId="77777777" w:rsidR="00C61F48" w:rsidRPr="001E661C" w:rsidRDefault="00C61F48" w:rsidP="00C61F48">
            <w:pPr>
              <w:pStyle w:val="TableParagraph"/>
              <w:numPr>
                <w:ilvl w:val="0"/>
                <w:numId w:val="26"/>
              </w:numPr>
              <w:tabs>
                <w:tab w:val="left" w:pos="212"/>
              </w:tabs>
              <w:spacing w:before="80"/>
              <w:ind w:right="328" w:hanging="72"/>
              <w:rPr>
                <w:rFonts w:ascii="Garamond" w:hAnsi="Garamond"/>
                <w:sz w:val="16"/>
                <w:szCs w:val="16"/>
              </w:rPr>
            </w:pPr>
            <w:r w:rsidRPr="001E661C">
              <w:rPr>
                <w:rFonts w:ascii="Garamond" w:hAnsi="Garamond"/>
                <w:sz w:val="16"/>
                <w:szCs w:val="16"/>
              </w:rPr>
              <w:t>Relievi malor dominues mund të ketë një</w:t>
            </w:r>
            <w:r w:rsidRPr="001E661C">
              <w:rPr>
                <w:rFonts w:ascii="Garamond" w:hAnsi="Garamond"/>
                <w:spacing w:val="-10"/>
                <w:sz w:val="16"/>
                <w:szCs w:val="16"/>
              </w:rPr>
              <w:t xml:space="preserve"> </w:t>
            </w:r>
            <w:r w:rsidRPr="001E661C">
              <w:rPr>
                <w:rFonts w:ascii="Garamond" w:hAnsi="Garamond"/>
                <w:sz w:val="16"/>
                <w:szCs w:val="16"/>
              </w:rPr>
              <w:t>ndikim negativ në zhvillimin ekonomik</w:t>
            </w:r>
            <w:r w:rsidRPr="001E661C">
              <w:rPr>
                <w:rFonts w:ascii="Garamond" w:hAnsi="Garamond"/>
                <w:spacing w:val="-10"/>
                <w:sz w:val="16"/>
                <w:szCs w:val="16"/>
              </w:rPr>
              <w:t xml:space="preserve"> </w:t>
            </w:r>
            <w:r w:rsidRPr="001E661C">
              <w:rPr>
                <w:rFonts w:ascii="Garamond" w:hAnsi="Garamond"/>
                <w:sz w:val="16"/>
                <w:szCs w:val="16"/>
              </w:rPr>
              <w:t>lokal;</w:t>
            </w:r>
          </w:p>
          <w:p w14:paraId="3C9F6984" w14:textId="77777777" w:rsidR="00C61F48" w:rsidRPr="001E661C" w:rsidRDefault="00C61F48" w:rsidP="00BA13DB">
            <w:pPr>
              <w:pStyle w:val="TableParagraph"/>
              <w:spacing w:before="80"/>
              <w:ind w:left="172" w:right="7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Ekonomia informale konkurron padrejtësisht me sektorin formal;</w:t>
            </w:r>
          </w:p>
          <w:p w14:paraId="4A9FD434" w14:textId="77777777" w:rsidR="00C61F48" w:rsidRPr="001E661C" w:rsidRDefault="00C61F48" w:rsidP="00C61F48">
            <w:pPr>
              <w:pStyle w:val="TableParagraph"/>
              <w:numPr>
                <w:ilvl w:val="0"/>
                <w:numId w:val="26"/>
              </w:numPr>
              <w:tabs>
                <w:tab w:val="left" w:pos="212"/>
              </w:tabs>
              <w:spacing w:before="78"/>
              <w:ind w:right="248" w:hanging="72"/>
              <w:rPr>
                <w:rFonts w:ascii="Garamond" w:hAnsi="Garamond"/>
                <w:sz w:val="16"/>
                <w:szCs w:val="16"/>
              </w:rPr>
            </w:pPr>
            <w:r w:rsidRPr="001E661C">
              <w:rPr>
                <w:rFonts w:ascii="Garamond" w:hAnsi="Garamond"/>
                <w:sz w:val="16"/>
                <w:szCs w:val="16"/>
              </w:rPr>
              <w:t>Niveli i konsiderueshëm</w:t>
            </w:r>
            <w:r w:rsidRPr="001E661C">
              <w:rPr>
                <w:rFonts w:ascii="Garamond" w:hAnsi="Garamond"/>
                <w:spacing w:val="-8"/>
                <w:sz w:val="16"/>
                <w:szCs w:val="16"/>
              </w:rPr>
              <w:t xml:space="preserve"> </w:t>
            </w:r>
            <w:r w:rsidRPr="001E661C">
              <w:rPr>
                <w:rFonts w:ascii="Garamond" w:hAnsi="Garamond"/>
                <w:sz w:val="16"/>
                <w:szCs w:val="16"/>
              </w:rPr>
              <w:t>i korrupsionit;</w:t>
            </w:r>
          </w:p>
          <w:p w14:paraId="709CB444" w14:textId="77777777" w:rsidR="00C61F48" w:rsidRPr="001E661C" w:rsidRDefault="00C61F48" w:rsidP="00C61F48">
            <w:pPr>
              <w:pStyle w:val="TableParagraph"/>
              <w:numPr>
                <w:ilvl w:val="0"/>
                <w:numId w:val="25"/>
              </w:numPr>
              <w:tabs>
                <w:tab w:val="left" w:pos="296"/>
              </w:tabs>
              <w:spacing w:before="80"/>
              <w:ind w:right="341" w:firstLine="0"/>
              <w:rPr>
                <w:rFonts w:ascii="Garamond" w:hAnsi="Garamond"/>
                <w:sz w:val="16"/>
                <w:szCs w:val="16"/>
              </w:rPr>
            </w:pPr>
            <w:r w:rsidRPr="001E661C">
              <w:rPr>
                <w:rFonts w:ascii="Garamond" w:hAnsi="Garamond"/>
                <w:sz w:val="16"/>
                <w:szCs w:val="16"/>
              </w:rPr>
              <w:t>Largimi i njerëzve të arsimuar në drejtim të zonave më të</w:t>
            </w:r>
            <w:r w:rsidRPr="001E661C">
              <w:rPr>
                <w:rFonts w:ascii="Garamond" w:hAnsi="Garamond"/>
                <w:spacing w:val="-5"/>
                <w:sz w:val="16"/>
                <w:szCs w:val="16"/>
              </w:rPr>
              <w:t xml:space="preserve"> </w:t>
            </w:r>
            <w:r w:rsidRPr="001E661C">
              <w:rPr>
                <w:rFonts w:ascii="Garamond" w:hAnsi="Garamond"/>
                <w:sz w:val="16"/>
                <w:szCs w:val="16"/>
              </w:rPr>
              <w:t>zhvilluara.</w:t>
            </w:r>
          </w:p>
        </w:tc>
      </w:tr>
    </w:tbl>
    <w:p w14:paraId="2772A865" w14:textId="77777777" w:rsidR="001E661C" w:rsidRDefault="001E661C" w:rsidP="00C61F48">
      <w:pPr>
        <w:pStyle w:val="BodyText"/>
        <w:rPr>
          <w:rFonts w:ascii="Times New Roman"/>
          <w:sz w:val="20"/>
        </w:rPr>
      </w:pPr>
    </w:p>
    <w:p w14:paraId="0B013214" w14:textId="77777777" w:rsidR="00686AD4" w:rsidRDefault="00686AD4" w:rsidP="00C61F48">
      <w:pPr>
        <w:pStyle w:val="BodyText"/>
        <w:rPr>
          <w:rFonts w:ascii="Times New Roman"/>
          <w:sz w:val="20"/>
        </w:rPr>
      </w:pPr>
    </w:p>
    <w:p w14:paraId="47EAD433" w14:textId="77777777" w:rsidR="00686AD4" w:rsidRDefault="00686AD4" w:rsidP="00C61F48">
      <w:pPr>
        <w:pStyle w:val="BodyText"/>
        <w:rPr>
          <w:rFonts w:ascii="Times New Roman"/>
          <w:sz w:val="20"/>
        </w:rPr>
      </w:pPr>
    </w:p>
    <w:p w14:paraId="16DB8571" w14:textId="77777777" w:rsidR="00686AD4" w:rsidRDefault="00686AD4" w:rsidP="00C61F48">
      <w:pPr>
        <w:pStyle w:val="BodyText"/>
        <w:rPr>
          <w:rFonts w:ascii="Times New Roman"/>
          <w:sz w:val="20"/>
        </w:rPr>
      </w:pPr>
    </w:p>
    <w:p w14:paraId="292238FA" w14:textId="77777777" w:rsidR="00686AD4" w:rsidRDefault="00686AD4" w:rsidP="00C61F48">
      <w:pPr>
        <w:pStyle w:val="BodyText"/>
        <w:rPr>
          <w:rFonts w:ascii="Times New Roman"/>
          <w:sz w:val="20"/>
        </w:rPr>
      </w:pPr>
    </w:p>
    <w:p w14:paraId="20F08A3E" w14:textId="77777777" w:rsidR="00686AD4" w:rsidRDefault="00686AD4" w:rsidP="00C61F48">
      <w:pPr>
        <w:pStyle w:val="BodyText"/>
        <w:rPr>
          <w:rFonts w:ascii="Times New Roman"/>
          <w:sz w:val="20"/>
        </w:rPr>
      </w:pPr>
    </w:p>
    <w:p w14:paraId="46F42193" w14:textId="77777777" w:rsidR="00686AD4" w:rsidRDefault="00686AD4" w:rsidP="00C61F48">
      <w:pPr>
        <w:pStyle w:val="BodyText"/>
        <w:rPr>
          <w:rFonts w:ascii="Times New Roman"/>
          <w:sz w:val="20"/>
        </w:rPr>
      </w:pPr>
    </w:p>
    <w:p w14:paraId="1EB8CEF5" w14:textId="77777777" w:rsidR="00686AD4" w:rsidRDefault="00686AD4" w:rsidP="00C61F48">
      <w:pPr>
        <w:pStyle w:val="BodyText"/>
        <w:rPr>
          <w:rFonts w:ascii="Times New Roman"/>
          <w:sz w:val="20"/>
        </w:rPr>
      </w:pPr>
    </w:p>
    <w:p w14:paraId="32E85C94" w14:textId="77777777" w:rsidR="00686AD4" w:rsidRDefault="00686AD4" w:rsidP="00C61F48">
      <w:pPr>
        <w:pStyle w:val="BodyText"/>
        <w:rPr>
          <w:rFonts w:ascii="Times New Roman"/>
          <w:sz w:val="20"/>
        </w:rPr>
      </w:pPr>
    </w:p>
    <w:p w14:paraId="17346FDC" w14:textId="77777777" w:rsidR="00686AD4" w:rsidRDefault="00686AD4" w:rsidP="00C61F48">
      <w:pPr>
        <w:pStyle w:val="BodyText"/>
        <w:rPr>
          <w:rFonts w:ascii="Times New Roman"/>
          <w:sz w:val="20"/>
        </w:rPr>
      </w:pPr>
    </w:p>
    <w:p w14:paraId="51B41972" w14:textId="77777777" w:rsidR="00686AD4" w:rsidRDefault="00686AD4" w:rsidP="00C61F48">
      <w:pPr>
        <w:pStyle w:val="BodyText"/>
        <w:rPr>
          <w:rFonts w:ascii="Times New Roman"/>
          <w:sz w:val="20"/>
        </w:rPr>
      </w:pPr>
    </w:p>
    <w:p w14:paraId="0541120B" w14:textId="77777777" w:rsidR="00686AD4" w:rsidRDefault="00686AD4" w:rsidP="00C61F48">
      <w:pPr>
        <w:pStyle w:val="BodyText"/>
        <w:rPr>
          <w:rFonts w:ascii="Times New Roman"/>
          <w:sz w:val="20"/>
        </w:rPr>
      </w:pPr>
    </w:p>
    <w:p w14:paraId="2C5DEB7E" w14:textId="77777777" w:rsidR="00686AD4" w:rsidRDefault="00686AD4" w:rsidP="00C61F48">
      <w:pPr>
        <w:pStyle w:val="BodyText"/>
        <w:rPr>
          <w:rFonts w:ascii="Times New Roman"/>
          <w:sz w:val="20"/>
        </w:rPr>
      </w:pPr>
    </w:p>
    <w:p w14:paraId="2A1FFCCB" w14:textId="77777777" w:rsidR="00686AD4" w:rsidRDefault="00686AD4" w:rsidP="00C61F48">
      <w:pPr>
        <w:pStyle w:val="BodyText"/>
        <w:rPr>
          <w:rFonts w:ascii="Times New Roman"/>
          <w:sz w:val="20"/>
        </w:rPr>
      </w:pPr>
      <w:bookmarkStart w:id="56" w:name="_GoBack"/>
      <w:bookmarkEnd w:id="56"/>
    </w:p>
    <w:p w14:paraId="7E9AFC84" w14:textId="77777777" w:rsidR="00686AD4" w:rsidRDefault="00686AD4" w:rsidP="00C61F48">
      <w:pPr>
        <w:pStyle w:val="BodyText"/>
        <w:rPr>
          <w:rFonts w:ascii="Times New Roman"/>
          <w:sz w:val="20"/>
        </w:rPr>
      </w:pPr>
    </w:p>
    <w:p w14:paraId="1AD64433" w14:textId="77777777" w:rsidR="00686AD4" w:rsidRDefault="00686AD4" w:rsidP="00C61F48">
      <w:pPr>
        <w:pStyle w:val="BodyText"/>
        <w:rPr>
          <w:rFonts w:ascii="Times New Roman"/>
          <w:sz w:val="20"/>
        </w:rPr>
      </w:pPr>
    </w:p>
    <w:p w14:paraId="29030FE7" w14:textId="77777777" w:rsidR="00686AD4" w:rsidRDefault="00686AD4" w:rsidP="00C61F48">
      <w:pPr>
        <w:pStyle w:val="BodyText"/>
        <w:rPr>
          <w:rFonts w:ascii="Times New Roman"/>
          <w:sz w:val="20"/>
        </w:rPr>
      </w:pPr>
    </w:p>
    <w:p w14:paraId="7585CD4F" w14:textId="77777777" w:rsidR="00686AD4" w:rsidRDefault="00686AD4" w:rsidP="00C61F48">
      <w:pPr>
        <w:pStyle w:val="BodyText"/>
        <w:rPr>
          <w:rFonts w:ascii="Times New Roman"/>
          <w:sz w:val="20"/>
        </w:rPr>
      </w:pPr>
    </w:p>
    <w:p w14:paraId="2BDA0A4C" w14:textId="77777777" w:rsidR="00C61F48" w:rsidRDefault="00C61F48" w:rsidP="00C61F48">
      <w:pPr>
        <w:pStyle w:val="BodyText"/>
        <w:spacing w:before="10"/>
        <w:rPr>
          <w:rFonts w:ascii="Times New Roman"/>
          <w:sz w:val="10"/>
        </w:rPr>
      </w:pPr>
    </w:p>
    <w:tbl>
      <w:tblPr>
        <w:tblW w:w="0" w:type="auto"/>
        <w:tblInd w:w="11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059"/>
        <w:gridCol w:w="1856"/>
        <w:gridCol w:w="2303"/>
        <w:gridCol w:w="2302"/>
        <w:gridCol w:w="2213"/>
      </w:tblGrid>
      <w:tr w:rsidR="00C61F48" w:rsidRPr="001E661C" w14:paraId="49563EDC" w14:textId="77777777" w:rsidTr="00BA13DB">
        <w:trPr>
          <w:trHeight w:hRule="exact" w:val="560"/>
        </w:trPr>
        <w:tc>
          <w:tcPr>
            <w:tcW w:w="1059" w:type="dxa"/>
            <w:tcBorders>
              <w:left w:val="double" w:sz="6" w:space="0" w:color="000000"/>
              <w:bottom w:val="thinThickMediumGap" w:sz="12" w:space="0" w:color="000000"/>
              <w:right w:val="single" w:sz="6" w:space="0" w:color="000000"/>
            </w:tcBorders>
            <w:shd w:val="clear" w:color="auto" w:fill="6F2F9F"/>
          </w:tcPr>
          <w:p w14:paraId="66C9BFE7" w14:textId="77777777" w:rsidR="00C61F48" w:rsidRPr="001E661C" w:rsidRDefault="00C61F48" w:rsidP="00BA13DB">
            <w:pPr>
              <w:rPr>
                <w:rFonts w:ascii="Garamond" w:hAnsi="Garamond"/>
                <w:sz w:val="16"/>
                <w:szCs w:val="16"/>
              </w:rPr>
            </w:pPr>
          </w:p>
        </w:tc>
        <w:tc>
          <w:tcPr>
            <w:tcW w:w="1856" w:type="dxa"/>
            <w:tcBorders>
              <w:left w:val="single" w:sz="6" w:space="0" w:color="000000"/>
              <w:bottom w:val="thinThickMediumGap" w:sz="12" w:space="0" w:color="000000"/>
              <w:right w:val="single" w:sz="6" w:space="0" w:color="000000"/>
            </w:tcBorders>
            <w:shd w:val="clear" w:color="auto" w:fill="6F2F9F"/>
          </w:tcPr>
          <w:p w14:paraId="64D3E6E5" w14:textId="77777777" w:rsidR="00C61F48" w:rsidRPr="001E661C" w:rsidRDefault="00C61F48" w:rsidP="00BA13DB">
            <w:pPr>
              <w:pStyle w:val="TableParagraph"/>
              <w:ind w:left="235" w:right="190"/>
              <w:rPr>
                <w:rFonts w:ascii="Garamond" w:hAnsi="Garamond"/>
                <w:b/>
                <w:color w:val="FFFFFF" w:themeColor="background1"/>
                <w:sz w:val="16"/>
                <w:szCs w:val="16"/>
              </w:rPr>
            </w:pPr>
            <w:r w:rsidRPr="001E661C">
              <w:rPr>
                <w:rFonts w:ascii="Garamond" w:hAnsi="Garamond"/>
                <w:b/>
                <w:color w:val="FFFFFF" w:themeColor="background1"/>
                <w:sz w:val="16"/>
                <w:szCs w:val="16"/>
              </w:rPr>
              <w:t>PIKAT E FORTA</w:t>
            </w:r>
          </w:p>
        </w:tc>
        <w:tc>
          <w:tcPr>
            <w:tcW w:w="2303" w:type="dxa"/>
            <w:tcBorders>
              <w:left w:val="single" w:sz="6" w:space="0" w:color="000000"/>
              <w:bottom w:val="thinThickMediumGap" w:sz="12" w:space="0" w:color="000000"/>
              <w:right w:val="single" w:sz="6" w:space="0" w:color="000000"/>
            </w:tcBorders>
            <w:shd w:val="clear" w:color="auto" w:fill="6F2F9F"/>
          </w:tcPr>
          <w:p w14:paraId="304DC133" w14:textId="77777777" w:rsidR="00C61F48" w:rsidRPr="001E661C" w:rsidRDefault="00C61F48" w:rsidP="00BA13DB">
            <w:pPr>
              <w:pStyle w:val="TableParagraph"/>
              <w:ind w:left="388" w:right="103"/>
              <w:rPr>
                <w:rFonts w:ascii="Garamond" w:hAnsi="Garamond"/>
                <w:b/>
                <w:color w:val="FFFFFF" w:themeColor="background1"/>
                <w:sz w:val="16"/>
                <w:szCs w:val="16"/>
              </w:rPr>
            </w:pPr>
            <w:r w:rsidRPr="001E661C">
              <w:rPr>
                <w:rFonts w:ascii="Garamond" w:hAnsi="Garamond"/>
                <w:b/>
                <w:color w:val="FFFFFF" w:themeColor="background1"/>
                <w:sz w:val="16"/>
                <w:szCs w:val="16"/>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31F98B7C" w14:textId="77777777" w:rsidR="00C61F48" w:rsidRPr="001E661C" w:rsidRDefault="00C61F48" w:rsidP="00BA13DB">
            <w:pPr>
              <w:pStyle w:val="TableParagraph"/>
              <w:ind w:left="589" w:right="112"/>
              <w:rPr>
                <w:rFonts w:ascii="Garamond" w:hAnsi="Garamond"/>
                <w:b/>
                <w:color w:val="FFFFFF" w:themeColor="background1"/>
                <w:sz w:val="16"/>
                <w:szCs w:val="16"/>
              </w:rPr>
            </w:pPr>
            <w:r w:rsidRPr="001E661C">
              <w:rPr>
                <w:rFonts w:ascii="Garamond" w:hAnsi="Garamond"/>
                <w:b/>
                <w:color w:val="FFFFFF" w:themeColor="background1"/>
                <w:sz w:val="16"/>
                <w:szCs w:val="16"/>
              </w:rPr>
              <w:t>MUNDËSITË</w:t>
            </w:r>
          </w:p>
        </w:tc>
        <w:tc>
          <w:tcPr>
            <w:tcW w:w="2213" w:type="dxa"/>
            <w:tcBorders>
              <w:left w:val="single" w:sz="6" w:space="0" w:color="000000"/>
              <w:bottom w:val="thinThickMediumGap" w:sz="12" w:space="0" w:color="000000"/>
            </w:tcBorders>
            <w:shd w:val="clear" w:color="auto" w:fill="6F2F9F"/>
          </w:tcPr>
          <w:p w14:paraId="4D68D23D" w14:textId="77777777" w:rsidR="00C61F48" w:rsidRPr="001E661C" w:rsidRDefault="00C61F48" w:rsidP="00BA13DB">
            <w:pPr>
              <w:pStyle w:val="TableParagraph"/>
              <w:ind w:left="502" w:right="105"/>
              <w:rPr>
                <w:rFonts w:ascii="Garamond" w:hAnsi="Garamond"/>
                <w:b/>
                <w:color w:val="FFFFFF" w:themeColor="background1"/>
                <w:sz w:val="16"/>
                <w:szCs w:val="16"/>
              </w:rPr>
            </w:pPr>
            <w:r w:rsidRPr="001E661C">
              <w:rPr>
                <w:rFonts w:ascii="Garamond" w:hAnsi="Garamond"/>
                <w:b/>
                <w:color w:val="FFFFFF" w:themeColor="background1"/>
                <w:sz w:val="16"/>
                <w:szCs w:val="16"/>
              </w:rPr>
              <w:t>KËRCËNIMET</w:t>
            </w:r>
          </w:p>
        </w:tc>
      </w:tr>
      <w:tr w:rsidR="00C61F48" w:rsidRPr="001E661C" w14:paraId="5F9B3DAC" w14:textId="77777777" w:rsidTr="001E661C">
        <w:trPr>
          <w:trHeight w:hRule="exact" w:val="4891"/>
        </w:trPr>
        <w:tc>
          <w:tcPr>
            <w:tcW w:w="1059" w:type="dxa"/>
            <w:tcBorders>
              <w:top w:val="thickThinMediumGap" w:sz="12" w:space="0" w:color="000000"/>
              <w:left w:val="double" w:sz="6" w:space="0" w:color="000000"/>
              <w:bottom w:val="triple" w:sz="6" w:space="0" w:color="000000"/>
              <w:right w:val="single" w:sz="6" w:space="0" w:color="000000"/>
            </w:tcBorders>
            <w:textDirection w:val="btLr"/>
          </w:tcPr>
          <w:p w14:paraId="0CB64974" w14:textId="77777777" w:rsidR="00C61F48" w:rsidRPr="001E661C" w:rsidRDefault="00C61F48" w:rsidP="00BA13DB">
            <w:pPr>
              <w:pStyle w:val="TableParagraph"/>
              <w:spacing w:before="78" w:line="283" w:lineRule="auto"/>
              <w:ind w:left="219" w:right="803"/>
              <w:jc w:val="center"/>
              <w:rPr>
                <w:rFonts w:ascii="Garamond" w:hAnsi="Garamond"/>
                <w:b/>
                <w:sz w:val="16"/>
                <w:szCs w:val="16"/>
              </w:rPr>
            </w:pPr>
            <w:r w:rsidRPr="001E661C">
              <w:rPr>
                <w:rFonts w:ascii="Garamond" w:hAnsi="Garamond"/>
                <w:b/>
                <w:sz w:val="16"/>
                <w:szCs w:val="16"/>
              </w:rPr>
              <w:t>N</w:t>
            </w:r>
            <w:r w:rsidRPr="001E661C">
              <w:rPr>
                <w:rFonts w:ascii="Garamond" w:hAnsi="Garamond"/>
                <w:b/>
                <w:spacing w:val="-2"/>
                <w:sz w:val="16"/>
                <w:szCs w:val="16"/>
              </w:rPr>
              <w:t>X</w:t>
            </w:r>
            <w:r w:rsidRPr="001E661C">
              <w:rPr>
                <w:rFonts w:ascii="Garamond" w:hAnsi="Garamond"/>
                <w:b/>
                <w:sz w:val="16"/>
                <w:szCs w:val="16"/>
              </w:rPr>
              <w:t>IT</w:t>
            </w:r>
            <w:r w:rsidRPr="001E661C">
              <w:rPr>
                <w:rFonts w:ascii="Garamond" w:hAnsi="Garamond"/>
                <w:b/>
                <w:spacing w:val="-2"/>
                <w:sz w:val="16"/>
                <w:szCs w:val="16"/>
              </w:rPr>
              <w:t>J</w:t>
            </w:r>
            <w:r w:rsidRPr="001E661C">
              <w:rPr>
                <w:rFonts w:ascii="Garamond" w:hAnsi="Garamond"/>
                <w:b/>
                <w:sz w:val="16"/>
                <w:szCs w:val="16"/>
              </w:rPr>
              <w:t>A</w:t>
            </w:r>
            <w:r w:rsidRPr="001E661C">
              <w:rPr>
                <w:rFonts w:ascii="Garamond" w:hAnsi="Garamond"/>
                <w:b/>
                <w:spacing w:val="-2"/>
                <w:sz w:val="16"/>
                <w:szCs w:val="16"/>
              </w:rPr>
              <w:t xml:space="preserve"> </w:t>
            </w:r>
            <w:r w:rsidRPr="001E661C">
              <w:rPr>
                <w:rFonts w:ascii="Garamond" w:hAnsi="Garamond"/>
                <w:b/>
                <w:sz w:val="16"/>
                <w:szCs w:val="16"/>
              </w:rPr>
              <w:t xml:space="preserve">E </w:t>
            </w:r>
            <w:r w:rsidRPr="001E661C">
              <w:rPr>
                <w:rFonts w:ascii="Garamond" w:hAnsi="Garamond"/>
                <w:b/>
                <w:spacing w:val="-2"/>
                <w:sz w:val="16"/>
                <w:szCs w:val="16"/>
              </w:rPr>
              <w:t>P</w:t>
            </w:r>
            <w:r w:rsidRPr="001E661C">
              <w:rPr>
                <w:rFonts w:ascii="Garamond" w:hAnsi="Garamond"/>
                <w:b/>
                <w:sz w:val="16"/>
                <w:szCs w:val="16"/>
              </w:rPr>
              <w:t>UN</w:t>
            </w:r>
            <w:r w:rsidRPr="001E661C">
              <w:rPr>
                <w:rFonts w:ascii="Garamond" w:hAnsi="Garamond"/>
                <w:b/>
                <w:spacing w:val="-3"/>
                <w:sz w:val="16"/>
                <w:szCs w:val="16"/>
              </w:rPr>
              <w:t>Ë</w:t>
            </w:r>
            <w:r w:rsidRPr="001E661C">
              <w:rPr>
                <w:rFonts w:ascii="Garamond" w:hAnsi="Garamond"/>
                <w:b/>
                <w:spacing w:val="-2"/>
                <w:sz w:val="16"/>
                <w:szCs w:val="16"/>
              </w:rPr>
              <w:t>S</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pacing w:val="-2"/>
                <w:sz w:val="16"/>
                <w:szCs w:val="16"/>
              </w:rPr>
              <w:t>I</w:t>
            </w:r>
            <w:r w:rsidRPr="001E661C">
              <w:rPr>
                <w:rFonts w:ascii="Garamond" w:hAnsi="Garamond"/>
                <w:b/>
                <w:sz w:val="16"/>
                <w:szCs w:val="16"/>
              </w:rPr>
              <w:t>T,</w:t>
            </w:r>
            <w:r w:rsidRPr="001E661C">
              <w:rPr>
                <w:rFonts w:ascii="Garamond" w:hAnsi="Garamond"/>
                <w:b/>
                <w:spacing w:val="-2"/>
                <w:sz w:val="16"/>
                <w:szCs w:val="16"/>
              </w:rPr>
              <w:t xml:space="preserve"> </w:t>
            </w:r>
            <w:r w:rsidRPr="001E661C">
              <w:rPr>
                <w:rFonts w:ascii="Garamond" w:hAnsi="Garamond"/>
                <w:b/>
                <w:spacing w:val="1"/>
                <w:sz w:val="16"/>
                <w:szCs w:val="16"/>
              </w:rPr>
              <w:t>L</w:t>
            </w:r>
            <w:r w:rsidRPr="001E661C">
              <w:rPr>
                <w:rFonts w:ascii="Garamond" w:hAnsi="Garamond"/>
                <w:b/>
                <w:sz w:val="16"/>
                <w:szCs w:val="16"/>
              </w:rPr>
              <w:t>Ë</w:t>
            </w:r>
            <w:r w:rsidRPr="001E661C">
              <w:rPr>
                <w:rFonts w:ascii="Garamond" w:hAnsi="Garamond"/>
                <w:b/>
                <w:spacing w:val="-1"/>
                <w:sz w:val="16"/>
                <w:szCs w:val="16"/>
              </w:rPr>
              <w:t>V</w:t>
            </w:r>
            <w:r w:rsidRPr="001E661C">
              <w:rPr>
                <w:rFonts w:ascii="Garamond" w:hAnsi="Garamond"/>
                <w:b/>
                <w:spacing w:val="-2"/>
                <w:sz w:val="16"/>
                <w:szCs w:val="16"/>
              </w:rPr>
              <w:t>I</w:t>
            </w:r>
            <w:r w:rsidRPr="001E661C">
              <w:rPr>
                <w:rFonts w:ascii="Garamond" w:hAnsi="Garamond"/>
                <w:b/>
                <w:sz w:val="16"/>
                <w:szCs w:val="16"/>
              </w:rPr>
              <w:t>Z</w:t>
            </w:r>
            <w:r w:rsidRPr="001E661C">
              <w:rPr>
                <w:rFonts w:ascii="Garamond" w:hAnsi="Garamond"/>
                <w:b/>
                <w:spacing w:val="-2"/>
                <w:sz w:val="16"/>
                <w:szCs w:val="16"/>
              </w:rPr>
              <w:t>J</w:t>
            </w:r>
            <w:r w:rsidRPr="001E661C">
              <w:rPr>
                <w:rFonts w:ascii="Garamond" w:hAnsi="Garamond"/>
                <w:b/>
                <w:sz w:val="16"/>
                <w:szCs w:val="16"/>
              </w:rPr>
              <w:t>A</w:t>
            </w:r>
            <w:r w:rsidRPr="001E661C">
              <w:rPr>
                <w:rFonts w:ascii="Garamond" w:hAnsi="Garamond"/>
                <w:b/>
                <w:spacing w:val="1"/>
                <w:sz w:val="16"/>
                <w:szCs w:val="16"/>
              </w:rPr>
              <w:t xml:space="preserve"> </w:t>
            </w:r>
            <w:r w:rsidRPr="001E661C">
              <w:rPr>
                <w:rFonts w:ascii="Garamond" w:hAnsi="Garamond"/>
                <w:b/>
                <w:sz w:val="16"/>
                <w:szCs w:val="16"/>
              </w:rPr>
              <w:t xml:space="preserve">E </w:t>
            </w:r>
            <w:r w:rsidRPr="001E661C">
              <w:rPr>
                <w:rFonts w:ascii="Garamond" w:hAnsi="Garamond"/>
                <w:b/>
                <w:spacing w:val="-1"/>
                <w:sz w:val="16"/>
                <w:szCs w:val="16"/>
              </w:rPr>
              <w:t>P</w:t>
            </w:r>
            <w:r w:rsidRPr="001E661C">
              <w:rPr>
                <w:rFonts w:ascii="Garamond" w:hAnsi="Garamond"/>
                <w:b/>
                <w:spacing w:val="-3"/>
                <w:sz w:val="16"/>
                <w:szCs w:val="16"/>
              </w:rPr>
              <w:t>U</w:t>
            </w:r>
            <w:r w:rsidRPr="001E661C">
              <w:rPr>
                <w:rFonts w:ascii="Garamond" w:hAnsi="Garamond"/>
                <w:b/>
                <w:sz w:val="16"/>
                <w:szCs w:val="16"/>
              </w:rPr>
              <w:t>N</w:t>
            </w:r>
            <w:r w:rsidRPr="001E661C">
              <w:rPr>
                <w:rFonts w:ascii="Garamond" w:hAnsi="Garamond"/>
                <w:b/>
                <w:spacing w:val="-3"/>
                <w:sz w:val="16"/>
                <w:szCs w:val="16"/>
              </w:rPr>
              <w:t>O</w:t>
            </w:r>
            <w:r w:rsidRPr="001E661C">
              <w:rPr>
                <w:rFonts w:ascii="Garamond" w:hAnsi="Garamond"/>
                <w:b/>
                <w:sz w:val="16"/>
                <w:szCs w:val="16"/>
              </w:rPr>
              <w:t>NJËS</w:t>
            </w:r>
            <w:r w:rsidRPr="001E661C">
              <w:rPr>
                <w:rFonts w:ascii="Garamond" w:hAnsi="Garamond"/>
                <w:b/>
                <w:spacing w:val="-1"/>
                <w:sz w:val="16"/>
                <w:szCs w:val="16"/>
              </w:rPr>
              <w:t>V</w:t>
            </w:r>
            <w:r w:rsidRPr="001E661C">
              <w:rPr>
                <w:rFonts w:ascii="Garamond" w:hAnsi="Garamond"/>
                <w:b/>
                <w:spacing w:val="-3"/>
                <w:sz w:val="16"/>
                <w:szCs w:val="16"/>
              </w:rPr>
              <w:t>E</w:t>
            </w:r>
            <w:r w:rsidRPr="001E661C">
              <w:rPr>
                <w:rFonts w:ascii="Garamond" w:hAnsi="Garamond"/>
                <w:b/>
                <w:sz w:val="16"/>
                <w:szCs w:val="16"/>
              </w:rPr>
              <w:t xml:space="preserve">, </w:t>
            </w:r>
            <w:r w:rsidRPr="001E661C">
              <w:rPr>
                <w:rFonts w:ascii="Garamond" w:hAnsi="Garamond"/>
                <w:b/>
                <w:spacing w:val="-1"/>
                <w:sz w:val="16"/>
                <w:szCs w:val="16"/>
              </w:rPr>
              <w:t>DH</w:t>
            </w:r>
            <w:r w:rsidRPr="001E661C">
              <w:rPr>
                <w:rFonts w:ascii="Garamond" w:hAnsi="Garamond"/>
                <w:b/>
                <w:sz w:val="16"/>
                <w:szCs w:val="16"/>
              </w:rPr>
              <w:t xml:space="preserve">E </w:t>
            </w:r>
            <w:r w:rsidRPr="001E661C">
              <w:rPr>
                <w:rFonts w:ascii="Garamond" w:hAnsi="Garamond"/>
                <w:b/>
                <w:spacing w:val="1"/>
                <w:sz w:val="16"/>
                <w:szCs w:val="16"/>
              </w:rPr>
              <w:t xml:space="preserve"> </w:t>
            </w:r>
            <w:r w:rsidRPr="001E661C">
              <w:rPr>
                <w:rFonts w:ascii="Garamond" w:hAnsi="Garamond"/>
                <w:b/>
                <w:spacing w:val="-2"/>
                <w:sz w:val="16"/>
                <w:szCs w:val="16"/>
              </w:rPr>
              <w:t>P</w:t>
            </w:r>
            <w:r w:rsidRPr="001E661C">
              <w:rPr>
                <w:rFonts w:ascii="Garamond" w:hAnsi="Garamond"/>
                <w:b/>
                <w:sz w:val="16"/>
                <w:szCs w:val="16"/>
              </w:rPr>
              <w:t>ËR</w:t>
            </w:r>
            <w:r w:rsidRPr="001E661C">
              <w:rPr>
                <w:rFonts w:ascii="Garamond" w:hAnsi="Garamond"/>
                <w:b/>
                <w:spacing w:val="-3"/>
                <w:sz w:val="16"/>
                <w:szCs w:val="16"/>
              </w:rPr>
              <w:t>F</w:t>
            </w:r>
            <w:r w:rsidRPr="001E661C">
              <w:rPr>
                <w:rFonts w:ascii="Garamond" w:hAnsi="Garamond"/>
                <w:b/>
                <w:sz w:val="16"/>
                <w:szCs w:val="16"/>
              </w:rPr>
              <w:t>SH</w:t>
            </w:r>
            <w:r w:rsidRPr="001E661C">
              <w:rPr>
                <w:rFonts w:ascii="Garamond" w:hAnsi="Garamond"/>
                <w:b/>
                <w:spacing w:val="-2"/>
                <w:sz w:val="16"/>
                <w:szCs w:val="16"/>
              </w:rPr>
              <w:t>I</w:t>
            </w:r>
            <w:r w:rsidRPr="001E661C">
              <w:rPr>
                <w:rFonts w:ascii="Garamond" w:hAnsi="Garamond"/>
                <w:b/>
                <w:sz w:val="16"/>
                <w:szCs w:val="16"/>
              </w:rPr>
              <w:t>RJA</w:t>
            </w:r>
            <w:r w:rsidRPr="001E661C">
              <w:rPr>
                <w:rFonts w:ascii="Garamond" w:hAnsi="Garamond"/>
                <w:b/>
                <w:spacing w:val="-2"/>
                <w:sz w:val="16"/>
                <w:szCs w:val="16"/>
              </w:rPr>
              <w:t xml:space="preserve"> </w:t>
            </w:r>
            <w:r w:rsidRPr="001E661C">
              <w:rPr>
                <w:rFonts w:ascii="Garamond" w:hAnsi="Garamond"/>
                <w:b/>
                <w:sz w:val="16"/>
                <w:szCs w:val="16"/>
              </w:rPr>
              <w:t>S</w:t>
            </w:r>
            <w:r w:rsidRPr="001E661C">
              <w:rPr>
                <w:rFonts w:ascii="Garamond" w:hAnsi="Garamond"/>
                <w:b/>
                <w:spacing w:val="-1"/>
                <w:sz w:val="16"/>
                <w:szCs w:val="16"/>
              </w:rPr>
              <w:t>O</w:t>
            </w:r>
            <w:r w:rsidRPr="001E661C">
              <w:rPr>
                <w:rFonts w:ascii="Garamond" w:hAnsi="Garamond"/>
                <w:b/>
                <w:spacing w:val="-3"/>
                <w:sz w:val="16"/>
                <w:szCs w:val="16"/>
              </w:rPr>
              <w:t>C</w:t>
            </w:r>
            <w:r w:rsidRPr="001E661C">
              <w:rPr>
                <w:rFonts w:ascii="Garamond" w:hAnsi="Garamond"/>
                <w:b/>
                <w:sz w:val="16"/>
                <w:szCs w:val="16"/>
              </w:rPr>
              <w:t>I</w:t>
            </w:r>
            <w:r w:rsidRPr="001E661C">
              <w:rPr>
                <w:rFonts w:ascii="Garamond" w:hAnsi="Garamond"/>
                <w:b/>
                <w:spacing w:val="-2"/>
                <w:sz w:val="16"/>
                <w:szCs w:val="16"/>
              </w:rPr>
              <w:t>A</w:t>
            </w:r>
            <w:r w:rsidRPr="001E661C">
              <w:rPr>
                <w:rFonts w:ascii="Garamond" w:hAnsi="Garamond"/>
                <w:b/>
                <w:sz w:val="16"/>
                <w:szCs w:val="16"/>
              </w:rPr>
              <w:t>LE</w:t>
            </w:r>
            <w:r w:rsidRPr="001E661C">
              <w:rPr>
                <w:rFonts w:ascii="Garamond" w:hAnsi="Garamond"/>
                <w:b/>
                <w:spacing w:val="-2"/>
                <w:sz w:val="16"/>
                <w:szCs w:val="16"/>
              </w:rPr>
              <w:t xml:space="preserve"> </w:t>
            </w:r>
            <w:r w:rsidRPr="001E661C">
              <w:rPr>
                <w:rFonts w:ascii="Garamond" w:hAnsi="Garamond"/>
                <w:b/>
                <w:spacing w:val="-1"/>
                <w:sz w:val="16"/>
                <w:szCs w:val="16"/>
              </w:rPr>
              <w:t>DH</w:t>
            </w:r>
            <w:r w:rsidRPr="001E661C">
              <w:rPr>
                <w:rFonts w:ascii="Garamond" w:hAnsi="Garamond"/>
                <w:b/>
                <w:sz w:val="16"/>
                <w:szCs w:val="16"/>
              </w:rPr>
              <w:t xml:space="preserve">E </w:t>
            </w:r>
            <w:r w:rsidRPr="001E661C">
              <w:rPr>
                <w:rFonts w:ascii="Garamond" w:hAnsi="Garamond"/>
                <w:b/>
                <w:spacing w:val="-1"/>
                <w:sz w:val="16"/>
                <w:szCs w:val="16"/>
              </w:rPr>
              <w:t>K</w:t>
            </w:r>
            <w:r w:rsidRPr="001E661C">
              <w:rPr>
                <w:rFonts w:ascii="Garamond" w:hAnsi="Garamond"/>
                <w:b/>
                <w:sz w:val="16"/>
                <w:szCs w:val="16"/>
              </w:rPr>
              <w:t>U</w:t>
            </w:r>
            <w:r w:rsidRPr="001E661C">
              <w:rPr>
                <w:rFonts w:ascii="Garamond" w:hAnsi="Garamond"/>
                <w:b/>
                <w:spacing w:val="-3"/>
                <w:sz w:val="16"/>
                <w:szCs w:val="16"/>
              </w:rPr>
              <w:t>L</w:t>
            </w:r>
            <w:r w:rsidRPr="001E661C">
              <w:rPr>
                <w:rFonts w:ascii="Garamond" w:hAnsi="Garamond"/>
                <w:b/>
                <w:sz w:val="16"/>
                <w:szCs w:val="16"/>
              </w:rPr>
              <w:t>TUR</w:t>
            </w:r>
            <w:r w:rsidRPr="001E661C">
              <w:rPr>
                <w:rFonts w:ascii="Garamond" w:hAnsi="Garamond"/>
                <w:b/>
                <w:spacing w:val="-3"/>
                <w:sz w:val="16"/>
                <w:szCs w:val="16"/>
              </w:rPr>
              <w:t>O</w:t>
            </w:r>
            <w:r w:rsidRPr="001E661C">
              <w:rPr>
                <w:rFonts w:ascii="Garamond" w:hAnsi="Garamond"/>
                <w:b/>
                <w:sz w:val="16"/>
                <w:szCs w:val="16"/>
              </w:rPr>
              <w:t>RE PËRM</w:t>
            </w:r>
            <w:r w:rsidRPr="001E661C">
              <w:rPr>
                <w:rFonts w:ascii="Garamond" w:hAnsi="Garamond"/>
                <w:b/>
                <w:spacing w:val="-3"/>
                <w:sz w:val="16"/>
                <w:szCs w:val="16"/>
              </w:rPr>
              <w:t>E</w:t>
            </w:r>
            <w:r w:rsidRPr="001E661C">
              <w:rPr>
                <w:rFonts w:ascii="Garamond" w:hAnsi="Garamond"/>
                <w:b/>
                <w:sz w:val="16"/>
                <w:szCs w:val="16"/>
              </w:rPr>
              <w:t>S</w:t>
            </w:r>
            <w:r w:rsidRPr="001E661C">
              <w:rPr>
                <w:rFonts w:ascii="Garamond" w:hAnsi="Garamond"/>
                <w:b/>
                <w:spacing w:val="1"/>
                <w:sz w:val="16"/>
                <w:szCs w:val="16"/>
              </w:rPr>
              <w:t xml:space="preserve"> </w:t>
            </w:r>
            <w:r w:rsidRPr="001E661C">
              <w:rPr>
                <w:rFonts w:ascii="Garamond" w:hAnsi="Garamond"/>
                <w:b/>
                <w:sz w:val="16"/>
                <w:szCs w:val="16"/>
              </w:rPr>
              <w:t>KU</w:t>
            </w:r>
            <w:r w:rsidRPr="001E661C">
              <w:rPr>
                <w:rFonts w:ascii="Garamond" w:hAnsi="Garamond"/>
                <w:b/>
                <w:spacing w:val="-2"/>
                <w:sz w:val="16"/>
                <w:szCs w:val="16"/>
              </w:rPr>
              <w:t>FI</w:t>
            </w:r>
            <w:r w:rsidRPr="001E661C">
              <w:rPr>
                <w:rFonts w:ascii="Garamond" w:hAnsi="Garamond"/>
                <w:b/>
                <w:sz w:val="16"/>
                <w:szCs w:val="16"/>
              </w:rPr>
              <w:t>R</w:t>
            </w:r>
            <w:r w:rsidRPr="001E661C">
              <w:rPr>
                <w:rFonts w:ascii="Garamond" w:hAnsi="Garamond"/>
                <w:b/>
                <w:spacing w:val="-1"/>
                <w:sz w:val="16"/>
                <w:szCs w:val="16"/>
              </w:rPr>
              <w:t>I</w:t>
            </w:r>
            <w:r w:rsidRPr="001E661C">
              <w:rPr>
                <w:rFonts w:ascii="Garamond" w:hAnsi="Garamond"/>
                <w:b/>
                <w:sz w:val="16"/>
                <w:szCs w:val="16"/>
              </w:rPr>
              <w:t>T</w:t>
            </w:r>
          </w:p>
        </w:tc>
        <w:tc>
          <w:tcPr>
            <w:tcW w:w="1856" w:type="dxa"/>
            <w:tcBorders>
              <w:top w:val="thickThinMediumGap" w:sz="12" w:space="0" w:color="000000"/>
              <w:left w:val="single" w:sz="6" w:space="0" w:color="000000"/>
              <w:bottom w:val="triple" w:sz="6" w:space="0" w:color="000000"/>
              <w:right w:val="single" w:sz="6" w:space="0" w:color="000000"/>
            </w:tcBorders>
          </w:tcPr>
          <w:p w14:paraId="482C9E36" w14:textId="77777777" w:rsidR="00C61F48" w:rsidRPr="001E661C" w:rsidRDefault="00C61F48" w:rsidP="00BA13DB">
            <w:pPr>
              <w:pStyle w:val="TableParagraph"/>
              <w:spacing w:before="1"/>
              <w:ind w:left="172" w:right="351" w:hanging="72"/>
              <w:jc w:val="both"/>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Fuqia punëtore me kosto relativisht të ulët;</w:t>
            </w:r>
          </w:p>
          <w:p w14:paraId="72BE6ADC" w14:textId="77777777" w:rsidR="00C61F48" w:rsidRPr="001E661C" w:rsidRDefault="00C61F48" w:rsidP="00BA13DB">
            <w:pPr>
              <w:pStyle w:val="TableParagraph"/>
              <w:spacing w:before="80"/>
              <w:ind w:left="172" w:right="19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Popullsia relativisht e re dhe normë rritje pozitive;</w:t>
            </w:r>
          </w:p>
          <w:p w14:paraId="0E1673AF" w14:textId="77777777" w:rsidR="00C61F48" w:rsidRPr="001E661C" w:rsidRDefault="00C61F48" w:rsidP="00BA13DB">
            <w:pPr>
              <w:pStyle w:val="TableParagraph"/>
              <w:spacing w:before="78"/>
              <w:ind w:left="172" w:right="238"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Prania e shkollave të arsimit profesional;</w:t>
            </w:r>
          </w:p>
          <w:p w14:paraId="0E60BA7F" w14:textId="77777777" w:rsidR="00C61F48" w:rsidRPr="001E661C" w:rsidRDefault="00C61F48" w:rsidP="00BA13DB">
            <w:pPr>
              <w:pStyle w:val="TableParagraph"/>
              <w:spacing w:before="80"/>
              <w:ind w:left="172" w:right="99"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Prania e degëve universitare, me qëllim për të mbështetur dhe për</w:t>
            </w:r>
            <w:r w:rsidRPr="001E661C">
              <w:rPr>
                <w:rFonts w:ascii="Garamond" w:hAnsi="Garamond"/>
                <w:spacing w:val="-7"/>
                <w:sz w:val="16"/>
                <w:szCs w:val="16"/>
              </w:rPr>
              <w:t xml:space="preserve"> </w:t>
            </w:r>
            <w:r w:rsidRPr="001E661C">
              <w:rPr>
                <w:rFonts w:ascii="Garamond" w:hAnsi="Garamond"/>
                <w:sz w:val="16"/>
                <w:szCs w:val="16"/>
              </w:rPr>
              <w:t>tu përqendruar më shumë në nevojat lokale për njohuri dhe aftësi;</w:t>
            </w:r>
          </w:p>
          <w:p w14:paraId="2FDF5D46" w14:textId="77777777" w:rsidR="00C61F48" w:rsidRPr="001E661C" w:rsidRDefault="00C61F48" w:rsidP="00BA13DB">
            <w:pPr>
              <w:pStyle w:val="TableParagraph"/>
              <w:spacing w:before="80"/>
              <w:ind w:left="172" w:right="137"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Multi-etniciteti si një avantazh për përfshirje ekonomike, sociale dhe kulturore.</w:t>
            </w:r>
          </w:p>
        </w:tc>
        <w:tc>
          <w:tcPr>
            <w:tcW w:w="2303" w:type="dxa"/>
            <w:tcBorders>
              <w:top w:val="thickThinMediumGap" w:sz="12" w:space="0" w:color="000000"/>
              <w:left w:val="single" w:sz="6" w:space="0" w:color="000000"/>
              <w:bottom w:val="triple" w:sz="6" w:space="0" w:color="000000"/>
              <w:right w:val="single" w:sz="6" w:space="0" w:color="000000"/>
            </w:tcBorders>
          </w:tcPr>
          <w:p w14:paraId="270A16AE" w14:textId="77777777" w:rsidR="00C61F48" w:rsidRPr="001E661C" w:rsidRDefault="00C61F48" w:rsidP="00BA13DB">
            <w:pPr>
              <w:pStyle w:val="TableParagraph"/>
              <w:spacing w:before="1"/>
              <w:ind w:left="172" w:right="103"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Reduktimi dhe largimi i popullsisë së aftë dhe të arsimuar nga pjesët rurale të zonës së programit;</w:t>
            </w:r>
          </w:p>
          <w:p w14:paraId="4914D94B" w14:textId="77777777" w:rsidR="00C61F48" w:rsidRPr="001E661C" w:rsidRDefault="00C61F48" w:rsidP="00BA13DB">
            <w:pPr>
              <w:pStyle w:val="TableParagraph"/>
              <w:spacing w:before="80"/>
              <w:ind w:left="172" w:right="164" w:hanging="72"/>
              <w:jc w:val="both"/>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Shkalla e lartë e papunësisë, veçanërisht ndër popullsinë e re dhe femrat;</w:t>
            </w:r>
          </w:p>
          <w:p w14:paraId="3FE0E20C" w14:textId="77777777" w:rsidR="00C61F48" w:rsidRPr="001E661C" w:rsidRDefault="00C61F48" w:rsidP="00BA13DB">
            <w:pPr>
              <w:pStyle w:val="TableParagraph"/>
              <w:spacing w:before="80"/>
              <w:ind w:left="172" w:right="22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Kurrikula nuk i përshtatet plotësisht tregut të punës - trajnimi i orientuar profesional;</w:t>
            </w:r>
          </w:p>
          <w:p w14:paraId="314CAAFF" w14:textId="77777777" w:rsidR="00C61F48" w:rsidRPr="001E661C" w:rsidRDefault="00C61F48" w:rsidP="00C61F48">
            <w:pPr>
              <w:pStyle w:val="TableParagraph"/>
              <w:numPr>
                <w:ilvl w:val="0"/>
                <w:numId w:val="24"/>
              </w:numPr>
              <w:tabs>
                <w:tab w:val="left" w:pos="212"/>
              </w:tabs>
              <w:spacing w:before="80"/>
              <w:ind w:right="160" w:hanging="72"/>
              <w:jc w:val="both"/>
              <w:rPr>
                <w:rFonts w:ascii="Garamond" w:hAnsi="Garamond"/>
                <w:sz w:val="16"/>
                <w:szCs w:val="16"/>
              </w:rPr>
            </w:pPr>
            <w:r w:rsidRPr="001E661C">
              <w:rPr>
                <w:rFonts w:ascii="Garamond" w:hAnsi="Garamond"/>
                <w:sz w:val="16"/>
                <w:szCs w:val="16"/>
              </w:rPr>
              <w:t>Numri i madh i familjeve që varen nga paratë e</w:t>
            </w:r>
            <w:r w:rsidRPr="001E661C">
              <w:rPr>
                <w:rFonts w:ascii="Garamond" w:hAnsi="Garamond"/>
                <w:spacing w:val="-7"/>
                <w:sz w:val="16"/>
                <w:szCs w:val="16"/>
              </w:rPr>
              <w:t xml:space="preserve"> </w:t>
            </w:r>
            <w:r w:rsidRPr="001E661C">
              <w:rPr>
                <w:rFonts w:ascii="Garamond" w:hAnsi="Garamond"/>
                <w:sz w:val="16"/>
                <w:szCs w:val="16"/>
              </w:rPr>
              <w:t>dërguara nga</w:t>
            </w:r>
            <w:r w:rsidRPr="001E661C">
              <w:rPr>
                <w:rFonts w:ascii="Garamond" w:hAnsi="Garamond"/>
                <w:spacing w:val="-8"/>
                <w:sz w:val="16"/>
                <w:szCs w:val="16"/>
              </w:rPr>
              <w:t xml:space="preserve"> </w:t>
            </w:r>
            <w:r w:rsidRPr="001E661C">
              <w:rPr>
                <w:rFonts w:ascii="Garamond" w:hAnsi="Garamond"/>
                <w:sz w:val="16"/>
                <w:szCs w:val="16"/>
              </w:rPr>
              <w:t>jashtë;</w:t>
            </w:r>
          </w:p>
          <w:p w14:paraId="6548BACC" w14:textId="77777777" w:rsidR="00C61F48" w:rsidRPr="001E661C" w:rsidRDefault="00C61F48" w:rsidP="00C61F48">
            <w:pPr>
              <w:pStyle w:val="TableParagraph"/>
              <w:numPr>
                <w:ilvl w:val="0"/>
                <w:numId w:val="24"/>
              </w:numPr>
              <w:tabs>
                <w:tab w:val="left" w:pos="212"/>
              </w:tabs>
              <w:spacing w:before="80"/>
              <w:ind w:right="390" w:hanging="72"/>
              <w:rPr>
                <w:rFonts w:ascii="Garamond" w:hAnsi="Garamond"/>
                <w:sz w:val="16"/>
                <w:szCs w:val="16"/>
              </w:rPr>
            </w:pPr>
            <w:r w:rsidRPr="001E661C">
              <w:rPr>
                <w:rFonts w:ascii="Garamond" w:hAnsi="Garamond"/>
                <w:sz w:val="16"/>
                <w:szCs w:val="16"/>
              </w:rPr>
              <w:t>Niveli i ulët i arsimit të popullsisë rurale dhe grupeve shoqërore të margjinalizuara, të tilla si Romët,</w:t>
            </w:r>
            <w:r w:rsidRPr="001E661C">
              <w:rPr>
                <w:rFonts w:ascii="Garamond" w:hAnsi="Garamond"/>
                <w:spacing w:val="-4"/>
                <w:sz w:val="16"/>
                <w:szCs w:val="16"/>
              </w:rPr>
              <w:t xml:space="preserve"> </w:t>
            </w:r>
            <w:r w:rsidRPr="001E661C">
              <w:rPr>
                <w:rFonts w:ascii="Garamond" w:hAnsi="Garamond"/>
                <w:sz w:val="16"/>
                <w:szCs w:val="16"/>
              </w:rPr>
              <w:t>etj.;</w:t>
            </w:r>
          </w:p>
          <w:p w14:paraId="32330CDC" w14:textId="77777777" w:rsidR="00C61F48" w:rsidRPr="001E661C" w:rsidRDefault="00C61F48" w:rsidP="00C61F48">
            <w:pPr>
              <w:pStyle w:val="TableParagraph"/>
              <w:numPr>
                <w:ilvl w:val="0"/>
                <w:numId w:val="24"/>
              </w:numPr>
              <w:tabs>
                <w:tab w:val="left" w:pos="212"/>
              </w:tabs>
              <w:spacing w:before="78"/>
              <w:ind w:right="88" w:hanging="72"/>
              <w:rPr>
                <w:rFonts w:ascii="Garamond" w:hAnsi="Garamond"/>
                <w:sz w:val="16"/>
                <w:szCs w:val="16"/>
              </w:rPr>
            </w:pPr>
            <w:r w:rsidRPr="001E661C">
              <w:rPr>
                <w:rFonts w:ascii="Garamond" w:hAnsi="Garamond"/>
                <w:sz w:val="16"/>
                <w:szCs w:val="16"/>
              </w:rPr>
              <w:t>Institucione të dobëta të promovimit të punës në</w:t>
            </w:r>
            <w:r w:rsidRPr="001E661C">
              <w:rPr>
                <w:rFonts w:ascii="Garamond" w:hAnsi="Garamond"/>
                <w:spacing w:val="-10"/>
                <w:sz w:val="16"/>
                <w:szCs w:val="16"/>
              </w:rPr>
              <w:t xml:space="preserve"> </w:t>
            </w:r>
            <w:r w:rsidRPr="001E661C">
              <w:rPr>
                <w:rFonts w:ascii="Garamond" w:hAnsi="Garamond"/>
                <w:sz w:val="16"/>
                <w:szCs w:val="16"/>
              </w:rPr>
              <w:t>nivel lokal.</w:t>
            </w:r>
          </w:p>
        </w:tc>
        <w:tc>
          <w:tcPr>
            <w:tcW w:w="2302" w:type="dxa"/>
            <w:tcBorders>
              <w:top w:val="thickThinMediumGap" w:sz="12" w:space="0" w:color="000000"/>
              <w:left w:val="single" w:sz="6" w:space="0" w:color="000000"/>
              <w:bottom w:val="triple" w:sz="6" w:space="0" w:color="000000"/>
              <w:right w:val="single" w:sz="6" w:space="0" w:color="000000"/>
            </w:tcBorders>
          </w:tcPr>
          <w:p w14:paraId="6B812B36" w14:textId="77777777" w:rsidR="00C61F48" w:rsidRPr="001E661C" w:rsidRDefault="00C61F48" w:rsidP="00BA13DB">
            <w:pPr>
              <w:pStyle w:val="TableParagraph"/>
              <w:spacing w:before="1"/>
              <w:ind w:left="171" w:right="89"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Përmirësimi i nivelit të arsimit profesional në funksion të përshtatjes më të mirë me kërkesat e tregut të punës për punonjësit më të aftë;</w:t>
            </w:r>
          </w:p>
          <w:p w14:paraId="5563A7E8" w14:textId="77777777" w:rsidR="00C61F48" w:rsidRPr="001E661C" w:rsidRDefault="00C61F48" w:rsidP="00C61F48">
            <w:pPr>
              <w:pStyle w:val="TableParagraph"/>
              <w:numPr>
                <w:ilvl w:val="0"/>
                <w:numId w:val="23"/>
              </w:numPr>
              <w:tabs>
                <w:tab w:val="left" w:pos="210"/>
              </w:tabs>
              <w:spacing w:before="80"/>
              <w:ind w:right="339" w:hanging="72"/>
              <w:rPr>
                <w:rFonts w:ascii="Garamond" w:hAnsi="Garamond"/>
                <w:sz w:val="16"/>
                <w:szCs w:val="16"/>
              </w:rPr>
            </w:pPr>
            <w:r w:rsidRPr="001E661C">
              <w:rPr>
                <w:rFonts w:ascii="Garamond" w:hAnsi="Garamond"/>
                <w:sz w:val="16"/>
                <w:szCs w:val="16"/>
              </w:rPr>
              <w:t>Zhvillimi i aktiviteteve të kërkimit shkencor dhe zhvillimit, duke përdorur kërkimet ekzistuese dhe qendrat e arsimit të</w:t>
            </w:r>
            <w:r w:rsidRPr="001E661C">
              <w:rPr>
                <w:rFonts w:ascii="Garamond" w:hAnsi="Garamond"/>
                <w:spacing w:val="-7"/>
                <w:sz w:val="16"/>
                <w:szCs w:val="16"/>
              </w:rPr>
              <w:t xml:space="preserve"> </w:t>
            </w:r>
            <w:r w:rsidRPr="001E661C">
              <w:rPr>
                <w:rFonts w:ascii="Garamond" w:hAnsi="Garamond"/>
                <w:sz w:val="16"/>
                <w:szCs w:val="16"/>
              </w:rPr>
              <w:t>lartë;</w:t>
            </w:r>
          </w:p>
          <w:p w14:paraId="6B2D61B2" w14:textId="77777777" w:rsidR="00C61F48" w:rsidRPr="001E661C" w:rsidRDefault="00C61F48" w:rsidP="00C61F48">
            <w:pPr>
              <w:pStyle w:val="TableParagraph"/>
              <w:numPr>
                <w:ilvl w:val="0"/>
                <w:numId w:val="23"/>
              </w:numPr>
              <w:tabs>
                <w:tab w:val="left" w:pos="210"/>
              </w:tabs>
              <w:spacing w:before="80"/>
              <w:ind w:right="91" w:hanging="72"/>
              <w:rPr>
                <w:rFonts w:ascii="Garamond" w:hAnsi="Garamond"/>
                <w:sz w:val="16"/>
                <w:szCs w:val="16"/>
              </w:rPr>
            </w:pPr>
            <w:r w:rsidRPr="001E661C">
              <w:rPr>
                <w:rFonts w:ascii="Garamond" w:hAnsi="Garamond"/>
                <w:sz w:val="16"/>
                <w:szCs w:val="16"/>
              </w:rPr>
              <w:t>Programet për rritjen e aksesit në tregun e punës të popullsisë rurale,</w:t>
            </w:r>
            <w:r w:rsidRPr="001E661C">
              <w:rPr>
                <w:rFonts w:ascii="Garamond" w:hAnsi="Garamond"/>
                <w:spacing w:val="-8"/>
                <w:sz w:val="16"/>
                <w:szCs w:val="16"/>
              </w:rPr>
              <w:t xml:space="preserve"> </w:t>
            </w:r>
            <w:r w:rsidRPr="001E661C">
              <w:rPr>
                <w:rFonts w:ascii="Garamond" w:hAnsi="Garamond"/>
                <w:sz w:val="16"/>
                <w:szCs w:val="16"/>
              </w:rPr>
              <w:t>veçanërisht të grave dhe grupeve të margjinalizuara;</w:t>
            </w:r>
          </w:p>
          <w:p w14:paraId="4709D184" w14:textId="77777777" w:rsidR="00C61F48" w:rsidRPr="001E661C" w:rsidRDefault="00C61F48" w:rsidP="00C61F48">
            <w:pPr>
              <w:pStyle w:val="TableParagraph"/>
              <w:numPr>
                <w:ilvl w:val="0"/>
                <w:numId w:val="23"/>
              </w:numPr>
              <w:tabs>
                <w:tab w:val="left" w:pos="210"/>
              </w:tabs>
              <w:spacing w:before="78"/>
              <w:ind w:right="196" w:hanging="72"/>
              <w:rPr>
                <w:rFonts w:ascii="Garamond" w:hAnsi="Garamond"/>
                <w:sz w:val="16"/>
                <w:szCs w:val="16"/>
              </w:rPr>
            </w:pPr>
            <w:r w:rsidRPr="001E661C">
              <w:rPr>
                <w:rFonts w:ascii="Garamond" w:hAnsi="Garamond"/>
                <w:sz w:val="16"/>
                <w:szCs w:val="16"/>
              </w:rPr>
              <w:t>Zhvillimi i programeve të punësimit për integrimin social të grupeve</w:t>
            </w:r>
            <w:r w:rsidRPr="001E661C">
              <w:rPr>
                <w:rFonts w:ascii="Garamond" w:hAnsi="Garamond"/>
                <w:spacing w:val="-10"/>
                <w:sz w:val="16"/>
                <w:szCs w:val="16"/>
              </w:rPr>
              <w:t xml:space="preserve"> </w:t>
            </w:r>
            <w:r w:rsidRPr="001E661C">
              <w:rPr>
                <w:rFonts w:ascii="Garamond" w:hAnsi="Garamond"/>
                <w:sz w:val="16"/>
                <w:szCs w:val="16"/>
              </w:rPr>
              <w:t>shoqërore të</w:t>
            </w:r>
            <w:r w:rsidRPr="001E661C">
              <w:rPr>
                <w:rFonts w:ascii="Garamond" w:hAnsi="Garamond"/>
                <w:spacing w:val="-6"/>
                <w:sz w:val="16"/>
                <w:szCs w:val="16"/>
              </w:rPr>
              <w:t xml:space="preserve"> </w:t>
            </w:r>
            <w:r w:rsidRPr="001E661C">
              <w:rPr>
                <w:rFonts w:ascii="Garamond" w:hAnsi="Garamond"/>
                <w:sz w:val="16"/>
                <w:szCs w:val="16"/>
              </w:rPr>
              <w:t>margjinalizuara;</w:t>
            </w:r>
          </w:p>
          <w:p w14:paraId="5EB78580" w14:textId="77777777" w:rsidR="00C61F48" w:rsidRPr="001E661C" w:rsidRDefault="00C61F48" w:rsidP="00C61F48">
            <w:pPr>
              <w:pStyle w:val="TableParagraph"/>
              <w:numPr>
                <w:ilvl w:val="0"/>
                <w:numId w:val="23"/>
              </w:numPr>
              <w:tabs>
                <w:tab w:val="left" w:pos="210"/>
              </w:tabs>
              <w:spacing w:before="80"/>
              <w:ind w:right="228" w:hanging="72"/>
              <w:rPr>
                <w:rFonts w:ascii="Garamond" w:hAnsi="Garamond"/>
                <w:sz w:val="16"/>
                <w:szCs w:val="16"/>
              </w:rPr>
            </w:pPr>
            <w:r w:rsidRPr="001E661C">
              <w:rPr>
                <w:rFonts w:ascii="Garamond" w:hAnsi="Garamond"/>
                <w:sz w:val="16"/>
                <w:szCs w:val="16"/>
              </w:rPr>
              <w:t>Përmirësimi i lëvizjes së punonjësve në zonën e bashkëpunimit</w:t>
            </w:r>
            <w:r w:rsidRPr="001E661C">
              <w:rPr>
                <w:rFonts w:ascii="Garamond" w:hAnsi="Garamond"/>
                <w:spacing w:val="-8"/>
                <w:sz w:val="16"/>
                <w:szCs w:val="16"/>
              </w:rPr>
              <w:t xml:space="preserve"> </w:t>
            </w:r>
            <w:r w:rsidRPr="001E661C">
              <w:rPr>
                <w:rFonts w:ascii="Garamond" w:hAnsi="Garamond"/>
                <w:sz w:val="16"/>
                <w:szCs w:val="16"/>
              </w:rPr>
              <w:t>ndërkufitar.</w:t>
            </w:r>
          </w:p>
        </w:tc>
        <w:tc>
          <w:tcPr>
            <w:tcW w:w="2213" w:type="dxa"/>
            <w:tcBorders>
              <w:top w:val="thickThinMediumGap" w:sz="12" w:space="0" w:color="000000"/>
              <w:left w:val="single" w:sz="6" w:space="0" w:color="000000"/>
              <w:bottom w:val="triple" w:sz="6" w:space="0" w:color="000000"/>
            </w:tcBorders>
          </w:tcPr>
          <w:p w14:paraId="41896374" w14:textId="77777777" w:rsidR="00C61F48" w:rsidRPr="001E661C" w:rsidRDefault="00C61F48" w:rsidP="00BA13DB">
            <w:pPr>
              <w:pStyle w:val="TableParagraph"/>
              <w:spacing w:before="1"/>
              <w:ind w:left="171" w:right="10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Mungesa e mundësive të punësimit që çojnë në migrim më të lartë në drejtim të zonave të zhvilluara të vendit ose jashtë vendit , veçanërisht të personave të rinj dhe të kualifikuar;</w:t>
            </w:r>
          </w:p>
          <w:p w14:paraId="4EB93ED1" w14:textId="77777777" w:rsidR="00C61F48" w:rsidRPr="001E661C" w:rsidRDefault="00C61F48" w:rsidP="00BA13DB">
            <w:pPr>
              <w:pStyle w:val="TableParagraph"/>
              <w:spacing w:before="80"/>
              <w:ind w:left="171" w:right="10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Kriza e zgjatur ekonomike e cila rrit papunësinë, me efekte më të mëdha të përhapura mbi grupet më pak të arsimuar dhe ato vulnerabël;</w:t>
            </w:r>
          </w:p>
          <w:p w14:paraId="33ABC46C" w14:textId="77777777" w:rsidR="00C61F48" w:rsidRPr="001E661C" w:rsidRDefault="00C61F48" w:rsidP="00C61F48">
            <w:pPr>
              <w:pStyle w:val="TableParagraph"/>
              <w:numPr>
                <w:ilvl w:val="0"/>
                <w:numId w:val="22"/>
              </w:numPr>
              <w:tabs>
                <w:tab w:val="left" w:pos="210"/>
              </w:tabs>
              <w:spacing w:before="79"/>
              <w:ind w:right="147" w:hanging="72"/>
              <w:rPr>
                <w:rFonts w:ascii="Garamond" w:hAnsi="Garamond"/>
                <w:sz w:val="16"/>
                <w:szCs w:val="16"/>
              </w:rPr>
            </w:pPr>
            <w:r w:rsidRPr="001E661C">
              <w:rPr>
                <w:rFonts w:ascii="Garamond" w:hAnsi="Garamond"/>
                <w:sz w:val="16"/>
                <w:szCs w:val="16"/>
              </w:rPr>
              <w:t>Aksesi i dobët i popullsisë rurale në sistemin arsimor për shkak të varfërisë apo infrastrukturës arsimore të papërshtatshme.</w:t>
            </w:r>
          </w:p>
        </w:tc>
      </w:tr>
      <w:tr w:rsidR="00C61F48" w:rsidRPr="001E661C" w14:paraId="60D726C3" w14:textId="77777777" w:rsidTr="001E661C">
        <w:trPr>
          <w:trHeight w:hRule="exact" w:val="5541"/>
        </w:trPr>
        <w:tc>
          <w:tcPr>
            <w:tcW w:w="1059" w:type="dxa"/>
            <w:tcBorders>
              <w:top w:val="triple" w:sz="6" w:space="0" w:color="000000"/>
              <w:left w:val="double" w:sz="6" w:space="0" w:color="000000"/>
              <w:right w:val="single" w:sz="6" w:space="0" w:color="000000"/>
            </w:tcBorders>
            <w:textDirection w:val="btLr"/>
          </w:tcPr>
          <w:p w14:paraId="6199D28A" w14:textId="77777777" w:rsidR="00C61F48" w:rsidRPr="001E661C" w:rsidRDefault="00C61F48" w:rsidP="00BA13DB">
            <w:pPr>
              <w:pStyle w:val="TableParagraph"/>
              <w:spacing w:before="95" w:line="283" w:lineRule="auto"/>
              <w:ind w:left="240" w:right="869"/>
              <w:jc w:val="center"/>
              <w:rPr>
                <w:rFonts w:ascii="Garamond" w:hAnsi="Garamond"/>
                <w:b/>
                <w:sz w:val="16"/>
                <w:szCs w:val="16"/>
              </w:rPr>
            </w:pPr>
            <w:r w:rsidRPr="001E661C">
              <w:rPr>
                <w:rFonts w:ascii="Garamond" w:hAnsi="Garamond"/>
                <w:b/>
                <w:spacing w:val="-1"/>
                <w:sz w:val="16"/>
                <w:szCs w:val="16"/>
              </w:rPr>
              <w:t>M</w:t>
            </w:r>
            <w:r w:rsidRPr="001E661C">
              <w:rPr>
                <w:rFonts w:ascii="Garamond" w:hAnsi="Garamond"/>
                <w:b/>
                <w:sz w:val="16"/>
                <w:szCs w:val="16"/>
              </w:rPr>
              <w:t>BRO</w:t>
            </w:r>
            <w:r w:rsidRPr="001E661C">
              <w:rPr>
                <w:rFonts w:ascii="Garamond" w:hAnsi="Garamond"/>
                <w:b/>
                <w:spacing w:val="-2"/>
                <w:sz w:val="16"/>
                <w:szCs w:val="16"/>
              </w:rPr>
              <w:t>J</w:t>
            </w:r>
            <w:r w:rsidRPr="001E661C">
              <w:rPr>
                <w:rFonts w:ascii="Garamond" w:hAnsi="Garamond"/>
                <w:b/>
                <w:sz w:val="16"/>
                <w:szCs w:val="16"/>
              </w:rPr>
              <w:t>T</w:t>
            </w:r>
            <w:r w:rsidRPr="001E661C">
              <w:rPr>
                <w:rFonts w:ascii="Garamond" w:hAnsi="Garamond"/>
                <w:b/>
                <w:spacing w:val="-2"/>
                <w:sz w:val="16"/>
                <w:szCs w:val="16"/>
              </w:rPr>
              <w:t>J</w:t>
            </w:r>
            <w:r w:rsidRPr="001E661C">
              <w:rPr>
                <w:rFonts w:ascii="Garamond" w:hAnsi="Garamond"/>
                <w:b/>
                <w:sz w:val="16"/>
                <w:szCs w:val="16"/>
              </w:rPr>
              <w:t>A</w:t>
            </w:r>
            <w:r w:rsidRPr="001E661C">
              <w:rPr>
                <w:rFonts w:ascii="Garamond" w:hAnsi="Garamond"/>
                <w:b/>
                <w:spacing w:val="-2"/>
                <w:sz w:val="16"/>
                <w:szCs w:val="16"/>
              </w:rPr>
              <w:t xml:space="preserve"> </w:t>
            </w:r>
            <w:r w:rsidRPr="001E661C">
              <w:rPr>
                <w:rFonts w:ascii="Garamond" w:hAnsi="Garamond"/>
                <w:b/>
                <w:sz w:val="16"/>
                <w:szCs w:val="16"/>
              </w:rPr>
              <w:t>E M</w:t>
            </w:r>
            <w:r w:rsidRPr="001E661C">
              <w:rPr>
                <w:rFonts w:ascii="Garamond" w:hAnsi="Garamond"/>
                <w:b/>
                <w:spacing w:val="-2"/>
                <w:sz w:val="16"/>
                <w:szCs w:val="16"/>
              </w:rPr>
              <w:t>J</w:t>
            </w:r>
            <w:r w:rsidRPr="001E661C">
              <w:rPr>
                <w:rFonts w:ascii="Garamond" w:hAnsi="Garamond"/>
                <w:b/>
                <w:sz w:val="16"/>
                <w:szCs w:val="16"/>
              </w:rPr>
              <w:t>E</w:t>
            </w:r>
            <w:r w:rsidRPr="001E661C">
              <w:rPr>
                <w:rFonts w:ascii="Garamond" w:hAnsi="Garamond"/>
                <w:b/>
                <w:spacing w:val="-3"/>
                <w:sz w:val="16"/>
                <w:szCs w:val="16"/>
              </w:rPr>
              <w:t>D</w:t>
            </w:r>
            <w:r w:rsidRPr="001E661C">
              <w:rPr>
                <w:rFonts w:ascii="Garamond" w:hAnsi="Garamond"/>
                <w:b/>
                <w:sz w:val="16"/>
                <w:szCs w:val="16"/>
              </w:rPr>
              <w:t>I</w:t>
            </w:r>
            <w:r w:rsidRPr="001E661C">
              <w:rPr>
                <w:rFonts w:ascii="Garamond" w:hAnsi="Garamond"/>
                <w:b/>
                <w:spacing w:val="-2"/>
                <w:sz w:val="16"/>
                <w:szCs w:val="16"/>
              </w:rPr>
              <w:t>S</w:t>
            </w:r>
            <w:r w:rsidRPr="001E661C">
              <w:rPr>
                <w:rFonts w:ascii="Garamond" w:hAnsi="Garamond"/>
                <w:b/>
                <w:sz w:val="16"/>
                <w:szCs w:val="16"/>
              </w:rPr>
              <w:t>IT</w:t>
            </w:r>
            <w:r w:rsidRPr="001E661C">
              <w:rPr>
                <w:rFonts w:ascii="Garamond" w:hAnsi="Garamond"/>
                <w:b/>
                <w:spacing w:val="-2"/>
                <w:sz w:val="16"/>
                <w:szCs w:val="16"/>
              </w:rPr>
              <w:t xml:space="preserve"> </w:t>
            </w:r>
            <w:r w:rsidRPr="001E661C">
              <w:rPr>
                <w:rFonts w:ascii="Garamond" w:hAnsi="Garamond"/>
                <w:b/>
                <w:sz w:val="16"/>
                <w:szCs w:val="16"/>
              </w:rPr>
              <w:t>,</w:t>
            </w:r>
            <w:r w:rsidRPr="001E661C">
              <w:rPr>
                <w:rFonts w:ascii="Garamond" w:hAnsi="Garamond"/>
                <w:b/>
                <w:spacing w:val="-1"/>
                <w:sz w:val="16"/>
                <w:szCs w:val="16"/>
              </w:rPr>
              <w:t xml:space="preserve"> P</w:t>
            </w:r>
            <w:r w:rsidRPr="001E661C">
              <w:rPr>
                <w:rFonts w:ascii="Garamond" w:hAnsi="Garamond"/>
                <w:b/>
                <w:spacing w:val="-2"/>
                <w:sz w:val="16"/>
                <w:szCs w:val="16"/>
              </w:rPr>
              <w:t>R</w:t>
            </w:r>
            <w:r w:rsidRPr="001E661C">
              <w:rPr>
                <w:rFonts w:ascii="Garamond" w:hAnsi="Garamond"/>
                <w:b/>
                <w:spacing w:val="-1"/>
                <w:sz w:val="16"/>
                <w:szCs w:val="16"/>
              </w:rPr>
              <w:t>O</w:t>
            </w:r>
            <w:r w:rsidRPr="001E661C">
              <w:rPr>
                <w:rFonts w:ascii="Garamond" w:hAnsi="Garamond"/>
                <w:b/>
                <w:spacing w:val="-2"/>
                <w:sz w:val="16"/>
                <w:szCs w:val="16"/>
              </w:rPr>
              <w:t>M</w:t>
            </w:r>
            <w:r w:rsidRPr="001E661C">
              <w:rPr>
                <w:rFonts w:ascii="Garamond" w:hAnsi="Garamond"/>
                <w:b/>
                <w:spacing w:val="-1"/>
                <w:sz w:val="16"/>
                <w:szCs w:val="16"/>
              </w:rPr>
              <w:t>O</w:t>
            </w:r>
            <w:r w:rsidRPr="001E661C">
              <w:rPr>
                <w:rFonts w:ascii="Garamond" w:hAnsi="Garamond"/>
                <w:b/>
                <w:spacing w:val="-2"/>
                <w:sz w:val="16"/>
                <w:szCs w:val="16"/>
              </w:rPr>
              <w:t>V</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pacing w:val="-1"/>
                <w:sz w:val="16"/>
                <w:szCs w:val="16"/>
              </w:rPr>
              <w:t>P</w:t>
            </w:r>
            <w:r w:rsidRPr="001E661C">
              <w:rPr>
                <w:rFonts w:ascii="Garamond" w:hAnsi="Garamond"/>
                <w:b/>
                <w:spacing w:val="-2"/>
                <w:sz w:val="16"/>
                <w:szCs w:val="16"/>
              </w:rPr>
              <w:t>Ë</w:t>
            </w:r>
            <w:r w:rsidRPr="001E661C">
              <w:rPr>
                <w:rFonts w:ascii="Garamond" w:hAnsi="Garamond"/>
                <w:b/>
                <w:sz w:val="16"/>
                <w:szCs w:val="16"/>
              </w:rPr>
              <w:t>R</w:t>
            </w:r>
            <w:r w:rsidRPr="001E661C">
              <w:rPr>
                <w:rFonts w:ascii="Garamond" w:hAnsi="Garamond"/>
                <w:b/>
                <w:spacing w:val="1"/>
                <w:sz w:val="16"/>
                <w:szCs w:val="16"/>
              </w:rPr>
              <w:t>S</w:t>
            </w:r>
            <w:r w:rsidRPr="001E661C">
              <w:rPr>
                <w:rFonts w:ascii="Garamond" w:hAnsi="Garamond"/>
                <w:b/>
                <w:spacing w:val="-3"/>
                <w:sz w:val="16"/>
                <w:szCs w:val="16"/>
              </w:rPr>
              <w:t>H</w:t>
            </w:r>
            <w:r w:rsidRPr="001E661C">
              <w:rPr>
                <w:rFonts w:ascii="Garamond" w:hAnsi="Garamond"/>
                <w:b/>
                <w:spacing w:val="-2"/>
                <w:sz w:val="16"/>
                <w:szCs w:val="16"/>
              </w:rPr>
              <w:t>T</w:t>
            </w:r>
            <w:r w:rsidRPr="001E661C">
              <w:rPr>
                <w:rFonts w:ascii="Garamond" w:hAnsi="Garamond"/>
                <w:b/>
                <w:sz w:val="16"/>
                <w:szCs w:val="16"/>
              </w:rPr>
              <w:t>A</w:t>
            </w:r>
            <w:r w:rsidRPr="001E661C">
              <w:rPr>
                <w:rFonts w:ascii="Garamond" w:hAnsi="Garamond"/>
                <w:b/>
                <w:spacing w:val="1"/>
                <w:sz w:val="16"/>
                <w:szCs w:val="16"/>
              </w:rPr>
              <w:t>T</w:t>
            </w:r>
            <w:r w:rsidRPr="001E661C">
              <w:rPr>
                <w:rFonts w:ascii="Garamond" w:hAnsi="Garamond"/>
                <w:b/>
                <w:spacing w:val="-2"/>
                <w:sz w:val="16"/>
                <w:szCs w:val="16"/>
              </w:rPr>
              <w:t>J</w:t>
            </w:r>
            <w:r w:rsidRPr="001E661C">
              <w:rPr>
                <w:rFonts w:ascii="Garamond" w:hAnsi="Garamond"/>
                <w:b/>
                <w:spacing w:val="-3"/>
                <w:sz w:val="16"/>
                <w:szCs w:val="16"/>
              </w:rPr>
              <w:t>E</w:t>
            </w:r>
            <w:r w:rsidRPr="001E661C">
              <w:rPr>
                <w:rFonts w:ascii="Garamond" w:hAnsi="Garamond"/>
                <w:b/>
                <w:sz w:val="16"/>
                <w:szCs w:val="16"/>
              </w:rPr>
              <w:t xml:space="preserve">S </w:t>
            </w:r>
            <w:r w:rsidRPr="001E661C">
              <w:rPr>
                <w:rFonts w:ascii="Garamond" w:hAnsi="Garamond"/>
                <w:b/>
                <w:spacing w:val="-1"/>
                <w:sz w:val="16"/>
                <w:szCs w:val="16"/>
              </w:rPr>
              <w:t>DH</w:t>
            </w:r>
            <w:r w:rsidRPr="001E661C">
              <w:rPr>
                <w:rFonts w:ascii="Garamond" w:hAnsi="Garamond"/>
                <w:b/>
                <w:sz w:val="16"/>
                <w:szCs w:val="16"/>
              </w:rPr>
              <w:t>E L</w:t>
            </w:r>
            <w:r w:rsidRPr="001E661C">
              <w:rPr>
                <w:rFonts w:ascii="Garamond" w:hAnsi="Garamond"/>
                <w:b/>
                <w:spacing w:val="-2"/>
                <w:sz w:val="16"/>
                <w:szCs w:val="16"/>
              </w:rPr>
              <w:t>E</w:t>
            </w:r>
            <w:r w:rsidRPr="001E661C">
              <w:rPr>
                <w:rFonts w:ascii="Garamond" w:hAnsi="Garamond"/>
                <w:b/>
                <w:sz w:val="16"/>
                <w:szCs w:val="16"/>
              </w:rPr>
              <w:t>H</w:t>
            </w:r>
            <w:r w:rsidRPr="001E661C">
              <w:rPr>
                <w:rFonts w:ascii="Garamond" w:hAnsi="Garamond"/>
                <w:b/>
                <w:spacing w:val="-2"/>
                <w:sz w:val="16"/>
                <w:szCs w:val="16"/>
              </w:rPr>
              <w:t>T</w:t>
            </w:r>
            <w:r w:rsidRPr="001E661C">
              <w:rPr>
                <w:rFonts w:ascii="Garamond" w:hAnsi="Garamond"/>
                <w:b/>
                <w:sz w:val="16"/>
                <w:szCs w:val="16"/>
              </w:rPr>
              <w:t>Ë</w:t>
            </w:r>
            <w:r w:rsidRPr="001E661C">
              <w:rPr>
                <w:rFonts w:ascii="Garamond" w:hAnsi="Garamond"/>
                <w:b/>
                <w:spacing w:val="-1"/>
                <w:sz w:val="16"/>
                <w:szCs w:val="16"/>
              </w:rPr>
              <w:t>S</w:t>
            </w:r>
            <w:r w:rsidRPr="001E661C">
              <w:rPr>
                <w:rFonts w:ascii="Garamond" w:hAnsi="Garamond"/>
                <w:b/>
                <w:spacing w:val="1"/>
                <w:sz w:val="16"/>
                <w:szCs w:val="16"/>
              </w:rPr>
              <w:t>I</w:t>
            </w:r>
            <w:r w:rsidRPr="001E661C">
              <w:rPr>
                <w:rFonts w:ascii="Garamond" w:hAnsi="Garamond"/>
                <w:b/>
                <w:spacing w:val="-1"/>
                <w:sz w:val="16"/>
                <w:szCs w:val="16"/>
              </w:rPr>
              <w:t>M</w:t>
            </w:r>
            <w:r w:rsidRPr="001E661C">
              <w:rPr>
                <w:rFonts w:ascii="Garamond" w:hAnsi="Garamond"/>
                <w:b/>
                <w:spacing w:val="-2"/>
                <w:sz w:val="16"/>
                <w:szCs w:val="16"/>
              </w:rPr>
              <w:t>I</w:t>
            </w:r>
            <w:r w:rsidRPr="001E661C">
              <w:rPr>
                <w:rFonts w:ascii="Garamond" w:hAnsi="Garamond"/>
                <w:b/>
                <w:sz w:val="16"/>
                <w:szCs w:val="16"/>
              </w:rPr>
              <w:t>T</w:t>
            </w:r>
            <w:r w:rsidRPr="001E661C">
              <w:rPr>
                <w:rFonts w:ascii="Garamond" w:hAnsi="Garamond"/>
                <w:b/>
                <w:spacing w:val="-1"/>
                <w:sz w:val="16"/>
                <w:szCs w:val="16"/>
              </w:rPr>
              <w:t xml:space="preserve"> </w:t>
            </w:r>
            <w:r w:rsidRPr="001E661C">
              <w:rPr>
                <w:rFonts w:ascii="Garamond" w:hAnsi="Garamond"/>
                <w:b/>
                <w:sz w:val="16"/>
                <w:szCs w:val="16"/>
              </w:rPr>
              <w:t>TË</w:t>
            </w:r>
            <w:r w:rsidRPr="001E661C">
              <w:rPr>
                <w:rFonts w:ascii="Garamond" w:hAnsi="Garamond"/>
                <w:b/>
                <w:spacing w:val="-2"/>
                <w:sz w:val="16"/>
                <w:szCs w:val="16"/>
              </w:rPr>
              <w:t xml:space="preserve"> </w:t>
            </w:r>
            <w:r w:rsidRPr="001E661C">
              <w:rPr>
                <w:rFonts w:ascii="Garamond" w:hAnsi="Garamond"/>
                <w:b/>
                <w:sz w:val="16"/>
                <w:szCs w:val="16"/>
              </w:rPr>
              <w:t>N</w:t>
            </w:r>
            <w:r w:rsidRPr="001E661C">
              <w:rPr>
                <w:rFonts w:ascii="Garamond" w:hAnsi="Garamond"/>
                <w:b/>
                <w:spacing w:val="-1"/>
                <w:sz w:val="16"/>
                <w:szCs w:val="16"/>
              </w:rPr>
              <w:t>D</w:t>
            </w:r>
            <w:r w:rsidRPr="001E661C">
              <w:rPr>
                <w:rFonts w:ascii="Garamond" w:hAnsi="Garamond"/>
                <w:b/>
                <w:spacing w:val="-2"/>
                <w:sz w:val="16"/>
                <w:szCs w:val="16"/>
              </w:rPr>
              <w:t>R</w:t>
            </w:r>
            <w:r w:rsidRPr="001E661C">
              <w:rPr>
                <w:rFonts w:ascii="Garamond" w:hAnsi="Garamond"/>
                <w:b/>
                <w:sz w:val="16"/>
                <w:szCs w:val="16"/>
              </w:rPr>
              <w:t>Y</w:t>
            </w:r>
            <w:r w:rsidRPr="001E661C">
              <w:rPr>
                <w:rFonts w:ascii="Garamond" w:hAnsi="Garamond"/>
                <w:b/>
                <w:spacing w:val="-1"/>
                <w:sz w:val="16"/>
                <w:szCs w:val="16"/>
              </w:rPr>
              <w:t>S</w:t>
            </w:r>
            <w:r w:rsidRPr="001E661C">
              <w:rPr>
                <w:rFonts w:ascii="Garamond" w:hAnsi="Garamond"/>
                <w:b/>
                <w:sz w:val="16"/>
                <w:szCs w:val="16"/>
              </w:rPr>
              <w:t>HI</w:t>
            </w:r>
            <w:r w:rsidRPr="001E661C">
              <w:rPr>
                <w:rFonts w:ascii="Garamond" w:hAnsi="Garamond"/>
                <w:b/>
                <w:spacing w:val="-1"/>
                <w:sz w:val="16"/>
                <w:szCs w:val="16"/>
              </w:rPr>
              <w:t>M</w:t>
            </w:r>
            <w:r w:rsidRPr="001E661C">
              <w:rPr>
                <w:rFonts w:ascii="Garamond" w:hAnsi="Garamond"/>
                <w:b/>
                <w:sz w:val="16"/>
                <w:szCs w:val="16"/>
              </w:rPr>
              <w:t xml:space="preserve">EVE </w:t>
            </w:r>
            <w:r w:rsidRPr="001E661C">
              <w:rPr>
                <w:rFonts w:ascii="Garamond" w:hAnsi="Garamond"/>
                <w:b/>
                <w:spacing w:val="-1"/>
                <w:sz w:val="16"/>
                <w:szCs w:val="16"/>
              </w:rPr>
              <w:t>K</w:t>
            </w:r>
            <w:r w:rsidRPr="001E661C">
              <w:rPr>
                <w:rFonts w:ascii="Garamond" w:hAnsi="Garamond"/>
                <w:b/>
                <w:spacing w:val="-3"/>
                <w:sz w:val="16"/>
                <w:szCs w:val="16"/>
              </w:rPr>
              <w:t>L</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pacing w:val="-2"/>
                <w:sz w:val="16"/>
                <w:szCs w:val="16"/>
              </w:rPr>
              <w:t>A</w:t>
            </w:r>
            <w:r w:rsidRPr="001E661C">
              <w:rPr>
                <w:rFonts w:ascii="Garamond" w:hAnsi="Garamond"/>
                <w:b/>
                <w:sz w:val="16"/>
                <w:szCs w:val="16"/>
              </w:rPr>
              <w:t>TI</w:t>
            </w:r>
            <w:r w:rsidRPr="001E661C">
              <w:rPr>
                <w:rFonts w:ascii="Garamond" w:hAnsi="Garamond"/>
                <w:b/>
                <w:spacing w:val="-4"/>
                <w:sz w:val="16"/>
                <w:szCs w:val="16"/>
              </w:rPr>
              <w:t>K</w:t>
            </w:r>
            <w:r w:rsidRPr="001E661C">
              <w:rPr>
                <w:rFonts w:ascii="Garamond" w:hAnsi="Garamond"/>
                <w:b/>
                <w:sz w:val="16"/>
                <w:szCs w:val="16"/>
              </w:rPr>
              <w:t xml:space="preserve">E, </w:t>
            </w:r>
            <w:r w:rsidRPr="001E661C">
              <w:rPr>
                <w:rFonts w:ascii="Garamond" w:hAnsi="Garamond"/>
                <w:b/>
                <w:spacing w:val="-1"/>
                <w:sz w:val="16"/>
                <w:szCs w:val="16"/>
              </w:rPr>
              <w:t>P</w:t>
            </w:r>
            <w:r w:rsidRPr="001E661C">
              <w:rPr>
                <w:rFonts w:ascii="Garamond" w:hAnsi="Garamond"/>
                <w:b/>
                <w:sz w:val="16"/>
                <w:szCs w:val="16"/>
              </w:rPr>
              <w:t>AR</w:t>
            </w:r>
            <w:r w:rsidRPr="001E661C">
              <w:rPr>
                <w:rFonts w:ascii="Garamond" w:hAnsi="Garamond"/>
                <w:b/>
                <w:spacing w:val="-2"/>
                <w:sz w:val="16"/>
                <w:szCs w:val="16"/>
              </w:rPr>
              <w:t>A</w:t>
            </w:r>
            <w:r w:rsidRPr="001E661C">
              <w:rPr>
                <w:rFonts w:ascii="Garamond" w:hAnsi="Garamond"/>
                <w:b/>
                <w:sz w:val="16"/>
                <w:szCs w:val="16"/>
              </w:rPr>
              <w:t>N</w:t>
            </w:r>
            <w:r w:rsidRPr="001E661C">
              <w:rPr>
                <w:rFonts w:ascii="Garamond" w:hAnsi="Garamond"/>
                <w:b/>
                <w:spacing w:val="-3"/>
                <w:sz w:val="16"/>
                <w:szCs w:val="16"/>
              </w:rPr>
              <w:t>D</w:t>
            </w:r>
            <w:r w:rsidRPr="001E661C">
              <w:rPr>
                <w:rFonts w:ascii="Garamond" w:hAnsi="Garamond"/>
                <w:b/>
                <w:sz w:val="16"/>
                <w:szCs w:val="16"/>
              </w:rPr>
              <w:t>A</w:t>
            </w:r>
            <w:r w:rsidRPr="001E661C">
              <w:rPr>
                <w:rFonts w:ascii="Garamond" w:hAnsi="Garamond"/>
                <w:b/>
                <w:spacing w:val="-2"/>
                <w:sz w:val="16"/>
                <w:szCs w:val="16"/>
              </w:rPr>
              <w:t>L</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pacing w:val="-2"/>
                <w:sz w:val="16"/>
                <w:szCs w:val="16"/>
              </w:rPr>
              <w:t>D</w:t>
            </w:r>
            <w:r w:rsidRPr="001E661C">
              <w:rPr>
                <w:rFonts w:ascii="Garamond" w:hAnsi="Garamond"/>
                <w:b/>
                <w:sz w:val="16"/>
                <w:szCs w:val="16"/>
              </w:rPr>
              <w:t>HE M</w:t>
            </w:r>
            <w:r w:rsidRPr="001E661C">
              <w:rPr>
                <w:rFonts w:ascii="Garamond" w:hAnsi="Garamond"/>
                <w:b/>
                <w:spacing w:val="-3"/>
                <w:sz w:val="16"/>
                <w:szCs w:val="16"/>
              </w:rPr>
              <w:t>E</w:t>
            </w:r>
            <w:r w:rsidRPr="001E661C">
              <w:rPr>
                <w:rFonts w:ascii="Garamond" w:hAnsi="Garamond"/>
                <w:b/>
                <w:sz w:val="16"/>
                <w:szCs w:val="16"/>
              </w:rPr>
              <w:t>N</w:t>
            </w:r>
            <w:r w:rsidRPr="001E661C">
              <w:rPr>
                <w:rFonts w:ascii="Garamond" w:hAnsi="Garamond"/>
                <w:b/>
                <w:spacing w:val="-2"/>
                <w:sz w:val="16"/>
                <w:szCs w:val="16"/>
              </w:rPr>
              <w:t>A</w:t>
            </w:r>
            <w:r w:rsidRPr="001E661C">
              <w:rPr>
                <w:rFonts w:ascii="Garamond" w:hAnsi="Garamond"/>
                <w:b/>
                <w:sz w:val="16"/>
                <w:szCs w:val="16"/>
              </w:rPr>
              <w:t>XHI</w:t>
            </w:r>
            <w:r w:rsidRPr="001E661C">
              <w:rPr>
                <w:rFonts w:ascii="Garamond" w:hAnsi="Garamond"/>
                <w:b/>
                <w:spacing w:val="-4"/>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pacing w:val="-2"/>
                <w:sz w:val="16"/>
                <w:szCs w:val="16"/>
              </w:rPr>
              <w:t>R</w:t>
            </w:r>
            <w:r w:rsidRPr="001E661C">
              <w:rPr>
                <w:rFonts w:ascii="Garamond" w:hAnsi="Garamond"/>
                <w:b/>
                <w:sz w:val="16"/>
                <w:szCs w:val="16"/>
              </w:rPr>
              <w:t>RE</w:t>
            </w:r>
            <w:r w:rsidRPr="001E661C">
              <w:rPr>
                <w:rFonts w:ascii="Garamond" w:hAnsi="Garamond"/>
                <w:b/>
                <w:spacing w:val="-3"/>
                <w:sz w:val="16"/>
                <w:szCs w:val="16"/>
              </w:rPr>
              <w:t>Z</w:t>
            </w:r>
            <w:r w:rsidRPr="001E661C">
              <w:rPr>
                <w:rFonts w:ascii="Garamond" w:hAnsi="Garamond"/>
                <w:b/>
                <w:sz w:val="16"/>
                <w:szCs w:val="16"/>
              </w:rPr>
              <w:t>I</w:t>
            </w:r>
            <w:r w:rsidRPr="001E661C">
              <w:rPr>
                <w:rFonts w:ascii="Garamond" w:hAnsi="Garamond"/>
                <w:b/>
                <w:spacing w:val="-1"/>
                <w:sz w:val="16"/>
                <w:szCs w:val="16"/>
              </w:rPr>
              <w:t>K</w:t>
            </w:r>
            <w:r w:rsidRPr="001E661C">
              <w:rPr>
                <w:rFonts w:ascii="Garamond" w:hAnsi="Garamond"/>
                <w:b/>
                <w:sz w:val="16"/>
                <w:szCs w:val="16"/>
              </w:rPr>
              <w:t>UT</w:t>
            </w:r>
          </w:p>
        </w:tc>
        <w:tc>
          <w:tcPr>
            <w:tcW w:w="1856" w:type="dxa"/>
            <w:tcBorders>
              <w:top w:val="triple" w:sz="6" w:space="0" w:color="000000"/>
              <w:left w:val="single" w:sz="6" w:space="0" w:color="000000"/>
              <w:right w:val="single" w:sz="6" w:space="0" w:color="000000"/>
            </w:tcBorders>
          </w:tcPr>
          <w:p w14:paraId="652ED6EA" w14:textId="77777777" w:rsidR="00C61F48" w:rsidRPr="001E661C" w:rsidRDefault="00C61F48" w:rsidP="00BA13DB">
            <w:pPr>
              <w:pStyle w:val="TableParagraph"/>
              <w:spacing w:before="21"/>
              <w:ind w:left="170" w:right="18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Biodiversiteti i pasur natyror, mjedisi i paprekur dhe tërheqës, diversiteti i peizazheve natyrore;</w:t>
            </w:r>
          </w:p>
          <w:p w14:paraId="50F7C698" w14:textId="77777777" w:rsidR="00C61F48" w:rsidRPr="001E661C" w:rsidRDefault="00C61F48" w:rsidP="00C61F48">
            <w:pPr>
              <w:pStyle w:val="TableParagraph"/>
              <w:numPr>
                <w:ilvl w:val="0"/>
                <w:numId w:val="21"/>
              </w:numPr>
              <w:tabs>
                <w:tab w:val="left" w:pos="209"/>
              </w:tabs>
              <w:spacing w:before="78"/>
              <w:ind w:right="262" w:hanging="72"/>
              <w:rPr>
                <w:rFonts w:ascii="Garamond" w:hAnsi="Garamond"/>
                <w:color w:val="000080"/>
                <w:sz w:val="16"/>
                <w:szCs w:val="16"/>
              </w:rPr>
            </w:pPr>
            <w:r w:rsidRPr="001E661C">
              <w:rPr>
                <w:rFonts w:ascii="Garamond" w:hAnsi="Garamond"/>
                <w:sz w:val="16"/>
                <w:szCs w:val="16"/>
              </w:rPr>
              <w:t>Ekzistenca e disa zonave të</w:t>
            </w:r>
            <w:r w:rsidRPr="001E661C">
              <w:rPr>
                <w:rFonts w:ascii="Garamond" w:hAnsi="Garamond"/>
                <w:spacing w:val="-7"/>
                <w:sz w:val="16"/>
                <w:szCs w:val="16"/>
              </w:rPr>
              <w:t xml:space="preserve"> </w:t>
            </w:r>
            <w:r w:rsidRPr="001E661C">
              <w:rPr>
                <w:rFonts w:ascii="Garamond" w:hAnsi="Garamond"/>
                <w:sz w:val="16"/>
                <w:szCs w:val="16"/>
              </w:rPr>
              <w:t>mbrojtura dhe parqeve kombëtare të përshtatshme për zhvillimin e eko- turizmit;</w:t>
            </w:r>
          </w:p>
          <w:p w14:paraId="4C8A8B29" w14:textId="77777777" w:rsidR="00C61F48" w:rsidRPr="001E661C" w:rsidRDefault="00C61F48" w:rsidP="00C61F48">
            <w:pPr>
              <w:pStyle w:val="TableParagraph"/>
              <w:numPr>
                <w:ilvl w:val="0"/>
                <w:numId w:val="21"/>
              </w:numPr>
              <w:tabs>
                <w:tab w:val="left" w:pos="209"/>
              </w:tabs>
              <w:spacing w:before="81"/>
              <w:ind w:right="250" w:hanging="72"/>
              <w:rPr>
                <w:rFonts w:ascii="Garamond" w:hAnsi="Garamond"/>
                <w:color w:val="000080"/>
                <w:sz w:val="16"/>
                <w:szCs w:val="16"/>
              </w:rPr>
            </w:pPr>
            <w:r w:rsidRPr="001E661C">
              <w:rPr>
                <w:rFonts w:ascii="Garamond" w:hAnsi="Garamond"/>
                <w:sz w:val="16"/>
                <w:szCs w:val="16"/>
              </w:rPr>
              <w:t>Zonat e gjera</w:t>
            </w:r>
            <w:r w:rsidRPr="001E661C">
              <w:rPr>
                <w:rFonts w:ascii="Garamond" w:hAnsi="Garamond"/>
                <w:spacing w:val="-8"/>
                <w:sz w:val="16"/>
                <w:szCs w:val="16"/>
              </w:rPr>
              <w:t xml:space="preserve"> </w:t>
            </w:r>
            <w:r w:rsidRPr="001E661C">
              <w:rPr>
                <w:rFonts w:ascii="Garamond" w:hAnsi="Garamond"/>
                <w:sz w:val="16"/>
                <w:szCs w:val="16"/>
              </w:rPr>
              <w:t>pyjore dhe cilësia e</w:t>
            </w:r>
            <w:r w:rsidRPr="001E661C">
              <w:rPr>
                <w:rFonts w:ascii="Garamond" w:hAnsi="Garamond"/>
                <w:spacing w:val="-6"/>
                <w:sz w:val="16"/>
                <w:szCs w:val="16"/>
              </w:rPr>
              <w:t xml:space="preserve"> </w:t>
            </w:r>
            <w:r w:rsidRPr="001E661C">
              <w:rPr>
                <w:rFonts w:ascii="Garamond" w:hAnsi="Garamond"/>
                <w:sz w:val="16"/>
                <w:szCs w:val="16"/>
              </w:rPr>
              <w:t>pyjeve;</w:t>
            </w:r>
          </w:p>
          <w:p w14:paraId="7A098AD8" w14:textId="77777777" w:rsidR="00C61F48" w:rsidRPr="001E661C" w:rsidRDefault="00C61F48" w:rsidP="00C61F48">
            <w:pPr>
              <w:pStyle w:val="TableParagraph"/>
              <w:numPr>
                <w:ilvl w:val="0"/>
                <w:numId w:val="21"/>
              </w:numPr>
              <w:tabs>
                <w:tab w:val="left" w:pos="209"/>
              </w:tabs>
              <w:spacing w:before="78"/>
              <w:ind w:right="97" w:hanging="72"/>
              <w:rPr>
                <w:rFonts w:ascii="Garamond" w:hAnsi="Garamond"/>
                <w:color w:val="000080"/>
                <w:sz w:val="16"/>
                <w:szCs w:val="16"/>
              </w:rPr>
            </w:pPr>
            <w:r w:rsidRPr="001E661C">
              <w:rPr>
                <w:rFonts w:ascii="Garamond" w:hAnsi="Garamond"/>
                <w:sz w:val="16"/>
                <w:szCs w:val="16"/>
              </w:rPr>
              <w:t>Potenciali i lartë për përdorimin e burimeve të rinovueshme të energjisë ( energjisë</w:t>
            </w:r>
            <w:r w:rsidRPr="001E661C">
              <w:rPr>
                <w:rFonts w:ascii="Garamond" w:hAnsi="Garamond"/>
                <w:spacing w:val="-10"/>
                <w:sz w:val="16"/>
                <w:szCs w:val="16"/>
              </w:rPr>
              <w:t xml:space="preserve"> </w:t>
            </w:r>
            <w:r w:rsidRPr="001E661C">
              <w:rPr>
                <w:rFonts w:ascii="Garamond" w:hAnsi="Garamond"/>
                <w:sz w:val="16"/>
                <w:szCs w:val="16"/>
              </w:rPr>
              <w:t>së ujit, energjisë së erës, energjisë diellore dhe biomasës);</w:t>
            </w:r>
          </w:p>
          <w:p w14:paraId="5B207056" w14:textId="77777777" w:rsidR="00C61F48" w:rsidRPr="001E661C" w:rsidRDefault="00C61F48" w:rsidP="00C61F48">
            <w:pPr>
              <w:pStyle w:val="TableParagraph"/>
              <w:numPr>
                <w:ilvl w:val="0"/>
                <w:numId w:val="21"/>
              </w:numPr>
              <w:tabs>
                <w:tab w:val="left" w:pos="209"/>
              </w:tabs>
              <w:spacing w:before="77"/>
              <w:ind w:right="199" w:hanging="72"/>
              <w:rPr>
                <w:rFonts w:ascii="Garamond" w:hAnsi="Garamond"/>
                <w:color w:val="000080"/>
                <w:sz w:val="16"/>
                <w:szCs w:val="16"/>
              </w:rPr>
            </w:pPr>
            <w:r w:rsidRPr="001E661C">
              <w:rPr>
                <w:rFonts w:ascii="Garamond" w:hAnsi="Garamond"/>
                <w:sz w:val="16"/>
                <w:szCs w:val="16"/>
              </w:rPr>
              <w:t>Zona e pastër, pa ndotje industriale, veçanërisht në breg dhe në zonat</w:t>
            </w:r>
            <w:r w:rsidRPr="001E661C">
              <w:rPr>
                <w:rFonts w:ascii="Garamond" w:hAnsi="Garamond"/>
                <w:spacing w:val="-6"/>
                <w:sz w:val="16"/>
                <w:szCs w:val="16"/>
              </w:rPr>
              <w:t xml:space="preserve"> </w:t>
            </w:r>
            <w:r w:rsidRPr="001E661C">
              <w:rPr>
                <w:rFonts w:ascii="Garamond" w:hAnsi="Garamond"/>
                <w:sz w:val="16"/>
                <w:szCs w:val="16"/>
              </w:rPr>
              <w:t>malore.</w:t>
            </w:r>
          </w:p>
        </w:tc>
        <w:tc>
          <w:tcPr>
            <w:tcW w:w="2303" w:type="dxa"/>
            <w:tcBorders>
              <w:top w:val="triple" w:sz="6" w:space="0" w:color="000000"/>
              <w:left w:val="single" w:sz="6" w:space="0" w:color="000000"/>
              <w:right w:val="single" w:sz="6" w:space="0" w:color="000000"/>
            </w:tcBorders>
          </w:tcPr>
          <w:p w14:paraId="0682746E" w14:textId="77777777" w:rsidR="00C61F48" w:rsidRPr="001E661C" w:rsidRDefault="00C61F48" w:rsidP="00BA13DB">
            <w:pPr>
              <w:pStyle w:val="TableParagraph"/>
              <w:spacing w:before="21"/>
              <w:ind w:left="170" w:right="103"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Zbatimi i dobët i rregulloreve dhe standardeve mjedisore;</w:t>
            </w:r>
          </w:p>
          <w:p w14:paraId="55B943A0" w14:textId="77777777" w:rsidR="00C61F48" w:rsidRPr="001E661C" w:rsidRDefault="00C61F48" w:rsidP="00C61F48">
            <w:pPr>
              <w:pStyle w:val="TableParagraph"/>
              <w:numPr>
                <w:ilvl w:val="0"/>
                <w:numId w:val="20"/>
              </w:numPr>
              <w:tabs>
                <w:tab w:val="left" w:pos="209"/>
              </w:tabs>
              <w:spacing w:before="80"/>
              <w:ind w:right="135" w:hanging="72"/>
              <w:rPr>
                <w:rFonts w:ascii="Garamond" w:hAnsi="Garamond"/>
                <w:sz w:val="16"/>
                <w:szCs w:val="16"/>
              </w:rPr>
            </w:pPr>
            <w:r w:rsidRPr="001E661C">
              <w:rPr>
                <w:rFonts w:ascii="Garamond" w:hAnsi="Garamond"/>
                <w:sz w:val="16"/>
                <w:szCs w:val="16"/>
              </w:rPr>
              <w:t>Menaxhimi dhe mekanizmi</w:t>
            </w:r>
            <w:r w:rsidRPr="001E661C">
              <w:rPr>
                <w:rFonts w:ascii="Garamond" w:hAnsi="Garamond"/>
                <w:spacing w:val="-8"/>
                <w:sz w:val="16"/>
                <w:szCs w:val="16"/>
              </w:rPr>
              <w:t xml:space="preserve"> </w:t>
            </w:r>
            <w:r w:rsidRPr="001E661C">
              <w:rPr>
                <w:rFonts w:ascii="Garamond" w:hAnsi="Garamond"/>
                <w:sz w:val="16"/>
                <w:szCs w:val="16"/>
              </w:rPr>
              <w:t>i dobët i kontrollit për mbrojtjen e burimeve natyrore;</w:t>
            </w:r>
          </w:p>
          <w:p w14:paraId="3F643CA6" w14:textId="77777777" w:rsidR="00C61F48" w:rsidRPr="001E661C" w:rsidRDefault="00C61F48" w:rsidP="00C61F48">
            <w:pPr>
              <w:pStyle w:val="TableParagraph"/>
              <w:numPr>
                <w:ilvl w:val="0"/>
                <w:numId w:val="20"/>
              </w:numPr>
              <w:tabs>
                <w:tab w:val="left" w:pos="209"/>
              </w:tabs>
              <w:spacing w:before="80"/>
              <w:ind w:right="215" w:hanging="72"/>
              <w:rPr>
                <w:rFonts w:ascii="Garamond" w:hAnsi="Garamond"/>
                <w:sz w:val="16"/>
                <w:szCs w:val="16"/>
              </w:rPr>
            </w:pPr>
            <w:r w:rsidRPr="001E661C">
              <w:rPr>
                <w:rFonts w:ascii="Garamond" w:hAnsi="Garamond"/>
                <w:sz w:val="16"/>
                <w:szCs w:val="16"/>
              </w:rPr>
              <w:t>Menaxhimi i papërshtatshëm i mbetjeve të ngurta dhe mungesa e sistemeve të trajtimit të ujërave të</w:t>
            </w:r>
            <w:r w:rsidRPr="001E661C">
              <w:rPr>
                <w:rFonts w:ascii="Garamond" w:hAnsi="Garamond"/>
                <w:spacing w:val="-4"/>
                <w:sz w:val="16"/>
                <w:szCs w:val="16"/>
              </w:rPr>
              <w:t xml:space="preserve"> </w:t>
            </w:r>
            <w:r w:rsidRPr="001E661C">
              <w:rPr>
                <w:rFonts w:ascii="Garamond" w:hAnsi="Garamond"/>
                <w:sz w:val="16"/>
                <w:szCs w:val="16"/>
              </w:rPr>
              <w:t>zeza;</w:t>
            </w:r>
          </w:p>
          <w:p w14:paraId="037778E3" w14:textId="77777777" w:rsidR="00C61F48" w:rsidRPr="001E661C" w:rsidRDefault="00C61F48" w:rsidP="00C61F48">
            <w:pPr>
              <w:pStyle w:val="TableParagraph"/>
              <w:numPr>
                <w:ilvl w:val="0"/>
                <w:numId w:val="20"/>
              </w:numPr>
              <w:tabs>
                <w:tab w:val="left" w:pos="209"/>
              </w:tabs>
              <w:spacing w:before="80"/>
              <w:ind w:right="448" w:hanging="72"/>
              <w:rPr>
                <w:rFonts w:ascii="Garamond" w:hAnsi="Garamond"/>
                <w:sz w:val="16"/>
                <w:szCs w:val="16"/>
              </w:rPr>
            </w:pPr>
            <w:r w:rsidRPr="001E661C">
              <w:rPr>
                <w:rFonts w:ascii="Garamond" w:hAnsi="Garamond"/>
                <w:sz w:val="16"/>
                <w:szCs w:val="16"/>
              </w:rPr>
              <w:t>Menaxhimi i papërshtatshëm i</w:t>
            </w:r>
            <w:r w:rsidRPr="001E661C">
              <w:rPr>
                <w:rFonts w:ascii="Garamond" w:hAnsi="Garamond"/>
                <w:spacing w:val="-6"/>
                <w:sz w:val="16"/>
                <w:szCs w:val="16"/>
              </w:rPr>
              <w:t xml:space="preserve"> </w:t>
            </w:r>
            <w:r w:rsidRPr="001E661C">
              <w:rPr>
                <w:rFonts w:ascii="Garamond" w:hAnsi="Garamond"/>
                <w:sz w:val="16"/>
                <w:szCs w:val="16"/>
              </w:rPr>
              <w:t>tokës;</w:t>
            </w:r>
          </w:p>
          <w:p w14:paraId="19654202" w14:textId="77777777" w:rsidR="00C61F48" w:rsidRPr="001E661C" w:rsidRDefault="00C61F48" w:rsidP="00C61F48">
            <w:pPr>
              <w:pStyle w:val="TableParagraph"/>
              <w:numPr>
                <w:ilvl w:val="0"/>
                <w:numId w:val="20"/>
              </w:numPr>
              <w:tabs>
                <w:tab w:val="left" w:pos="209"/>
              </w:tabs>
              <w:spacing w:before="80"/>
              <w:ind w:right="98" w:hanging="72"/>
              <w:rPr>
                <w:rFonts w:ascii="Garamond" w:hAnsi="Garamond"/>
                <w:sz w:val="16"/>
                <w:szCs w:val="16"/>
              </w:rPr>
            </w:pPr>
            <w:r w:rsidRPr="001E661C">
              <w:rPr>
                <w:rFonts w:ascii="Garamond" w:hAnsi="Garamond"/>
                <w:sz w:val="16"/>
                <w:szCs w:val="16"/>
              </w:rPr>
              <w:t>Shfrytëzimi i</w:t>
            </w:r>
            <w:r w:rsidRPr="001E661C">
              <w:rPr>
                <w:rFonts w:ascii="Garamond" w:hAnsi="Garamond"/>
                <w:spacing w:val="-8"/>
                <w:sz w:val="16"/>
                <w:szCs w:val="16"/>
              </w:rPr>
              <w:t xml:space="preserve"> </w:t>
            </w:r>
            <w:r w:rsidRPr="001E661C">
              <w:rPr>
                <w:rFonts w:ascii="Garamond" w:hAnsi="Garamond"/>
                <w:sz w:val="16"/>
                <w:szCs w:val="16"/>
              </w:rPr>
              <w:t>pamjaftueshëm i burimeve</w:t>
            </w:r>
            <w:r w:rsidRPr="001E661C">
              <w:rPr>
                <w:rFonts w:ascii="Garamond" w:hAnsi="Garamond"/>
                <w:spacing w:val="-7"/>
                <w:sz w:val="16"/>
                <w:szCs w:val="16"/>
              </w:rPr>
              <w:t xml:space="preserve"> </w:t>
            </w:r>
            <w:r w:rsidRPr="001E661C">
              <w:rPr>
                <w:rFonts w:ascii="Garamond" w:hAnsi="Garamond"/>
                <w:sz w:val="16"/>
                <w:szCs w:val="16"/>
              </w:rPr>
              <w:t>natyrore;</w:t>
            </w:r>
          </w:p>
          <w:p w14:paraId="5CA1FA47" w14:textId="77777777" w:rsidR="00C61F48" w:rsidRPr="001E661C" w:rsidRDefault="00C61F48" w:rsidP="00C61F48">
            <w:pPr>
              <w:pStyle w:val="TableParagraph"/>
              <w:numPr>
                <w:ilvl w:val="0"/>
                <w:numId w:val="20"/>
              </w:numPr>
              <w:tabs>
                <w:tab w:val="left" w:pos="209"/>
              </w:tabs>
              <w:spacing w:before="78"/>
              <w:ind w:right="390" w:hanging="72"/>
              <w:rPr>
                <w:rFonts w:ascii="Garamond" w:hAnsi="Garamond"/>
                <w:sz w:val="16"/>
                <w:szCs w:val="16"/>
              </w:rPr>
            </w:pPr>
            <w:r w:rsidRPr="001E661C">
              <w:rPr>
                <w:rFonts w:ascii="Garamond" w:hAnsi="Garamond"/>
                <w:sz w:val="16"/>
                <w:szCs w:val="16"/>
              </w:rPr>
              <w:t>Ndërgjegjësimi i ulët</w:t>
            </w:r>
            <w:r w:rsidRPr="001E661C">
              <w:rPr>
                <w:rFonts w:ascii="Garamond" w:hAnsi="Garamond"/>
                <w:spacing w:val="-10"/>
                <w:sz w:val="16"/>
                <w:szCs w:val="16"/>
              </w:rPr>
              <w:t xml:space="preserve"> </w:t>
            </w:r>
            <w:r w:rsidRPr="001E661C">
              <w:rPr>
                <w:rFonts w:ascii="Garamond" w:hAnsi="Garamond"/>
                <w:sz w:val="16"/>
                <w:szCs w:val="16"/>
              </w:rPr>
              <w:t>për çështjet</w:t>
            </w:r>
            <w:r w:rsidRPr="001E661C">
              <w:rPr>
                <w:rFonts w:ascii="Garamond" w:hAnsi="Garamond"/>
                <w:spacing w:val="-7"/>
                <w:sz w:val="16"/>
                <w:szCs w:val="16"/>
              </w:rPr>
              <w:t xml:space="preserve"> </w:t>
            </w:r>
            <w:r w:rsidRPr="001E661C">
              <w:rPr>
                <w:rFonts w:ascii="Garamond" w:hAnsi="Garamond"/>
                <w:sz w:val="16"/>
                <w:szCs w:val="16"/>
              </w:rPr>
              <w:t>mjedisore.</w:t>
            </w:r>
          </w:p>
        </w:tc>
        <w:tc>
          <w:tcPr>
            <w:tcW w:w="2302" w:type="dxa"/>
            <w:tcBorders>
              <w:top w:val="triple" w:sz="6" w:space="0" w:color="000000"/>
              <w:left w:val="single" w:sz="6" w:space="0" w:color="000000"/>
              <w:right w:val="single" w:sz="6" w:space="0" w:color="000000"/>
            </w:tcBorders>
          </w:tcPr>
          <w:p w14:paraId="4D0B4E6F" w14:textId="77777777" w:rsidR="00C61F48" w:rsidRPr="001E661C" w:rsidRDefault="00C61F48" w:rsidP="00BA13DB">
            <w:pPr>
              <w:pStyle w:val="TableParagraph"/>
              <w:spacing w:before="21"/>
              <w:ind w:left="171" w:right="561"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Menaxhimi më i mirë i zonave pyjore dhe të mbrojtura;</w:t>
            </w:r>
          </w:p>
          <w:p w14:paraId="45CCCD98" w14:textId="77777777" w:rsidR="00C61F48" w:rsidRPr="001E661C" w:rsidRDefault="00C61F48" w:rsidP="00C61F48">
            <w:pPr>
              <w:pStyle w:val="TableParagraph"/>
              <w:numPr>
                <w:ilvl w:val="0"/>
                <w:numId w:val="19"/>
              </w:numPr>
              <w:tabs>
                <w:tab w:val="left" w:pos="210"/>
              </w:tabs>
              <w:spacing w:before="80"/>
              <w:ind w:right="222" w:hanging="72"/>
              <w:rPr>
                <w:rFonts w:ascii="Garamond" w:hAnsi="Garamond"/>
                <w:sz w:val="16"/>
                <w:szCs w:val="16"/>
              </w:rPr>
            </w:pPr>
            <w:r w:rsidRPr="001E661C">
              <w:rPr>
                <w:rFonts w:ascii="Garamond" w:hAnsi="Garamond"/>
                <w:sz w:val="16"/>
                <w:szCs w:val="16"/>
              </w:rPr>
              <w:t>Zhvillimi i programeve të përbashkëta për trajtimin e mbetjeve;</w:t>
            </w:r>
          </w:p>
          <w:p w14:paraId="5CF80ED1" w14:textId="77777777" w:rsidR="00C61F48" w:rsidRPr="001E661C" w:rsidRDefault="00C61F48" w:rsidP="00C61F48">
            <w:pPr>
              <w:pStyle w:val="TableParagraph"/>
              <w:numPr>
                <w:ilvl w:val="0"/>
                <w:numId w:val="19"/>
              </w:numPr>
              <w:tabs>
                <w:tab w:val="left" w:pos="210"/>
              </w:tabs>
              <w:spacing w:before="80"/>
              <w:ind w:right="111" w:hanging="72"/>
              <w:rPr>
                <w:rFonts w:ascii="Garamond" w:hAnsi="Garamond"/>
                <w:sz w:val="16"/>
                <w:szCs w:val="16"/>
              </w:rPr>
            </w:pPr>
            <w:r w:rsidRPr="001E661C">
              <w:rPr>
                <w:rFonts w:ascii="Garamond" w:hAnsi="Garamond"/>
                <w:sz w:val="16"/>
                <w:szCs w:val="16"/>
              </w:rPr>
              <w:t>Rritja e programeve dhe projekteve për mbrojtjen e mjedisit, pyjeve, bujqësisë</w:t>
            </w:r>
            <w:r w:rsidRPr="001E661C">
              <w:rPr>
                <w:rFonts w:ascii="Garamond" w:hAnsi="Garamond"/>
                <w:spacing w:val="-13"/>
                <w:sz w:val="16"/>
                <w:szCs w:val="16"/>
              </w:rPr>
              <w:t xml:space="preserve"> </w:t>
            </w:r>
            <w:r w:rsidRPr="001E661C">
              <w:rPr>
                <w:rFonts w:ascii="Garamond" w:hAnsi="Garamond"/>
                <w:sz w:val="16"/>
                <w:szCs w:val="16"/>
              </w:rPr>
              <w:t>së qëndrueshme, mbeturinave të ngurta dhe ujërave të zeza,</w:t>
            </w:r>
            <w:r w:rsidRPr="001E661C">
              <w:rPr>
                <w:rFonts w:ascii="Garamond" w:hAnsi="Garamond"/>
                <w:spacing w:val="-3"/>
                <w:sz w:val="16"/>
                <w:szCs w:val="16"/>
              </w:rPr>
              <w:t xml:space="preserve"> </w:t>
            </w:r>
            <w:r w:rsidRPr="001E661C">
              <w:rPr>
                <w:rFonts w:ascii="Garamond" w:hAnsi="Garamond"/>
                <w:sz w:val="16"/>
                <w:szCs w:val="16"/>
              </w:rPr>
              <w:t>etj.;</w:t>
            </w:r>
          </w:p>
          <w:p w14:paraId="335D5685" w14:textId="77777777" w:rsidR="00C61F48" w:rsidRPr="001E661C" w:rsidRDefault="00C61F48" w:rsidP="00C61F48">
            <w:pPr>
              <w:pStyle w:val="TableParagraph"/>
              <w:numPr>
                <w:ilvl w:val="0"/>
                <w:numId w:val="19"/>
              </w:numPr>
              <w:tabs>
                <w:tab w:val="left" w:pos="210"/>
              </w:tabs>
              <w:spacing w:before="78"/>
              <w:ind w:right="161" w:hanging="72"/>
              <w:rPr>
                <w:rFonts w:ascii="Garamond" w:hAnsi="Garamond"/>
                <w:sz w:val="16"/>
                <w:szCs w:val="16"/>
              </w:rPr>
            </w:pPr>
            <w:r w:rsidRPr="001E661C">
              <w:rPr>
                <w:rFonts w:ascii="Garamond" w:hAnsi="Garamond"/>
                <w:sz w:val="16"/>
                <w:szCs w:val="16"/>
              </w:rPr>
              <w:t>Interesi lokal për</w:t>
            </w:r>
            <w:r w:rsidRPr="001E661C">
              <w:rPr>
                <w:rFonts w:ascii="Garamond" w:hAnsi="Garamond"/>
                <w:spacing w:val="-10"/>
                <w:sz w:val="16"/>
                <w:szCs w:val="16"/>
              </w:rPr>
              <w:t xml:space="preserve"> </w:t>
            </w:r>
            <w:r w:rsidRPr="001E661C">
              <w:rPr>
                <w:rFonts w:ascii="Garamond" w:hAnsi="Garamond"/>
                <w:sz w:val="16"/>
                <w:szCs w:val="16"/>
              </w:rPr>
              <w:t>prodhimin e energjisë së</w:t>
            </w:r>
            <w:r w:rsidRPr="001E661C">
              <w:rPr>
                <w:rFonts w:ascii="Garamond" w:hAnsi="Garamond"/>
                <w:spacing w:val="-10"/>
                <w:sz w:val="16"/>
                <w:szCs w:val="16"/>
              </w:rPr>
              <w:t xml:space="preserve"> </w:t>
            </w:r>
            <w:r w:rsidRPr="001E661C">
              <w:rPr>
                <w:rFonts w:ascii="Garamond" w:hAnsi="Garamond"/>
                <w:sz w:val="16"/>
                <w:szCs w:val="16"/>
              </w:rPr>
              <w:t>gjelbër;</w:t>
            </w:r>
          </w:p>
          <w:p w14:paraId="1ECD0A0E" w14:textId="77777777" w:rsidR="00C61F48" w:rsidRPr="001E661C" w:rsidRDefault="00C61F48" w:rsidP="00C61F48">
            <w:pPr>
              <w:pStyle w:val="TableParagraph"/>
              <w:numPr>
                <w:ilvl w:val="0"/>
                <w:numId w:val="19"/>
              </w:numPr>
              <w:tabs>
                <w:tab w:val="left" w:pos="210"/>
              </w:tabs>
              <w:spacing w:before="80"/>
              <w:ind w:right="358" w:hanging="72"/>
              <w:rPr>
                <w:rFonts w:ascii="Garamond" w:hAnsi="Garamond"/>
                <w:sz w:val="16"/>
                <w:szCs w:val="16"/>
              </w:rPr>
            </w:pPr>
            <w:r w:rsidRPr="001E661C">
              <w:rPr>
                <w:rFonts w:ascii="Garamond" w:hAnsi="Garamond"/>
                <w:sz w:val="16"/>
                <w:szCs w:val="16"/>
              </w:rPr>
              <w:t>Rritja e ndërgjegjësimit publik mbi masat për mbrojtjen e mjedisit nën trysninë e kërkesave</w:t>
            </w:r>
            <w:r w:rsidRPr="001E661C">
              <w:rPr>
                <w:rFonts w:ascii="Garamond" w:hAnsi="Garamond"/>
                <w:spacing w:val="-7"/>
                <w:sz w:val="16"/>
                <w:szCs w:val="16"/>
              </w:rPr>
              <w:t xml:space="preserve"> </w:t>
            </w:r>
            <w:r w:rsidRPr="001E661C">
              <w:rPr>
                <w:rFonts w:ascii="Garamond" w:hAnsi="Garamond"/>
                <w:sz w:val="16"/>
                <w:szCs w:val="16"/>
              </w:rPr>
              <w:t>eko- turistike;</w:t>
            </w:r>
          </w:p>
          <w:p w14:paraId="3B07777B" w14:textId="6FC22ED7" w:rsidR="00C61F48" w:rsidRPr="001E661C" w:rsidRDefault="00C61F48" w:rsidP="00C61F48">
            <w:pPr>
              <w:pStyle w:val="TableParagraph"/>
              <w:numPr>
                <w:ilvl w:val="0"/>
                <w:numId w:val="19"/>
              </w:numPr>
              <w:tabs>
                <w:tab w:val="left" w:pos="210"/>
              </w:tabs>
              <w:spacing w:before="78"/>
              <w:ind w:right="409" w:hanging="72"/>
              <w:rPr>
                <w:rFonts w:ascii="Garamond" w:hAnsi="Garamond"/>
                <w:sz w:val="16"/>
                <w:szCs w:val="16"/>
              </w:rPr>
            </w:pPr>
            <w:r w:rsidRPr="001E661C">
              <w:rPr>
                <w:rFonts w:ascii="Garamond" w:hAnsi="Garamond"/>
                <w:sz w:val="16"/>
                <w:szCs w:val="16"/>
              </w:rPr>
              <w:t xml:space="preserve">Zona përreth liqenit të Shkodrës, bëhet pjesë e zonave të mbrojtura në </w:t>
            </w:r>
            <w:r w:rsidR="003A6218">
              <w:rPr>
                <w:rFonts w:ascii="Garamond" w:hAnsi="Garamond"/>
                <w:sz w:val="16"/>
                <w:szCs w:val="16"/>
              </w:rPr>
              <w:t>"listën e Rezervës së Biosferës</w:t>
            </w:r>
            <w:r w:rsidRPr="001E661C">
              <w:rPr>
                <w:rFonts w:ascii="Garamond" w:hAnsi="Garamond"/>
                <w:sz w:val="16"/>
                <w:szCs w:val="16"/>
              </w:rPr>
              <w:t>" të</w:t>
            </w:r>
            <w:r w:rsidRPr="001E661C">
              <w:rPr>
                <w:rFonts w:ascii="Garamond" w:hAnsi="Garamond"/>
                <w:spacing w:val="-10"/>
                <w:sz w:val="16"/>
                <w:szCs w:val="16"/>
              </w:rPr>
              <w:t xml:space="preserve"> </w:t>
            </w:r>
            <w:r w:rsidRPr="001E661C">
              <w:rPr>
                <w:rFonts w:ascii="Garamond" w:hAnsi="Garamond"/>
                <w:sz w:val="16"/>
                <w:szCs w:val="16"/>
              </w:rPr>
              <w:t>UNESCO-s.</w:t>
            </w:r>
          </w:p>
        </w:tc>
        <w:tc>
          <w:tcPr>
            <w:tcW w:w="2213" w:type="dxa"/>
            <w:tcBorders>
              <w:top w:val="triple" w:sz="6" w:space="0" w:color="000000"/>
              <w:left w:val="single" w:sz="6" w:space="0" w:color="000000"/>
            </w:tcBorders>
          </w:tcPr>
          <w:p w14:paraId="287F6C99" w14:textId="77777777" w:rsidR="00C61F48" w:rsidRPr="001E661C" w:rsidRDefault="00C61F48" w:rsidP="00BA13DB">
            <w:pPr>
              <w:pStyle w:val="TableParagraph"/>
              <w:spacing w:before="21"/>
              <w:ind w:left="171" w:right="61"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Ndotja e tokës dhe burimeve ujore për shkak të ekzistencës ose mungesës së një sistemi jo të përshtatshëm për trajtimin e mbetjeve të ngurta dhe ujërave të zeza;</w:t>
            </w:r>
          </w:p>
          <w:p w14:paraId="3B75E4ED" w14:textId="77777777" w:rsidR="00C61F48" w:rsidRPr="001E661C" w:rsidRDefault="00C61F48" w:rsidP="00C61F48">
            <w:pPr>
              <w:pStyle w:val="TableParagraph"/>
              <w:numPr>
                <w:ilvl w:val="0"/>
                <w:numId w:val="18"/>
              </w:numPr>
              <w:tabs>
                <w:tab w:val="left" w:pos="210"/>
              </w:tabs>
              <w:spacing w:before="78"/>
              <w:ind w:right="311" w:hanging="72"/>
              <w:rPr>
                <w:rFonts w:ascii="Garamond" w:hAnsi="Garamond"/>
                <w:color w:val="000080"/>
                <w:sz w:val="16"/>
                <w:szCs w:val="16"/>
              </w:rPr>
            </w:pPr>
            <w:r w:rsidRPr="001E661C">
              <w:rPr>
                <w:rFonts w:ascii="Garamond" w:hAnsi="Garamond"/>
                <w:sz w:val="16"/>
                <w:szCs w:val="16"/>
              </w:rPr>
              <w:t>Procesi i urbanizimit i pakontrolluar dhe</w:t>
            </w:r>
            <w:r w:rsidRPr="001E661C">
              <w:rPr>
                <w:rFonts w:ascii="Garamond" w:hAnsi="Garamond"/>
                <w:spacing w:val="-9"/>
                <w:sz w:val="16"/>
                <w:szCs w:val="16"/>
              </w:rPr>
              <w:t xml:space="preserve"> </w:t>
            </w:r>
            <w:r w:rsidRPr="001E661C">
              <w:rPr>
                <w:rFonts w:ascii="Garamond" w:hAnsi="Garamond"/>
                <w:sz w:val="16"/>
                <w:szCs w:val="16"/>
              </w:rPr>
              <w:t>jashtë standardeve;</w:t>
            </w:r>
          </w:p>
          <w:p w14:paraId="34DC2C8B" w14:textId="77777777" w:rsidR="00C61F48" w:rsidRPr="001E661C" w:rsidRDefault="00C61F48" w:rsidP="00C61F48">
            <w:pPr>
              <w:pStyle w:val="TableParagraph"/>
              <w:numPr>
                <w:ilvl w:val="0"/>
                <w:numId w:val="18"/>
              </w:numPr>
              <w:tabs>
                <w:tab w:val="left" w:pos="210"/>
              </w:tabs>
              <w:spacing w:before="80"/>
              <w:ind w:right="140" w:hanging="72"/>
              <w:rPr>
                <w:rFonts w:ascii="Garamond" w:hAnsi="Garamond"/>
                <w:color w:val="000080"/>
                <w:sz w:val="16"/>
                <w:szCs w:val="16"/>
              </w:rPr>
            </w:pPr>
            <w:r w:rsidRPr="001E661C">
              <w:rPr>
                <w:rFonts w:ascii="Garamond" w:hAnsi="Garamond"/>
                <w:sz w:val="16"/>
                <w:szCs w:val="16"/>
              </w:rPr>
              <w:t>Shfrytëzimi i</w:t>
            </w:r>
            <w:r w:rsidRPr="001E661C">
              <w:rPr>
                <w:rFonts w:ascii="Garamond" w:hAnsi="Garamond"/>
                <w:spacing w:val="-10"/>
                <w:sz w:val="16"/>
                <w:szCs w:val="16"/>
              </w:rPr>
              <w:t xml:space="preserve"> </w:t>
            </w:r>
            <w:r w:rsidRPr="001E661C">
              <w:rPr>
                <w:rFonts w:ascii="Garamond" w:hAnsi="Garamond"/>
                <w:sz w:val="16"/>
                <w:szCs w:val="16"/>
              </w:rPr>
              <w:t>pakontrolluar i burimeve natyrore (druri, zhavorri, frutat e pyllit), kryesisht</w:t>
            </w:r>
            <w:r w:rsidRPr="001E661C">
              <w:rPr>
                <w:rFonts w:ascii="Garamond" w:hAnsi="Garamond"/>
                <w:spacing w:val="-10"/>
                <w:sz w:val="16"/>
                <w:szCs w:val="16"/>
              </w:rPr>
              <w:t xml:space="preserve"> </w:t>
            </w:r>
            <w:r w:rsidRPr="001E661C">
              <w:rPr>
                <w:rFonts w:ascii="Garamond" w:hAnsi="Garamond"/>
                <w:sz w:val="16"/>
                <w:szCs w:val="16"/>
              </w:rPr>
              <w:t>shpyllëzimi;</w:t>
            </w:r>
          </w:p>
          <w:p w14:paraId="7DA59F2B" w14:textId="77777777" w:rsidR="00C61F48" w:rsidRPr="001E661C" w:rsidRDefault="00C61F48" w:rsidP="00C61F48">
            <w:pPr>
              <w:pStyle w:val="TableParagraph"/>
              <w:numPr>
                <w:ilvl w:val="0"/>
                <w:numId w:val="18"/>
              </w:numPr>
              <w:tabs>
                <w:tab w:val="left" w:pos="210"/>
              </w:tabs>
              <w:spacing w:before="78"/>
              <w:ind w:right="94" w:hanging="72"/>
              <w:rPr>
                <w:rFonts w:ascii="Garamond" w:hAnsi="Garamond"/>
                <w:color w:val="000080"/>
                <w:sz w:val="16"/>
                <w:szCs w:val="16"/>
              </w:rPr>
            </w:pPr>
            <w:r w:rsidRPr="001E661C">
              <w:rPr>
                <w:rFonts w:ascii="Garamond" w:hAnsi="Garamond"/>
                <w:sz w:val="16"/>
                <w:szCs w:val="16"/>
              </w:rPr>
              <w:t>Presionet në mjedisin</w:t>
            </w:r>
            <w:r w:rsidRPr="001E661C">
              <w:rPr>
                <w:rFonts w:ascii="Garamond" w:hAnsi="Garamond"/>
                <w:spacing w:val="-11"/>
                <w:sz w:val="16"/>
                <w:szCs w:val="16"/>
              </w:rPr>
              <w:t xml:space="preserve"> </w:t>
            </w:r>
            <w:r w:rsidRPr="001E661C">
              <w:rPr>
                <w:rFonts w:ascii="Garamond" w:hAnsi="Garamond"/>
                <w:sz w:val="16"/>
                <w:szCs w:val="16"/>
              </w:rPr>
              <w:t>rreth bregut për shkak të frekuentimit të lartë turistik;</w:t>
            </w:r>
          </w:p>
          <w:p w14:paraId="55D82A2F" w14:textId="77777777" w:rsidR="00C61F48" w:rsidRPr="001E661C" w:rsidRDefault="00C61F48" w:rsidP="00C61F48">
            <w:pPr>
              <w:pStyle w:val="TableParagraph"/>
              <w:numPr>
                <w:ilvl w:val="0"/>
                <w:numId w:val="18"/>
              </w:numPr>
              <w:tabs>
                <w:tab w:val="left" w:pos="210"/>
              </w:tabs>
              <w:spacing w:before="79"/>
              <w:ind w:right="186" w:hanging="72"/>
              <w:rPr>
                <w:rFonts w:ascii="Garamond" w:hAnsi="Garamond"/>
                <w:color w:val="000080"/>
                <w:sz w:val="16"/>
                <w:szCs w:val="16"/>
              </w:rPr>
            </w:pPr>
            <w:r w:rsidRPr="001E661C">
              <w:rPr>
                <w:rFonts w:ascii="Garamond" w:hAnsi="Garamond"/>
                <w:sz w:val="16"/>
                <w:szCs w:val="16"/>
              </w:rPr>
              <w:t>Zgjerimi i industrisë së çimentos në rajonin e Lezhës, e cila paraqet një rrezik në rritje për natyrën përreth.</w:t>
            </w:r>
          </w:p>
        </w:tc>
      </w:tr>
    </w:tbl>
    <w:p w14:paraId="748608D1" w14:textId="77777777" w:rsidR="00C61F48" w:rsidRDefault="00C61F48" w:rsidP="00C61F48">
      <w:pPr>
        <w:pStyle w:val="BodyText"/>
        <w:rPr>
          <w:rFonts w:ascii="Times New Roman"/>
          <w:sz w:val="20"/>
        </w:rPr>
      </w:pPr>
    </w:p>
    <w:p w14:paraId="21539171" w14:textId="77777777" w:rsidR="001E661C" w:rsidRDefault="001E661C" w:rsidP="00C61F48">
      <w:pPr>
        <w:pStyle w:val="BodyText"/>
        <w:spacing w:before="10" w:after="1"/>
        <w:rPr>
          <w:rFonts w:ascii="Times New Roman"/>
          <w:sz w:val="23"/>
        </w:rPr>
      </w:pPr>
    </w:p>
    <w:tbl>
      <w:tblPr>
        <w:tblW w:w="0" w:type="auto"/>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48"/>
        <w:gridCol w:w="2110"/>
        <w:gridCol w:w="2302"/>
        <w:gridCol w:w="2302"/>
        <w:gridCol w:w="2216"/>
      </w:tblGrid>
      <w:tr w:rsidR="00C61F48" w:rsidRPr="001E661C" w14:paraId="7B82D233" w14:textId="77777777" w:rsidTr="00BA13DB">
        <w:trPr>
          <w:trHeight w:hRule="exact" w:val="561"/>
        </w:trPr>
        <w:tc>
          <w:tcPr>
            <w:tcW w:w="648" w:type="dxa"/>
            <w:tcBorders>
              <w:bottom w:val="single" w:sz="6" w:space="0" w:color="000000"/>
              <w:right w:val="single" w:sz="6" w:space="0" w:color="000000"/>
            </w:tcBorders>
            <w:shd w:val="clear" w:color="auto" w:fill="6F2F9F"/>
          </w:tcPr>
          <w:p w14:paraId="75A18B25" w14:textId="77777777" w:rsidR="00C61F48" w:rsidRPr="001E661C" w:rsidRDefault="00C61F48" w:rsidP="00BA13DB">
            <w:pPr>
              <w:rPr>
                <w:rFonts w:ascii="Garamond" w:hAnsi="Garamond"/>
                <w:sz w:val="16"/>
                <w:szCs w:val="20"/>
              </w:rPr>
            </w:pPr>
          </w:p>
        </w:tc>
        <w:tc>
          <w:tcPr>
            <w:tcW w:w="2110" w:type="dxa"/>
            <w:tcBorders>
              <w:left w:val="single" w:sz="6" w:space="0" w:color="000000"/>
              <w:bottom w:val="single" w:sz="6" w:space="0" w:color="000000"/>
              <w:right w:val="single" w:sz="6" w:space="0" w:color="000000"/>
            </w:tcBorders>
            <w:shd w:val="clear" w:color="auto" w:fill="6F2F9F"/>
          </w:tcPr>
          <w:p w14:paraId="51640D91" w14:textId="77777777" w:rsidR="00C61F48" w:rsidRPr="001E661C" w:rsidRDefault="00C61F48" w:rsidP="00BA13DB">
            <w:pPr>
              <w:pStyle w:val="TableParagraph"/>
              <w:ind w:left="367" w:right="157"/>
              <w:rPr>
                <w:rFonts w:ascii="Garamond" w:hAnsi="Garamond"/>
                <w:b/>
                <w:color w:val="FFFFFF" w:themeColor="background1"/>
                <w:sz w:val="16"/>
                <w:szCs w:val="20"/>
              </w:rPr>
            </w:pPr>
            <w:r w:rsidRPr="001E661C">
              <w:rPr>
                <w:rFonts w:ascii="Garamond" w:hAnsi="Garamond"/>
                <w:b/>
                <w:color w:val="FFFFFF" w:themeColor="background1"/>
                <w:sz w:val="16"/>
                <w:szCs w:val="20"/>
              </w:rPr>
              <w:t>PIKAT E FORTA</w:t>
            </w:r>
          </w:p>
        </w:tc>
        <w:tc>
          <w:tcPr>
            <w:tcW w:w="2302" w:type="dxa"/>
            <w:tcBorders>
              <w:left w:val="single" w:sz="6" w:space="0" w:color="000000"/>
              <w:bottom w:val="single" w:sz="6" w:space="0" w:color="000000"/>
              <w:right w:val="single" w:sz="6" w:space="0" w:color="000000"/>
            </w:tcBorders>
            <w:shd w:val="clear" w:color="auto" w:fill="6F2F9F"/>
          </w:tcPr>
          <w:p w14:paraId="066948B9" w14:textId="77777777" w:rsidR="00C61F48" w:rsidRPr="001E661C" w:rsidRDefault="00C61F48" w:rsidP="00BA13DB">
            <w:pPr>
              <w:pStyle w:val="TableParagraph"/>
              <w:ind w:left="391" w:right="312"/>
              <w:rPr>
                <w:rFonts w:ascii="Garamond" w:hAnsi="Garamond"/>
                <w:b/>
                <w:color w:val="FFFFFF" w:themeColor="background1"/>
                <w:sz w:val="16"/>
                <w:szCs w:val="20"/>
              </w:rPr>
            </w:pPr>
            <w:r w:rsidRPr="001E661C">
              <w:rPr>
                <w:rFonts w:ascii="Garamond" w:hAnsi="Garamond"/>
                <w:b/>
                <w:color w:val="FFFFFF" w:themeColor="background1"/>
                <w:sz w:val="16"/>
                <w:szCs w:val="20"/>
              </w:rPr>
              <w:t>PIKAT E DOBËTA</w:t>
            </w:r>
          </w:p>
        </w:tc>
        <w:tc>
          <w:tcPr>
            <w:tcW w:w="2302" w:type="dxa"/>
            <w:tcBorders>
              <w:left w:val="single" w:sz="6" w:space="0" w:color="000000"/>
              <w:bottom w:val="single" w:sz="6" w:space="0" w:color="000000"/>
              <w:right w:val="single" w:sz="6" w:space="0" w:color="000000"/>
            </w:tcBorders>
            <w:shd w:val="clear" w:color="auto" w:fill="6F2F9F"/>
          </w:tcPr>
          <w:p w14:paraId="10179AE8" w14:textId="77777777" w:rsidR="00C61F48" w:rsidRPr="001E661C" w:rsidRDefault="00C61F48" w:rsidP="00BA13DB">
            <w:pPr>
              <w:pStyle w:val="TableParagraph"/>
              <w:ind w:left="587" w:right="112"/>
              <w:rPr>
                <w:rFonts w:ascii="Garamond" w:hAnsi="Garamond"/>
                <w:b/>
                <w:color w:val="FFFFFF" w:themeColor="background1"/>
                <w:sz w:val="16"/>
                <w:szCs w:val="20"/>
              </w:rPr>
            </w:pPr>
            <w:r w:rsidRPr="001E661C">
              <w:rPr>
                <w:rFonts w:ascii="Garamond" w:hAnsi="Garamond"/>
                <w:b/>
                <w:color w:val="FFFFFF" w:themeColor="background1"/>
                <w:sz w:val="16"/>
                <w:szCs w:val="20"/>
              </w:rPr>
              <w:t>MUNDËSITË</w:t>
            </w:r>
          </w:p>
        </w:tc>
        <w:tc>
          <w:tcPr>
            <w:tcW w:w="2216" w:type="dxa"/>
            <w:tcBorders>
              <w:left w:val="single" w:sz="6" w:space="0" w:color="000000"/>
              <w:bottom w:val="single" w:sz="6" w:space="0" w:color="000000"/>
            </w:tcBorders>
            <w:shd w:val="clear" w:color="auto" w:fill="6F2F9F"/>
          </w:tcPr>
          <w:p w14:paraId="749E6482" w14:textId="77777777" w:rsidR="00C61F48" w:rsidRPr="001E661C" w:rsidRDefault="00C61F48" w:rsidP="00BA13DB">
            <w:pPr>
              <w:pStyle w:val="TableParagraph"/>
              <w:ind w:left="506" w:right="76"/>
              <w:rPr>
                <w:rFonts w:ascii="Garamond" w:hAnsi="Garamond"/>
                <w:b/>
                <w:color w:val="FFFFFF" w:themeColor="background1"/>
                <w:sz w:val="16"/>
                <w:szCs w:val="20"/>
              </w:rPr>
            </w:pPr>
            <w:r w:rsidRPr="001E661C">
              <w:rPr>
                <w:rFonts w:ascii="Garamond" w:hAnsi="Garamond"/>
                <w:b/>
                <w:color w:val="FFFFFF" w:themeColor="background1"/>
                <w:sz w:val="16"/>
                <w:szCs w:val="20"/>
              </w:rPr>
              <w:t>KËRCËNIMET</w:t>
            </w:r>
          </w:p>
        </w:tc>
      </w:tr>
      <w:tr w:rsidR="00C61F48" w:rsidRPr="001E661C" w14:paraId="1788B60B" w14:textId="77777777" w:rsidTr="00BA13DB">
        <w:trPr>
          <w:trHeight w:hRule="exact" w:val="6037"/>
        </w:trPr>
        <w:tc>
          <w:tcPr>
            <w:tcW w:w="648" w:type="dxa"/>
            <w:tcBorders>
              <w:top w:val="single" w:sz="6" w:space="0" w:color="000000"/>
              <w:right w:val="single" w:sz="6" w:space="0" w:color="000000"/>
            </w:tcBorders>
            <w:textDirection w:val="btLr"/>
          </w:tcPr>
          <w:p w14:paraId="64C6DBD9" w14:textId="77777777" w:rsidR="00C61F48" w:rsidRPr="001E661C" w:rsidRDefault="00C61F48" w:rsidP="00BA13DB">
            <w:pPr>
              <w:pStyle w:val="TableParagraph"/>
              <w:spacing w:before="85" w:line="285" w:lineRule="auto"/>
              <w:ind w:left="1617" w:right="317" w:hanging="1491"/>
              <w:rPr>
                <w:rFonts w:ascii="Garamond" w:hAnsi="Garamond"/>
                <w:b/>
                <w:sz w:val="16"/>
                <w:szCs w:val="20"/>
              </w:rPr>
            </w:pPr>
            <w:r w:rsidRPr="001E661C">
              <w:rPr>
                <w:rFonts w:ascii="Garamond" w:hAnsi="Garamond"/>
                <w:b/>
                <w:spacing w:val="-1"/>
                <w:w w:val="99"/>
                <w:sz w:val="16"/>
                <w:szCs w:val="20"/>
              </w:rPr>
              <w:t>PRO</w:t>
            </w:r>
            <w:r w:rsidRPr="001E661C">
              <w:rPr>
                <w:rFonts w:ascii="Garamond" w:hAnsi="Garamond"/>
                <w:b/>
                <w:spacing w:val="1"/>
                <w:w w:val="99"/>
                <w:sz w:val="16"/>
                <w:szCs w:val="20"/>
              </w:rPr>
              <w:t>M</w:t>
            </w:r>
            <w:r w:rsidRPr="001E661C">
              <w:rPr>
                <w:rFonts w:ascii="Garamond" w:hAnsi="Garamond"/>
                <w:b/>
                <w:spacing w:val="-1"/>
                <w:w w:val="99"/>
                <w:sz w:val="16"/>
                <w:szCs w:val="20"/>
              </w:rPr>
              <w:t>OVI</w:t>
            </w:r>
            <w:r w:rsidRPr="001E661C">
              <w:rPr>
                <w:rFonts w:ascii="Garamond" w:hAnsi="Garamond"/>
                <w:b/>
                <w:spacing w:val="1"/>
                <w:w w:val="99"/>
                <w:sz w:val="16"/>
                <w:szCs w:val="20"/>
              </w:rPr>
              <w:t>M</w:t>
            </w:r>
            <w:r w:rsidRPr="001E661C">
              <w:rPr>
                <w:rFonts w:ascii="Garamond" w:hAnsi="Garamond"/>
                <w:b/>
                <w:w w:val="99"/>
                <w:sz w:val="16"/>
                <w:szCs w:val="20"/>
              </w:rPr>
              <w:t>I</w:t>
            </w:r>
            <w:r w:rsidRPr="001E661C">
              <w:rPr>
                <w:rFonts w:ascii="Garamond" w:hAnsi="Garamond"/>
                <w:b/>
                <w:spacing w:val="-1"/>
                <w:sz w:val="16"/>
                <w:szCs w:val="20"/>
              </w:rPr>
              <w:t xml:space="preserve"> </w:t>
            </w:r>
            <w:r w:rsidRPr="001E661C">
              <w:rPr>
                <w:rFonts w:ascii="Garamond" w:hAnsi="Garamond"/>
                <w:b/>
                <w:w w:val="99"/>
                <w:sz w:val="16"/>
                <w:szCs w:val="20"/>
              </w:rPr>
              <w:t>I</w:t>
            </w:r>
            <w:r w:rsidRPr="001E661C">
              <w:rPr>
                <w:rFonts w:ascii="Garamond" w:hAnsi="Garamond"/>
                <w:b/>
                <w:spacing w:val="2"/>
                <w:sz w:val="16"/>
                <w:szCs w:val="20"/>
              </w:rPr>
              <w:t xml:space="preserve"> </w:t>
            </w:r>
            <w:r w:rsidRPr="001E661C">
              <w:rPr>
                <w:rFonts w:ascii="Garamond" w:hAnsi="Garamond"/>
                <w:b/>
                <w:spacing w:val="-1"/>
                <w:w w:val="99"/>
                <w:sz w:val="16"/>
                <w:szCs w:val="20"/>
              </w:rPr>
              <w:t>TRAN</w:t>
            </w:r>
            <w:r w:rsidRPr="001E661C">
              <w:rPr>
                <w:rFonts w:ascii="Garamond" w:hAnsi="Garamond"/>
                <w:b/>
                <w:spacing w:val="2"/>
                <w:w w:val="99"/>
                <w:sz w:val="16"/>
                <w:szCs w:val="20"/>
              </w:rPr>
              <w:t>S</w:t>
            </w:r>
            <w:r w:rsidRPr="001E661C">
              <w:rPr>
                <w:rFonts w:ascii="Garamond" w:hAnsi="Garamond"/>
                <w:b/>
                <w:spacing w:val="-1"/>
                <w:w w:val="99"/>
                <w:sz w:val="16"/>
                <w:szCs w:val="20"/>
              </w:rPr>
              <w:t>PO</w:t>
            </w:r>
            <w:r w:rsidRPr="001E661C">
              <w:rPr>
                <w:rFonts w:ascii="Garamond" w:hAnsi="Garamond"/>
                <w:b/>
                <w:w w:val="99"/>
                <w:sz w:val="16"/>
                <w:szCs w:val="20"/>
              </w:rPr>
              <w:t>R</w:t>
            </w:r>
            <w:r w:rsidRPr="001E661C">
              <w:rPr>
                <w:rFonts w:ascii="Garamond" w:hAnsi="Garamond"/>
                <w:b/>
                <w:spacing w:val="-1"/>
                <w:w w:val="99"/>
                <w:sz w:val="16"/>
                <w:szCs w:val="20"/>
              </w:rPr>
              <w:t>T</w:t>
            </w:r>
            <w:r w:rsidRPr="001E661C">
              <w:rPr>
                <w:rFonts w:ascii="Garamond" w:hAnsi="Garamond"/>
                <w:b/>
                <w:spacing w:val="1"/>
                <w:w w:val="99"/>
                <w:sz w:val="16"/>
                <w:szCs w:val="20"/>
              </w:rPr>
              <w:t>I</w:t>
            </w:r>
            <w:r w:rsidRPr="001E661C">
              <w:rPr>
                <w:rFonts w:ascii="Garamond" w:hAnsi="Garamond"/>
                <w:b/>
                <w:w w:val="99"/>
                <w:sz w:val="16"/>
                <w:szCs w:val="20"/>
              </w:rPr>
              <w:t>T</w:t>
            </w:r>
            <w:r w:rsidRPr="001E661C">
              <w:rPr>
                <w:rFonts w:ascii="Garamond" w:hAnsi="Garamond"/>
                <w:b/>
                <w:spacing w:val="-1"/>
                <w:sz w:val="16"/>
                <w:szCs w:val="20"/>
              </w:rPr>
              <w:t xml:space="preserve"> </w:t>
            </w:r>
            <w:r w:rsidRPr="001E661C">
              <w:rPr>
                <w:rFonts w:ascii="Garamond" w:hAnsi="Garamond"/>
                <w:b/>
                <w:spacing w:val="1"/>
                <w:w w:val="99"/>
                <w:sz w:val="16"/>
                <w:szCs w:val="20"/>
              </w:rPr>
              <w:t>T</w:t>
            </w:r>
            <w:r w:rsidRPr="001E661C">
              <w:rPr>
                <w:rFonts w:ascii="Garamond" w:hAnsi="Garamond"/>
                <w:b/>
                <w:w w:val="99"/>
                <w:sz w:val="16"/>
                <w:szCs w:val="20"/>
              </w:rPr>
              <w:t>Ë</w:t>
            </w:r>
            <w:r w:rsidRPr="001E661C">
              <w:rPr>
                <w:rFonts w:ascii="Garamond" w:hAnsi="Garamond"/>
                <w:b/>
                <w:spacing w:val="1"/>
                <w:sz w:val="16"/>
                <w:szCs w:val="20"/>
              </w:rPr>
              <w:t xml:space="preserve"> </w:t>
            </w:r>
            <w:r w:rsidRPr="001E661C">
              <w:rPr>
                <w:rFonts w:ascii="Garamond" w:hAnsi="Garamond"/>
                <w:b/>
                <w:w w:val="99"/>
                <w:sz w:val="16"/>
                <w:szCs w:val="20"/>
              </w:rPr>
              <w:t>Q</w:t>
            </w:r>
            <w:r w:rsidRPr="001E661C">
              <w:rPr>
                <w:rFonts w:ascii="Garamond" w:hAnsi="Garamond"/>
                <w:b/>
                <w:spacing w:val="1"/>
                <w:w w:val="99"/>
                <w:sz w:val="16"/>
                <w:szCs w:val="20"/>
              </w:rPr>
              <w:t>Ë</w:t>
            </w:r>
            <w:r w:rsidRPr="001E661C">
              <w:rPr>
                <w:rFonts w:ascii="Garamond" w:hAnsi="Garamond"/>
                <w:b/>
                <w:w w:val="99"/>
                <w:sz w:val="16"/>
                <w:szCs w:val="20"/>
              </w:rPr>
              <w:t>N</w:t>
            </w:r>
            <w:r w:rsidRPr="001E661C">
              <w:rPr>
                <w:rFonts w:ascii="Garamond" w:hAnsi="Garamond"/>
                <w:b/>
                <w:spacing w:val="-1"/>
                <w:w w:val="99"/>
                <w:sz w:val="16"/>
                <w:szCs w:val="20"/>
              </w:rPr>
              <w:t>D</w:t>
            </w:r>
            <w:r w:rsidRPr="001E661C">
              <w:rPr>
                <w:rFonts w:ascii="Garamond" w:hAnsi="Garamond"/>
                <w:b/>
                <w:w w:val="99"/>
                <w:sz w:val="16"/>
                <w:szCs w:val="20"/>
              </w:rPr>
              <w:t>RUE</w:t>
            </w:r>
            <w:r w:rsidRPr="001E661C">
              <w:rPr>
                <w:rFonts w:ascii="Garamond" w:hAnsi="Garamond"/>
                <w:b/>
                <w:spacing w:val="-1"/>
                <w:w w:val="99"/>
                <w:sz w:val="16"/>
                <w:szCs w:val="20"/>
              </w:rPr>
              <w:t>S</w:t>
            </w:r>
            <w:r w:rsidRPr="001E661C">
              <w:rPr>
                <w:rFonts w:ascii="Garamond" w:hAnsi="Garamond"/>
                <w:b/>
                <w:w w:val="99"/>
                <w:sz w:val="16"/>
                <w:szCs w:val="20"/>
              </w:rPr>
              <w:t>H</w:t>
            </w:r>
            <w:r w:rsidRPr="001E661C">
              <w:rPr>
                <w:rFonts w:ascii="Garamond" w:hAnsi="Garamond"/>
                <w:b/>
                <w:spacing w:val="1"/>
                <w:w w:val="99"/>
                <w:sz w:val="16"/>
                <w:szCs w:val="20"/>
              </w:rPr>
              <w:t>Ë</w:t>
            </w:r>
            <w:r w:rsidRPr="001E661C">
              <w:rPr>
                <w:rFonts w:ascii="Garamond" w:hAnsi="Garamond"/>
                <w:b/>
                <w:w w:val="99"/>
                <w:sz w:val="16"/>
                <w:szCs w:val="20"/>
              </w:rPr>
              <w:t>M</w:t>
            </w:r>
            <w:r w:rsidRPr="001E661C">
              <w:rPr>
                <w:rFonts w:ascii="Garamond" w:hAnsi="Garamond"/>
                <w:b/>
                <w:sz w:val="16"/>
                <w:szCs w:val="20"/>
              </w:rPr>
              <w:t xml:space="preserve"> </w:t>
            </w:r>
            <w:r w:rsidRPr="001E661C">
              <w:rPr>
                <w:rFonts w:ascii="Garamond" w:hAnsi="Garamond"/>
                <w:b/>
                <w:spacing w:val="-1"/>
                <w:w w:val="99"/>
                <w:sz w:val="16"/>
                <w:szCs w:val="20"/>
              </w:rPr>
              <w:t>DH</w:t>
            </w:r>
            <w:r w:rsidRPr="001E661C">
              <w:rPr>
                <w:rFonts w:ascii="Garamond" w:hAnsi="Garamond"/>
                <w:b/>
                <w:w w:val="99"/>
                <w:sz w:val="16"/>
                <w:szCs w:val="20"/>
              </w:rPr>
              <w:t>E</w:t>
            </w:r>
            <w:r w:rsidRPr="001E661C">
              <w:rPr>
                <w:rFonts w:ascii="Garamond" w:hAnsi="Garamond"/>
                <w:b/>
                <w:sz w:val="16"/>
                <w:szCs w:val="20"/>
              </w:rPr>
              <w:t xml:space="preserve"> </w:t>
            </w:r>
            <w:r w:rsidRPr="001E661C">
              <w:rPr>
                <w:rFonts w:ascii="Garamond" w:hAnsi="Garamond"/>
                <w:b/>
                <w:w w:val="99"/>
                <w:sz w:val="16"/>
                <w:szCs w:val="20"/>
              </w:rPr>
              <w:t>P</w:t>
            </w:r>
            <w:r w:rsidRPr="001E661C">
              <w:rPr>
                <w:rFonts w:ascii="Garamond" w:hAnsi="Garamond"/>
                <w:b/>
                <w:spacing w:val="1"/>
                <w:w w:val="99"/>
                <w:sz w:val="16"/>
                <w:szCs w:val="20"/>
              </w:rPr>
              <w:t>Ë</w:t>
            </w:r>
            <w:r w:rsidRPr="001E661C">
              <w:rPr>
                <w:rFonts w:ascii="Garamond" w:hAnsi="Garamond"/>
                <w:b/>
                <w:spacing w:val="2"/>
                <w:w w:val="99"/>
                <w:sz w:val="16"/>
                <w:szCs w:val="20"/>
              </w:rPr>
              <w:t>R</w:t>
            </w:r>
            <w:r w:rsidRPr="001E661C">
              <w:rPr>
                <w:rFonts w:ascii="Garamond" w:hAnsi="Garamond"/>
                <w:b/>
                <w:spacing w:val="1"/>
                <w:w w:val="99"/>
                <w:sz w:val="16"/>
                <w:szCs w:val="20"/>
              </w:rPr>
              <w:t>M</w:t>
            </w:r>
            <w:r w:rsidRPr="001E661C">
              <w:rPr>
                <w:rFonts w:ascii="Garamond" w:hAnsi="Garamond"/>
                <w:b/>
                <w:w w:val="99"/>
                <w:sz w:val="16"/>
                <w:szCs w:val="20"/>
              </w:rPr>
              <w:t>IR</w:t>
            </w:r>
            <w:r w:rsidRPr="001E661C">
              <w:rPr>
                <w:rFonts w:ascii="Garamond" w:hAnsi="Garamond"/>
                <w:b/>
                <w:spacing w:val="1"/>
                <w:w w:val="99"/>
                <w:sz w:val="16"/>
                <w:szCs w:val="20"/>
              </w:rPr>
              <w:t>Ë</w:t>
            </w:r>
            <w:r w:rsidRPr="001E661C">
              <w:rPr>
                <w:rFonts w:ascii="Garamond" w:hAnsi="Garamond"/>
                <w:b/>
                <w:spacing w:val="-1"/>
                <w:w w:val="99"/>
                <w:sz w:val="16"/>
                <w:szCs w:val="20"/>
              </w:rPr>
              <w:t>S</w:t>
            </w:r>
            <w:r w:rsidRPr="001E661C">
              <w:rPr>
                <w:rFonts w:ascii="Garamond" w:hAnsi="Garamond"/>
                <w:b/>
                <w:w w:val="99"/>
                <w:sz w:val="16"/>
                <w:szCs w:val="20"/>
              </w:rPr>
              <w:t>IMI I</w:t>
            </w:r>
            <w:r w:rsidRPr="001E661C">
              <w:rPr>
                <w:rFonts w:ascii="Garamond" w:hAnsi="Garamond"/>
                <w:b/>
                <w:spacing w:val="-1"/>
                <w:sz w:val="16"/>
                <w:szCs w:val="20"/>
              </w:rPr>
              <w:t xml:space="preserve"> </w:t>
            </w:r>
            <w:r w:rsidRPr="001E661C">
              <w:rPr>
                <w:rFonts w:ascii="Garamond" w:hAnsi="Garamond"/>
                <w:b/>
                <w:w w:val="99"/>
                <w:sz w:val="16"/>
                <w:szCs w:val="20"/>
              </w:rPr>
              <w:t>INFR</w:t>
            </w:r>
            <w:r w:rsidRPr="001E661C">
              <w:rPr>
                <w:rFonts w:ascii="Garamond" w:hAnsi="Garamond"/>
                <w:b/>
                <w:spacing w:val="-1"/>
                <w:w w:val="99"/>
                <w:sz w:val="16"/>
                <w:szCs w:val="20"/>
              </w:rPr>
              <w:t>AST</w:t>
            </w:r>
            <w:r w:rsidRPr="001E661C">
              <w:rPr>
                <w:rFonts w:ascii="Garamond" w:hAnsi="Garamond"/>
                <w:b/>
                <w:spacing w:val="2"/>
                <w:w w:val="99"/>
                <w:sz w:val="16"/>
                <w:szCs w:val="20"/>
              </w:rPr>
              <w:t>R</w:t>
            </w:r>
            <w:r w:rsidRPr="001E661C">
              <w:rPr>
                <w:rFonts w:ascii="Garamond" w:hAnsi="Garamond"/>
                <w:b/>
                <w:w w:val="99"/>
                <w:sz w:val="16"/>
                <w:szCs w:val="20"/>
              </w:rPr>
              <w:t>UK</w:t>
            </w:r>
            <w:r w:rsidRPr="001E661C">
              <w:rPr>
                <w:rFonts w:ascii="Garamond" w:hAnsi="Garamond"/>
                <w:b/>
                <w:spacing w:val="-1"/>
                <w:w w:val="99"/>
                <w:sz w:val="16"/>
                <w:szCs w:val="20"/>
              </w:rPr>
              <w:t>TU</w:t>
            </w:r>
            <w:r w:rsidRPr="001E661C">
              <w:rPr>
                <w:rFonts w:ascii="Garamond" w:hAnsi="Garamond"/>
                <w:b/>
                <w:w w:val="99"/>
                <w:sz w:val="16"/>
                <w:szCs w:val="20"/>
              </w:rPr>
              <w:t>R</w:t>
            </w:r>
            <w:r w:rsidRPr="001E661C">
              <w:rPr>
                <w:rFonts w:ascii="Garamond" w:hAnsi="Garamond"/>
                <w:b/>
                <w:spacing w:val="1"/>
                <w:w w:val="99"/>
                <w:sz w:val="16"/>
                <w:szCs w:val="20"/>
              </w:rPr>
              <w:t>A</w:t>
            </w:r>
            <w:r w:rsidRPr="001E661C">
              <w:rPr>
                <w:rFonts w:ascii="Garamond" w:hAnsi="Garamond"/>
                <w:b/>
                <w:spacing w:val="-1"/>
                <w:w w:val="99"/>
                <w:sz w:val="16"/>
                <w:szCs w:val="20"/>
              </w:rPr>
              <w:t>V</w:t>
            </w:r>
            <w:r w:rsidRPr="001E661C">
              <w:rPr>
                <w:rFonts w:ascii="Garamond" w:hAnsi="Garamond"/>
                <w:b/>
                <w:w w:val="99"/>
                <w:sz w:val="16"/>
                <w:szCs w:val="20"/>
              </w:rPr>
              <w:t>E</w:t>
            </w:r>
            <w:r w:rsidRPr="001E661C">
              <w:rPr>
                <w:rFonts w:ascii="Garamond" w:hAnsi="Garamond"/>
                <w:b/>
                <w:sz w:val="16"/>
                <w:szCs w:val="20"/>
              </w:rPr>
              <w:t xml:space="preserve"> </w:t>
            </w:r>
            <w:r w:rsidRPr="001E661C">
              <w:rPr>
                <w:rFonts w:ascii="Garamond" w:hAnsi="Garamond"/>
                <w:b/>
                <w:spacing w:val="-1"/>
                <w:w w:val="99"/>
                <w:sz w:val="16"/>
                <w:szCs w:val="20"/>
              </w:rPr>
              <w:t>PU</w:t>
            </w:r>
            <w:r w:rsidRPr="001E661C">
              <w:rPr>
                <w:rFonts w:ascii="Garamond" w:hAnsi="Garamond"/>
                <w:b/>
                <w:w w:val="99"/>
                <w:sz w:val="16"/>
                <w:szCs w:val="20"/>
              </w:rPr>
              <w:t>BL</w:t>
            </w:r>
            <w:r w:rsidRPr="001E661C">
              <w:rPr>
                <w:rFonts w:ascii="Garamond" w:hAnsi="Garamond"/>
                <w:b/>
                <w:spacing w:val="1"/>
                <w:w w:val="99"/>
                <w:sz w:val="16"/>
                <w:szCs w:val="20"/>
              </w:rPr>
              <w:t>I</w:t>
            </w:r>
            <w:r w:rsidRPr="001E661C">
              <w:rPr>
                <w:rFonts w:ascii="Garamond" w:hAnsi="Garamond"/>
                <w:b/>
                <w:spacing w:val="-1"/>
                <w:w w:val="99"/>
                <w:sz w:val="16"/>
                <w:szCs w:val="20"/>
              </w:rPr>
              <w:t>K</w:t>
            </w:r>
            <w:r w:rsidRPr="001E661C">
              <w:rPr>
                <w:rFonts w:ascii="Garamond" w:hAnsi="Garamond"/>
                <w:b/>
                <w:w w:val="99"/>
                <w:sz w:val="16"/>
                <w:szCs w:val="20"/>
              </w:rPr>
              <w:t>E</w:t>
            </w:r>
          </w:p>
        </w:tc>
        <w:tc>
          <w:tcPr>
            <w:tcW w:w="2110" w:type="dxa"/>
            <w:tcBorders>
              <w:top w:val="single" w:sz="6" w:space="0" w:color="000000"/>
              <w:left w:val="single" w:sz="6" w:space="0" w:color="000000"/>
              <w:right w:val="single" w:sz="6" w:space="0" w:color="000000"/>
            </w:tcBorders>
          </w:tcPr>
          <w:p w14:paraId="3BECEE45" w14:textId="77777777" w:rsidR="00C61F48" w:rsidRPr="001E661C" w:rsidRDefault="00C61F48" w:rsidP="00BA13DB">
            <w:pPr>
              <w:pStyle w:val="TableParagraph"/>
              <w:spacing w:before="23"/>
              <w:ind w:left="172" w:right="82" w:hanging="72"/>
              <w:rPr>
                <w:rFonts w:ascii="Garamond" w:hAnsi="Garamond"/>
                <w:sz w:val="16"/>
                <w:szCs w:val="20"/>
              </w:rPr>
            </w:pPr>
            <w:r w:rsidRPr="001E661C">
              <w:rPr>
                <w:rFonts w:ascii="Garamond" w:hAnsi="Garamond"/>
                <w:color w:val="000080"/>
                <w:sz w:val="16"/>
                <w:szCs w:val="20"/>
              </w:rPr>
              <w:t>•</w:t>
            </w:r>
            <w:r w:rsidRPr="001E661C">
              <w:rPr>
                <w:rFonts w:ascii="Garamond" w:hAnsi="Garamond"/>
                <w:sz w:val="16"/>
                <w:szCs w:val="20"/>
              </w:rPr>
              <w:t>Pozicioni gjeografik strategjik në rajonin më të gjerë dhe pjesëmarrja në Rrjetet e Transportit Evropian;</w:t>
            </w:r>
          </w:p>
          <w:p w14:paraId="0B7DB020" w14:textId="77777777" w:rsidR="00C61F48" w:rsidRPr="001E661C" w:rsidRDefault="00C61F48" w:rsidP="00C61F48">
            <w:pPr>
              <w:pStyle w:val="TableParagraph"/>
              <w:numPr>
                <w:ilvl w:val="0"/>
                <w:numId w:val="17"/>
              </w:numPr>
              <w:tabs>
                <w:tab w:val="left" w:pos="212"/>
              </w:tabs>
              <w:spacing w:before="80"/>
              <w:ind w:right="266" w:hanging="72"/>
              <w:rPr>
                <w:rFonts w:ascii="Garamond" w:hAnsi="Garamond"/>
                <w:sz w:val="16"/>
                <w:szCs w:val="20"/>
              </w:rPr>
            </w:pPr>
            <w:r w:rsidRPr="001E661C">
              <w:rPr>
                <w:rFonts w:ascii="Garamond" w:hAnsi="Garamond"/>
                <w:sz w:val="16"/>
                <w:szCs w:val="20"/>
              </w:rPr>
              <w:t>Lidhjet e lehta duke përmirësuar infrastrukturën</w:t>
            </w:r>
            <w:r w:rsidRPr="001E661C">
              <w:rPr>
                <w:rFonts w:ascii="Garamond" w:hAnsi="Garamond"/>
                <w:spacing w:val="-9"/>
                <w:sz w:val="16"/>
                <w:szCs w:val="20"/>
              </w:rPr>
              <w:t xml:space="preserve"> </w:t>
            </w:r>
            <w:r w:rsidRPr="001E661C">
              <w:rPr>
                <w:rFonts w:ascii="Garamond" w:hAnsi="Garamond"/>
                <w:sz w:val="16"/>
                <w:szCs w:val="20"/>
              </w:rPr>
              <w:t>rrugore;</w:t>
            </w:r>
          </w:p>
          <w:p w14:paraId="6FDA740B" w14:textId="77777777" w:rsidR="00C61F48" w:rsidRPr="001E661C" w:rsidRDefault="00C61F48" w:rsidP="00C61F48">
            <w:pPr>
              <w:pStyle w:val="TableParagraph"/>
              <w:numPr>
                <w:ilvl w:val="0"/>
                <w:numId w:val="17"/>
              </w:numPr>
              <w:tabs>
                <w:tab w:val="left" w:pos="212"/>
              </w:tabs>
              <w:spacing w:before="80"/>
              <w:ind w:right="245" w:hanging="72"/>
              <w:rPr>
                <w:rFonts w:ascii="Garamond" w:hAnsi="Garamond"/>
                <w:sz w:val="16"/>
                <w:szCs w:val="20"/>
              </w:rPr>
            </w:pPr>
            <w:r w:rsidRPr="001E661C">
              <w:rPr>
                <w:rFonts w:ascii="Garamond" w:hAnsi="Garamond"/>
                <w:sz w:val="16"/>
                <w:szCs w:val="20"/>
              </w:rPr>
              <w:t>Përmirësimi i infrastrukturës dhe shërbimeve të kalimit të kufirit;</w:t>
            </w:r>
          </w:p>
          <w:p w14:paraId="2AA2C195" w14:textId="77777777" w:rsidR="00C61F48" w:rsidRPr="001E661C" w:rsidRDefault="00C61F48" w:rsidP="00C61F48">
            <w:pPr>
              <w:pStyle w:val="TableParagraph"/>
              <w:numPr>
                <w:ilvl w:val="0"/>
                <w:numId w:val="17"/>
              </w:numPr>
              <w:tabs>
                <w:tab w:val="left" w:pos="212"/>
              </w:tabs>
              <w:spacing w:before="80"/>
              <w:ind w:left="211"/>
              <w:rPr>
                <w:rFonts w:ascii="Garamond" w:hAnsi="Garamond"/>
                <w:sz w:val="16"/>
                <w:szCs w:val="20"/>
              </w:rPr>
            </w:pPr>
            <w:r w:rsidRPr="001E661C">
              <w:rPr>
                <w:rFonts w:ascii="Garamond" w:hAnsi="Garamond"/>
                <w:sz w:val="16"/>
                <w:szCs w:val="20"/>
              </w:rPr>
              <w:t>Lidhjet</w:t>
            </w:r>
            <w:r w:rsidRPr="001E661C">
              <w:rPr>
                <w:rFonts w:ascii="Garamond" w:hAnsi="Garamond"/>
                <w:spacing w:val="-10"/>
                <w:sz w:val="16"/>
                <w:szCs w:val="20"/>
              </w:rPr>
              <w:t xml:space="preserve"> </w:t>
            </w:r>
            <w:r w:rsidRPr="001E661C">
              <w:rPr>
                <w:rFonts w:ascii="Garamond" w:hAnsi="Garamond"/>
                <w:sz w:val="16"/>
                <w:szCs w:val="20"/>
              </w:rPr>
              <w:t>hekurudhore;</w:t>
            </w:r>
          </w:p>
          <w:p w14:paraId="40E94712" w14:textId="77777777" w:rsidR="00C61F48" w:rsidRPr="001E661C" w:rsidRDefault="00C61F48" w:rsidP="00C61F48">
            <w:pPr>
              <w:pStyle w:val="TableParagraph"/>
              <w:numPr>
                <w:ilvl w:val="0"/>
                <w:numId w:val="17"/>
              </w:numPr>
              <w:tabs>
                <w:tab w:val="left" w:pos="212"/>
              </w:tabs>
              <w:spacing w:before="80"/>
              <w:ind w:right="154" w:hanging="72"/>
              <w:rPr>
                <w:rFonts w:ascii="Garamond" w:hAnsi="Garamond"/>
                <w:sz w:val="16"/>
                <w:szCs w:val="20"/>
              </w:rPr>
            </w:pPr>
            <w:r w:rsidRPr="001E661C">
              <w:rPr>
                <w:rFonts w:ascii="Garamond" w:hAnsi="Garamond"/>
                <w:sz w:val="16"/>
                <w:szCs w:val="20"/>
              </w:rPr>
              <w:t>Afërsia dhe aksesi i lehtë në të gjithë zonën e programit nga</w:t>
            </w:r>
            <w:r w:rsidRPr="001E661C">
              <w:rPr>
                <w:rFonts w:ascii="Garamond" w:hAnsi="Garamond"/>
                <w:spacing w:val="-9"/>
                <w:sz w:val="16"/>
                <w:szCs w:val="20"/>
              </w:rPr>
              <w:t xml:space="preserve"> </w:t>
            </w:r>
            <w:r w:rsidRPr="001E661C">
              <w:rPr>
                <w:rFonts w:ascii="Garamond" w:hAnsi="Garamond"/>
                <w:sz w:val="16"/>
                <w:szCs w:val="20"/>
              </w:rPr>
              <w:t>aeroportet në Podgoricë dhe</w:t>
            </w:r>
            <w:r w:rsidRPr="001E661C">
              <w:rPr>
                <w:rFonts w:ascii="Garamond" w:hAnsi="Garamond"/>
                <w:spacing w:val="-11"/>
                <w:sz w:val="16"/>
                <w:szCs w:val="20"/>
              </w:rPr>
              <w:t xml:space="preserve"> </w:t>
            </w:r>
            <w:r w:rsidRPr="001E661C">
              <w:rPr>
                <w:rFonts w:ascii="Garamond" w:hAnsi="Garamond"/>
                <w:sz w:val="16"/>
                <w:szCs w:val="20"/>
              </w:rPr>
              <w:t>Tiranë;</w:t>
            </w:r>
          </w:p>
          <w:p w14:paraId="5058647D" w14:textId="77777777" w:rsidR="00C61F48" w:rsidRPr="001E661C" w:rsidRDefault="00C61F48" w:rsidP="00C61F48">
            <w:pPr>
              <w:pStyle w:val="TableParagraph"/>
              <w:numPr>
                <w:ilvl w:val="0"/>
                <w:numId w:val="17"/>
              </w:numPr>
              <w:tabs>
                <w:tab w:val="left" w:pos="212"/>
              </w:tabs>
              <w:spacing w:before="80"/>
              <w:ind w:right="211" w:hanging="72"/>
              <w:rPr>
                <w:rFonts w:ascii="Garamond" w:hAnsi="Garamond"/>
                <w:sz w:val="16"/>
                <w:szCs w:val="20"/>
              </w:rPr>
            </w:pPr>
            <w:r w:rsidRPr="001E661C">
              <w:rPr>
                <w:rFonts w:ascii="Garamond" w:hAnsi="Garamond"/>
                <w:sz w:val="16"/>
                <w:szCs w:val="20"/>
              </w:rPr>
              <w:t>Portet e Tivarit dhe Shëngjinit, si një pasuri</w:t>
            </w:r>
            <w:r w:rsidRPr="001E661C">
              <w:rPr>
                <w:rFonts w:ascii="Garamond" w:hAnsi="Garamond"/>
                <w:spacing w:val="-12"/>
                <w:sz w:val="16"/>
                <w:szCs w:val="20"/>
              </w:rPr>
              <w:t xml:space="preserve"> </w:t>
            </w:r>
            <w:r w:rsidRPr="001E661C">
              <w:rPr>
                <w:rFonts w:ascii="Garamond" w:hAnsi="Garamond"/>
                <w:sz w:val="16"/>
                <w:szCs w:val="20"/>
              </w:rPr>
              <w:t>e rëndësishme ekonomike për</w:t>
            </w:r>
            <w:r w:rsidRPr="001E661C">
              <w:rPr>
                <w:rFonts w:ascii="Garamond" w:hAnsi="Garamond"/>
                <w:spacing w:val="-5"/>
                <w:sz w:val="16"/>
                <w:szCs w:val="20"/>
              </w:rPr>
              <w:t xml:space="preserve"> </w:t>
            </w:r>
            <w:r w:rsidRPr="001E661C">
              <w:rPr>
                <w:rFonts w:ascii="Garamond" w:hAnsi="Garamond"/>
                <w:sz w:val="16"/>
                <w:szCs w:val="20"/>
              </w:rPr>
              <w:t>rajonin.</w:t>
            </w:r>
          </w:p>
        </w:tc>
        <w:tc>
          <w:tcPr>
            <w:tcW w:w="2302" w:type="dxa"/>
            <w:tcBorders>
              <w:top w:val="single" w:sz="6" w:space="0" w:color="000000"/>
              <w:left w:val="single" w:sz="6" w:space="0" w:color="000000"/>
              <w:right w:val="single" w:sz="6" w:space="0" w:color="000000"/>
            </w:tcBorders>
          </w:tcPr>
          <w:p w14:paraId="6A13FF47" w14:textId="77777777" w:rsidR="00C61F48" w:rsidRPr="001E661C" w:rsidRDefault="00C61F48" w:rsidP="00BA13DB">
            <w:pPr>
              <w:pStyle w:val="TableParagraph"/>
              <w:spacing w:before="23"/>
              <w:ind w:left="172" w:right="123" w:hanging="72"/>
              <w:rPr>
                <w:rFonts w:ascii="Garamond" w:hAnsi="Garamond"/>
                <w:sz w:val="16"/>
                <w:szCs w:val="20"/>
              </w:rPr>
            </w:pPr>
            <w:r w:rsidRPr="001E661C">
              <w:rPr>
                <w:rFonts w:ascii="Garamond" w:hAnsi="Garamond"/>
                <w:color w:val="000080"/>
                <w:sz w:val="16"/>
                <w:szCs w:val="20"/>
              </w:rPr>
              <w:t>•</w:t>
            </w:r>
            <w:r w:rsidRPr="001E661C">
              <w:rPr>
                <w:rFonts w:ascii="Garamond" w:hAnsi="Garamond"/>
                <w:sz w:val="16"/>
                <w:szCs w:val="20"/>
              </w:rPr>
              <w:t>Infrastruktura në kushte të këqija e rrjetit të rrugëve rurale dhe dytësore, si dhe e hekurudhave;</w:t>
            </w:r>
          </w:p>
          <w:p w14:paraId="1C3527E7" w14:textId="77777777" w:rsidR="00C61F48" w:rsidRPr="001E661C" w:rsidRDefault="00C61F48" w:rsidP="00C61F48">
            <w:pPr>
              <w:pStyle w:val="TableParagraph"/>
              <w:numPr>
                <w:ilvl w:val="0"/>
                <w:numId w:val="16"/>
              </w:numPr>
              <w:tabs>
                <w:tab w:val="left" w:pos="212"/>
              </w:tabs>
              <w:spacing w:before="78"/>
              <w:ind w:right="125" w:hanging="72"/>
              <w:rPr>
                <w:rFonts w:ascii="Garamond" w:hAnsi="Garamond"/>
                <w:sz w:val="16"/>
                <w:szCs w:val="20"/>
              </w:rPr>
            </w:pPr>
            <w:r w:rsidRPr="001E661C">
              <w:rPr>
                <w:rFonts w:ascii="Garamond" w:hAnsi="Garamond"/>
                <w:sz w:val="16"/>
                <w:szCs w:val="20"/>
              </w:rPr>
              <w:t>Kosto e lartë e</w:t>
            </w:r>
            <w:r w:rsidRPr="001E661C">
              <w:rPr>
                <w:rFonts w:ascii="Garamond" w:hAnsi="Garamond"/>
                <w:spacing w:val="-7"/>
                <w:sz w:val="16"/>
                <w:szCs w:val="20"/>
              </w:rPr>
              <w:t xml:space="preserve"> </w:t>
            </w:r>
            <w:r w:rsidRPr="001E661C">
              <w:rPr>
                <w:rFonts w:ascii="Garamond" w:hAnsi="Garamond"/>
                <w:sz w:val="16"/>
                <w:szCs w:val="20"/>
              </w:rPr>
              <w:t>mirëmbajtjes dhe buxhetet e kufizuara në dispozicion;</w:t>
            </w:r>
          </w:p>
          <w:p w14:paraId="3E488BFB" w14:textId="77777777" w:rsidR="00C61F48" w:rsidRPr="001E661C" w:rsidRDefault="00C61F48" w:rsidP="00C61F48">
            <w:pPr>
              <w:pStyle w:val="TableParagraph"/>
              <w:numPr>
                <w:ilvl w:val="0"/>
                <w:numId w:val="16"/>
              </w:numPr>
              <w:tabs>
                <w:tab w:val="left" w:pos="212"/>
              </w:tabs>
              <w:spacing w:before="80"/>
              <w:ind w:right="338" w:hanging="72"/>
              <w:rPr>
                <w:rFonts w:ascii="Garamond" w:hAnsi="Garamond"/>
                <w:sz w:val="16"/>
                <w:szCs w:val="20"/>
              </w:rPr>
            </w:pPr>
            <w:r w:rsidRPr="001E661C">
              <w:rPr>
                <w:rFonts w:ascii="Garamond" w:hAnsi="Garamond"/>
                <w:sz w:val="16"/>
                <w:szCs w:val="20"/>
              </w:rPr>
              <w:t>Besueshmëria e ulët dhe mungesa e furnizimit me energji elektrike, të cilat varen shumë nga</w:t>
            </w:r>
            <w:r w:rsidRPr="001E661C">
              <w:rPr>
                <w:rFonts w:ascii="Garamond" w:hAnsi="Garamond"/>
                <w:spacing w:val="-7"/>
                <w:sz w:val="16"/>
                <w:szCs w:val="20"/>
              </w:rPr>
              <w:t xml:space="preserve"> </w:t>
            </w:r>
            <w:r w:rsidRPr="001E661C">
              <w:rPr>
                <w:rFonts w:ascii="Garamond" w:hAnsi="Garamond"/>
                <w:sz w:val="16"/>
                <w:szCs w:val="20"/>
              </w:rPr>
              <w:t>burimet hidrike</w:t>
            </w:r>
            <w:r w:rsidRPr="001E661C">
              <w:rPr>
                <w:rFonts w:ascii="Garamond" w:hAnsi="Garamond"/>
                <w:spacing w:val="-3"/>
                <w:sz w:val="16"/>
                <w:szCs w:val="20"/>
              </w:rPr>
              <w:t xml:space="preserve"> </w:t>
            </w:r>
            <w:r w:rsidRPr="001E661C">
              <w:rPr>
                <w:rFonts w:ascii="Garamond" w:hAnsi="Garamond"/>
                <w:sz w:val="16"/>
                <w:szCs w:val="20"/>
              </w:rPr>
              <w:t>(AL);</w:t>
            </w:r>
          </w:p>
          <w:p w14:paraId="002EE578" w14:textId="77777777" w:rsidR="00C61F48" w:rsidRPr="001E661C" w:rsidRDefault="00C61F48" w:rsidP="00C61F48">
            <w:pPr>
              <w:pStyle w:val="TableParagraph"/>
              <w:numPr>
                <w:ilvl w:val="0"/>
                <w:numId w:val="16"/>
              </w:numPr>
              <w:tabs>
                <w:tab w:val="left" w:pos="212"/>
              </w:tabs>
              <w:spacing w:before="80"/>
              <w:ind w:right="82" w:hanging="72"/>
              <w:rPr>
                <w:rFonts w:ascii="Garamond" w:hAnsi="Garamond"/>
                <w:sz w:val="16"/>
                <w:szCs w:val="20"/>
              </w:rPr>
            </w:pPr>
            <w:r w:rsidRPr="001E661C">
              <w:rPr>
                <w:rFonts w:ascii="Garamond" w:hAnsi="Garamond"/>
                <w:sz w:val="16"/>
                <w:szCs w:val="20"/>
              </w:rPr>
              <w:t>Infrastruktura e varfër dhe kapacitete të pamjaftueshme për trajtimin e ujit, ujërave  të zeza dhe mbeturinave të ngurta, veçanërisht në zonat rurale;</w:t>
            </w:r>
          </w:p>
          <w:p w14:paraId="2225D26F" w14:textId="77777777" w:rsidR="00C61F48" w:rsidRPr="001E661C" w:rsidRDefault="00C61F48" w:rsidP="00C61F48">
            <w:pPr>
              <w:pStyle w:val="TableParagraph"/>
              <w:numPr>
                <w:ilvl w:val="0"/>
                <w:numId w:val="16"/>
              </w:numPr>
              <w:tabs>
                <w:tab w:val="left" w:pos="212"/>
              </w:tabs>
              <w:spacing w:before="80"/>
              <w:ind w:right="261" w:hanging="72"/>
              <w:rPr>
                <w:rFonts w:ascii="Garamond" w:hAnsi="Garamond"/>
                <w:sz w:val="16"/>
                <w:szCs w:val="20"/>
              </w:rPr>
            </w:pPr>
            <w:r w:rsidRPr="001E661C">
              <w:rPr>
                <w:rFonts w:ascii="Garamond" w:hAnsi="Garamond"/>
                <w:sz w:val="16"/>
                <w:szCs w:val="20"/>
              </w:rPr>
              <w:t>Aplikimet e pasaktë të standardeve të</w:t>
            </w:r>
            <w:r w:rsidRPr="001E661C">
              <w:rPr>
                <w:rFonts w:ascii="Garamond" w:hAnsi="Garamond"/>
                <w:spacing w:val="-9"/>
                <w:sz w:val="16"/>
                <w:szCs w:val="20"/>
              </w:rPr>
              <w:t xml:space="preserve"> </w:t>
            </w:r>
            <w:r w:rsidRPr="001E661C">
              <w:rPr>
                <w:rFonts w:ascii="Garamond" w:hAnsi="Garamond"/>
                <w:sz w:val="16"/>
                <w:szCs w:val="20"/>
              </w:rPr>
              <w:t>planifikimit urban;</w:t>
            </w:r>
          </w:p>
          <w:p w14:paraId="2006BBC0" w14:textId="77777777" w:rsidR="00C61F48" w:rsidRPr="001E661C" w:rsidRDefault="00C61F48" w:rsidP="00C61F48">
            <w:pPr>
              <w:pStyle w:val="TableParagraph"/>
              <w:numPr>
                <w:ilvl w:val="0"/>
                <w:numId w:val="16"/>
              </w:numPr>
              <w:tabs>
                <w:tab w:val="left" w:pos="212"/>
              </w:tabs>
              <w:spacing w:before="80"/>
              <w:ind w:left="211"/>
              <w:rPr>
                <w:rFonts w:ascii="Garamond" w:hAnsi="Garamond"/>
                <w:sz w:val="16"/>
                <w:szCs w:val="20"/>
              </w:rPr>
            </w:pPr>
            <w:r w:rsidRPr="001E661C">
              <w:rPr>
                <w:rFonts w:ascii="Garamond" w:hAnsi="Garamond"/>
                <w:sz w:val="16"/>
                <w:szCs w:val="20"/>
              </w:rPr>
              <w:t>Aksesi i kufizuar në</w:t>
            </w:r>
            <w:r w:rsidRPr="001E661C">
              <w:rPr>
                <w:rFonts w:ascii="Garamond" w:hAnsi="Garamond"/>
                <w:spacing w:val="-10"/>
                <w:sz w:val="16"/>
                <w:szCs w:val="20"/>
              </w:rPr>
              <w:t xml:space="preserve"> </w:t>
            </w:r>
            <w:r w:rsidRPr="001E661C">
              <w:rPr>
                <w:rFonts w:ascii="Garamond" w:hAnsi="Garamond"/>
                <w:sz w:val="16"/>
                <w:szCs w:val="20"/>
              </w:rPr>
              <w:t>internet.</w:t>
            </w:r>
          </w:p>
        </w:tc>
        <w:tc>
          <w:tcPr>
            <w:tcW w:w="2302" w:type="dxa"/>
            <w:tcBorders>
              <w:top w:val="single" w:sz="6" w:space="0" w:color="000000"/>
              <w:left w:val="single" w:sz="6" w:space="0" w:color="000000"/>
              <w:right w:val="single" w:sz="6" w:space="0" w:color="000000"/>
            </w:tcBorders>
          </w:tcPr>
          <w:p w14:paraId="3D5D8B4B" w14:textId="77777777" w:rsidR="00C61F48" w:rsidRPr="001E661C" w:rsidRDefault="00C61F48" w:rsidP="00BA13DB">
            <w:pPr>
              <w:pStyle w:val="TableParagraph"/>
              <w:spacing w:before="23"/>
              <w:ind w:left="172" w:right="126" w:hanging="72"/>
              <w:rPr>
                <w:rFonts w:ascii="Garamond" w:hAnsi="Garamond"/>
                <w:sz w:val="16"/>
                <w:szCs w:val="20"/>
              </w:rPr>
            </w:pPr>
            <w:r w:rsidRPr="001E661C">
              <w:rPr>
                <w:rFonts w:ascii="Garamond" w:hAnsi="Garamond"/>
                <w:color w:val="000080"/>
                <w:sz w:val="16"/>
                <w:szCs w:val="20"/>
              </w:rPr>
              <w:t>•</w:t>
            </w:r>
            <w:r w:rsidRPr="001E661C">
              <w:rPr>
                <w:rFonts w:ascii="Garamond" w:hAnsi="Garamond"/>
                <w:sz w:val="16"/>
                <w:szCs w:val="20"/>
              </w:rPr>
              <w:t>Programet për përmirësimin e rrjeteve rrugore dhe hekurudhore që lidhin Malin e Zi dhe Shqipërinë;</w:t>
            </w:r>
          </w:p>
          <w:p w14:paraId="48B58E38" w14:textId="77777777" w:rsidR="00C61F48" w:rsidRPr="001E661C" w:rsidRDefault="00C61F48" w:rsidP="00C61F48">
            <w:pPr>
              <w:pStyle w:val="TableParagraph"/>
              <w:numPr>
                <w:ilvl w:val="0"/>
                <w:numId w:val="15"/>
              </w:numPr>
              <w:tabs>
                <w:tab w:val="left" w:pos="212"/>
              </w:tabs>
              <w:spacing w:before="78"/>
              <w:ind w:right="247" w:hanging="72"/>
              <w:rPr>
                <w:rFonts w:ascii="Garamond" w:hAnsi="Garamond"/>
                <w:color w:val="000080"/>
                <w:sz w:val="16"/>
                <w:szCs w:val="20"/>
              </w:rPr>
            </w:pPr>
            <w:r w:rsidRPr="001E661C">
              <w:rPr>
                <w:rFonts w:ascii="Garamond" w:hAnsi="Garamond"/>
                <w:sz w:val="16"/>
                <w:szCs w:val="20"/>
              </w:rPr>
              <w:t>Menaxhimi i planeve dhe fondeve ekzistuese (BE, bankat evropiane, etj.)</w:t>
            </w:r>
            <w:r w:rsidRPr="001E661C">
              <w:rPr>
                <w:rFonts w:ascii="Garamond" w:hAnsi="Garamond"/>
                <w:spacing w:val="-9"/>
                <w:sz w:val="16"/>
                <w:szCs w:val="20"/>
              </w:rPr>
              <w:t xml:space="preserve"> </w:t>
            </w:r>
            <w:r w:rsidRPr="001E661C">
              <w:rPr>
                <w:rFonts w:ascii="Garamond" w:hAnsi="Garamond"/>
                <w:sz w:val="16"/>
                <w:szCs w:val="20"/>
              </w:rPr>
              <w:t>dhe sistemet e ujërave të</w:t>
            </w:r>
            <w:r w:rsidRPr="001E661C">
              <w:rPr>
                <w:rFonts w:ascii="Garamond" w:hAnsi="Garamond"/>
                <w:spacing w:val="-5"/>
                <w:sz w:val="16"/>
                <w:szCs w:val="20"/>
              </w:rPr>
              <w:t xml:space="preserve"> </w:t>
            </w:r>
            <w:r w:rsidRPr="001E661C">
              <w:rPr>
                <w:rFonts w:ascii="Garamond" w:hAnsi="Garamond"/>
                <w:sz w:val="16"/>
                <w:szCs w:val="20"/>
              </w:rPr>
              <w:t>zeza;</w:t>
            </w:r>
          </w:p>
          <w:p w14:paraId="781DC93D" w14:textId="77777777" w:rsidR="00C61F48" w:rsidRPr="001E661C" w:rsidRDefault="00C61F48" w:rsidP="00C61F48">
            <w:pPr>
              <w:pStyle w:val="TableParagraph"/>
              <w:numPr>
                <w:ilvl w:val="0"/>
                <w:numId w:val="15"/>
              </w:numPr>
              <w:tabs>
                <w:tab w:val="left" w:pos="212"/>
              </w:tabs>
              <w:spacing w:before="80"/>
              <w:ind w:right="91" w:hanging="72"/>
              <w:rPr>
                <w:rFonts w:ascii="Garamond" w:hAnsi="Garamond"/>
                <w:color w:val="000080"/>
                <w:sz w:val="16"/>
                <w:szCs w:val="20"/>
              </w:rPr>
            </w:pPr>
            <w:r w:rsidRPr="001E661C">
              <w:rPr>
                <w:rFonts w:ascii="Garamond" w:hAnsi="Garamond"/>
                <w:sz w:val="16"/>
                <w:szCs w:val="20"/>
              </w:rPr>
              <w:t>Lëvizja më e lehtë e</w:t>
            </w:r>
            <w:r w:rsidRPr="001E661C">
              <w:rPr>
                <w:rFonts w:ascii="Garamond" w:hAnsi="Garamond"/>
                <w:spacing w:val="-8"/>
                <w:sz w:val="16"/>
                <w:szCs w:val="20"/>
              </w:rPr>
              <w:t xml:space="preserve"> </w:t>
            </w:r>
            <w:r w:rsidRPr="001E661C">
              <w:rPr>
                <w:rFonts w:ascii="Garamond" w:hAnsi="Garamond"/>
                <w:sz w:val="16"/>
                <w:szCs w:val="20"/>
              </w:rPr>
              <w:t>njerëzve dhe e mallrave nëpërmjet rrugëve të përmirësuara (duke përfshirë edhe ato të rihapurat) dhe pikave të reja ndërkufitare;</w:t>
            </w:r>
          </w:p>
          <w:p w14:paraId="29BE33A1" w14:textId="77777777" w:rsidR="00C61F48" w:rsidRPr="001E661C" w:rsidRDefault="00C61F48" w:rsidP="00BA13DB">
            <w:pPr>
              <w:pStyle w:val="TableParagraph"/>
              <w:spacing w:before="80"/>
              <w:ind w:left="172" w:right="103" w:hanging="72"/>
              <w:rPr>
                <w:rFonts w:ascii="Garamond" w:hAnsi="Garamond"/>
                <w:sz w:val="16"/>
                <w:szCs w:val="20"/>
              </w:rPr>
            </w:pPr>
            <w:r w:rsidRPr="001E661C">
              <w:rPr>
                <w:rFonts w:ascii="Garamond" w:hAnsi="Garamond"/>
                <w:color w:val="000080"/>
                <w:sz w:val="16"/>
                <w:szCs w:val="20"/>
              </w:rPr>
              <w:t>•</w:t>
            </w:r>
            <w:r w:rsidRPr="001E661C">
              <w:rPr>
                <w:rFonts w:ascii="Garamond" w:hAnsi="Garamond"/>
                <w:sz w:val="16"/>
                <w:szCs w:val="20"/>
              </w:rPr>
              <w:t>Rritja e investimeve në furnizimin me ujë, sistemin e kanalizimeve dhe trajtimin e mbeturinave për përmirësimin e mbetjeve të ngurta;</w:t>
            </w:r>
          </w:p>
          <w:p w14:paraId="00CF74BE" w14:textId="77777777" w:rsidR="00C61F48" w:rsidRPr="001E661C" w:rsidRDefault="00C61F48" w:rsidP="00C61F48">
            <w:pPr>
              <w:pStyle w:val="TableParagraph"/>
              <w:numPr>
                <w:ilvl w:val="0"/>
                <w:numId w:val="15"/>
              </w:numPr>
              <w:tabs>
                <w:tab w:val="left" w:pos="212"/>
              </w:tabs>
              <w:spacing w:before="80"/>
              <w:ind w:right="536" w:hanging="72"/>
              <w:rPr>
                <w:rFonts w:ascii="Garamond" w:hAnsi="Garamond"/>
                <w:color w:val="000080"/>
                <w:sz w:val="16"/>
                <w:szCs w:val="20"/>
              </w:rPr>
            </w:pPr>
            <w:r w:rsidRPr="001E661C">
              <w:rPr>
                <w:rFonts w:ascii="Garamond" w:hAnsi="Garamond"/>
                <w:sz w:val="16"/>
                <w:szCs w:val="20"/>
              </w:rPr>
              <w:t>Potenciali për rritjen</w:t>
            </w:r>
            <w:r w:rsidRPr="001E661C">
              <w:rPr>
                <w:rFonts w:ascii="Garamond" w:hAnsi="Garamond"/>
                <w:spacing w:val="-9"/>
                <w:sz w:val="16"/>
                <w:szCs w:val="20"/>
              </w:rPr>
              <w:t xml:space="preserve"> </w:t>
            </w:r>
            <w:r w:rsidRPr="001E661C">
              <w:rPr>
                <w:rFonts w:ascii="Garamond" w:hAnsi="Garamond"/>
                <w:sz w:val="16"/>
                <w:szCs w:val="20"/>
              </w:rPr>
              <w:t>e transportit</w:t>
            </w:r>
            <w:r w:rsidRPr="001E661C">
              <w:rPr>
                <w:rFonts w:ascii="Garamond" w:hAnsi="Garamond"/>
                <w:spacing w:val="-5"/>
                <w:sz w:val="16"/>
                <w:szCs w:val="20"/>
              </w:rPr>
              <w:t xml:space="preserve"> </w:t>
            </w:r>
            <w:r w:rsidRPr="001E661C">
              <w:rPr>
                <w:rFonts w:ascii="Garamond" w:hAnsi="Garamond"/>
                <w:sz w:val="16"/>
                <w:szCs w:val="20"/>
              </w:rPr>
              <w:t>detar;</w:t>
            </w:r>
          </w:p>
          <w:p w14:paraId="31BE5AEA" w14:textId="77777777" w:rsidR="00C61F48" w:rsidRPr="001E661C" w:rsidRDefault="00C61F48" w:rsidP="00C61F48">
            <w:pPr>
              <w:pStyle w:val="TableParagraph"/>
              <w:numPr>
                <w:ilvl w:val="0"/>
                <w:numId w:val="15"/>
              </w:numPr>
              <w:tabs>
                <w:tab w:val="left" w:pos="212"/>
              </w:tabs>
              <w:spacing w:before="80"/>
              <w:ind w:right="515" w:hanging="72"/>
              <w:rPr>
                <w:rFonts w:ascii="Garamond" w:hAnsi="Garamond"/>
                <w:color w:val="000080"/>
                <w:sz w:val="16"/>
                <w:szCs w:val="20"/>
              </w:rPr>
            </w:pPr>
            <w:r w:rsidRPr="001E661C">
              <w:rPr>
                <w:rFonts w:ascii="Garamond" w:hAnsi="Garamond"/>
                <w:sz w:val="16"/>
                <w:szCs w:val="20"/>
              </w:rPr>
              <w:t>Zhvillimi i prodhimit</w:t>
            </w:r>
            <w:r w:rsidRPr="001E661C">
              <w:rPr>
                <w:rFonts w:ascii="Garamond" w:hAnsi="Garamond"/>
                <w:spacing w:val="-7"/>
                <w:sz w:val="16"/>
                <w:szCs w:val="20"/>
              </w:rPr>
              <w:t xml:space="preserve"> </w:t>
            </w:r>
            <w:r w:rsidRPr="001E661C">
              <w:rPr>
                <w:rFonts w:ascii="Garamond" w:hAnsi="Garamond"/>
                <w:sz w:val="16"/>
                <w:szCs w:val="20"/>
              </w:rPr>
              <w:t>të energjisë</w:t>
            </w:r>
            <w:r w:rsidRPr="001E661C">
              <w:rPr>
                <w:rFonts w:ascii="Garamond" w:hAnsi="Garamond"/>
                <w:spacing w:val="-9"/>
                <w:sz w:val="16"/>
                <w:szCs w:val="20"/>
              </w:rPr>
              <w:t xml:space="preserve"> </w:t>
            </w:r>
            <w:r w:rsidRPr="001E661C">
              <w:rPr>
                <w:rFonts w:ascii="Garamond" w:hAnsi="Garamond"/>
                <w:sz w:val="16"/>
                <w:szCs w:val="20"/>
              </w:rPr>
              <w:t>alternative;</w:t>
            </w:r>
          </w:p>
          <w:p w14:paraId="6EB29E32" w14:textId="77777777" w:rsidR="00C61F48" w:rsidRPr="001E661C" w:rsidRDefault="00C61F48" w:rsidP="00C61F48">
            <w:pPr>
              <w:pStyle w:val="TableParagraph"/>
              <w:numPr>
                <w:ilvl w:val="0"/>
                <w:numId w:val="15"/>
              </w:numPr>
              <w:tabs>
                <w:tab w:val="left" w:pos="212"/>
              </w:tabs>
              <w:spacing w:before="77"/>
              <w:ind w:right="443" w:hanging="72"/>
              <w:rPr>
                <w:rFonts w:ascii="Garamond" w:hAnsi="Garamond"/>
                <w:color w:val="000080"/>
                <w:sz w:val="16"/>
                <w:szCs w:val="20"/>
              </w:rPr>
            </w:pPr>
            <w:r w:rsidRPr="001E661C">
              <w:rPr>
                <w:rFonts w:ascii="Garamond" w:hAnsi="Garamond"/>
                <w:sz w:val="16"/>
                <w:szCs w:val="20"/>
              </w:rPr>
              <w:t>Përmirësimi i aksesit në internet.</w:t>
            </w:r>
          </w:p>
        </w:tc>
        <w:tc>
          <w:tcPr>
            <w:tcW w:w="2216" w:type="dxa"/>
            <w:tcBorders>
              <w:top w:val="single" w:sz="6" w:space="0" w:color="000000"/>
              <w:left w:val="single" w:sz="6" w:space="0" w:color="000000"/>
            </w:tcBorders>
          </w:tcPr>
          <w:p w14:paraId="556BCBAD" w14:textId="77777777" w:rsidR="00C61F48" w:rsidRPr="001E661C" w:rsidRDefault="00C61F48" w:rsidP="00BA13DB">
            <w:pPr>
              <w:pStyle w:val="TableParagraph"/>
              <w:spacing w:before="23"/>
              <w:ind w:left="172" w:right="50" w:hanging="72"/>
              <w:rPr>
                <w:rFonts w:ascii="Garamond" w:hAnsi="Garamond"/>
                <w:sz w:val="16"/>
                <w:szCs w:val="20"/>
              </w:rPr>
            </w:pPr>
            <w:r w:rsidRPr="001E661C">
              <w:rPr>
                <w:rFonts w:ascii="Garamond" w:hAnsi="Garamond"/>
                <w:color w:val="000080"/>
                <w:sz w:val="16"/>
                <w:szCs w:val="20"/>
              </w:rPr>
              <w:t>•</w:t>
            </w:r>
            <w:r w:rsidRPr="001E661C">
              <w:rPr>
                <w:rFonts w:ascii="Garamond" w:hAnsi="Garamond"/>
                <w:sz w:val="16"/>
                <w:szCs w:val="20"/>
              </w:rPr>
              <w:t>Burimet e kufizuara financiare vonojnë investimet në infrastrukturën publike dhe veçanërisht në mirëmbajtje;</w:t>
            </w:r>
          </w:p>
          <w:p w14:paraId="23719679" w14:textId="77777777" w:rsidR="00C61F48" w:rsidRPr="001E661C" w:rsidRDefault="00C61F48" w:rsidP="00C61F48">
            <w:pPr>
              <w:pStyle w:val="TableParagraph"/>
              <w:numPr>
                <w:ilvl w:val="0"/>
                <w:numId w:val="14"/>
              </w:numPr>
              <w:tabs>
                <w:tab w:val="left" w:pos="212"/>
              </w:tabs>
              <w:spacing w:before="80"/>
              <w:ind w:right="462" w:hanging="72"/>
              <w:rPr>
                <w:rFonts w:ascii="Garamond" w:hAnsi="Garamond"/>
                <w:sz w:val="16"/>
                <w:szCs w:val="20"/>
              </w:rPr>
            </w:pPr>
            <w:r w:rsidRPr="001E661C">
              <w:rPr>
                <w:rFonts w:ascii="Garamond" w:hAnsi="Garamond"/>
                <w:sz w:val="16"/>
                <w:szCs w:val="20"/>
              </w:rPr>
              <w:t>Burimet financiare të pamjaftueshme për ri- ndërtimin dhe mirëmbajtjen e infrastrukturës së përkeqësuar</w:t>
            </w:r>
            <w:r w:rsidRPr="001E661C">
              <w:rPr>
                <w:rFonts w:ascii="Garamond" w:hAnsi="Garamond"/>
                <w:spacing w:val="-7"/>
                <w:sz w:val="16"/>
                <w:szCs w:val="20"/>
              </w:rPr>
              <w:t xml:space="preserve"> </w:t>
            </w:r>
            <w:r w:rsidRPr="001E661C">
              <w:rPr>
                <w:rFonts w:ascii="Garamond" w:hAnsi="Garamond"/>
                <w:sz w:val="16"/>
                <w:szCs w:val="20"/>
              </w:rPr>
              <w:t>lokale;</w:t>
            </w:r>
          </w:p>
          <w:p w14:paraId="57A665A4" w14:textId="77777777" w:rsidR="00C61F48" w:rsidRPr="001E661C" w:rsidRDefault="00C61F48" w:rsidP="00C61F48">
            <w:pPr>
              <w:pStyle w:val="TableParagraph"/>
              <w:numPr>
                <w:ilvl w:val="0"/>
                <w:numId w:val="14"/>
              </w:numPr>
              <w:tabs>
                <w:tab w:val="left" w:pos="212"/>
              </w:tabs>
              <w:spacing w:before="81"/>
              <w:ind w:right="97" w:hanging="72"/>
              <w:rPr>
                <w:rFonts w:ascii="Garamond" w:hAnsi="Garamond"/>
                <w:sz w:val="16"/>
                <w:szCs w:val="20"/>
              </w:rPr>
            </w:pPr>
            <w:r w:rsidRPr="001E661C">
              <w:rPr>
                <w:rFonts w:ascii="Garamond" w:hAnsi="Garamond"/>
                <w:sz w:val="16"/>
                <w:szCs w:val="20"/>
              </w:rPr>
              <w:t>Ndërtimet e paligjshme,</w:t>
            </w:r>
            <w:r w:rsidRPr="001E661C">
              <w:rPr>
                <w:rFonts w:ascii="Garamond" w:hAnsi="Garamond"/>
                <w:spacing w:val="-9"/>
                <w:sz w:val="16"/>
                <w:szCs w:val="20"/>
              </w:rPr>
              <w:t xml:space="preserve"> </w:t>
            </w:r>
            <w:r w:rsidRPr="001E661C">
              <w:rPr>
                <w:rFonts w:ascii="Garamond" w:hAnsi="Garamond"/>
                <w:sz w:val="16"/>
                <w:szCs w:val="20"/>
              </w:rPr>
              <w:t>që ushtrojnë presion shtesë mbi zhvillimin e infrastrukturës në zonën e programit;</w:t>
            </w:r>
          </w:p>
          <w:p w14:paraId="25961B92" w14:textId="77777777" w:rsidR="00C61F48" w:rsidRPr="001E661C" w:rsidRDefault="00C61F48" w:rsidP="00C61F48">
            <w:pPr>
              <w:pStyle w:val="TableParagraph"/>
              <w:numPr>
                <w:ilvl w:val="0"/>
                <w:numId w:val="14"/>
              </w:numPr>
              <w:tabs>
                <w:tab w:val="left" w:pos="212"/>
              </w:tabs>
              <w:spacing w:before="80"/>
              <w:ind w:right="258" w:hanging="72"/>
              <w:rPr>
                <w:rFonts w:ascii="Garamond" w:hAnsi="Garamond"/>
                <w:sz w:val="16"/>
                <w:szCs w:val="20"/>
              </w:rPr>
            </w:pPr>
            <w:r w:rsidRPr="001E661C">
              <w:rPr>
                <w:rFonts w:ascii="Garamond" w:hAnsi="Garamond"/>
                <w:sz w:val="16"/>
                <w:szCs w:val="20"/>
              </w:rPr>
              <w:t>Çështjet e pazgjidhura</w:t>
            </w:r>
            <w:r w:rsidRPr="001E661C">
              <w:rPr>
                <w:rFonts w:ascii="Garamond" w:hAnsi="Garamond"/>
                <w:spacing w:val="-9"/>
                <w:sz w:val="16"/>
                <w:szCs w:val="20"/>
              </w:rPr>
              <w:t xml:space="preserve"> </w:t>
            </w:r>
            <w:r w:rsidRPr="001E661C">
              <w:rPr>
                <w:rFonts w:ascii="Garamond" w:hAnsi="Garamond"/>
                <w:sz w:val="16"/>
                <w:szCs w:val="20"/>
              </w:rPr>
              <w:t>të pronësisë që pengojnë investimet në infrastrukturë;</w:t>
            </w:r>
          </w:p>
          <w:p w14:paraId="0AAC8576" w14:textId="77777777" w:rsidR="00C61F48" w:rsidRPr="001E661C" w:rsidRDefault="00C61F48" w:rsidP="00C61F48">
            <w:pPr>
              <w:pStyle w:val="TableParagraph"/>
              <w:numPr>
                <w:ilvl w:val="0"/>
                <w:numId w:val="14"/>
              </w:numPr>
              <w:tabs>
                <w:tab w:val="left" w:pos="212"/>
              </w:tabs>
              <w:spacing w:before="80"/>
              <w:ind w:right="82" w:hanging="72"/>
              <w:rPr>
                <w:rFonts w:ascii="Garamond" w:hAnsi="Garamond"/>
                <w:sz w:val="16"/>
                <w:szCs w:val="20"/>
              </w:rPr>
            </w:pPr>
            <w:r w:rsidRPr="001E661C">
              <w:rPr>
                <w:rFonts w:ascii="Garamond" w:hAnsi="Garamond"/>
                <w:sz w:val="16"/>
                <w:szCs w:val="20"/>
              </w:rPr>
              <w:t>Planifikimi urban i pazhvilluar, duke përfshirë planifikimin e</w:t>
            </w:r>
            <w:r w:rsidRPr="001E661C">
              <w:rPr>
                <w:rFonts w:ascii="Garamond" w:hAnsi="Garamond"/>
                <w:spacing w:val="-9"/>
                <w:sz w:val="16"/>
                <w:szCs w:val="20"/>
              </w:rPr>
              <w:t xml:space="preserve"> </w:t>
            </w:r>
            <w:r w:rsidRPr="001E661C">
              <w:rPr>
                <w:rFonts w:ascii="Garamond" w:hAnsi="Garamond"/>
                <w:sz w:val="16"/>
                <w:szCs w:val="20"/>
              </w:rPr>
              <w:t>qëndrueshëm të mjeteve të transportit publik dhe</w:t>
            </w:r>
            <w:r w:rsidRPr="001E661C">
              <w:rPr>
                <w:rFonts w:ascii="Garamond" w:hAnsi="Garamond"/>
                <w:spacing w:val="-7"/>
                <w:sz w:val="16"/>
                <w:szCs w:val="20"/>
              </w:rPr>
              <w:t xml:space="preserve"> </w:t>
            </w:r>
            <w:r w:rsidRPr="001E661C">
              <w:rPr>
                <w:rFonts w:ascii="Garamond" w:hAnsi="Garamond"/>
                <w:sz w:val="16"/>
                <w:szCs w:val="20"/>
              </w:rPr>
              <w:t>privat.</w:t>
            </w:r>
          </w:p>
        </w:tc>
      </w:tr>
    </w:tbl>
    <w:p w14:paraId="45203908" w14:textId="77777777" w:rsidR="00C61F48" w:rsidRDefault="00C61F48" w:rsidP="00C61F48">
      <w:pPr>
        <w:pStyle w:val="BodyText"/>
        <w:rPr>
          <w:rFonts w:ascii="Times New Roman"/>
          <w:sz w:val="20"/>
        </w:rPr>
      </w:pPr>
    </w:p>
    <w:p w14:paraId="323FD8E1" w14:textId="77777777" w:rsidR="001E661C" w:rsidRDefault="001E661C" w:rsidP="00C61F48">
      <w:pPr>
        <w:pStyle w:val="BodyText"/>
        <w:rPr>
          <w:rFonts w:ascii="Times New Roman"/>
          <w:sz w:val="20"/>
        </w:rPr>
      </w:pPr>
    </w:p>
    <w:p w14:paraId="567006BB" w14:textId="77777777" w:rsidR="001E661C" w:rsidRDefault="001E661C" w:rsidP="00C61F48">
      <w:pPr>
        <w:pStyle w:val="BodyText"/>
        <w:rPr>
          <w:rFonts w:ascii="Times New Roman"/>
          <w:sz w:val="20"/>
        </w:rPr>
      </w:pPr>
    </w:p>
    <w:p w14:paraId="65166FFF" w14:textId="77777777" w:rsidR="00C61F48" w:rsidRDefault="00C61F48" w:rsidP="00C61F48">
      <w:pPr>
        <w:pStyle w:val="BodyText"/>
        <w:spacing w:before="10"/>
        <w:rPr>
          <w:rFonts w:ascii="Times New Roman"/>
          <w:sz w:val="10"/>
        </w:rPr>
      </w:pPr>
    </w:p>
    <w:tbl>
      <w:tblPr>
        <w:tblW w:w="0" w:type="auto"/>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840"/>
        <w:gridCol w:w="1918"/>
        <w:gridCol w:w="2302"/>
        <w:gridCol w:w="2302"/>
        <w:gridCol w:w="2216"/>
      </w:tblGrid>
      <w:tr w:rsidR="00C61F48" w:rsidRPr="001E661C" w14:paraId="37C12A32" w14:textId="77777777" w:rsidTr="00BA13DB">
        <w:trPr>
          <w:trHeight w:hRule="exact" w:val="560"/>
        </w:trPr>
        <w:tc>
          <w:tcPr>
            <w:tcW w:w="840" w:type="dxa"/>
            <w:tcBorders>
              <w:bottom w:val="thinThickMediumGap" w:sz="12" w:space="0" w:color="000000"/>
              <w:right w:val="single" w:sz="6" w:space="0" w:color="000000"/>
            </w:tcBorders>
            <w:shd w:val="clear" w:color="auto" w:fill="6F2F9F"/>
          </w:tcPr>
          <w:p w14:paraId="28D36FFE" w14:textId="77777777" w:rsidR="00C61F48" w:rsidRPr="001E661C" w:rsidRDefault="00C61F48" w:rsidP="00BA13DB">
            <w:pPr>
              <w:rPr>
                <w:rFonts w:ascii="Garamond" w:hAnsi="Garamond"/>
                <w:sz w:val="16"/>
                <w:szCs w:val="16"/>
              </w:rPr>
            </w:pPr>
          </w:p>
        </w:tc>
        <w:tc>
          <w:tcPr>
            <w:tcW w:w="1918" w:type="dxa"/>
            <w:tcBorders>
              <w:left w:val="single" w:sz="6" w:space="0" w:color="000000"/>
              <w:bottom w:val="thinThickMediumGap" w:sz="12" w:space="0" w:color="000000"/>
              <w:right w:val="single" w:sz="6" w:space="0" w:color="000000"/>
            </w:tcBorders>
            <w:shd w:val="clear" w:color="auto" w:fill="6F2F9F"/>
          </w:tcPr>
          <w:p w14:paraId="527C1B65" w14:textId="77777777" w:rsidR="00C61F48" w:rsidRPr="001E661C" w:rsidRDefault="00C61F48" w:rsidP="00BA13DB">
            <w:pPr>
              <w:pStyle w:val="TableParagraph"/>
              <w:ind w:left="271" w:right="166"/>
              <w:rPr>
                <w:rFonts w:ascii="Garamond" w:hAnsi="Garamond"/>
                <w:b/>
                <w:color w:val="FFFFFF" w:themeColor="background1"/>
                <w:sz w:val="16"/>
                <w:szCs w:val="16"/>
              </w:rPr>
            </w:pPr>
            <w:r w:rsidRPr="001E661C">
              <w:rPr>
                <w:rFonts w:ascii="Garamond" w:hAnsi="Garamond"/>
                <w:b/>
                <w:color w:val="FFFFFF" w:themeColor="background1"/>
                <w:sz w:val="16"/>
                <w:szCs w:val="16"/>
              </w:rPr>
              <w:t>PIKAT E FORTA</w:t>
            </w:r>
          </w:p>
        </w:tc>
        <w:tc>
          <w:tcPr>
            <w:tcW w:w="2302" w:type="dxa"/>
            <w:tcBorders>
              <w:left w:val="single" w:sz="6" w:space="0" w:color="000000"/>
              <w:bottom w:val="thinThickMediumGap" w:sz="12" w:space="0" w:color="000000"/>
              <w:right w:val="single" w:sz="6" w:space="0" w:color="000000"/>
            </w:tcBorders>
            <w:shd w:val="clear" w:color="auto" w:fill="6F2F9F"/>
          </w:tcPr>
          <w:p w14:paraId="7E33CD66" w14:textId="77777777" w:rsidR="00C61F48" w:rsidRPr="001E661C" w:rsidRDefault="00C61F48" w:rsidP="00BA13DB">
            <w:pPr>
              <w:pStyle w:val="TableParagraph"/>
              <w:ind w:left="391" w:right="312"/>
              <w:rPr>
                <w:rFonts w:ascii="Garamond" w:hAnsi="Garamond"/>
                <w:b/>
                <w:color w:val="FFFFFF" w:themeColor="background1"/>
                <w:sz w:val="16"/>
                <w:szCs w:val="16"/>
              </w:rPr>
            </w:pPr>
            <w:r w:rsidRPr="001E661C">
              <w:rPr>
                <w:rFonts w:ascii="Garamond" w:hAnsi="Garamond"/>
                <w:b/>
                <w:color w:val="FFFFFF" w:themeColor="background1"/>
                <w:sz w:val="16"/>
                <w:szCs w:val="16"/>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245BCED9" w14:textId="77777777" w:rsidR="00C61F48" w:rsidRPr="001E661C" w:rsidRDefault="00C61F48" w:rsidP="00BA13DB">
            <w:pPr>
              <w:pStyle w:val="TableParagraph"/>
              <w:ind w:left="587" w:right="112"/>
              <w:rPr>
                <w:rFonts w:ascii="Garamond" w:hAnsi="Garamond"/>
                <w:b/>
                <w:color w:val="FFFFFF" w:themeColor="background1"/>
                <w:sz w:val="16"/>
                <w:szCs w:val="16"/>
              </w:rPr>
            </w:pPr>
            <w:r w:rsidRPr="001E661C">
              <w:rPr>
                <w:rFonts w:ascii="Garamond" w:hAnsi="Garamond"/>
                <w:b/>
                <w:color w:val="FFFFFF" w:themeColor="background1"/>
                <w:sz w:val="16"/>
                <w:szCs w:val="16"/>
              </w:rPr>
              <w:t>MUNDËSITË</w:t>
            </w:r>
          </w:p>
        </w:tc>
        <w:tc>
          <w:tcPr>
            <w:tcW w:w="2216" w:type="dxa"/>
            <w:tcBorders>
              <w:left w:val="single" w:sz="6" w:space="0" w:color="000000"/>
              <w:bottom w:val="thinThickMediumGap" w:sz="12" w:space="0" w:color="000000"/>
            </w:tcBorders>
            <w:shd w:val="clear" w:color="auto" w:fill="6F2F9F"/>
          </w:tcPr>
          <w:p w14:paraId="711B19FE" w14:textId="77777777" w:rsidR="00C61F48" w:rsidRPr="001E661C" w:rsidRDefault="00C61F48" w:rsidP="00BA13DB">
            <w:pPr>
              <w:pStyle w:val="TableParagraph"/>
              <w:ind w:left="506" w:right="76"/>
              <w:rPr>
                <w:rFonts w:ascii="Garamond" w:hAnsi="Garamond"/>
                <w:b/>
                <w:color w:val="FFFFFF" w:themeColor="background1"/>
                <w:sz w:val="16"/>
                <w:szCs w:val="16"/>
              </w:rPr>
            </w:pPr>
            <w:r w:rsidRPr="001E661C">
              <w:rPr>
                <w:rFonts w:ascii="Garamond" w:hAnsi="Garamond"/>
                <w:b/>
                <w:color w:val="FFFFFF" w:themeColor="background1"/>
                <w:sz w:val="16"/>
                <w:szCs w:val="16"/>
              </w:rPr>
              <w:t>KËRCËNIMET</w:t>
            </w:r>
          </w:p>
        </w:tc>
      </w:tr>
      <w:tr w:rsidR="00C61F48" w:rsidRPr="001E661C" w14:paraId="65D9CE88" w14:textId="77777777" w:rsidTr="001E661C">
        <w:trPr>
          <w:trHeight w:hRule="exact" w:val="5875"/>
        </w:trPr>
        <w:tc>
          <w:tcPr>
            <w:tcW w:w="840" w:type="dxa"/>
            <w:tcBorders>
              <w:top w:val="thickThinMediumGap" w:sz="12" w:space="0" w:color="000000"/>
              <w:bottom w:val="single" w:sz="6" w:space="0" w:color="000000"/>
              <w:right w:val="single" w:sz="6" w:space="0" w:color="000000"/>
            </w:tcBorders>
            <w:textDirection w:val="btLr"/>
          </w:tcPr>
          <w:p w14:paraId="087CA300" w14:textId="77777777" w:rsidR="00C61F48" w:rsidRPr="001E661C" w:rsidRDefault="00C61F48" w:rsidP="00BA13DB">
            <w:pPr>
              <w:pStyle w:val="TableParagraph"/>
              <w:spacing w:before="85" w:line="285" w:lineRule="auto"/>
              <w:ind w:left="2690" w:right="1127" w:hanging="2158"/>
              <w:rPr>
                <w:rFonts w:ascii="Garamond" w:hAnsi="Garamond"/>
                <w:b/>
                <w:sz w:val="16"/>
                <w:szCs w:val="16"/>
              </w:rPr>
            </w:pPr>
            <w:r w:rsidRPr="001E661C">
              <w:rPr>
                <w:rFonts w:ascii="Garamond" w:hAnsi="Garamond"/>
                <w:b/>
                <w:sz w:val="16"/>
                <w:szCs w:val="16"/>
              </w:rPr>
              <w:t>IN</w:t>
            </w:r>
            <w:r w:rsidRPr="001E661C">
              <w:rPr>
                <w:rFonts w:ascii="Garamond" w:hAnsi="Garamond"/>
                <w:b/>
                <w:spacing w:val="-1"/>
                <w:sz w:val="16"/>
                <w:szCs w:val="16"/>
              </w:rPr>
              <w:t>K</w:t>
            </w:r>
            <w:r w:rsidRPr="001E661C">
              <w:rPr>
                <w:rFonts w:ascii="Garamond" w:hAnsi="Garamond"/>
                <w:b/>
                <w:spacing w:val="-3"/>
                <w:sz w:val="16"/>
                <w:szCs w:val="16"/>
              </w:rPr>
              <w:t>U</w:t>
            </w:r>
            <w:r w:rsidRPr="001E661C">
              <w:rPr>
                <w:rFonts w:ascii="Garamond" w:hAnsi="Garamond"/>
                <w:b/>
                <w:sz w:val="16"/>
                <w:szCs w:val="16"/>
              </w:rPr>
              <w:t>RA</w:t>
            </w:r>
            <w:r w:rsidRPr="001E661C">
              <w:rPr>
                <w:rFonts w:ascii="Garamond" w:hAnsi="Garamond"/>
                <w:b/>
                <w:spacing w:val="-2"/>
                <w:sz w:val="16"/>
                <w:szCs w:val="16"/>
              </w:rPr>
              <w:t>J</w:t>
            </w:r>
            <w:r w:rsidRPr="001E661C">
              <w:rPr>
                <w:rFonts w:ascii="Garamond" w:hAnsi="Garamond"/>
                <w:b/>
                <w:sz w:val="16"/>
                <w:szCs w:val="16"/>
              </w:rPr>
              <w:t>I</w:t>
            </w:r>
            <w:r w:rsidRPr="001E661C">
              <w:rPr>
                <w:rFonts w:ascii="Garamond" w:hAnsi="Garamond"/>
                <w:b/>
                <w:spacing w:val="-4"/>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pacing w:val="-1"/>
                <w:sz w:val="16"/>
                <w:szCs w:val="16"/>
              </w:rPr>
              <w:t>T</w:t>
            </w:r>
            <w:r w:rsidRPr="001E661C">
              <w:rPr>
                <w:rFonts w:ascii="Garamond" w:hAnsi="Garamond"/>
                <w:b/>
                <w:sz w:val="16"/>
                <w:szCs w:val="16"/>
              </w:rPr>
              <w:t>UR</w:t>
            </w:r>
            <w:r w:rsidRPr="001E661C">
              <w:rPr>
                <w:rFonts w:ascii="Garamond" w:hAnsi="Garamond"/>
                <w:b/>
                <w:spacing w:val="-2"/>
                <w:sz w:val="16"/>
                <w:szCs w:val="16"/>
              </w:rPr>
              <w:t>I</w:t>
            </w:r>
            <w:r w:rsidRPr="001E661C">
              <w:rPr>
                <w:rFonts w:ascii="Garamond" w:hAnsi="Garamond"/>
                <w:b/>
                <w:sz w:val="16"/>
                <w:szCs w:val="16"/>
              </w:rPr>
              <w:t>Z</w:t>
            </w:r>
            <w:r w:rsidRPr="001E661C">
              <w:rPr>
                <w:rFonts w:ascii="Garamond" w:hAnsi="Garamond"/>
                <w:b/>
                <w:spacing w:val="-1"/>
                <w:sz w:val="16"/>
                <w:szCs w:val="16"/>
              </w:rPr>
              <w:t>M</w:t>
            </w:r>
            <w:r w:rsidRPr="001E661C">
              <w:rPr>
                <w:rFonts w:ascii="Garamond" w:hAnsi="Garamond"/>
                <w:b/>
                <w:spacing w:val="-2"/>
                <w:sz w:val="16"/>
                <w:szCs w:val="16"/>
              </w:rPr>
              <w:t>I</w:t>
            </w:r>
            <w:r w:rsidRPr="001E661C">
              <w:rPr>
                <w:rFonts w:ascii="Garamond" w:hAnsi="Garamond"/>
                <w:b/>
                <w:sz w:val="16"/>
                <w:szCs w:val="16"/>
              </w:rPr>
              <w:t>T</w:t>
            </w:r>
            <w:r w:rsidRPr="001E661C">
              <w:rPr>
                <w:rFonts w:ascii="Garamond" w:hAnsi="Garamond"/>
                <w:b/>
                <w:spacing w:val="1"/>
                <w:sz w:val="16"/>
                <w:szCs w:val="16"/>
              </w:rPr>
              <w:t xml:space="preserve"> </w:t>
            </w:r>
            <w:r w:rsidRPr="001E661C">
              <w:rPr>
                <w:rFonts w:ascii="Garamond" w:hAnsi="Garamond"/>
                <w:b/>
                <w:spacing w:val="-2"/>
                <w:sz w:val="16"/>
                <w:szCs w:val="16"/>
              </w:rPr>
              <w:t>D</w:t>
            </w:r>
            <w:r w:rsidRPr="001E661C">
              <w:rPr>
                <w:rFonts w:ascii="Garamond" w:hAnsi="Garamond"/>
                <w:b/>
                <w:sz w:val="16"/>
                <w:szCs w:val="16"/>
              </w:rPr>
              <w:t xml:space="preserve">HE </w:t>
            </w:r>
            <w:r w:rsidRPr="001E661C">
              <w:rPr>
                <w:rFonts w:ascii="Garamond" w:hAnsi="Garamond"/>
                <w:b/>
                <w:spacing w:val="-1"/>
                <w:sz w:val="16"/>
                <w:szCs w:val="16"/>
              </w:rPr>
              <w:t>T</w:t>
            </w:r>
            <w:r w:rsidRPr="001E661C">
              <w:rPr>
                <w:rFonts w:ascii="Garamond" w:hAnsi="Garamond"/>
                <w:b/>
                <w:sz w:val="16"/>
                <w:szCs w:val="16"/>
              </w:rPr>
              <w:t>R</w:t>
            </w:r>
            <w:r w:rsidRPr="001E661C">
              <w:rPr>
                <w:rFonts w:ascii="Garamond" w:hAnsi="Garamond"/>
                <w:b/>
                <w:spacing w:val="-2"/>
                <w:sz w:val="16"/>
                <w:szCs w:val="16"/>
              </w:rPr>
              <w:t>A</w:t>
            </w:r>
            <w:r w:rsidRPr="001E661C">
              <w:rPr>
                <w:rFonts w:ascii="Garamond" w:hAnsi="Garamond"/>
                <w:b/>
                <w:sz w:val="16"/>
                <w:szCs w:val="16"/>
              </w:rPr>
              <w:t>S</w:t>
            </w:r>
            <w:r w:rsidRPr="001E661C">
              <w:rPr>
                <w:rFonts w:ascii="Garamond" w:hAnsi="Garamond"/>
                <w:b/>
                <w:spacing w:val="2"/>
                <w:sz w:val="16"/>
                <w:szCs w:val="16"/>
              </w:rPr>
              <w:t>H</w:t>
            </w:r>
            <w:r w:rsidRPr="001E661C">
              <w:rPr>
                <w:rFonts w:ascii="Garamond" w:hAnsi="Garamond"/>
                <w:b/>
                <w:spacing w:val="-3"/>
                <w:sz w:val="16"/>
                <w:szCs w:val="16"/>
              </w:rPr>
              <w:t>Ë</w:t>
            </w:r>
            <w:r w:rsidRPr="001E661C">
              <w:rPr>
                <w:rFonts w:ascii="Garamond" w:hAnsi="Garamond"/>
                <w:b/>
                <w:sz w:val="16"/>
                <w:szCs w:val="16"/>
              </w:rPr>
              <w:t>GI</w:t>
            </w:r>
            <w:r w:rsidRPr="001E661C">
              <w:rPr>
                <w:rFonts w:ascii="Garamond" w:hAnsi="Garamond"/>
                <w:b/>
                <w:spacing w:val="-4"/>
                <w:sz w:val="16"/>
                <w:szCs w:val="16"/>
              </w:rPr>
              <w:t>M</w:t>
            </w:r>
            <w:r w:rsidRPr="001E661C">
              <w:rPr>
                <w:rFonts w:ascii="Garamond" w:hAnsi="Garamond"/>
                <w:b/>
                <w:sz w:val="16"/>
                <w:szCs w:val="16"/>
              </w:rPr>
              <w:t>IA</w:t>
            </w:r>
            <w:r w:rsidRPr="001E661C">
              <w:rPr>
                <w:rFonts w:ascii="Garamond" w:hAnsi="Garamond"/>
                <w:b/>
                <w:spacing w:val="-2"/>
                <w:sz w:val="16"/>
                <w:szCs w:val="16"/>
              </w:rPr>
              <w:t xml:space="preserve"> </w:t>
            </w:r>
            <w:r w:rsidRPr="001E661C">
              <w:rPr>
                <w:rFonts w:ascii="Garamond" w:hAnsi="Garamond"/>
                <w:b/>
                <w:sz w:val="16"/>
                <w:szCs w:val="16"/>
              </w:rPr>
              <w:t>KUL</w:t>
            </w:r>
            <w:r w:rsidRPr="001E661C">
              <w:rPr>
                <w:rFonts w:ascii="Garamond" w:hAnsi="Garamond"/>
                <w:b/>
                <w:spacing w:val="-2"/>
                <w:sz w:val="16"/>
                <w:szCs w:val="16"/>
              </w:rPr>
              <w:t>T</w:t>
            </w:r>
            <w:r w:rsidRPr="001E661C">
              <w:rPr>
                <w:rFonts w:ascii="Garamond" w:hAnsi="Garamond"/>
                <w:b/>
                <w:sz w:val="16"/>
                <w:szCs w:val="16"/>
              </w:rPr>
              <w:t>U</w:t>
            </w:r>
            <w:r w:rsidRPr="001E661C">
              <w:rPr>
                <w:rFonts w:ascii="Garamond" w:hAnsi="Garamond"/>
                <w:b/>
                <w:spacing w:val="-2"/>
                <w:sz w:val="16"/>
                <w:szCs w:val="16"/>
              </w:rPr>
              <w:t>R</w:t>
            </w:r>
            <w:r w:rsidRPr="001E661C">
              <w:rPr>
                <w:rFonts w:ascii="Garamond" w:hAnsi="Garamond"/>
                <w:b/>
                <w:spacing w:val="-1"/>
                <w:sz w:val="16"/>
                <w:szCs w:val="16"/>
              </w:rPr>
              <w:t>OR</w:t>
            </w:r>
            <w:r w:rsidRPr="001E661C">
              <w:rPr>
                <w:rFonts w:ascii="Garamond" w:hAnsi="Garamond"/>
                <w:b/>
                <w:sz w:val="16"/>
                <w:szCs w:val="16"/>
              </w:rPr>
              <w:t>E</w:t>
            </w:r>
            <w:r w:rsidRPr="001E661C">
              <w:rPr>
                <w:rFonts w:ascii="Garamond" w:hAnsi="Garamond"/>
                <w:b/>
                <w:spacing w:val="1"/>
                <w:sz w:val="16"/>
                <w:szCs w:val="16"/>
              </w:rPr>
              <w:t xml:space="preserve"> </w:t>
            </w:r>
            <w:r w:rsidRPr="001E661C">
              <w:rPr>
                <w:rFonts w:ascii="Garamond" w:hAnsi="Garamond"/>
                <w:b/>
                <w:sz w:val="16"/>
                <w:szCs w:val="16"/>
              </w:rPr>
              <w:t>&amp; N</w:t>
            </w:r>
            <w:r w:rsidRPr="001E661C">
              <w:rPr>
                <w:rFonts w:ascii="Garamond" w:hAnsi="Garamond"/>
                <w:b/>
                <w:spacing w:val="-2"/>
                <w:sz w:val="16"/>
                <w:szCs w:val="16"/>
              </w:rPr>
              <w:t>A</w:t>
            </w:r>
            <w:r w:rsidRPr="001E661C">
              <w:rPr>
                <w:rFonts w:ascii="Garamond" w:hAnsi="Garamond"/>
                <w:b/>
                <w:sz w:val="16"/>
                <w:szCs w:val="16"/>
              </w:rPr>
              <w:t>TYR</w:t>
            </w:r>
            <w:r w:rsidRPr="001E661C">
              <w:rPr>
                <w:rFonts w:ascii="Garamond" w:hAnsi="Garamond"/>
                <w:b/>
                <w:spacing w:val="-3"/>
                <w:sz w:val="16"/>
                <w:szCs w:val="16"/>
              </w:rPr>
              <w:t>O</w:t>
            </w:r>
            <w:r w:rsidRPr="001E661C">
              <w:rPr>
                <w:rFonts w:ascii="Garamond" w:hAnsi="Garamond"/>
                <w:b/>
                <w:sz w:val="16"/>
                <w:szCs w:val="16"/>
              </w:rPr>
              <w:t>RE</w:t>
            </w:r>
          </w:p>
        </w:tc>
        <w:tc>
          <w:tcPr>
            <w:tcW w:w="1918" w:type="dxa"/>
            <w:tcBorders>
              <w:top w:val="thickThinMediumGap" w:sz="12" w:space="0" w:color="000000"/>
              <w:left w:val="single" w:sz="6" w:space="0" w:color="000000"/>
              <w:bottom w:val="single" w:sz="6" w:space="0" w:color="000000"/>
              <w:right w:val="single" w:sz="6" w:space="0" w:color="000000"/>
            </w:tcBorders>
          </w:tcPr>
          <w:p w14:paraId="3085DA84" w14:textId="77777777" w:rsidR="00C61F48" w:rsidRPr="001E661C" w:rsidRDefault="00C61F48" w:rsidP="00BA13DB">
            <w:pPr>
              <w:pStyle w:val="TableParagraph"/>
              <w:spacing w:before="1"/>
              <w:ind w:left="172" w:right="16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Klima e këndshme mesdhetare dhe klima kontinentale japin mundësinë për zhvillimin e llojeve të ndryshme të turizmit në të gjithë zonën e programit;</w:t>
            </w:r>
          </w:p>
          <w:p w14:paraId="1A1CD78B" w14:textId="77777777" w:rsidR="00C61F48" w:rsidRPr="001E661C" w:rsidRDefault="00C61F48" w:rsidP="00C61F48">
            <w:pPr>
              <w:pStyle w:val="TableParagraph"/>
              <w:numPr>
                <w:ilvl w:val="0"/>
                <w:numId w:val="13"/>
              </w:numPr>
              <w:tabs>
                <w:tab w:val="left" w:pos="212"/>
              </w:tabs>
              <w:spacing w:before="80"/>
              <w:ind w:right="132" w:hanging="72"/>
              <w:rPr>
                <w:rFonts w:ascii="Garamond" w:hAnsi="Garamond"/>
                <w:sz w:val="16"/>
                <w:szCs w:val="16"/>
              </w:rPr>
            </w:pPr>
            <w:r w:rsidRPr="001E661C">
              <w:rPr>
                <w:rFonts w:ascii="Garamond" w:hAnsi="Garamond"/>
                <w:sz w:val="16"/>
                <w:szCs w:val="16"/>
              </w:rPr>
              <w:t>Natyra e pasur dhe e shumëllojshme, shumë e përshtatshme për aktivitete në</w:t>
            </w:r>
            <w:r w:rsidRPr="001E661C">
              <w:rPr>
                <w:rFonts w:ascii="Garamond" w:hAnsi="Garamond"/>
                <w:spacing w:val="-6"/>
                <w:sz w:val="16"/>
                <w:szCs w:val="16"/>
              </w:rPr>
              <w:t xml:space="preserve"> </w:t>
            </w:r>
            <w:r w:rsidRPr="001E661C">
              <w:rPr>
                <w:rFonts w:ascii="Garamond" w:hAnsi="Garamond"/>
                <w:sz w:val="16"/>
                <w:szCs w:val="16"/>
              </w:rPr>
              <w:t>natyrë;</w:t>
            </w:r>
          </w:p>
          <w:p w14:paraId="5F859DF3" w14:textId="77777777" w:rsidR="00C61F48" w:rsidRPr="001E661C" w:rsidRDefault="00C61F48" w:rsidP="00C61F48">
            <w:pPr>
              <w:pStyle w:val="TableParagraph"/>
              <w:numPr>
                <w:ilvl w:val="0"/>
                <w:numId w:val="13"/>
              </w:numPr>
              <w:tabs>
                <w:tab w:val="left" w:pos="212"/>
              </w:tabs>
              <w:spacing w:before="80"/>
              <w:ind w:right="101" w:hanging="72"/>
              <w:rPr>
                <w:rFonts w:ascii="Garamond" w:hAnsi="Garamond"/>
                <w:sz w:val="16"/>
                <w:szCs w:val="16"/>
              </w:rPr>
            </w:pPr>
            <w:r w:rsidRPr="001E661C">
              <w:rPr>
                <w:rFonts w:ascii="Garamond" w:hAnsi="Garamond"/>
                <w:sz w:val="16"/>
                <w:szCs w:val="16"/>
              </w:rPr>
              <w:t>Trashëgimia e pasur kulturore dhe</w:t>
            </w:r>
            <w:r w:rsidRPr="001E661C">
              <w:rPr>
                <w:rFonts w:ascii="Garamond" w:hAnsi="Garamond"/>
                <w:spacing w:val="-12"/>
                <w:sz w:val="16"/>
                <w:szCs w:val="16"/>
              </w:rPr>
              <w:t xml:space="preserve"> </w:t>
            </w:r>
            <w:r w:rsidRPr="001E661C">
              <w:rPr>
                <w:rFonts w:ascii="Garamond" w:hAnsi="Garamond"/>
                <w:sz w:val="16"/>
                <w:szCs w:val="16"/>
              </w:rPr>
              <w:t>historike;</w:t>
            </w:r>
          </w:p>
          <w:p w14:paraId="240964CC" w14:textId="77777777" w:rsidR="00C61F48" w:rsidRPr="001E661C" w:rsidRDefault="00C61F48" w:rsidP="00C61F48">
            <w:pPr>
              <w:pStyle w:val="TableParagraph"/>
              <w:numPr>
                <w:ilvl w:val="0"/>
                <w:numId w:val="13"/>
              </w:numPr>
              <w:tabs>
                <w:tab w:val="left" w:pos="212"/>
              </w:tabs>
              <w:spacing w:before="78"/>
              <w:ind w:right="88" w:hanging="72"/>
              <w:rPr>
                <w:rFonts w:ascii="Garamond" w:hAnsi="Garamond"/>
                <w:sz w:val="16"/>
                <w:szCs w:val="16"/>
              </w:rPr>
            </w:pPr>
            <w:r w:rsidRPr="001E661C">
              <w:rPr>
                <w:rFonts w:ascii="Garamond" w:hAnsi="Garamond"/>
                <w:sz w:val="16"/>
                <w:szCs w:val="16"/>
              </w:rPr>
              <w:t>Shoqatat e shumta komunitare të përfshira në aktivitete për të ruajtur kulturën dhe natyrën;</w:t>
            </w:r>
          </w:p>
          <w:p w14:paraId="176CA0B5" w14:textId="77777777" w:rsidR="00C61F48" w:rsidRPr="001E661C" w:rsidRDefault="00C61F48" w:rsidP="00C61F48">
            <w:pPr>
              <w:pStyle w:val="TableParagraph"/>
              <w:numPr>
                <w:ilvl w:val="0"/>
                <w:numId w:val="13"/>
              </w:numPr>
              <w:tabs>
                <w:tab w:val="left" w:pos="212"/>
              </w:tabs>
              <w:spacing w:before="80"/>
              <w:ind w:right="98" w:hanging="72"/>
              <w:rPr>
                <w:rFonts w:ascii="Garamond" w:hAnsi="Garamond"/>
                <w:sz w:val="16"/>
                <w:szCs w:val="16"/>
              </w:rPr>
            </w:pPr>
            <w:r w:rsidRPr="001E661C">
              <w:rPr>
                <w:rFonts w:ascii="Garamond" w:hAnsi="Garamond"/>
                <w:sz w:val="16"/>
                <w:szCs w:val="16"/>
              </w:rPr>
              <w:t>Diversiteti multikulturor dhe traditat në shkëmbimet kulturore;</w:t>
            </w:r>
          </w:p>
          <w:p w14:paraId="3D5DF4E1" w14:textId="77777777" w:rsidR="00C61F48" w:rsidRPr="001E661C" w:rsidRDefault="00C61F48" w:rsidP="00C61F48">
            <w:pPr>
              <w:pStyle w:val="TableParagraph"/>
              <w:numPr>
                <w:ilvl w:val="0"/>
                <w:numId w:val="13"/>
              </w:numPr>
              <w:tabs>
                <w:tab w:val="left" w:pos="212"/>
              </w:tabs>
              <w:spacing w:before="78"/>
              <w:ind w:right="332" w:hanging="72"/>
              <w:rPr>
                <w:rFonts w:ascii="Garamond" w:hAnsi="Garamond"/>
                <w:sz w:val="16"/>
                <w:szCs w:val="16"/>
              </w:rPr>
            </w:pPr>
            <w:r w:rsidRPr="001E661C">
              <w:rPr>
                <w:rFonts w:ascii="Garamond" w:hAnsi="Garamond"/>
                <w:sz w:val="16"/>
                <w:szCs w:val="16"/>
              </w:rPr>
              <w:t>Traditat e pasura të kulinarisë të përshtatshme për agroturizmin;</w:t>
            </w:r>
          </w:p>
          <w:p w14:paraId="58882D42" w14:textId="77777777" w:rsidR="00C61F48" w:rsidRPr="001E661C" w:rsidRDefault="00C61F48" w:rsidP="00C61F48">
            <w:pPr>
              <w:pStyle w:val="TableParagraph"/>
              <w:numPr>
                <w:ilvl w:val="0"/>
                <w:numId w:val="13"/>
              </w:numPr>
              <w:tabs>
                <w:tab w:val="left" w:pos="212"/>
              </w:tabs>
              <w:spacing w:before="80"/>
              <w:ind w:right="139" w:hanging="72"/>
              <w:rPr>
                <w:rFonts w:ascii="Garamond" w:hAnsi="Garamond"/>
                <w:sz w:val="16"/>
                <w:szCs w:val="16"/>
              </w:rPr>
            </w:pPr>
            <w:r w:rsidRPr="001E661C">
              <w:rPr>
                <w:rFonts w:ascii="Garamond" w:hAnsi="Garamond"/>
                <w:sz w:val="16"/>
                <w:szCs w:val="16"/>
              </w:rPr>
              <w:t>Eksperienca</w:t>
            </w:r>
            <w:r w:rsidRPr="001E661C">
              <w:rPr>
                <w:rFonts w:ascii="Garamond" w:hAnsi="Garamond"/>
                <w:spacing w:val="-7"/>
                <w:sz w:val="16"/>
                <w:szCs w:val="16"/>
              </w:rPr>
              <w:t xml:space="preserve"> </w:t>
            </w:r>
            <w:r w:rsidRPr="001E661C">
              <w:rPr>
                <w:rFonts w:ascii="Garamond" w:hAnsi="Garamond"/>
                <w:sz w:val="16"/>
                <w:szCs w:val="16"/>
              </w:rPr>
              <w:t>relativisht e gjatë në bregun e Malit të Zi me turizmin masiv.</w:t>
            </w:r>
          </w:p>
        </w:tc>
        <w:tc>
          <w:tcPr>
            <w:tcW w:w="2302" w:type="dxa"/>
            <w:tcBorders>
              <w:top w:val="thickThinMediumGap" w:sz="12" w:space="0" w:color="000000"/>
              <w:left w:val="single" w:sz="6" w:space="0" w:color="000000"/>
              <w:bottom w:val="single" w:sz="6" w:space="0" w:color="000000"/>
              <w:right w:val="single" w:sz="6" w:space="0" w:color="000000"/>
            </w:tcBorders>
          </w:tcPr>
          <w:p w14:paraId="7B3D2ECA" w14:textId="77777777" w:rsidR="00C61F48" w:rsidRPr="001E661C" w:rsidRDefault="00C61F48" w:rsidP="00BA13DB">
            <w:pPr>
              <w:pStyle w:val="TableParagraph"/>
              <w:spacing w:before="1"/>
              <w:ind w:left="172" w:right="7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Infrastruktura e pazhvilluar e turizmit në pikëpamje të standardeve ndërkombëtare;</w:t>
            </w:r>
          </w:p>
          <w:p w14:paraId="7538F836" w14:textId="77777777" w:rsidR="00C61F48" w:rsidRPr="001E661C" w:rsidRDefault="00C61F48" w:rsidP="00C61F48">
            <w:pPr>
              <w:pStyle w:val="TableParagraph"/>
              <w:numPr>
                <w:ilvl w:val="0"/>
                <w:numId w:val="12"/>
              </w:numPr>
              <w:tabs>
                <w:tab w:val="left" w:pos="212"/>
              </w:tabs>
              <w:spacing w:before="80"/>
              <w:ind w:right="272" w:hanging="72"/>
              <w:rPr>
                <w:rFonts w:ascii="Garamond" w:hAnsi="Garamond"/>
                <w:sz w:val="16"/>
                <w:szCs w:val="16"/>
              </w:rPr>
            </w:pPr>
            <w:r w:rsidRPr="001E661C">
              <w:rPr>
                <w:rFonts w:ascii="Garamond" w:hAnsi="Garamond"/>
                <w:sz w:val="16"/>
                <w:szCs w:val="16"/>
              </w:rPr>
              <w:t>Zhvillimi i pabalancuar</w:t>
            </w:r>
            <w:r w:rsidRPr="001E661C">
              <w:rPr>
                <w:rFonts w:ascii="Garamond" w:hAnsi="Garamond"/>
                <w:spacing w:val="-7"/>
                <w:sz w:val="16"/>
                <w:szCs w:val="16"/>
              </w:rPr>
              <w:t xml:space="preserve"> </w:t>
            </w:r>
            <w:r w:rsidRPr="001E661C">
              <w:rPr>
                <w:rFonts w:ascii="Garamond" w:hAnsi="Garamond"/>
                <w:sz w:val="16"/>
                <w:szCs w:val="16"/>
              </w:rPr>
              <w:t>me mbizotërimin e turizmit bregdetar përkundrejt atij malor dhe</w:t>
            </w:r>
            <w:r w:rsidRPr="001E661C">
              <w:rPr>
                <w:rFonts w:ascii="Garamond" w:hAnsi="Garamond"/>
                <w:spacing w:val="-11"/>
                <w:sz w:val="16"/>
                <w:szCs w:val="16"/>
              </w:rPr>
              <w:t xml:space="preserve"> </w:t>
            </w:r>
            <w:r w:rsidRPr="001E661C">
              <w:rPr>
                <w:rFonts w:ascii="Garamond" w:hAnsi="Garamond"/>
                <w:sz w:val="16"/>
                <w:szCs w:val="16"/>
              </w:rPr>
              <w:t>agroturizmit;</w:t>
            </w:r>
          </w:p>
          <w:p w14:paraId="25972123" w14:textId="77777777" w:rsidR="00C61F48" w:rsidRPr="001E661C" w:rsidRDefault="00C61F48" w:rsidP="00C61F48">
            <w:pPr>
              <w:pStyle w:val="TableParagraph"/>
              <w:numPr>
                <w:ilvl w:val="0"/>
                <w:numId w:val="12"/>
              </w:numPr>
              <w:tabs>
                <w:tab w:val="left" w:pos="212"/>
              </w:tabs>
              <w:spacing w:before="80"/>
              <w:ind w:right="194" w:hanging="72"/>
              <w:rPr>
                <w:rFonts w:ascii="Garamond" w:hAnsi="Garamond"/>
                <w:sz w:val="16"/>
                <w:szCs w:val="16"/>
              </w:rPr>
            </w:pPr>
            <w:r w:rsidRPr="001E661C">
              <w:rPr>
                <w:rFonts w:ascii="Garamond" w:hAnsi="Garamond"/>
                <w:sz w:val="16"/>
                <w:szCs w:val="16"/>
              </w:rPr>
              <w:t>Përpjekjet dhe financimi i pamjaftueshëm për mbrojtjen dhe ruajtjen e natyrës dhe të trashëgimisë historike dhe</w:t>
            </w:r>
            <w:r w:rsidRPr="001E661C">
              <w:rPr>
                <w:rFonts w:ascii="Garamond" w:hAnsi="Garamond"/>
                <w:spacing w:val="-11"/>
                <w:sz w:val="16"/>
                <w:szCs w:val="16"/>
              </w:rPr>
              <w:t xml:space="preserve"> </w:t>
            </w:r>
            <w:r w:rsidRPr="001E661C">
              <w:rPr>
                <w:rFonts w:ascii="Garamond" w:hAnsi="Garamond"/>
                <w:sz w:val="16"/>
                <w:szCs w:val="16"/>
              </w:rPr>
              <w:t>arkeologjike;</w:t>
            </w:r>
          </w:p>
          <w:p w14:paraId="31DEF663" w14:textId="77777777" w:rsidR="00C61F48" w:rsidRPr="001E661C" w:rsidRDefault="00C61F48" w:rsidP="00C61F48">
            <w:pPr>
              <w:pStyle w:val="TableParagraph"/>
              <w:numPr>
                <w:ilvl w:val="0"/>
                <w:numId w:val="12"/>
              </w:numPr>
              <w:tabs>
                <w:tab w:val="left" w:pos="212"/>
              </w:tabs>
              <w:spacing w:before="80"/>
              <w:ind w:right="277" w:hanging="72"/>
              <w:rPr>
                <w:rFonts w:ascii="Garamond" w:hAnsi="Garamond"/>
                <w:sz w:val="16"/>
                <w:szCs w:val="16"/>
              </w:rPr>
            </w:pPr>
            <w:r w:rsidRPr="001E661C">
              <w:rPr>
                <w:rFonts w:ascii="Garamond" w:hAnsi="Garamond"/>
                <w:sz w:val="16"/>
                <w:szCs w:val="16"/>
              </w:rPr>
              <w:t>Njohja e kufizuar e potencialit të</w:t>
            </w:r>
            <w:r w:rsidRPr="001E661C">
              <w:rPr>
                <w:rFonts w:ascii="Garamond" w:hAnsi="Garamond"/>
                <w:spacing w:val="-9"/>
                <w:sz w:val="16"/>
                <w:szCs w:val="16"/>
              </w:rPr>
              <w:t xml:space="preserve"> </w:t>
            </w:r>
            <w:r w:rsidRPr="001E661C">
              <w:rPr>
                <w:rFonts w:ascii="Garamond" w:hAnsi="Garamond"/>
                <w:sz w:val="16"/>
                <w:szCs w:val="16"/>
              </w:rPr>
              <w:t>trashëgimisë historike dhe kulturore , si një burim i të ardhurave nëpërmjet aktiviteteve turistike dhe</w:t>
            </w:r>
            <w:r w:rsidRPr="001E661C">
              <w:rPr>
                <w:rFonts w:ascii="Garamond" w:hAnsi="Garamond"/>
                <w:spacing w:val="-11"/>
                <w:sz w:val="16"/>
                <w:szCs w:val="16"/>
              </w:rPr>
              <w:t xml:space="preserve"> </w:t>
            </w:r>
            <w:r w:rsidRPr="001E661C">
              <w:rPr>
                <w:rFonts w:ascii="Garamond" w:hAnsi="Garamond"/>
                <w:sz w:val="16"/>
                <w:szCs w:val="16"/>
              </w:rPr>
              <w:t>kulturore;</w:t>
            </w:r>
          </w:p>
          <w:p w14:paraId="519EF00E" w14:textId="77777777" w:rsidR="00C61F48" w:rsidRPr="001E661C" w:rsidRDefault="00C61F48" w:rsidP="00BA13DB">
            <w:pPr>
              <w:pStyle w:val="TableParagraph"/>
              <w:spacing w:before="80"/>
              <w:ind w:left="172" w:right="8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Aftësitë e kufizuara dhe  niveli i dobët i shërbimeve</w:t>
            </w:r>
            <w:r w:rsidRPr="001E661C">
              <w:rPr>
                <w:rFonts w:ascii="Garamond" w:hAnsi="Garamond"/>
                <w:spacing w:val="-10"/>
                <w:sz w:val="16"/>
                <w:szCs w:val="16"/>
              </w:rPr>
              <w:t xml:space="preserve"> </w:t>
            </w:r>
            <w:r w:rsidRPr="001E661C">
              <w:rPr>
                <w:rFonts w:ascii="Garamond" w:hAnsi="Garamond"/>
                <w:sz w:val="16"/>
                <w:szCs w:val="16"/>
              </w:rPr>
              <w:t>në anën</w:t>
            </w:r>
            <w:r w:rsidRPr="001E661C">
              <w:rPr>
                <w:rFonts w:ascii="Garamond" w:hAnsi="Garamond"/>
                <w:spacing w:val="-4"/>
                <w:sz w:val="16"/>
                <w:szCs w:val="16"/>
              </w:rPr>
              <w:t xml:space="preserve"> </w:t>
            </w:r>
            <w:r w:rsidRPr="001E661C">
              <w:rPr>
                <w:rFonts w:ascii="Garamond" w:hAnsi="Garamond"/>
                <w:sz w:val="16"/>
                <w:szCs w:val="16"/>
              </w:rPr>
              <w:t>shqiptare;</w:t>
            </w:r>
          </w:p>
          <w:p w14:paraId="596C3CD9" w14:textId="77777777" w:rsidR="00C61F48" w:rsidRPr="001E661C" w:rsidRDefault="00C61F48" w:rsidP="00BA13DB">
            <w:pPr>
              <w:pStyle w:val="TableParagraph"/>
              <w:spacing w:before="78"/>
              <w:ind w:left="172" w:right="79"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Njohja e kufizuar në rang ndërkombëtar e rajonit si një destinacion turistik tërheqës.</w:t>
            </w:r>
          </w:p>
        </w:tc>
        <w:tc>
          <w:tcPr>
            <w:tcW w:w="2302" w:type="dxa"/>
            <w:tcBorders>
              <w:top w:val="thickThinMediumGap" w:sz="12" w:space="0" w:color="000000"/>
              <w:left w:val="single" w:sz="6" w:space="0" w:color="000000"/>
              <w:bottom w:val="single" w:sz="6" w:space="0" w:color="000000"/>
              <w:right w:val="single" w:sz="6" w:space="0" w:color="000000"/>
            </w:tcBorders>
          </w:tcPr>
          <w:p w14:paraId="28674306" w14:textId="77777777" w:rsidR="00C61F48" w:rsidRPr="001E661C" w:rsidRDefault="00C61F48" w:rsidP="00BA13DB">
            <w:pPr>
              <w:pStyle w:val="TableParagraph"/>
              <w:spacing w:before="1"/>
              <w:ind w:left="172" w:right="221"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Nxitja e iniciativave për përfshirjen e mëtejshme të trashëgimisë kulturore në ofertën turistike;</w:t>
            </w:r>
          </w:p>
          <w:p w14:paraId="1C831021" w14:textId="77777777" w:rsidR="00C61F48" w:rsidRPr="001E661C" w:rsidRDefault="00C61F48" w:rsidP="00C61F48">
            <w:pPr>
              <w:pStyle w:val="TableParagraph"/>
              <w:numPr>
                <w:ilvl w:val="0"/>
                <w:numId w:val="11"/>
              </w:numPr>
              <w:tabs>
                <w:tab w:val="left" w:pos="212"/>
              </w:tabs>
              <w:spacing w:before="80"/>
              <w:ind w:right="112" w:hanging="72"/>
              <w:rPr>
                <w:rFonts w:ascii="Garamond" w:hAnsi="Garamond"/>
                <w:sz w:val="16"/>
                <w:szCs w:val="16"/>
              </w:rPr>
            </w:pPr>
            <w:r w:rsidRPr="001E661C">
              <w:rPr>
                <w:rFonts w:ascii="Garamond" w:hAnsi="Garamond"/>
                <w:sz w:val="16"/>
                <w:szCs w:val="16"/>
              </w:rPr>
              <w:t>Promovimi i traditës së veçantë të kulinarisë dhe produkteve agro-ushqimore për forcimin e identitetit</w:t>
            </w:r>
            <w:r w:rsidRPr="001E661C">
              <w:rPr>
                <w:rFonts w:ascii="Garamond" w:hAnsi="Garamond"/>
                <w:spacing w:val="-10"/>
                <w:sz w:val="16"/>
                <w:szCs w:val="16"/>
              </w:rPr>
              <w:t xml:space="preserve"> </w:t>
            </w:r>
            <w:r w:rsidRPr="001E661C">
              <w:rPr>
                <w:rFonts w:ascii="Garamond" w:hAnsi="Garamond"/>
                <w:sz w:val="16"/>
                <w:szCs w:val="16"/>
              </w:rPr>
              <w:t>dhe përvojën turistike të</w:t>
            </w:r>
            <w:r w:rsidRPr="001E661C">
              <w:rPr>
                <w:rFonts w:ascii="Garamond" w:hAnsi="Garamond"/>
                <w:spacing w:val="-12"/>
                <w:sz w:val="16"/>
                <w:szCs w:val="16"/>
              </w:rPr>
              <w:t xml:space="preserve"> </w:t>
            </w:r>
            <w:r w:rsidRPr="001E661C">
              <w:rPr>
                <w:rFonts w:ascii="Garamond" w:hAnsi="Garamond"/>
                <w:sz w:val="16"/>
                <w:szCs w:val="16"/>
              </w:rPr>
              <w:t>rajonit;</w:t>
            </w:r>
          </w:p>
          <w:p w14:paraId="6B0E7862" w14:textId="77777777" w:rsidR="00C61F48" w:rsidRPr="001E661C" w:rsidRDefault="00C61F48" w:rsidP="00C61F48">
            <w:pPr>
              <w:pStyle w:val="TableParagraph"/>
              <w:numPr>
                <w:ilvl w:val="0"/>
                <w:numId w:val="11"/>
              </w:numPr>
              <w:tabs>
                <w:tab w:val="left" w:pos="212"/>
              </w:tabs>
              <w:spacing w:before="81"/>
              <w:ind w:right="260" w:hanging="72"/>
              <w:rPr>
                <w:rFonts w:ascii="Garamond" w:hAnsi="Garamond"/>
                <w:sz w:val="16"/>
                <w:szCs w:val="16"/>
              </w:rPr>
            </w:pPr>
            <w:r w:rsidRPr="001E661C">
              <w:rPr>
                <w:rFonts w:ascii="Garamond" w:hAnsi="Garamond"/>
                <w:sz w:val="16"/>
                <w:szCs w:val="16"/>
              </w:rPr>
              <w:t>Zhvillimi dhe forcimi i kapaciteteve</w:t>
            </w:r>
            <w:r w:rsidRPr="001E661C">
              <w:rPr>
                <w:rFonts w:ascii="Garamond" w:hAnsi="Garamond"/>
                <w:spacing w:val="-7"/>
                <w:sz w:val="16"/>
                <w:szCs w:val="16"/>
              </w:rPr>
              <w:t xml:space="preserve"> </w:t>
            </w:r>
            <w:r w:rsidRPr="001E661C">
              <w:rPr>
                <w:rFonts w:ascii="Garamond" w:hAnsi="Garamond"/>
                <w:sz w:val="16"/>
                <w:szCs w:val="16"/>
              </w:rPr>
              <w:t>institucionale vendore që lidhen me promovimin e turizmit, kulturës dhe aseteve tradicionale;</w:t>
            </w:r>
          </w:p>
          <w:p w14:paraId="252D42DC" w14:textId="77777777" w:rsidR="00C61F48" w:rsidRPr="001E661C" w:rsidRDefault="00C61F48" w:rsidP="00C61F48">
            <w:pPr>
              <w:pStyle w:val="TableParagraph"/>
              <w:numPr>
                <w:ilvl w:val="0"/>
                <w:numId w:val="11"/>
              </w:numPr>
              <w:tabs>
                <w:tab w:val="left" w:pos="212"/>
              </w:tabs>
              <w:spacing w:before="80"/>
              <w:ind w:right="130" w:hanging="72"/>
              <w:rPr>
                <w:rFonts w:ascii="Garamond" w:hAnsi="Garamond"/>
                <w:sz w:val="16"/>
                <w:szCs w:val="16"/>
              </w:rPr>
            </w:pPr>
            <w:r w:rsidRPr="001E661C">
              <w:rPr>
                <w:rFonts w:ascii="Garamond" w:hAnsi="Garamond"/>
                <w:sz w:val="16"/>
                <w:szCs w:val="16"/>
              </w:rPr>
              <w:t>Zhvillimi i eko- turizmit të lidhur me eksperiencat në natyrë si pjesë e një pakete të integruar (p.sh.</w:t>
            </w:r>
            <w:r w:rsidRPr="001E661C">
              <w:rPr>
                <w:rFonts w:ascii="Garamond" w:hAnsi="Garamond"/>
                <w:spacing w:val="-9"/>
                <w:sz w:val="16"/>
                <w:szCs w:val="16"/>
              </w:rPr>
              <w:t xml:space="preserve"> </w:t>
            </w:r>
            <w:r w:rsidRPr="001E661C">
              <w:rPr>
                <w:rFonts w:ascii="Garamond" w:hAnsi="Garamond"/>
                <w:sz w:val="16"/>
                <w:szCs w:val="16"/>
              </w:rPr>
              <w:t>alpinizëm, rafting, ecj ,</w:t>
            </w:r>
            <w:r w:rsidRPr="001E661C">
              <w:rPr>
                <w:rFonts w:ascii="Garamond" w:hAnsi="Garamond"/>
                <w:spacing w:val="33"/>
                <w:sz w:val="16"/>
                <w:szCs w:val="16"/>
              </w:rPr>
              <w:t xml:space="preserve"> </w:t>
            </w:r>
            <w:r w:rsidRPr="001E661C">
              <w:rPr>
                <w:rFonts w:ascii="Garamond" w:hAnsi="Garamond"/>
                <w:sz w:val="16"/>
                <w:szCs w:val="16"/>
              </w:rPr>
              <w:t>çiklizëm);</w:t>
            </w:r>
          </w:p>
          <w:p w14:paraId="546AC41E" w14:textId="77777777" w:rsidR="00C61F48" w:rsidRPr="001E661C" w:rsidRDefault="00C61F48" w:rsidP="00C61F48">
            <w:pPr>
              <w:pStyle w:val="TableParagraph"/>
              <w:numPr>
                <w:ilvl w:val="0"/>
                <w:numId w:val="11"/>
              </w:numPr>
              <w:tabs>
                <w:tab w:val="left" w:pos="212"/>
              </w:tabs>
              <w:spacing w:before="80"/>
              <w:ind w:right="180" w:hanging="72"/>
              <w:rPr>
                <w:rFonts w:ascii="Garamond" w:hAnsi="Garamond"/>
                <w:sz w:val="16"/>
                <w:szCs w:val="16"/>
              </w:rPr>
            </w:pPr>
            <w:r w:rsidRPr="001E661C">
              <w:rPr>
                <w:rFonts w:ascii="Garamond" w:hAnsi="Garamond"/>
                <w:sz w:val="16"/>
                <w:szCs w:val="16"/>
              </w:rPr>
              <w:t>Promovimi i</w:t>
            </w:r>
            <w:r w:rsidRPr="001E661C">
              <w:rPr>
                <w:rFonts w:ascii="Garamond" w:hAnsi="Garamond"/>
                <w:spacing w:val="-11"/>
                <w:sz w:val="16"/>
                <w:szCs w:val="16"/>
              </w:rPr>
              <w:t xml:space="preserve"> </w:t>
            </w:r>
            <w:r w:rsidRPr="001E661C">
              <w:rPr>
                <w:rFonts w:ascii="Garamond" w:hAnsi="Garamond"/>
                <w:sz w:val="16"/>
                <w:szCs w:val="16"/>
              </w:rPr>
              <w:t>bashkëpunimit ndërmjet agjencive</w:t>
            </w:r>
            <w:r w:rsidRPr="001E661C">
              <w:rPr>
                <w:rFonts w:ascii="Garamond" w:hAnsi="Garamond"/>
                <w:spacing w:val="-10"/>
                <w:sz w:val="16"/>
                <w:szCs w:val="16"/>
              </w:rPr>
              <w:t xml:space="preserve"> </w:t>
            </w:r>
            <w:r w:rsidRPr="001E661C">
              <w:rPr>
                <w:rFonts w:ascii="Garamond" w:hAnsi="Garamond"/>
                <w:sz w:val="16"/>
                <w:szCs w:val="16"/>
              </w:rPr>
              <w:t>turistike për të ofruar paketa të integruara turistike përtej kufirit.</w:t>
            </w:r>
          </w:p>
        </w:tc>
        <w:tc>
          <w:tcPr>
            <w:tcW w:w="2216" w:type="dxa"/>
            <w:tcBorders>
              <w:top w:val="thickThinMediumGap" w:sz="12" w:space="0" w:color="000000"/>
              <w:left w:val="single" w:sz="6" w:space="0" w:color="000000"/>
              <w:bottom w:val="single" w:sz="6" w:space="0" w:color="000000"/>
            </w:tcBorders>
          </w:tcPr>
          <w:p w14:paraId="1EF296B5" w14:textId="77777777" w:rsidR="00C61F48" w:rsidRPr="001E661C" w:rsidRDefault="00C61F48" w:rsidP="00BA13DB">
            <w:pPr>
              <w:pStyle w:val="TableParagraph"/>
              <w:spacing w:before="1"/>
              <w:ind w:left="172" w:right="71"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Promovimi  i pamjaftueshëm i turizmit, si në nivel kombëtar ashtu edhe rajonal, për shkak të mungesës së financimit;</w:t>
            </w:r>
          </w:p>
          <w:p w14:paraId="5B8C4F21" w14:textId="77777777" w:rsidR="00C61F48" w:rsidRPr="001E661C" w:rsidRDefault="00C61F48" w:rsidP="00C61F48">
            <w:pPr>
              <w:pStyle w:val="TableParagraph"/>
              <w:numPr>
                <w:ilvl w:val="0"/>
                <w:numId w:val="10"/>
              </w:numPr>
              <w:tabs>
                <w:tab w:val="left" w:pos="212"/>
              </w:tabs>
              <w:spacing w:before="80"/>
              <w:ind w:right="160" w:hanging="72"/>
              <w:rPr>
                <w:rFonts w:ascii="Garamond" w:hAnsi="Garamond"/>
                <w:sz w:val="16"/>
                <w:szCs w:val="16"/>
              </w:rPr>
            </w:pPr>
            <w:r w:rsidRPr="001E661C">
              <w:rPr>
                <w:rFonts w:ascii="Garamond" w:hAnsi="Garamond"/>
                <w:sz w:val="16"/>
                <w:szCs w:val="16"/>
              </w:rPr>
              <w:t>Ndotja e mjedisit në</w:t>
            </w:r>
            <w:r w:rsidRPr="001E661C">
              <w:rPr>
                <w:rFonts w:ascii="Garamond" w:hAnsi="Garamond"/>
                <w:spacing w:val="-10"/>
                <w:sz w:val="16"/>
                <w:szCs w:val="16"/>
              </w:rPr>
              <w:t xml:space="preserve"> </w:t>
            </w:r>
            <w:r w:rsidRPr="001E661C">
              <w:rPr>
                <w:rFonts w:ascii="Garamond" w:hAnsi="Garamond"/>
                <w:sz w:val="16"/>
                <w:szCs w:val="16"/>
              </w:rPr>
              <w:t>zonat me potencial të lartë për eko-turizëm;</w:t>
            </w:r>
          </w:p>
          <w:p w14:paraId="30C499BA" w14:textId="77777777" w:rsidR="00C61F48" w:rsidRPr="001E661C" w:rsidRDefault="00C61F48" w:rsidP="00C61F48">
            <w:pPr>
              <w:pStyle w:val="TableParagraph"/>
              <w:numPr>
                <w:ilvl w:val="0"/>
                <w:numId w:val="10"/>
              </w:numPr>
              <w:tabs>
                <w:tab w:val="left" w:pos="212"/>
              </w:tabs>
              <w:spacing w:before="78"/>
              <w:ind w:right="176" w:hanging="72"/>
              <w:rPr>
                <w:rFonts w:ascii="Garamond" w:hAnsi="Garamond"/>
                <w:sz w:val="16"/>
                <w:szCs w:val="16"/>
              </w:rPr>
            </w:pPr>
            <w:r w:rsidRPr="001E661C">
              <w:rPr>
                <w:rFonts w:ascii="Garamond" w:hAnsi="Garamond"/>
                <w:sz w:val="16"/>
                <w:szCs w:val="16"/>
              </w:rPr>
              <w:t>Mungesa e të kuptuarit të potencialit të</w:t>
            </w:r>
            <w:r w:rsidRPr="001E661C">
              <w:rPr>
                <w:rFonts w:ascii="Garamond" w:hAnsi="Garamond"/>
                <w:spacing w:val="-9"/>
                <w:sz w:val="16"/>
                <w:szCs w:val="16"/>
              </w:rPr>
              <w:t xml:space="preserve"> </w:t>
            </w:r>
            <w:r w:rsidRPr="001E661C">
              <w:rPr>
                <w:rFonts w:ascii="Garamond" w:hAnsi="Garamond"/>
                <w:sz w:val="16"/>
                <w:szCs w:val="16"/>
              </w:rPr>
              <w:t>trashëgimisë kulturore dhe historike të zonës së</w:t>
            </w:r>
            <w:r w:rsidRPr="001E661C">
              <w:rPr>
                <w:rFonts w:ascii="Garamond" w:hAnsi="Garamond"/>
                <w:spacing w:val="-6"/>
                <w:sz w:val="16"/>
                <w:szCs w:val="16"/>
              </w:rPr>
              <w:t xml:space="preserve"> </w:t>
            </w:r>
            <w:r w:rsidRPr="001E661C">
              <w:rPr>
                <w:rFonts w:ascii="Garamond" w:hAnsi="Garamond"/>
                <w:sz w:val="16"/>
                <w:szCs w:val="16"/>
              </w:rPr>
              <w:t>programit;</w:t>
            </w:r>
          </w:p>
          <w:p w14:paraId="014A4E43" w14:textId="77777777" w:rsidR="00C61F48" w:rsidRPr="001E661C" w:rsidRDefault="00C61F48" w:rsidP="00C61F48">
            <w:pPr>
              <w:pStyle w:val="TableParagraph"/>
              <w:numPr>
                <w:ilvl w:val="0"/>
                <w:numId w:val="10"/>
              </w:numPr>
              <w:tabs>
                <w:tab w:val="left" w:pos="212"/>
              </w:tabs>
              <w:spacing w:before="80"/>
              <w:ind w:right="142" w:hanging="72"/>
              <w:rPr>
                <w:rFonts w:ascii="Garamond" w:hAnsi="Garamond"/>
                <w:sz w:val="16"/>
                <w:szCs w:val="16"/>
              </w:rPr>
            </w:pPr>
            <w:r w:rsidRPr="001E661C">
              <w:rPr>
                <w:rFonts w:ascii="Garamond" w:hAnsi="Garamond"/>
                <w:sz w:val="16"/>
                <w:szCs w:val="16"/>
              </w:rPr>
              <w:t>Mungesa e mbrojtjes së duhur të monumenteve dhe vendeve kulturore</w:t>
            </w:r>
            <w:r w:rsidRPr="001E661C">
              <w:rPr>
                <w:rFonts w:ascii="Garamond" w:hAnsi="Garamond"/>
                <w:spacing w:val="-10"/>
                <w:sz w:val="16"/>
                <w:szCs w:val="16"/>
              </w:rPr>
              <w:t xml:space="preserve"> </w:t>
            </w:r>
            <w:r w:rsidRPr="001E661C">
              <w:rPr>
                <w:rFonts w:ascii="Garamond" w:hAnsi="Garamond"/>
                <w:sz w:val="16"/>
                <w:szCs w:val="16"/>
              </w:rPr>
              <w:t>dhe historike;</w:t>
            </w:r>
          </w:p>
          <w:p w14:paraId="1AA92414" w14:textId="77777777" w:rsidR="00C61F48" w:rsidRPr="001E661C" w:rsidRDefault="00C61F48" w:rsidP="00C61F48">
            <w:pPr>
              <w:pStyle w:val="TableParagraph"/>
              <w:numPr>
                <w:ilvl w:val="0"/>
                <w:numId w:val="10"/>
              </w:numPr>
              <w:tabs>
                <w:tab w:val="left" w:pos="212"/>
              </w:tabs>
              <w:spacing w:before="80"/>
              <w:ind w:right="140" w:hanging="72"/>
              <w:rPr>
                <w:rFonts w:ascii="Garamond" w:hAnsi="Garamond"/>
                <w:sz w:val="16"/>
                <w:szCs w:val="16"/>
              </w:rPr>
            </w:pPr>
            <w:r w:rsidRPr="001E661C">
              <w:rPr>
                <w:rFonts w:ascii="Garamond" w:hAnsi="Garamond"/>
                <w:sz w:val="16"/>
                <w:szCs w:val="16"/>
              </w:rPr>
              <w:t>Ndërtimet e paligjshme</w:t>
            </w:r>
            <w:r w:rsidRPr="001E661C">
              <w:rPr>
                <w:rFonts w:ascii="Garamond" w:hAnsi="Garamond"/>
                <w:spacing w:val="-9"/>
                <w:sz w:val="16"/>
                <w:szCs w:val="16"/>
              </w:rPr>
              <w:t xml:space="preserve"> </w:t>
            </w:r>
            <w:r w:rsidRPr="001E661C">
              <w:rPr>
                <w:rFonts w:ascii="Garamond" w:hAnsi="Garamond"/>
                <w:sz w:val="16"/>
                <w:szCs w:val="16"/>
              </w:rPr>
              <w:t>në afërsi të bregut të detit, parqeve natyrore dhe vendeve të trashëgimisë kulturore.</w:t>
            </w:r>
          </w:p>
        </w:tc>
      </w:tr>
      <w:tr w:rsidR="00C61F48" w:rsidRPr="001E661C" w14:paraId="17AE7C01" w14:textId="77777777" w:rsidTr="001E661C">
        <w:trPr>
          <w:trHeight w:hRule="exact" w:val="3631"/>
        </w:trPr>
        <w:tc>
          <w:tcPr>
            <w:tcW w:w="840" w:type="dxa"/>
            <w:tcBorders>
              <w:top w:val="single" w:sz="6" w:space="0" w:color="000000"/>
              <w:right w:val="single" w:sz="6" w:space="0" w:color="000000"/>
            </w:tcBorders>
            <w:textDirection w:val="btLr"/>
          </w:tcPr>
          <w:p w14:paraId="6FD536BF" w14:textId="77777777" w:rsidR="00C61F48" w:rsidRPr="001E661C" w:rsidRDefault="00C61F48" w:rsidP="00BA13DB">
            <w:pPr>
              <w:pStyle w:val="TableParagraph"/>
              <w:spacing w:before="85" w:line="285" w:lineRule="auto"/>
              <w:ind w:left="1198" w:right="800" w:hanging="1002"/>
              <w:rPr>
                <w:rFonts w:ascii="Garamond" w:hAnsi="Garamond"/>
                <w:b/>
                <w:sz w:val="16"/>
                <w:szCs w:val="16"/>
              </w:rPr>
            </w:pPr>
            <w:r w:rsidRPr="001E661C">
              <w:rPr>
                <w:rFonts w:ascii="Garamond" w:hAnsi="Garamond"/>
                <w:b/>
                <w:sz w:val="16"/>
                <w:szCs w:val="16"/>
              </w:rPr>
              <w:t>IN</w:t>
            </w:r>
            <w:r w:rsidRPr="001E661C">
              <w:rPr>
                <w:rFonts w:ascii="Garamond" w:hAnsi="Garamond"/>
                <w:b/>
                <w:spacing w:val="-1"/>
                <w:sz w:val="16"/>
                <w:szCs w:val="16"/>
              </w:rPr>
              <w:t>V</w:t>
            </w:r>
            <w:r w:rsidRPr="001E661C">
              <w:rPr>
                <w:rFonts w:ascii="Garamond" w:hAnsi="Garamond"/>
                <w:b/>
                <w:spacing w:val="-3"/>
                <w:sz w:val="16"/>
                <w:szCs w:val="16"/>
              </w:rPr>
              <w:t>E</w:t>
            </w:r>
            <w:r w:rsidRPr="001E661C">
              <w:rPr>
                <w:rFonts w:ascii="Garamond" w:hAnsi="Garamond"/>
                <w:b/>
                <w:spacing w:val="-2"/>
                <w:sz w:val="16"/>
                <w:szCs w:val="16"/>
              </w:rPr>
              <w:t>S</w:t>
            </w:r>
            <w:r w:rsidRPr="001E661C">
              <w:rPr>
                <w:rFonts w:ascii="Garamond" w:hAnsi="Garamond"/>
                <w:b/>
                <w:sz w:val="16"/>
                <w:szCs w:val="16"/>
              </w:rPr>
              <w:t>TI</w:t>
            </w:r>
            <w:r w:rsidRPr="001E661C">
              <w:rPr>
                <w:rFonts w:ascii="Garamond" w:hAnsi="Garamond"/>
                <w:b/>
                <w:spacing w:val="-1"/>
                <w:sz w:val="16"/>
                <w:szCs w:val="16"/>
              </w:rPr>
              <w:t>M</w:t>
            </w:r>
            <w:r w:rsidRPr="001E661C">
              <w:rPr>
                <w:rFonts w:ascii="Garamond" w:hAnsi="Garamond"/>
                <w:b/>
                <w:sz w:val="16"/>
                <w:szCs w:val="16"/>
              </w:rPr>
              <w:t>E</w:t>
            </w:r>
            <w:r w:rsidRPr="001E661C">
              <w:rPr>
                <w:rFonts w:ascii="Garamond" w:hAnsi="Garamond"/>
                <w:b/>
                <w:spacing w:val="-2"/>
                <w:sz w:val="16"/>
                <w:szCs w:val="16"/>
              </w:rPr>
              <w:t xml:space="preserve"> </w:t>
            </w:r>
            <w:r w:rsidRPr="001E661C">
              <w:rPr>
                <w:rFonts w:ascii="Garamond" w:hAnsi="Garamond"/>
                <w:b/>
                <w:spacing w:val="1"/>
                <w:sz w:val="16"/>
                <w:szCs w:val="16"/>
              </w:rPr>
              <w:t>P</w:t>
            </w:r>
            <w:r w:rsidRPr="001E661C">
              <w:rPr>
                <w:rFonts w:ascii="Garamond" w:hAnsi="Garamond"/>
                <w:b/>
                <w:sz w:val="16"/>
                <w:szCs w:val="16"/>
              </w:rPr>
              <w:t>ËR</w:t>
            </w:r>
            <w:r w:rsidRPr="001E661C">
              <w:rPr>
                <w:rFonts w:ascii="Garamond" w:hAnsi="Garamond"/>
                <w:b/>
                <w:spacing w:val="-2"/>
                <w:sz w:val="16"/>
                <w:szCs w:val="16"/>
              </w:rPr>
              <w:t xml:space="preserve"> </w:t>
            </w:r>
            <w:r w:rsidRPr="001E661C">
              <w:rPr>
                <w:rFonts w:ascii="Garamond" w:hAnsi="Garamond"/>
                <w:b/>
                <w:spacing w:val="-1"/>
                <w:sz w:val="16"/>
                <w:szCs w:val="16"/>
              </w:rPr>
              <w:t>T</w:t>
            </w:r>
            <w:r w:rsidRPr="001E661C">
              <w:rPr>
                <w:rFonts w:ascii="Garamond" w:hAnsi="Garamond"/>
                <w:b/>
                <w:sz w:val="16"/>
                <w:szCs w:val="16"/>
              </w:rPr>
              <w:t xml:space="preserve">Ë </w:t>
            </w:r>
            <w:r w:rsidRPr="001E661C">
              <w:rPr>
                <w:rFonts w:ascii="Garamond" w:hAnsi="Garamond"/>
                <w:b/>
                <w:spacing w:val="-2"/>
                <w:sz w:val="16"/>
                <w:szCs w:val="16"/>
              </w:rPr>
              <w:t>R</w:t>
            </w:r>
            <w:r w:rsidRPr="001E661C">
              <w:rPr>
                <w:rFonts w:ascii="Garamond" w:hAnsi="Garamond"/>
                <w:b/>
                <w:sz w:val="16"/>
                <w:szCs w:val="16"/>
              </w:rPr>
              <w:t>IN</w:t>
            </w:r>
            <w:r w:rsidRPr="001E661C">
              <w:rPr>
                <w:rFonts w:ascii="Garamond" w:hAnsi="Garamond"/>
                <w:b/>
                <w:spacing w:val="-4"/>
                <w:sz w:val="16"/>
                <w:szCs w:val="16"/>
              </w:rPr>
              <w:t>J</w:t>
            </w:r>
            <w:r w:rsidRPr="001E661C">
              <w:rPr>
                <w:rFonts w:ascii="Garamond" w:hAnsi="Garamond"/>
                <w:b/>
                <w:spacing w:val="1"/>
                <w:sz w:val="16"/>
                <w:szCs w:val="16"/>
              </w:rPr>
              <w:t>T</w:t>
            </w:r>
            <w:r w:rsidRPr="001E661C">
              <w:rPr>
                <w:rFonts w:ascii="Garamond" w:hAnsi="Garamond"/>
                <w:b/>
                <w:sz w:val="16"/>
                <w:szCs w:val="16"/>
              </w:rPr>
              <w:t>Ë,</w:t>
            </w:r>
            <w:r w:rsidRPr="001E661C">
              <w:rPr>
                <w:rFonts w:ascii="Garamond" w:hAnsi="Garamond"/>
                <w:b/>
                <w:spacing w:val="-4"/>
                <w:sz w:val="16"/>
                <w:szCs w:val="16"/>
              </w:rPr>
              <w:t xml:space="preserve"> </w:t>
            </w:r>
            <w:r w:rsidRPr="001E661C">
              <w:rPr>
                <w:rFonts w:ascii="Garamond" w:hAnsi="Garamond"/>
                <w:b/>
                <w:sz w:val="16"/>
                <w:szCs w:val="16"/>
              </w:rPr>
              <w:t>A</w:t>
            </w:r>
            <w:r w:rsidRPr="001E661C">
              <w:rPr>
                <w:rFonts w:ascii="Garamond" w:hAnsi="Garamond"/>
                <w:b/>
                <w:spacing w:val="-2"/>
                <w:sz w:val="16"/>
                <w:szCs w:val="16"/>
              </w:rPr>
              <w:t>R</w:t>
            </w:r>
            <w:r w:rsidRPr="001E661C">
              <w:rPr>
                <w:rFonts w:ascii="Garamond" w:hAnsi="Garamond"/>
                <w:b/>
                <w:sz w:val="16"/>
                <w:szCs w:val="16"/>
              </w:rPr>
              <w:t>SI</w:t>
            </w:r>
            <w:r w:rsidRPr="001E661C">
              <w:rPr>
                <w:rFonts w:ascii="Garamond" w:hAnsi="Garamond"/>
                <w:b/>
                <w:spacing w:val="-4"/>
                <w:sz w:val="16"/>
                <w:szCs w:val="16"/>
              </w:rPr>
              <w:t>M</w:t>
            </w:r>
            <w:r w:rsidRPr="001E661C">
              <w:rPr>
                <w:rFonts w:ascii="Garamond" w:hAnsi="Garamond"/>
                <w:b/>
                <w:sz w:val="16"/>
                <w:szCs w:val="16"/>
              </w:rPr>
              <w:t xml:space="preserve">IN </w:t>
            </w:r>
            <w:r w:rsidRPr="001E661C">
              <w:rPr>
                <w:rFonts w:ascii="Garamond" w:hAnsi="Garamond"/>
                <w:b/>
                <w:spacing w:val="-1"/>
                <w:sz w:val="16"/>
                <w:szCs w:val="16"/>
              </w:rPr>
              <w:t>DH</w:t>
            </w:r>
            <w:r w:rsidRPr="001E661C">
              <w:rPr>
                <w:rFonts w:ascii="Garamond" w:hAnsi="Garamond"/>
                <w:b/>
                <w:sz w:val="16"/>
                <w:szCs w:val="16"/>
              </w:rPr>
              <w:t>E A</w:t>
            </w:r>
            <w:r w:rsidRPr="001E661C">
              <w:rPr>
                <w:rFonts w:ascii="Garamond" w:hAnsi="Garamond"/>
                <w:b/>
                <w:spacing w:val="-3"/>
                <w:sz w:val="16"/>
                <w:szCs w:val="16"/>
              </w:rPr>
              <w:t>F</w:t>
            </w:r>
            <w:r w:rsidRPr="001E661C">
              <w:rPr>
                <w:rFonts w:ascii="Garamond" w:hAnsi="Garamond"/>
                <w:b/>
                <w:spacing w:val="1"/>
                <w:sz w:val="16"/>
                <w:szCs w:val="16"/>
              </w:rPr>
              <w:t>T</w:t>
            </w:r>
            <w:r w:rsidRPr="001E661C">
              <w:rPr>
                <w:rFonts w:ascii="Garamond" w:hAnsi="Garamond"/>
                <w:b/>
                <w:spacing w:val="-3"/>
                <w:sz w:val="16"/>
                <w:szCs w:val="16"/>
              </w:rPr>
              <w:t>Ë</w:t>
            </w:r>
            <w:r w:rsidRPr="001E661C">
              <w:rPr>
                <w:rFonts w:ascii="Garamond" w:hAnsi="Garamond"/>
                <w:b/>
                <w:sz w:val="16"/>
                <w:szCs w:val="16"/>
              </w:rPr>
              <w:t>S</w:t>
            </w:r>
            <w:r w:rsidRPr="001E661C">
              <w:rPr>
                <w:rFonts w:ascii="Garamond" w:hAnsi="Garamond"/>
                <w:b/>
                <w:spacing w:val="-2"/>
                <w:sz w:val="16"/>
                <w:szCs w:val="16"/>
              </w:rPr>
              <w:t>I</w:t>
            </w:r>
            <w:r w:rsidRPr="001E661C">
              <w:rPr>
                <w:rFonts w:ascii="Garamond" w:hAnsi="Garamond"/>
                <w:b/>
                <w:spacing w:val="1"/>
                <w:sz w:val="16"/>
                <w:szCs w:val="16"/>
              </w:rPr>
              <w:t>T</w:t>
            </w:r>
            <w:r w:rsidRPr="001E661C">
              <w:rPr>
                <w:rFonts w:ascii="Garamond" w:hAnsi="Garamond"/>
                <w:b/>
                <w:sz w:val="16"/>
                <w:szCs w:val="16"/>
              </w:rPr>
              <w:t>Ë</w:t>
            </w:r>
          </w:p>
        </w:tc>
        <w:tc>
          <w:tcPr>
            <w:tcW w:w="1918" w:type="dxa"/>
            <w:tcBorders>
              <w:top w:val="single" w:sz="6" w:space="0" w:color="000000"/>
              <w:left w:val="single" w:sz="6" w:space="0" w:color="000000"/>
              <w:right w:val="single" w:sz="6" w:space="0" w:color="000000"/>
            </w:tcBorders>
          </w:tcPr>
          <w:p w14:paraId="61A21ECB" w14:textId="77777777" w:rsidR="00C61F48" w:rsidRPr="001E661C" w:rsidRDefault="00C61F48" w:rsidP="00BA13DB">
            <w:pPr>
              <w:pStyle w:val="TableParagraph"/>
              <w:ind w:left="172" w:right="148"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Popullsia relativisht e re dhe shkalla e lartë e lindjeve;</w:t>
            </w:r>
          </w:p>
          <w:p w14:paraId="238430AF" w14:textId="77777777" w:rsidR="00C61F48" w:rsidRPr="001E661C" w:rsidRDefault="00C61F48" w:rsidP="00C61F48">
            <w:pPr>
              <w:pStyle w:val="TableParagraph"/>
              <w:numPr>
                <w:ilvl w:val="0"/>
                <w:numId w:val="9"/>
              </w:numPr>
              <w:tabs>
                <w:tab w:val="left" w:pos="212"/>
              </w:tabs>
              <w:spacing w:before="80"/>
              <w:ind w:right="198" w:hanging="72"/>
              <w:rPr>
                <w:rFonts w:ascii="Garamond" w:hAnsi="Garamond"/>
                <w:sz w:val="16"/>
                <w:szCs w:val="16"/>
              </w:rPr>
            </w:pPr>
            <w:r w:rsidRPr="001E661C">
              <w:rPr>
                <w:rFonts w:ascii="Garamond" w:hAnsi="Garamond"/>
                <w:sz w:val="16"/>
                <w:szCs w:val="16"/>
              </w:rPr>
              <w:t>Prania e lartë e universiteteve</w:t>
            </w:r>
            <w:r w:rsidRPr="001E661C">
              <w:rPr>
                <w:rFonts w:ascii="Garamond" w:hAnsi="Garamond"/>
                <w:spacing w:val="-8"/>
                <w:sz w:val="16"/>
                <w:szCs w:val="16"/>
              </w:rPr>
              <w:t xml:space="preserve"> </w:t>
            </w:r>
            <w:r w:rsidRPr="001E661C">
              <w:rPr>
                <w:rFonts w:ascii="Garamond" w:hAnsi="Garamond"/>
                <w:sz w:val="16"/>
                <w:szCs w:val="16"/>
              </w:rPr>
              <w:t>publike dhe</w:t>
            </w:r>
            <w:r w:rsidRPr="001E661C">
              <w:rPr>
                <w:rFonts w:ascii="Garamond" w:hAnsi="Garamond"/>
                <w:spacing w:val="-5"/>
                <w:sz w:val="16"/>
                <w:szCs w:val="16"/>
              </w:rPr>
              <w:t xml:space="preserve"> </w:t>
            </w:r>
            <w:r w:rsidRPr="001E661C">
              <w:rPr>
                <w:rFonts w:ascii="Garamond" w:hAnsi="Garamond"/>
                <w:sz w:val="16"/>
                <w:szCs w:val="16"/>
              </w:rPr>
              <w:t>private;</w:t>
            </w:r>
          </w:p>
          <w:p w14:paraId="214C625F" w14:textId="77777777" w:rsidR="00C61F48" w:rsidRPr="001E661C" w:rsidRDefault="00C61F48" w:rsidP="00C61F48">
            <w:pPr>
              <w:pStyle w:val="TableParagraph"/>
              <w:numPr>
                <w:ilvl w:val="0"/>
                <w:numId w:val="9"/>
              </w:numPr>
              <w:tabs>
                <w:tab w:val="left" w:pos="212"/>
              </w:tabs>
              <w:spacing w:before="78"/>
              <w:ind w:right="145" w:hanging="72"/>
              <w:rPr>
                <w:rFonts w:ascii="Garamond" w:hAnsi="Garamond"/>
                <w:sz w:val="16"/>
                <w:szCs w:val="16"/>
              </w:rPr>
            </w:pPr>
            <w:r w:rsidRPr="001E661C">
              <w:rPr>
                <w:rFonts w:ascii="Garamond" w:hAnsi="Garamond"/>
                <w:sz w:val="16"/>
                <w:szCs w:val="16"/>
              </w:rPr>
              <w:t>Multi-etniciteti si një avantazh për</w:t>
            </w:r>
            <w:r w:rsidRPr="001E661C">
              <w:rPr>
                <w:rFonts w:ascii="Garamond" w:hAnsi="Garamond"/>
                <w:spacing w:val="-6"/>
                <w:sz w:val="16"/>
                <w:szCs w:val="16"/>
              </w:rPr>
              <w:t xml:space="preserve"> </w:t>
            </w:r>
            <w:r w:rsidRPr="001E661C">
              <w:rPr>
                <w:rFonts w:ascii="Garamond" w:hAnsi="Garamond"/>
                <w:sz w:val="16"/>
                <w:szCs w:val="16"/>
              </w:rPr>
              <w:t>zhvillimin social dhe</w:t>
            </w:r>
            <w:r w:rsidRPr="001E661C">
              <w:rPr>
                <w:rFonts w:ascii="Garamond" w:hAnsi="Garamond"/>
                <w:spacing w:val="-6"/>
                <w:sz w:val="16"/>
                <w:szCs w:val="16"/>
              </w:rPr>
              <w:t xml:space="preserve"> </w:t>
            </w:r>
            <w:r w:rsidRPr="001E661C">
              <w:rPr>
                <w:rFonts w:ascii="Garamond" w:hAnsi="Garamond"/>
                <w:sz w:val="16"/>
                <w:szCs w:val="16"/>
              </w:rPr>
              <w:t>kulturor;</w:t>
            </w:r>
          </w:p>
          <w:p w14:paraId="0A66A437" w14:textId="77777777" w:rsidR="00C61F48" w:rsidRPr="001E661C" w:rsidRDefault="00C61F48" w:rsidP="00C61F48">
            <w:pPr>
              <w:pStyle w:val="TableParagraph"/>
              <w:numPr>
                <w:ilvl w:val="0"/>
                <w:numId w:val="9"/>
              </w:numPr>
              <w:tabs>
                <w:tab w:val="left" w:pos="212"/>
              </w:tabs>
              <w:spacing w:before="80"/>
              <w:ind w:right="209" w:hanging="72"/>
              <w:rPr>
                <w:rFonts w:ascii="Garamond" w:hAnsi="Garamond"/>
                <w:sz w:val="16"/>
                <w:szCs w:val="16"/>
              </w:rPr>
            </w:pPr>
            <w:r w:rsidRPr="001E661C">
              <w:rPr>
                <w:rFonts w:ascii="Garamond" w:hAnsi="Garamond"/>
                <w:sz w:val="16"/>
                <w:szCs w:val="16"/>
              </w:rPr>
              <w:t>Ekzistenca e ofruesve të trajnimeve profesionale dhe jo- formale;</w:t>
            </w:r>
          </w:p>
          <w:p w14:paraId="1EB69352" w14:textId="77777777" w:rsidR="00C61F48" w:rsidRPr="001E661C" w:rsidRDefault="00C61F48" w:rsidP="00C61F48">
            <w:pPr>
              <w:pStyle w:val="TableParagraph"/>
              <w:numPr>
                <w:ilvl w:val="0"/>
                <w:numId w:val="9"/>
              </w:numPr>
              <w:tabs>
                <w:tab w:val="left" w:pos="212"/>
              </w:tabs>
              <w:spacing w:before="78"/>
              <w:ind w:left="211"/>
              <w:rPr>
                <w:rFonts w:ascii="Garamond" w:hAnsi="Garamond"/>
                <w:sz w:val="16"/>
                <w:szCs w:val="16"/>
              </w:rPr>
            </w:pPr>
            <w:r w:rsidRPr="001E661C">
              <w:rPr>
                <w:rFonts w:ascii="Garamond" w:hAnsi="Garamond"/>
                <w:sz w:val="16"/>
                <w:szCs w:val="16"/>
              </w:rPr>
              <w:t>Mjedisi</w:t>
            </w:r>
            <w:r w:rsidRPr="001E661C">
              <w:rPr>
                <w:rFonts w:ascii="Garamond" w:hAnsi="Garamond"/>
                <w:spacing w:val="-10"/>
                <w:sz w:val="16"/>
                <w:szCs w:val="16"/>
              </w:rPr>
              <w:t xml:space="preserve"> </w:t>
            </w:r>
            <w:r w:rsidRPr="001E661C">
              <w:rPr>
                <w:rFonts w:ascii="Garamond" w:hAnsi="Garamond"/>
                <w:sz w:val="16"/>
                <w:szCs w:val="16"/>
              </w:rPr>
              <w:t>shumëgjuhësh;</w:t>
            </w:r>
          </w:p>
          <w:p w14:paraId="5D3E7340" w14:textId="77777777" w:rsidR="00C61F48" w:rsidRPr="001E661C" w:rsidRDefault="00C61F48" w:rsidP="00C61F48">
            <w:pPr>
              <w:pStyle w:val="TableParagraph"/>
              <w:numPr>
                <w:ilvl w:val="0"/>
                <w:numId w:val="9"/>
              </w:numPr>
              <w:tabs>
                <w:tab w:val="left" w:pos="212"/>
              </w:tabs>
              <w:spacing w:before="80"/>
              <w:ind w:right="130" w:hanging="72"/>
              <w:jc w:val="both"/>
              <w:rPr>
                <w:rFonts w:ascii="Garamond" w:hAnsi="Garamond"/>
                <w:sz w:val="16"/>
                <w:szCs w:val="16"/>
              </w:rPr>
            </w:pPr>
            <w:r w:rsidRPr="001E661C">
              <w:rPr>
                <w:rFonts w:ascii="Garamond" w:hAnsi="Garamond"/>
                <w:sz w:val="16"/>
                <w:szCs w:val="16"/>
              </w:rPr>
              <w:t>Një brez i ri entuziast i etur për të mësuar dhe për tu</w:t>
            </w:r>
            <w:r w:rsidRPr="001E661C">
              <w:rPr>
                <w:rFonts w:ascii="Garamond" w:hAnsi="Garamond"/>
                <w:spacing w:val="-6"/>
                <w:sz w:val="16"/>
                <w:szCs w:val="16"/>
              </w:rPr>
              <w:t xml:space="preserve"> </w:t>
            </w:r>
            <w:r w:rsidRPr="001E661C">
              <w:rPr>
                <w:rFonts w:ascii="Garamond" w:hAnsi="Garamond"/>
                <w:sz w:val="16"/>
                <w:szCs w:val="16"/>
              </w:rPr>
              <w:t>zhvilluar.</w:t>
            </w:r>
          </w:p>
        </w:tc>
        <w:tc>
          <w:tcPr>
            <w:tcW w:w="2302" w:type="dxa"/>
            <w:tcBorders>
              <w:top w:val="single" w:sz="6" w:space="0" w:color="000000"/>
              <w:left w:val="single" w:sz="6" w:space="0" w:color="000000"/>
              <w:right w:val="single" w:sz="6" w:space="0" w:color="000000"/>
            </w:tcBorders>
          </w:tcPr>
          <w:p w14:paraId="3FD83C83" w14:textId="77777777" w:rsidR="00C61F48" w:rsidRPr="001E661C" w:rsidRDefault="00C61F48" w:rsidP="00BA13DB">
            <w:pPr>
              <w:pStyle w:val="TableParagraph"/>
              <w:ind w:left="172" w:right="124"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Kurrikula jo në përputhje me kërkesat e tregut të punës dhe orientimi profesional në drejtim të punësimit jo efikas;</w:t>
            </w:r>
          </w:p>
          <w:p w14:paraId="65963465" w14:textId="77777777" w:rsidR="00C61F48" w:rsidRPr="001E661C" w:rsidRDefault="00C61F48" w:rsidP="00C61F48">
            <w:pPr>
              <w:pStyle w:val="TableParagraph"/>
              <w:numPr>
                <w:ilvl w:val="0"/>
                <w:numId w:val="8"/>
              </w:numPr>
              <w:tabs>
                <w:tab w:val="left" w:pos="212"/>
              </w:tabs>
              <w:spacing w:before="81"/>
              <w:ind w:right="115" w:hanging="72"/>
              <w:rPr>
                <w:rFonts w:ascii="Garamond" w:hAnsi="Garamond"/>
                <w:sz w:val="16"/>
                <w:szCs w:val="16"/>
              </w:rPr>
            </w:pPr>
            <w:r w:rsidRPr="001E661C">
              <w:rPr>
                <w:rFonts w:ascii="Garamond" w:hAnsi="Garamond"/>
                <w:sz w:val="16"/>
                <w:szCs w:val="16"/>
              </w:rPr>
              <w:t>Sistemi i pazhvilluar i</w:t>
            </w:r>
            <w:r w:rsidRPr="001E661C">
              <w:rPr>
                <w:rFonts w:ascii="Garamond" w:hAnsi="Garamond"/>
                <w:spacing w:val="-9"/>
                <w:sz w:val="16"/>
                <w:szCs w:val="16"/>
              </w:rPr>
              <w:t xml:space="preserve"> </w:t>
            </w:r>
            <w:r w:rsidRPr="001E661C">
              <w:rPr>
                <w:rFonts w:ascii="Garamond" w:hAnsi="Garamond"/>
                <w:sz w:val="16"/>
                <w:szCs w:val="16"/>
              </w:rPr>
              <w:t>arsimit gjatë gjithë</w:t>
            </w:r>
            <w:r w:rsidRPr="001E661C">
              <w:rPr>
                <w:rFonts w:ascii="Garamond" w:hAnsi="Garamond"/>
                <w:spacing w:val="-11"/>
                <w:sz w:val="16"/>
                <w:szCs w:val="16"/>
              </w:rPr>
              <w:t xml:space="preserve"> </w:t>
            </w:r>
            <w:r w:rsidRPr="001E661C">
              <w:rPr>
                <w:rFonts w:ascii="Garamond" w:hAnsi="Garamond"/>
                <w:sz w:val="16"/>
                <w:szCs w:val="16"/>
              </w:rPr>
              <w:t>jetës;</w:t>
            </w:r>
          </w:p>
          <w:p w14:paraId="4E64F97B" w14:textId="77777777" w:rsidR="00C61F48" w:rsidRPr="001E661C" w:rsidRDefault="00C61F48" w:rsidP="00C61F48">
            <w:pPr>
              <w:pStyle w:val="TableParagraph"/>
              <w:numPr>
                <w:ilvl w:val="0"/>
                <w:numId w:val="8"/>
              </w:numPr>
              <w:tabs>
                <w:tab w:val="left" w:pos="212"/>
              </w:tabs>
              <w:spacing w:before="80"/>
              <w:ind w:right="86" w:hanging="72"/>
              <w:rPr>
                <w:rFonts w:ascii="Garamond" w:hAnsi="Garamond"/>
                <w:sz w:val="16"/>
                <w:szCs w:val="16"/>
              </w:rPr>
            </w:pPr>
            <w:r w:rsidRPr="001E661C">
              <w:rPr>
                <w:rFonts w:ascii="Garamond" w:hAnsi="Garamond"/>
                <w:sz w:val="16"/>
                <w:szCs w:val="16"/>
              </w:rPr>
              <w:t>Niveli i ulët i arsimit të popullsisë rurale dhe grupeve të margjinalizuara të shoqërisë, siç janë komuniteti Rom, Ashkali, etj.;</w:t>
            </w:r>
          </w:p>
          <w:p w14:paraId="12C3C804" w14:textId="77777777" w:rsidR="00C61F48" w:rsidRPr="001E661C" w:rsidRDefault="00C61F48" w:rsidP="00BA13DB">
            <w:pPr>
              <w:pStyle w:val="TableParagraph"/>
              <w:spacing w:before="80"/>
              <w:ind w:left="172" w:right="235"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Niveli i braktisjes shkollore gjatë arsimit fillor dhe të mesëm, si rezultat i arsimit të dobët të ofruar, veçanërisht në disa zona rurale.</w:t>
            </w:r>
          </w:p>
        </w:tc>
        <w:tc>
          <w:tcPr>
            <w:tcW w:w="2302" w:type="dxa"/>
            <w:tcBorders>
              <w:top w:val="single" w:sz="6" w:space="0" w:color="000000"/>
              <w:left w:val="single" w:sz="6" w:space="0" w:color="000000"/>
              <w:right w:val="single" w:sz="6" w:space="0" w:color="000000"/>
            </w:tcBorders>
          </w:tcPr>
          <w:p w14:paraId="7BDCFD3E" w14:textId="77777777" w:rsidR="00C61F48" w:rsidRPr="001E661C" w:rsidRDefault="00C61F48" w:rsidP="00BA13DB">
            <w:pPr>
              <w:pStyle w:val="TableParagraph"/>
              <w:ind w:left="172" w:right="207"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Përmirësimi i nivelit të arsimit profesional për ti shërbyer më mirë nevojave të tregut të punës me aftësitë e nevojshme;</w:t>
            </w:r>
          </w:p>
          <w:p w14:paraId="67EC31C7" w14:textId="77777777" w:rsidR="00C61F48" w:rsidRPr="001E661C" w:rsidRDefault="00C61F48" w:rsidP="00C61F48">
            <w:pPr>
              <w:pStyle w:val="TableParagraph"/>
              <w:numPr>
                <w:ilvl w:val="0"/>
                <w:numId w:val="7"/>
              </w:numPr>
              <w:tabs>
                <w:tab w:val="left" w:pos="212"/>
              </w:tabs>
              <w:spacing w:before="81"/>
              <w:ind w:right="338" w:hanging="72"/>
              <w:rPr>
                <w:rFonts w:ascii="Garamond" w:hAnsi="Garamond"/>
                <w:sz w:val="16"/>
                <w:szCs w:val="16"/>
              </w:rPr>
            </w:pPr>
            <w:r w:rsidRPr="001E661C">
              <w:rPr>
                <w:rFonts w:ascii="Garamond" w:hAnsi="Garamond"/>
                <w:sz w:val="16"/>
                <w:szCs w:val="16"/>
              </w:rPr>
              <w:t>Zhvillimi i aktiviteteve të kërkimit shkencor dhe zhvillimit, duke përdorur kërkimet ekzistuese dhe qendrat e arsimit të</w:t>
            </w:r>
            <w:r w:rsidRPr="001E661C">
              <w:rPr>
                <w:rFonts w:ascii="Garamond" w:hAnsi="Garamond"/>
                <w:spacing w:val="-7"/>
                <w:sz w:val="16"/>
                <w:szCs w:val="16"/>
              </w:rPr>
              <w:t xml:space="preserve"> </w:t>
            </w:r>
            <w:r w:rsidRPr="001E661C">
              <w:rPr>
                <w:rFonts w:ascii="Garamond" w:hAnsi="Garamond"/>
                <w:sz w:val="16"/>
                <w:szCs w:val="16"/>
              </w:rPr>
              <w:t>lartë;</w:t>
            </w:r>
          </w:p>
          <w:p w14:paraId="6B3E7BAD" w14:textId="77777777" w:rsidR="00C61F48" w:rsidRPr="001E661C" w:rsidRDefault="00C61F48" w:rsidP="00C61F48">
            <w:pPr>
              <w:pStyle w:val="TableParagraph"/>
              <w:numPr>
                <w:ilvl w:val="0"/>
                <w:numId w:val="7"/>
              </w:numPr>
              <w:tabs>
                <w:tab w:val="left" w:pos="212"/>
              </w:tabs>
              <w:spacing w:before="78"/>
              <w:ind w:right="271" w:hanging="72"/>
              <w:rPr>
                <w:rFonts w:ascii="Garamond" w:hAnsi="Garamond"/>
                <w:sz w:val="16"/>
                <w:szCs w:val="16"/>
              </w:rPr>
            </w:pPr>
            <w:r w:rsidRPr="001E661C">
              <w:rPr>
                <w:rFonts w:ascii="Garamond" w:hAnsi="Garamond"/>
                <w:sz w:val="16"/>
                <w:szCs w:val="16"/>
              </w:rPr>
              <w:t>Përdorimi i internetit në mënyrë që të përmirësojë aksesin në arsim në zonat rurale dhe rritjen e kontakteve dhe bashkëpunimit</w:t>
            </w:r>
            <w:r w:rsidRPr="001E661C">
              <w:rPr>
                <w:rFonts w:ascii="Garamond" w:hAnsi="Garamond"/>
                <w:spacing w:val="-7"/>
                <w:sz w:val="16"/>
                <w:szCs w:val="16"/>
              </w:rPr>
              <w:t xml:space="preserve"> </w:t>
            </w:r>
            <w:r w:rsidRPr="001E661C">
              <w:rPr>
                <w:rFonts w:ascii="Garamond" w:hAnsi="Garamond"/>
                <w:sz w:val="16"/>
                <w:szCs w:val="16"/>
              </w:rPr>
              <w:t>ndërkufitar virtual.</w:t>
            </w:r>
          </w:p>
        </w:tc>
        <w:tc>
          <w:tcPr>
            <w:tcW w:w="2216" w:type="dxa"/>
            <w:tcBorders>
              <w:top w:val="single" w:sz="6" w:space="0" w:color="000000"/>
              <w:left w:val="single" w:sz="6" w:space="0" w:color="000000"/>
            </w:tcBorders>
          </w:tcPr>
          <w:p w14:paraId="571B9AA0" w14:textId="77777777" w:rsidR="00C61F48" w:rsidRPr="001E661C" w:rsidRDefault="00C61F48" w:rsidP="00BA13DB">
            <w:pPr>
              <w:pStyle w:val="TableParagraph"/>
              <w:ind w:left="172" w:right="96"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Aksesi i kufizuar i popullsisë rurale në sistemin arsimor për shkak të varfërisë;</w:t>
            </w:r>
          </w:p>
          <w:p w14:paraId="5907D2DA" w14:textId="77777777" w:rsidR="00C61F48" w:rsidRPr="001E661C" w:rsidRDefault="00C61F48" w:rsidP="00C61F48">
            <w:pPr>
              <w:pStyle w:val="TableParagraph"/>
              <w:numPr>
                <w:ilvl w:val="0"/>
                <w:numId w:val="6"/>
              </w:numPr>
              <w:tabs>
                <w:tab w:val="left" w:pos="212"/>
              </w:tabs>
              <w:spacing w:before="80"/>
              <w:ind w:right="142" w:hanging="72"/>
              <w:jc w:val="both"/>
              <w:rPr>
                <w:rFonts w:ascii="Garamond" w:hAnsi="Garamond"/>
                <w:sz w:val="16"/>
                <w:szCs w:val="16"/>
              </w:rPr>
            </w:pPr>
            <w:r w:rsidRPr="001E661C">
              <w:rPr>
                <w:rFonts w:ascii="Garamond" w:hAnsi="Garamond"/>
                <w:sz w:val="16"/>
                <w:szCs w:val="16"/>
              </w:rPr>
              <w:t>Infrastruktura e dobët ose inekzistente e TIK në zonat rurale, e cila rrit pabarazitë rajonale;</w:t>
            </w:r>
          </w:p>
          <w:p w14:paraId="1C30D029" w14:textId="77777777" w:rsidR="00C61F48" w:rsidRPr="001E661C" w:rsidRDefault="00C61F48" w:rsidP="00BA13DB">
            <w:pPr>
              <w:pStyle w:val="TableParagraph"/>
              <w:spacing w:before="80"/>
              <w:ind w:left="172" w:right="8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Migrimi i të rinjve për shkak të mungesës së mundësive.</w:t>
            </w:r>
          </w:p>
        </w:tc>
      </w:tr>
    </w:tbl>
    <w:p w14:paraId="46C401D1" w14:textId="77777777" w:rsidR="00C61F48" w:rsidRDefault="00C61F48" w:rsidP="00C61F48">
      <w:pPr>
        <w:pStyle w:val="BodyText"/>
        <w:rPr>
          <w:rFonts w:ascii="Times New Roman"/>
          <w:sz w:val="20"/>
        </w:rPr>
      </w:pPr>
    </w:p>
    <w:p w14:paraId="68869294" w14:textId="77777777" w:rsidR="00C61F48" w:rsidRDefault="00C61F48" w:rsidP="00C61F48">
      <w:pPr>
        <w:pStyle w:val="BodyText"/>
        <w:spacing w:before="10" w:after="1"/>
        <w:rPr>
          <w:rFonts w:ascii="Times New Roman"/>
          <w:sz w:val="23"/>
        </w:rPr>
      </w:pPr>
    </w:p>
    <w:p w14:paraId="22BF095B" w14:textId="77777777" w:rsidR="001E661C" w:rsidRDefault="001E661C" w:rsidP="00C61F48">
      <w:pPr>
        <w:pStyle w:val="BodyText"/>
        <w:spacing w:before="10" w:after="1"/>
        <w:rPr>
          <w:rFonts w:ascii="Times New Roman"/>
          <w:sz w:val="23"/>
        </w:rPr>
      </w:pPr>
    </w:p>
    <w:p w14:paraId="15D69E3C" w14:textId="77777777" w:rsidR="001E661C" w:rsidRDefault="001E661C" w:rsidP="00C61F48">
      <w:pPr>
        <w:pStyle w:val="BodyText"/>
        <w:spacing w:before="10" w:after="1"/>
        <w:rPr>
          <w:rFonts w:ascii="Times New Roman"/>
          <w:sz w:val="23"/>
        </w:rPr>
      </w:pPr>
    </w:p>
    <w:p w14:paraId="658123C9" w14:textId="77777777" w:rsidR="001E661C" w:rsidRDefault="001E661C" w:rsidP="00C61F48">
      <w:pPr>
        <w:pStyle w:val="BodyText"/>
        <w:spacing w:before="10" w:after="1"/>
        <w:rPr>
          <w:rFonts w:ascii="Times New Roman"/>
          <w:sz w:val="23"/>
        </w:rPr>
      </w:pPr>
    </w:p>
    <w:p w14:paraId="2646B482" w14:textId="77777777" w:rsidR="001E661C" w:rsidRDefault="001E661C" w:rsidP="00C61F48">
      <w:pPr>
        <w:pStyle w:val="BodyText"/>
        <w:spacing w:before="10" w:after="1"/>
        <w:rPr>
          <w:rFonts w:ascii="Times New Roman"/>
          <w:sz w:val="23"/>
        </w:rPr>
      </w:pPr>
    </w:p>
    <w:p w14:paraId="01879494" w14:textId="77777777" w:rsidR="001E661C" w:rsidRDefault="001E661C" w:rsidP="00C61F48">
      <w:pPr>
        <w:pStyle w:val="BodyText"/>
        <w:spacing w:before="10" w:after="1"/>
        <w:rPr>
          <w:rFonts w:ascii="Times New Roman"/>
          <w:sz w:val="23"/>
        </w:rPr>
      </w:pPr>
    </w:p>
    <w:p w14:paraId="495BB1D4" w14:textId="77777777" w:rsidR="001E661C" w:rsidRDefault="001E661C" w:rsidP="00C61F48">
      <w:pPr>
        <w:pStyle w:val="BodyText"/>
        <w:spacing w:before="10" w:after="1"/>
        <w:rPr>
          <w:rFonts w:ascii="Times New Roman"/>
          <w:sz w:val="23"/>
        </w:rPr>
      </w:pPr>
    </w:p>
    <w:p w14:paraId="5DC1F778" w14:textId="77777777" w:rsidR="001E661C" w:rsidRDefault="001E661C" w:rsidP="00C61F48">
      <w:pPr>
        <w:pStyle w:val="BodyText"/>
        <w:spacing w:before="10" w:after="1"/>
        <w:rPr>
          <w:rFonts w:ascii="Times New Roman"/>
          <w:sz w:val="23"/>
        </w:rPr>
      </w:pPr>
    </w:p>
    <w:p w14:paraId="753F99A5" w14:textId="77777777" w:rsidR="001E661C" w:rsidRDefault="001E661C" w:rsidP="00C61F48">
      <w:pPr>
        <w:pStyle w:val="BodyText"/>
        <w:spacing w:before="10" w:after="1"/>
        <w:rPr>
          <w:rFonts w:ascii="Times New Roman"/>
          <w:sz w:val="23"/>
        </w:rPr>
      </w:pPr>
    </w:p>
    <w:p w14:paraId="23F65417" w14:textId="77777777" w:rsidR="001E661C" w:rsidRDefault="001E661C" w:rsidP="00C61F48">
      <w:pPr>
        <w:pStyle w:val="BodyText"/>
        <w:spacing w:before="10" w:after="1"/>
        <w:rPr>
          <w:rFonts w:ascii="Times New Roman"/>
          <w:sz w:val="23"/>
        </w:rPr>
      </w:pPr>
    </w:p>
    <w:p w14:paraId="3C04C7A7" w14:textId="77777777" w:rsidR="001E661C" w:rsidRDefault="001E661C" w:rsidP="00C61F48">
      <w:pPr>
        <w:pStyle w:val="BodyText"/>
        <w:spacing w:before="10" w:after="1"/>
        <w:rPr>
          <w:rFonts w:ascii="Times New Roman"/>
          <w:sz w:val="23"/>
        </w:rPr>
      </w:pPr>
    </w:p>
    <w:p w14:paraId="1E6C2E95" w14:textId="77777777" w:rsidR="001E661C" w:rsidRDefault="001E661C" w:rsidP="00C61F48">
      <w:pPr>
        <w:pStyle w:val="BodyText"/>
        <w:spacing w:before="10" w:after="1"/>
        <w:rPr>
          <w:rFonts w:ascii="Times New Roman"/>
          <w:sz w:val="23"/>
        </w:rPr>
      </w:pPr>
    </w:p>
    <w:tbl>
      <w:tblPr>
        <w:tblW w:w="0" w:type="auto"/>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128"/>
        <w:gridCol w:w="1726"/>
        <w:gridCol w:w="2398"/>
        <w:gridCol w:w="2110"/>
        <w:gridCol w:w="2216"/>
      </w:tblGrid>
      <w:tr w:rsidR="00C61F48" w:rsidRPr="001E661C" w14:paraId="6987F79E" w14:textId="77777777" w:rsidTr="00BA13DB">
        <w:trPr>
          <w:trHeight w:hRule="exact" w:val="551"/>
        </w:trPr>
        <w:tc>
          <w:tcPr>
            <w:tcW w:w="1128" w:type="dxa"/>
            <w:tcBorders>
              <w:bottom w:val="single" w:sz="6" w:space="0" w:color="000000"/>
              <w:right w:val="single" w:sz="6" w:space="0" w:color="000000"/>
            </w:tcBorders>
            <w:shd w:val="clear" w:color="auto" w:fill="6F2F9F"/>
          </w:tcPr>
          <w:p w14:paraId="0DB227F0" w14:textId="77777777" w:rsidR="00C61F48" w:rsidRPr="001E661C" w:rsidRDefault="00C61F48" w:rsidP="00BA13DB">
            <w:pPr>
              <w:rPr>
                <w:rFonts w:ascii="Garamond" w:hAnsi="Garamond"/>
                <w:sz w:val="16"/>
                <w:szCs w:val="16"/>
              </w:rPr>
            </w:pPr>
          </w:p>
        </w:tc>
        <w:tc>
          <w:tcPr>
            <w:tcW w:w="1726" w:type="dxa"/>
            <w:tcBorders>
              <w:left w:val="single" w:sz="6" w:space="0" w:color="000000"/>
              <w:bottom w:val="single" w:sz="6" w:space="0" w:color="000000"/>
              <w:right w:val="single" w:sz="6" w:space="0" w:color="000000"/>
            </w:tcBorders>
            <w:shd w:val="clear" w:color="auto" w:fill="6F2F9F"/>
          </w:tcPr>
          <w:p w14:paraId="06B2D272" w14:textId="77777777" w:rsidR="00C61F48" w:rsidRPr="001E661C" w:rsidRDefault="00C61F48" w:rsidP="00BA13DB">
            <w:pPr>
              <w:pStyle w:val="TableParagraph"/>
              <w:ind w:left="175" w:right="78"/>
              <w:rPr>
                <w:rFonts w:ascii="Garamond" w:hAnsi="Garamond"/>
                <w:b/>
                <w:color w:val="FFFFFF" w:themeColor="background1"/>
                <w:sz w:val="16"/>
                <w:szCs w:val="16"/>
              </w:rPr>
            </w:pPr>
            <w:r w:rsidRPr="001E661C">
              <w:rPr>
                <w:rFonts w:ascii="Garamond" w:hAnsi="Garamond"/>
                <w:b/>
                <w:color w:val="FFFFFF" w:themeColor="background1"/>
                <w:sz w:val="16"/>
                <w:szCs w:val="16"/>
              </w:rPr>
              <w:t>PIKAT E FORTA</w:t>
            </w:r>
          </w:p>
        </w:tc>
        <w:tc>
          <w:tcPr>
            <w:tcW w:w="2398" w:type="dxa"/>
            <w:tcBorders>
              <w:left w:val="single" w:sz="6" w:space="0" w:color="000000"/>
              <w:bottom w:val="single" w:sz="6" w:space="0" w:color="000000"/>
              <w:right w:val="single" w:sz="6" w:space="0" w:color="000000"/>
            </w:tcBorders>
            <w:shd w:val="clear" w:color="auto" w:fill="6F2F9F"/>
          </w:tcPr>
          <w:p w14:paraId="154011FE" w14:textId="77777777" w:rsidR="00C61F48" w:rsidRPr="001E661C" w:rsidRDefault="00C61F48" w:rsidP="00BA13DB">
            <w:pPr>
              <w:pStyle w:val="TableParagraph"/>
              <w:ind w:left="439" w:right="188"/>
              <w:rPr>
                <w:rFonts w:ascii="Garamond" w:hAnsi="Garamond"/>
                <w:b/>
                <w:color w:val="FFFFFF" w:themeColor="background1"/>
                <w:sz w:val="16"/>
                <w:szCs w:val="16"/>
              </w:rPr>
            </w:pPr>
            <w:r w:rsidRPr="001E661C">
              <w:rPr>
                <w:rFonts w:ascii="Garamond" w:hAnsi="Garamond"/>
                <w:b/>
                <w:color w:val="FFFFFF" w:themeColor="background1"/>
                <w:sz w:val="16"/>
                <w:szCs w:val="16"/>
              </w:rPr>
              <w:t>PIKAT E DOBËTA</w:t>
            </w:r>
          </w:p>
        </w:tc>
        <w:tc>
          <w:tcPr>
            <w:tcW w:w="2110" w:type="dxa"/>
            <w:tcBorders>
              <w:left w:val="single" w:sz="6" w:space="0" w:color="000000"/>
              <w:bottom w:val="single" w:sz="6" w:space="0" w:color="000000"/>
              <w:right w:val="single" w:sz="6" w:space="0" w:color="000000"/>
            </w:tcBorders>
            <w:shd w:val="clear" w:color="auto" w:fill="6F2F9F"/>
          </w:tcPr>
          <w:p w14:paraId="55FF080D" w14:textId="77777777" w:rsidR="00C61F48" w:rsidRPr="001E661C" w:rsidRDefault="00C61F48" w:rsidP="00BA13DB">
            <w:pPr>
              <w:pStyle w:val="TableParagraph"/>
              <w:ind w:left="494" w:right="89"/>
              <w:rPr>
                <w:rFonts w:ascii="Garamond" w:hAnsi="Garamond"/>
                <w:b/>
                <w:color w:val="FFFFFF" w:themeColor="background1"/>
                <w:sz w:val="16"/>
                <w:szCs w:val="16"/>
              </w:rPr>
            </w:pPr>
            <w:r w:rsidRPr="001E661C">
              <w:rPr>
                <w:rFonts w:ascii="Garamond" w:hAnsi="Garamond"/>
                <w:b/>
                <w:color w:val="FFFFFF" w:themeColor="background1"/>
                <w:sz w:val="16"/>
                <w:szCs w:val="16"/>
              </w:rPr>
              <w:t>MUNDËSITË</w:t>
            </w:r>
          </w:p>
        </w:tc>
        <w:tc>
          <w:tcPr>
            <w:tcW w:w="2216" w:type="dxa"/>
            <w:tcBorders>
              <w:left w:val="single" w:sz="6" w:space="0" w:color="000000"/>
              <w:bottom w:val="single" w:sz="6" w:space="0" w:color="000000"/>
            </w:tcBorders>
            <w:shd w:val="clear" w:color="auto" w:fill="6F2F9F"/>
          </w:tcPr>
          <w:p w14:paraId="33E4BF34" w14:textId="77777777" w:rsidR="00C61F48" w:rsidRPr="001E661C" w:rsidRDefault="00C61F48" w:rsidP="00BA13DB">
            <w:pPr>
              <w:pStyle w:val="TableParagraph"/>
              <w:ind w:left="506" w:right="76"/>
              <w:rPr>
                <w:rFonts w:ascii="Garamond" w:hAnsi="Garamond"/>
                <w:b/>
                <w:color w:val="FFFFFF" w:themeColor="background1"/>
                <w:sz w:val="16"/>
                <w:szCs w:val="16"/>
              </w:rPr>
            </w:pPr>
            <w:r w:rsidRPr="001E661C">
              <w:rPr>
                <w:rFonts w:ascii="Garamond" w:hAnsi="Garamond"/>
                <w:b/>
                <w:color w:val="FFFFFF" w:themeColor="background1"/>
                <w:sz w:val="16"/>
                <w:szCs w:val="16"/>
              </w:rPr>
              <w:t>KËRCËNIMET</w:t>
            </w:r>
          </w:p>
        </w:tc>
      </w:tr>
      <w:tr w:rsidR="00C61F48" w:rsidRPr="001E661C" w14:paraId="62D227E4" w14:textId="77777777" w:rsidTr="001E661C">
        <w:trPr>
          <w:trHeight w:hRule="exact" w:val="3433"/>
        </w:trPr>
        <w:tc>
          <w:tcPr>
            <w:tcW w:w="1128" w:type="dxa"/>
            <w:tcBorders>
              <w:top w:val="single" w:sz="6" w:space="0" w:color="000000"/>
              <w:bottom w:val="single" w:sz="6" w:space="0" w:color="000000"/>
              <w:right w:val="single" w:sz="6" w:space="0" w:color="000000"/>
            </w:tcBorders>
            <w:textDirection w:val="btLr"/>
          </w:tcPr>
          <w:p w14:paraId="20335E6A" w14:textId="77777777" w:rsidR="00C61F48" w:rsidRPr="001E661C" w:rsidRDefault="00C61F48" w:rsidP="00BA13DB">
            <w:pPr>
              <w:pStyle w:val="TableParagraph"/>
              <w:spacing w:before="85" w:line="283" w:lineRule="auto"/>
              <w:ind w:left="158" w:right="770"/>
              <w:jc w:val="center"/>
              <w:rPr>
                <w:rFonts w:ascii="Garamond" w:hAnsi="Garamond"/>
                <w:b/>
                <w:sz w:val="16"/>
                <w:szCs w:val="16"/>
              </w:rPr>
            </w:pPr>
            <w:r w:rsidRPr="001E661C">
              <w:rPr>
                <w:rFonts w:ascii="Garamond" w:hAnsi="Garamond"/>
                <w:b/>
                <w:spacing w:val="-1"/>
                <w:sz w:val="16"/>
                <w:szCs w:val="16"/>
              </w:rPr>
              <w:t>PROMO</w:t>
            </w:r>
            <w:r w:rsidRPr="001E661C">
              <w:rPr>
                <w:rFonts w:ascii="Garamond" w:hAnsi="Garamond"/>
                <w:b/>
                <w:spacing w:val="-2"/>
                <w:sz w:val="16"/>
                <w:szCs w:val="16"/>
              </w:rPr>
              <w:t>V</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2"/>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pacing w:val="-3"/>
                <w:sz w:val="16"/>
                <w:szCs w:val="16"/>
              </w:rPr>
              <w:t>Q</w:t>
            </w:r>
            <w:r w:rsidRPr="001E661C">
              <w:rPr>
                <w:rFonts w:ascii="Garamond" w:hAnsi="Garamond"/>
                <w:b/>
                <w:sz w:val="16"/>
                <w:szCs w:val="16"/>
              </w:rPr>
              <w:t>EVE</w:t>
            </w:r>
            <w:r w:rsidRPr="001E661C">
              <w:rPr>
                <w:rFonts w:ascii="Garamond" w:hAnsi="Garamond"/>
                <w:b/>
                <w:spacing w:val="-3"/>
                <w:sz w:val="16"/>
                <w:szCs w:val="16"/>
              </w:rPr>
              <w:t>R</w:t>
            </w:r>
            <w:r w:rsidRPr="001E661C">
              <w:rPr>
                <w:rFonts w:ascii="Garamond" w:hAnsi="Garamond"/>
                <w:b/>
                <w:sz w:val="16"/>
                <w:szCs w:val="16"/>
              </w:rPr>
              <w:t>IS</w:t>
            </w:r>
            <w:r w:rsidRPr="001E661C">
              <w:rPr>
                <w:rFonts w:ascii="Garamond" w:hAnsi="Garamond"/>
                <w:b/>
                <w:spacing w:val="-2"/>
                <w:sz w:val="16"/>
                <w:szCs w:val="16"/>
              </w:rPr>
              <w:t>J</w:t>
            </w:r>
            <w:r w:rsidRPr="001E661C">
              <w:rPr>
                <w:rFonts w:ascii="Garamond" w:hAnsi="Garamond"/>
                <w:b/>
                <w:spacing w:val="-3"/>
                <w:sz w:val="16"/>
                <w:szCs w:val="16"/>
              </w:rPr>
              <w:t>E</w:t>
            </w:r>
            <w:r w:rsidRPr="001E661C">
              <w:rPr>
                <w:rFonts w:ascii="Garamond" w:hAnsi="Garamond"/>
                <w:b/>
                <w:sz w:val="16"/>
                <w:szCs w:val="16"/>
              </w:rPr>
              <w:t>S</w:t>
            </w:r>
            <w:r w:rsidRPr="001E661C">
              <w:rPr>
                <w:rFonts w:ascii="Garamond" w:hAnsi="Garamond"/>
                <w:b/>
                <w:spacing w:val="-1"/>
                <w:sz w:val="16"/>
                <w:szCs w:val="16"/>
              </w:rPr>
              <w:t xml:space="preserve"> </w:t>
            </w:r>
            <w:r w:rsidRPr="001E661C">
              <w:rPr>
                <w:rFonts w:ascii="Garamond" w:hAnsi="Garamond"/>
                <w:b/>
                <w:sz w:val="16"/>
                <w:szCs w:val="16"/>
              </w:rPr>
              <w:t>LO</w:t>
            </w:r>
            <w:r w:rsidRPr="001E661C">
              <w:rPr>
                <w:rFonts w:ascii="Garamond" w:hAnsi="Garamond"/>
                <w:b/>
                <w:spacing w:val="-2"/>
                <w:sz w:val="16"/>
                <w:szCs w:val="16"/>
              </w:rPr>
              <w:t>K</w:t>
            </w:r>
            <w:r w:rsidRPr="001E661C">
              <w:rPr>
                <w:rFonts w:ascii="Garamond" w:hAnsi="Garamond"/>
                <w:b/>
                <w:sz w:val="16"/>
                <w:szCs w:val="16"/>
              </w:rPr>
              <w:t>ALE</w:t>
            </w:r>
            <w:r w:rsidRPr="001E661C">
              <w:rPr>
                <w:rFonts w:ascii="Garamond" w:hAnsi="Garamond"/>
                <w:b/>
                <w:spacing w:val="-2"/>
                <w:sz w:val="16"/>
                <w:szCs w:val="16"/>
              </w:rPr>
              <w:t xml:space="preserve"> </w:t>
            </w:r>
            <w:r w:rsidRPr="001E661C">
              <w:rPr>
                <w:rFonts w:ascii="Garamond" w:hAnsi="Garamond"/>
                <w:b/>
                <w:spacing w:val="-1"/>
                <w:sz w:val="16"/>
                <w:szCs w:val="16"/>
              </w:rPr>
              <w:t xml:space="preserve">DHE </w:t>
            </w:r>
            <w:r w:rsidRPr="001E661C">
              <w:rPr>
                <w:rFonts w:ascii="Garamond" w:hAnsi="Garamond"/>
                <w:b/>
                <w:sz w:val="16"/>
                <w:szCs w:val="16"/>
              </w:rPr>
              <w:t>RA</w:t>
            </w:r>
            <w:r w:rsidRPr="001E661C">
              <w:rPr>
                <w:rFonts w:ascii="Garamond" w:hAnsi="Garamond"/>
                <w:b/>
                <w:spacing w:val="-2"/>
                <w:sz w:val="16"/>
                <w:szCs w:val="16"/>
              </w:rPr>
              <w:t>J</w:t>
            </w:r>
            <w:r w:rsidRPr="001E661C">
              <w:rPr>
                <w:rFonts w:ascii="Garamond" w:hAnsi="Garamond"/>
                <w:b/>
                <w:spacing w:val="-1"/>
                <w:sz w:val="16"/>
                <w:szCs w:val="16"/>
              </w:rPr>
              <w:t>O</w:t>
            </w:r>
            <w:r w:rsidRPr="001E661C">
              <w:rPr>
                <w:rFonts w:ascii="Garamond" w:hAnsi="Garamond"/>
                <w:b/>
                <w:spacing w:val="-2"/>
                <w:sz w:val="16"/>
                <w:szCs w:val="16"/>
              </w:rPr>
              <w:t>N</w:t>
            </w:r>
            <w:r w:rsidRPr="001E661C">
              <w:rPr>
                <w:rFonts w:ascii="Garamond" w:hAnsi="Garamond"/>
                <w:b/>
                <w:sz w:val="16"/>
                <w:szCs w:val="16"/>
              </w:rPr>
              <w:t>ALE,</w:t>
            </w:r>
            <w:r w:rsidRPr="001E661C">
              <w:rPr>
                <w:rFonts w:ascii="Garamond" w:hAnsi="Garamond"/>
                <w:b/>
                <w:spacing w:val="-2"/>
                <w:sz w:val="16"/>
                <w:szCs w:val="16"/>
              </w:rPr>
              <w:t xml:space="preserve"> </w:t>
            </w:r>
            <w:r w:rsidRPr="001E661C">
              <w:rPr>
                <w:rFonts w:ascii="Garamond" w:hAnsi="Garamond"/>
                <w:b/>
                <w:spacing w:val="-1"/>
                <w:sz w:val="16"/>
                <w:szCs w:val="16"/>
              </w:rPr>
              <w:t>P</w:t>
            </w:r>
            <w:r w:rsidRPr="001E661C">
              <w:rPr>
                <w:rFonts w:ascii="Garamond" w:hAnsi="Garamond"/>
                <w:b/>
                <w:spacing w:val="-2"/>
                <w:sz w:val="16"/>
                <w:szCs w:val="16"/>
              </w:rPr>
              <w:t>L</w:t>
            </w:r>
            <w:r w:rsidRPr="001E661C">
              <w:rPr>
                <w:rFonts w:ascii="Garamond" w:hAnsi="Garamond"/>
                <w:b/>
                <w:sz w:val="16"/>
                <w:szCs w:val="16"/>
              </w:rPr>
              <w:t>A</w:t>
            </w:r>
            <w:r w:rsidRPr="001E661C">
              <w:rPr>
                <w:rFonts w:ascii="Garamond" w:hAnsi="Garamond"/>
                <w:b/>
                <w:spacing w:val="-1"/>
                <w:sz w:val="16"/>
                <w:szCs w:val="16"/>
              </w:rPr>
              <w:t>N</w:t>
            </w:r>
            <w:r w:rsidRPr="001E661C">
              <w:rPr>
                <w:rFonts w:ascii="Garamond" w:hAnsi="Garamond"/>
                <w:b/>
                <w:sz w:val="16"/>
                <w:szCs w:val="16"/>
              </w:rPr>
              <w:t>IFI</w:t>
            </w:r>
            <w:r w:rsidRPr="001E661C">
              <w:rPr>
                <w:rFonts w:ascii="Garamond" w:hAnsi="Garamond"/>
                <w:b/>
                <w:spacing w:val="-3"/>
                <w:sz w:val="16"/>
                <w:szCs w:val="16"/>
              </w:rPr>
              <w:t>K</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&amp;</w:t>
            </w:r>
            <w:r w:rsidRPr="001E661C">
              <w:rPr>
                <w:rFonts w:ascii="Garamond" w:hAnsi="Garamond"/>
                <w:b/>
                <w:spacing w:val="-2"/>
                <w:sz w:val="16"/>
                <w:szCs w:val="16"/>
              </w:rPr>
              <w:t xml:space="preserve"> </w:t>
            </w:r>
            <w:r w:rsidRPr="001E661C">
              <w:rPr>
                <w:rFonts w:ascii="Garamond" w:hAnsi="Garamond"/>
                <w:b/>
                <w:sz w:val="16"/>
                <w:szCs w:val="16"/>
              </w:rPr>
              <w:t>N</w:t>
            </w:r>
            <w:r w:rsidRPr="001E661C">
              <w:rPr>
                <w:rFonts w:ascii="Garamond" w:hAnsi="Garamond"/>
                <w:b/>
                <w:spacing w:val="-2"/>
                <w:sz w:val="16"/>
                <w:szCs w:val="16"/>
              </w:rPr>
              <w:t>G</w:t>
            </w:r>
            <w:r w:rsidRPr="001E661C">
              <w:rPr>
                <w:rFonts w:ascii="Garamond" w:hAnsi="Garamond"/>
                <w:b/>
                <w:sz w:val="16"/>
                <w:szCs w:val="16"/>
              </w:rPr>
              <w:t>R</w:t>
            </w:r>
            <w:r w:rsidRPr="001E661C">
              <w:rPr>
                <w:rFonts w:ascii="Garamond" w:hAnsi="Garamond"/>
                <w:b/>
                <w:spacing w:val="-1"/>
                <w:sz w:val="16"/>
                <w:szCs w:val="16"/>
              </w:rPr>
              <w:t>I</w:t>
            </w:r>
            <w:r w:rsidRPr="001E661C">
              <w:rPr>
                <w:rFonts w:ascii="Garamond" w:hAnsi="Garamond"/>
                <w:b/>
                <w:sz w:val="16"/>
                <w:szCs w:val="16"/>
              </w:rPr>
              <w:t>T</w:t>
            </w:r>
            <w:r w:rsidRPr="001E661C">
              <w:rPr>
                <w:rFonts w:ascii="Garamond" w:hAnsi="Garamond"/>
                <w:b/>
                <w:spacing w:val="-2"/>
                <w:sz w:val="16"/>
                <w:szCs w:val="16"/>
              </w:rPr>
              <w:t>J</w:t>
            </w:r>
            <w:r w:rsidRPr="001E661C">
              <w:rPr>
                <w:rFonts w:ascii="Garamond" w:hAnsi="Garamond"/>
                <w:b/>
                <w:sz w:val="16"/>
                <w:szCs w:val="16"/>
              </w:rPr>
              <w:t>A</w:t>
            </w:r>
            <w:r w:rsidRPr="001E661C">
              <w:rPr>
                <w:rFonts w:ascii="Garamond" w:hAnsi="Garamond"/>
                <w:b/>
                <w:spacing w:val="1"/>
                <w:sz w:val="16"/>
                <w:szCs w:val="16"/>
              </w:rPr>
              <w:t xml:space="preserve"> </w:t>
            </w:r>
            <w:r w:rsidRPr="001E661C">
              <w:rPr>
                <w:rFonts w:ascii="Garamond" w:hAnsi="Garamond"/>
                <w:b/>
                <w:sz w:val="16"/>
                <w:szCs w:val="16"/>
              </w:rPr>
              <w:t xml:space="preserve">E </w:t>
            </w:r>
            <w:r w:rsidRPr="001E661C">
              <w:rPr>
                <w:rFonts w:ascii="Garamond" w:hAnsi="Garamond"/>
                <w:b/>
                <w:spacing w:val="-1"/>
                <w:sz w:val="16"/>
                <w:szCs w:val="16"/>
              </w:rPr>
              <w:t>K</w:t>
            </w:r>
            <w:r w:rsidRPr="001E661C">
              <w:rPr>
                <w:rFonts w:ascii="Garamond" w:hAnsi="Garamond"/>
                <w:b/>
                <w:sz w:val="16"/>
                <w:szCs w:val="16"/>
              </w:rPr>
              <w:t>APA</w:t>
            </w:r>
            <w:r w:rsidRPr="001E661C">
              <w:rPr>
                <w:rFonts w:ascii="Garamond" w:hAnsi="Garamond"/>
                <w:b/>
                <w:spacing w:val="-2"/>
                <w:sz w:val="16"/>
                <w:szCs w:val="16"/>
              </w:rPr>
              <w:t>CI</w:t>
            </w:r>
            <w:r w:rsidRPr="001E661C">
              <w:rPr>
                <w:rFonts w:ascii="Garamond" w:hAnsi="Garamond"/>
                <w:b/>
                <w:sz w:val="16"/>
                <w:szCs w:val="16"/>
              </w:rPr>
              <w:t>T</w:t>
            </w:r>
            <w:r w:rsidRPr="001E661C">
              <w:rPr>
                <w:rFonts w:ascii="Garamond" w:hAnsi="Garamond"/>
                <w:b/>
                <w:spacing w:val="-3"/>
                <w:sz w:val="16"/>
                <w:szCs w:val="16"/>
              </w:rPr>
              <w:t>E</w:t>
            </w:r>
            <w:r w:rsidRPr="001E661C">
              <w:rPr>
                <w:rFonts w:ascii="Garamond" w:hAnsi="Garamond"/>
                <w:b/>
                <w:sz w:val="16"/>
                <w:szCs w:val="16"/>
              </w:rPr>
              <w:t>TEVE</w:t>
            </w:r>
            <w:r w:rsidRPr="001E661C">
              <w:rPr>
                <w:rFonts w:ascii="Garamond" w:hAnsi="Garamond"/>
                <w:b/>
                <w:spacing w:val="-3"/>
                <w:sz w:val="16"/>
                <w:szCs w:val="16"/>
              </w:rPr>
              <w:t xml:space="preserve"> </w:t>
            </w:r>
            <w:r w:rsidRPr="001E661C">
              <w:rPr>
                <w:rFonts w:ascii="Garamond" w:hAnsi="Garamond"/>
                <w:b/>
                <w:sz w:val="16"/>
                <w:szCs w:val="16"/>
              </w:rPr>
              <w:t>AD</w:t>
            </w:r>
            <w:r w:rsidRPr="001E661C">
              <w:rPr>
                <w:rFonts w:ascii="Garamond" w:hAnsi="Garamond"/>
                <w:b/>
                <w:spacing w:val="-1"/>
                <w:sz w:val="16"/>
                <w:szCs w:val="16"/>
              </w:rPr>
              <w:t>M</w:t>
            </w:r>
            <w:r w:rsidRPr="001E661C">
              <w:rPr>
                <w:rFonts w:ascii="Garamond" w:hAnsi="Garamond"/>
                <w:b/>
                <w:spacing w:val="-2"/>
                <w:sz w:val="16"/>
                <w:szCs w:val="16"/>
              </w:rPr>
              <w:t>I</w:t>
            </w:r>
            <w:r w:rsidRPr="001E661C">
              <w:rPr>
                <w:rFonts w:ascii="Garamond" w:hAnsi="Garamond"/>
                <w:b/>
                <w:sz w:val="16"/>
                <w:szCs w:val="16"/>
              </w:rPr>
              <w:t>N</w:t>
            </w:r>
            <w:r w:rsidRPr="001E661C">
              <w:rPr>
                <w:rFonts w:ascii="Garamond" w:hAnsi="Garamond"/>
                <w:b/>
                <w:spacing w:val="-2"/>
                <w:sz w:val="16"/>
                <w:szCs w:val="16"/>
              </w:rPr>
              <w:t>IST</w:t>
            </w:r>
            <w:r w:rsidRPr="001E661C">
              <w:rPr>
                <w:rFonts w:ascii="Garamond" w:hAnsi="Garamond"/>
                <w:b/>
                <w:sz w:val="16"/>
                <w:szCs w:val="16"/>
              </w:rPr>
              <w:t>RA</w:t>
            </w:r>
            <w:r w:rsidRPr="001E661C">
              <w:rPr>
                <w:rFonts w:ascii="Garamond" w:hAnsi="Garamond"/>
                <w:b/>
                <w:spacing w:val="-2"/>
                <w:sz w:val="16"/>
                <w:szCs w:val="16"/>
              </w:rPr>
              <w:t>T</w:t>
            </w:r>
            <w:r w:rsidRPr="001E661C">
              <w:rPr>
                <w:rFonts w:ascii="Garamond" w:hAnsi="Garamond"/>
                <w:b/>
                <w:sz w:val="16"/>
                <w:szCs w:val="16"/>
              </w:rPr>
              <w:t>I</w:t>
            </w:r>
            <w:r w:rsidRPr="001E661C">
              <w:rPr>
                <w:rFonts w:ascii="Garamond" w:hAnsi="Garamond"/>
                <w:b/>
                <w:spacing w:val="-1"/>
                <w:sz w:val="16"/>
                <w:szCs w:val="16"/>
              </w:rPr>
              <w:t>V</w:t>
            </w:r>
            <w:r w:rsidRPr="001E661C">
              <w:rPr>
                <w:rFonts w:ascii="Garamond" w:hAnsi="Garamond"/>
                <w:b/>
                <w:sz w:val="16"/>
                <w:szCs w:val="16"/>
              </w:rPr>
              <w:t>E</w:t>
            </w:r>
          </w:p>
        </w:tc>
        <w:tc>
          <w:tcPr>
            <w:tcW w:w="1726" w:type="dxa"/>
            <w:tcBorders>
              <w:top w:val="single" w:sz="6" w:space="0" w:color="000000"/>
              <w:left w:val="single" w:sz="6" w:space="0" w:color="000000"/>
              <w:bottom w:val="single" w:sz="6" w:space="0" w:color="000000"/>
              <w:right w:val="single" w:sz="6" w:space="0" w:color="000000"/>
            </w:tcBorders>
          </w:tcPr>
          <w:p w14:paraId="6DB9BF34" w14:textId="77777777" w:rsidR="00C61F48" w:rsidRPr="001E661C" w:rsidRDefault="00C61F48" w:rsidP="00BA13DB">
            <w:pPr>
              <w:pStyle w:val="TableParagraph"/>
              <w:spacing w:before="3"/>
              <w:ind w:left="172" w:right="105" w:hanging="72"/>
              <w:jc w:val="both"/>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Dalja e protokollit të bashkëpunimit</w:t>
            </w:r>
            <w:r w:rsidRPr="001E661C">
              <w:rPr>
                <w:rFonts w:ascii="Garamond" w:hAnsi="Garamond"/>
                <w:spacing w:val="-8"/>
                <w:sz w:val="16"/>
                <w:szCs w:val="16"/>
              </w:rPr>
              <w:t xml:space="preserve"> </w:t>
            </w:r>
            <w:r w:rsidRPr="001E661C">
              <w:rPr>
                <w:rFonts w:ascii="Garamond" w:hAnsi="Garamond"/>
                <w:sz w:val="16"/>
                <w:szCs w:val="16"/>
              </w:rPr>
              <w:t>midis vendeve;</w:t>
            </w:r>
          </w:p>
          <w:p w14:paraId="09E91EA9" w14:textId="77777777" w:rsidR="00C61F48" w:rsidRPr="001E661C" w:rsidRDefault="00C61F48" w:rsidP="00BA13DB">
            <w:pPr>
              <w:pStyle w:val="TableParagraph"/>
              <w:spacing w:before="80"/>
              <w:ind w:left="172" w:right="334"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Ekzistenca e strategjisë së zhvillimit rajonal;</w:t>
            </w:r>
          </w:p>
          <w:p w14:paraId="4F49FB1B" w14:textId="77777777" w:rsidR="00C61F48" w:rsidRPr="001E661C" w:rsidRDefault="00C61F48" w:rsidP="00BA13DB">
            <w:pPr>
              <w:pStyle w:val="TableParagraph"/>
              <w:spacing w:before="80"/>
              <w:ind w:left="172" w:right="78"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Ekzistenca e planit të zhvillimit rajonal;</w:t>
            </w:r>
          </w:p>
          <w:p w14:paraId="6433201C" w14:textId="77777777" w:rsidR="00C61F48" w:rsidRPr="001E661C" w:rsidRDefault="00C61F48" w:rsidP="00BA13DB">
            <w:pPr>
              <w:pStyle w:val="TableParagraph"/>
              <w:spacing w:before="79"/>
              <w:ind w:left="172" w:right="274"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Procesi i decentralizimit në vazhdim e sipër.</w:t>
            </w:r>
          </w:p>
        </w:tc>
        <w:tc>
          <w:tcPr>
            <w:tcW w:w="2398" w:type="dxa"/>
            <w:tcBorders>
              <w:top w:val="single" w:sz="6" w:space="0" w:color="000000"/>
              <w:left w:val="single" w:sz="6" w:space="0" w:color="000000"/>
              <w:bottom w:val="single" w:sz="6" w:space="0" w:color="000000"/>
              <w:right w:val="single" w:sz="6" w:space="0" w:color="000000"/>
            </w:tcBorders>
          </w:tcPr>
          <w:p w14:paraId="1863C231" w14:textId="77777777" w:rsidR="00C61F48" w:rsidRPr="001E661C" w:rsidRDefault="00C61F48" w:rsidP="00BA13DB">
            <w:pPr>
              <w:pStyle w:val="TableParagraph"/>
              <w:spacing w:before="3"/>
              <w:ind w:left="172" w:right="188"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Kapacitetet e kufizuara të njësive të qeverisjes vendore për zbatimin e politikave të zhvillimit;</w:t>
            </w:r>
          </w:p>
          <w:p w14:paraId="461D9A7B" w14:textId="77777777" w:rsidR="00C61F48" w:rsidRPr="001E661C" w:rsidRDefault="00C61F48" w:rsidP="00BA13DB">
            <w:pPr>
              <w:pStyle w:val="TableParagraph"/>
              <w:spacing w:before="78"/>
              <w:ind w:left="172" w:right="380" w:hanging="72"/>
              <w:jc w:val="both"/>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Burimet e pamjaftueshme financiare për të financuar objektivat e zhvillimit;</w:t>
            </w:r>
          </w:p>
          <w:p w14:paraId="78BC41DD" w14:textId="77777777" w:rsidR="00C61F48" w:rsidRPr="001E661C" w:rsidRDefault="00C61F48" w:rsidP="00BA13DB">
            <w:pPr>
              <w:pStyle w:val="TableParagraph"/>
              <w:spacing w:before="80"/>
              <w:ind w:left="172" w:right="9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Mungesa e njohurive të duhura nga ana e administratës lokale për të përfituar dhe zbatuar fondet e BE.</w:t>
            </w:r>
          </w:p>
        </w:tc>
        <w:tc>
          <w:tcPr>
            <w:tcW w:w="2110" w:type="dxa"/>
            <w:tcBorders>
              <w:top w:val="single" w:sz="6" w:space="0" w:color="000000"/>
              <w:left w:val="single" w:sz="6" w:space="0" w:color="000000"/>
              <w:bottom w:val="single" w:sz="6" w:space="0" w:color="000000"/>
              <w:right w:val="single" w:sz="6" w:space="0" w:color="000000"/>
            </w:tcBorders>
          </w:tcPr>
          <w:p w14:paraId="6937ABAD" w14:textId="77777777" w:rsidR="00C61F48" w:rsidRPr="001E661C" w:rsidRDefault="00C61F48" w:rsidP="00BA13DB">
            <w:pPr>
              <w:pStyle w:val="TableParagraph"/>
              <w:spacing w:before="3"/>
              <w:ind w:left="172" w:right="89"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Pjesëmarrja e njësive të qeverisjes vendore në nismat apo programet për rritjen e kapaciteteve të përbashkëta institucionale.</w:t>
            </w:r>
          </w:p>
        </w:tc>
        <w:tc>
          <w:tcPr>
            <w:tcW w:w="2216" w:type="dxa"/>
            <w:tcBorders>
              <w:top w:val="single" w:sz="6" w:space="0" w:color="000000"/>
              <w:left w:val="single" w:sz="6" w:space="0" w:color="000000"/>
              <w:bottom w:val="single" w:sz="6" w:space="0" w:color="000000"/>
            </w:tcBorders>
          </w:tcPr>
          <w:p w14:paraId="17C1F75F" w14:textId="77777777" w:rsidR="00C61F48" w:rsidRPr="001E661C" w:rsidRDefault="00C61F48" w:rsidP="00BA13DB">
            <w:pPr>
              <w:pStyle w:val="TableParagraph"/>
              <w:spacing w:before="3"/>
              <w:ind w:left="172" w:right="6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Njësitë e qeverisjes vendore financiarisht të dobëta;</w:t>
            </w:r>
          </w:p>
          <w:p w14:paraId="073BC418" w14:textId="77777777" w:rsidR="00C61F48" w:rsidRPr="001E661C" w:rsidRDefault="00C61F48" w:rsidP="00BA13DB">
            <w:pPr>
              <w:pStyle w:val="TableParagraph"/>
              <w:spacing w:before="78"/>
              <w:ind w:left="172" w:right="67"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Mungesa e financimit për trajnimin e administratës së Pushtetit Lokal për të rritur mundësinë e politikë-bërjes dhe kapacitetet zbatuese;</w:t>
            </w:r>
          </w:p>
          <w:p w14:paraId="1ADE7243" w14:textId="77777777" w:rsidR="00C61F48" w:rsidRPr="001E661C" w:rsidRDefault="00C61F48" w:rsidP="00BA13DB">
            <w:pPr>
              <w:pStyle w:val="TableParagraph"/>
              <w:spacing w:before="80"/>
              <w:ind w:left="172" w:right="18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Mungesa e bashkëpunimit ndërmjet strukturave rajonale përkatëse.</w:t>
            </w:r>
          </w:p>
        </w:tc>
      </w:tr>
      <w:tr w:rsidR="00C61F48" w:rsidRPr="001E661C" w14:paraId="357F21CE" w14:textId="77777777" w:rsidTr="001E661C">
        <w:trPr>
          <w:trHeight w:hRule="exact" w:val="3255"/>
        </w:trPr>
        <w:tc>
          <w:tcPr>
            <w:tcW w:w="1128" w:type="dxa"/>
            <w:tcBorders>
              <w:top w:val="single" w:sz="6" w:space="0" w:color="000000"/>
              <w:right w:val="single" w:sz="6" w:space="0" w:color="000000"/>
            </w:tcBorders>
            <w:textDirection w:val="btLr"/>
          </w:tcPr>
          <w:p w14:paraId="33512E78" w14:textId="77777777" w:rsidR="00C61F48" w:rsidRPr="001E661C" w:rsidRDefault="00C61F48" w:rsidP="00BA13DB">
            <w:pPr>
              <w:pStyle w:val="TableParagraph"/>
              <w:spacing w:before="85" w:line="283" w:lineRule="auto"/>
              <w:ind w:left="153" w:right="758" w:hanging="2"/>
              <w:jc w:val="center"/>
              <w:rPr>
                <w:rFonts w:ascii="Garamond" w:hAnsi="Garamond"/>
                <w:b/>
                <w:sz w:val="16"/>
                <w:szCs w:val="16"/>
              </w:rPr>
            </w:pPr>
            <w:r w:rsidRPr="001E661C">
              <w:rPr>
                <w:rFonts w:ascii="Garamond" w:hAnsi="Garamond"/>
                <w:b/>
                <w:sz w:val="16"/>
                <w:szCs w:val="16"/>
              </w:rPr>
              <w:t>F</w:t>
            </w:r>
            <w:r w:rsidRPr="001E661C">
              <w:rPr>
                <w:rFonts w:ascii="Garamond" w:hAnsi="Garamond"/>
                <w:b/>
                <w:spacing w:val="-2"/>
                <w:sz w:val="16"/>
                <w:szCs w:val="16"/>
              </w:rPr>
              <w:t>O</w:t>
            </w:r>
            <w:r w:rsidRPr="001E661C">
              <w:rPr>
                <w:rFonts w:ascii="Garamond" w:hAnsi="Garamond"/>
                <w:b/>
                <w:sz w:val="16"/>
                <w:szCs w:val="16"/>
              </w:rPr>
              <w:t>R</w:t>
            </w:r>
            <w:r w:rsidRPr="001E661C">
              <w:rPr>
                <w:rFonts w:ascii="Garamond" w:hAnsi="Garamond"/>
                <w:b/>
                <w:spacing w:val="1"/>
                <w:sz w:val="16"/>
                <w:szCs w:val="16"/>
              </w:rPr>
              <w:t>C</w:t>
            </w:r>
            <w:r w:rsidRPr="001E661C">
              <w:rPr>
                <w:rFonts w:ascii="Garamond" w:hAnsi="Garamond"/>
                <w:b/>
                <w:sz w:val="16"/>
                <w:szCs w:val="16"/>
              </w:rPr>
              <w:t>I</w:t>
            </w:r>
            <w:r w:rsidRPr="001E661C">
              <w:rPr>
                <w:rFonts w:ascii="Garamond" w:hAnsi="Garamond"/>
                <w:b/>
                <w:spacing w:val="-4"/>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KËR</w:t>
            </w:r>
            <w:r w:rsidRPr="001E661C">
              <w:rPr>
                <w:rFonts w:ascii="Garamond" w:hAnsi="Garamond"/>
                <w:b/>
                <w:spacing w:val="-3"/>
                <w:sz w:val="16"/>
                <w:szCs w:val="16"/>
              </w:rPr>
              <w:t>K</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pacing w:val="-2"/>
                <w:sz w:val="16"/>
                <w:szCs w:val="16"/>
              </w:rPr>
              <w:t>I</w:t>
            </w:r>
            <w:r w:rsidRPr="001E661C">
              <w:rPr>
                <w:rFonts w:ascii="Garamond" w:hAnsi="Garamond"/>
                <w:b/>
                <w:sz w:val="16"/>
                <w:szCs w:val="16"/>
              </w:rPr>
              <w:t>T</w:t>
            </w:r>
            <w:r w:rsidRPr="001E661C">
              <w:rPr>
                <w:rFonts w:ascii="Garamond" w:hAnsi="Garamond"/>
                <w:b/>
                <w:spacing w:val="-1"/>
                <w:sz w:val="16"/>
                <w:szCs w:val="16"/>
              </w:rPr>
              <w:t xml:space="preserve"> </w:t>
            </w:r>
            <w:r w:rsidRPr="001E661C">
              <w:rPr>
                <w:rFonts w:ascii="Garamond" w:hAnsi="Garamond"/>
                <w:b/>
                <w:sz w:val="16"/>
                <w:szCs w:val="16"/>
              </w:rPr>
              <w:t>SH</w:t>
            </w:r>
            <w:r w:rsidRPr="001E661C">
              <w:rPr>
                <w:rFonts w:ascii="Garamond" w:hAnsi="Garamond"/>
                <w:b/>
                <w:spacing w:val="-1"/>
                <w:sz w:val="16"/>
                <w:szCs w:val="16"/>
              </w:rPr>
              <w:t>K</w:t>
            </w:r>
            <w:r w:rsidRPr="001E661C">
              <w:rPr>
                <w:rFonts w:ascii="Garamond" w:hAnsi="Garamond"/>
                <w:b/>
                <w:spacing w:val="-3"/>
                <w:sz w:val="16"/>
                <w:szCs w:val="16"/>
              </w:rPr>
              <w:t>E</w:t>
            </w:r>
            <w:r w:rsidRPr="001E661C">
              <w:rPr>
                <w:rFonts w:ascii="Garamond" w:hAnsi="Garamond"/>
                <w:b/>
                <w:sz w:val="16"/>
                <w:szCs w:val="16"/>
              </w:rPr>
              <w:t>NC</w:t>
            </w:r>
            <w:r w:rsidRPr="001E661C">
              <w:rPr>
                <w:rFonts w:ascii="Garamond" w:hAnsi="Garamond"/>
                <w:b/>
                <w:spacing w:val="-1"/>
                <w:sz w:val="16"/>
                <w:szCs w:val="16"/>
              </w:rPr>
              <w:t>O</w:t>
            </w:r>
            <w:r w:rsidRPr="001E661C">
              <w:rPr>
                <w:rFonts w:ascii="Garamond" w:hAnsi="Garamond"/>
                <w:b/>
                <w:spacing w:val="-3"/>
                <w:sz w:val="16"/>
                <w:szCs w:val="16"/>
              </w:rPr>
              <w:t>R</w:t>
            </w:r>
            <w:r w:rsidRPr="001E661C">
              <w:rPr>
                <w:rFonts w:ascii="Garamond" w:hAnsi="Garamond"/>
                <w:b/>
                <w:sz w:val="16"/>
                <w:szCs w:val="16"/>
              </w:rPr>
              <w:t>, ZH</w:t>
            </w:r>
            <w:r w:rsidRPr="001E661C">
              <w:rPr>
                <w:rFonts w:ascii="Garamond" w:hAnsi="Garamond"/>
                <w:b/>
                <w:spacing w:val="-1"/>
                <w:sz w:val="16"/>
                <w:szCs w:val="16"/>
              </w:rPr>
              <w:t>V</w:t>
            </w:r>
            <w:r w:rsidRPr="001E661C">
              <w:rPr>
                <w:rFonts w:ascii="Garamond" w:hAnsi="Garamond"/>
                <w:b/>
                <w:sz w:val="16"/>
                <w:szCs w:val="16"/>
              </w:rPr>
              <w:t>IL</w:t>
            </w:r>
            <w:r w:rsidRPr="001E661C">
              <w:rPr>
                <w:rFonts w:ascii="Garamond" w:hAnsi="Garamond"/>
                <w:b/>
                <w:spacing w:val="-2"/>
                <w:sz w:val="16"/>
                <w:szCs w:val="16"/>
              </w:rPr>
              <w:t>L</w:t>
            </w:r>
            <w:r w:rsidRPr="001E661C">
              <w:rPr>
                <w:rFonts w:ascii="Garamond" w:hAnsi="Garamond"/>
                <w:b/>
                <w:sz w:val="16"/>
                <w:szCs w:val="16"/>
              </w:rPr>
              <w:t>I</w:t>
            </w:r>
            <w:r w:rsidRPr="001E661C">
              <w:rPr>
                <w:rFonts w:ascii="Garamond" w:hAnsi="Garamond"/>
                <w:b/>
                <w:spacing w:val="-1"/>
                <w:sz w:val="16"/>
                <w:szCs w:val="16"/>
              </w:rPr>
              <w:t>M</w:t>
            </w:r>
            <w:r w:rsidRPr="001E661C">
              <w:rPr>
                <w:rFonts w:ascii="Garamond" w:hAnsi="Garamond"/>
                <w:b/>
                <w:sz w:val="16"/>
                <w:szCs w:val="16"/>
              </w:rPr>
              <w:t>I</w:t>
            </w:r>
            <w:r w:rsidRPr="001E661C">
              <w:rPr>
                <w:rFonts w:ascii="Garamond" w:hAnsi="Garamond"/>
                <w:b/>
                <w:spacing w:val="-1"/>
                <w:sz w:val="16"/>
                <w:szCs w:val="16"/>
              </w:rPr>
              <w:t xml:space="preserve"> </w:t>
            </w:r>
            <w:r w:rsidRPr="001E661C">
              <w:rPr>
                <w:rFonts w:ascii="Garamond" w:hAnsi="Garamond"/>
                <w:b/>
                <w:sz w:val="16"/>
                <w:szCs w:val="16"/>
              </w:rPr>
              <w:t>TE</w:t>
            </w:r>
            <w:r w:rsidRPr="001E661C">
              <w:rPr>
                <w:rFonts w:ascii="Garamond" w:hAnsi="Garamond"/>
                <w:b/>
                <w:spacing w:val="-3"/>
                <w:sz w:val="16"/>
                <w:szCs w:val="16"/>
              </w:rPr>
              <w:t>K</w:t>
            </w:r>
            <w:r w:rsidRPr="001E661C">
              <w:rPr>
                <w:rFonts w:ascii="Garamond" w:hAnsi="Garamond"/>
                <w:b/>
                <w:sz w:val="16"/>
                <w:szCs w:val="16"/>
              </w:rPr>
              <w:t>N</w:t>
            </w:r>
            <w:r w:rsidRPr="001E661C">
              <w:rPr>
                <w:rFonts w:ascii="Garamond" w:hAnsi="Garamond"/>
                <w:b/>
                <w:spacing w:val="-1"/>
                <w:sz w:val="16"/>
                <w:szCs w:val="16"/>
              </w:rPr>
              <w:t>OL</w:t>
            </w:r>
            <w:r w:rsidRPr="001E661C">
              <w:rPr>
                <w:rFonts w:ascii="Garamond" w:hAnsi="Garamond"/>
                <w:b/>
                <w:spacing w:val="-4"/>
                <w:sz w:val="16"/>
                <w:szCs w:val="16"/>
              </w:rPr>
              <w:t>O</w:t>
            </w:r>
            <w:r w:rsidRPr="001E661C">
              <w:rPr>
                <w:rFonts w:ascii="Garamond" w:hAnsi="Garamond"/>
                <w:b/>
                <w:sz w:val="16"/>
                <w:szCs w:val="16"/>
              </w:rPr>
              <w:t>G</w:t>
            </w:r>
            <w:r w:rsidRPr="001E661C">
              <w:rPr>
                <w:rFonts w:ascii="Garamond" w:hAnsi="Garamond"/>
                <w:b/>
                <w:spacing w:val="-2"/>
                <w:sz w:val="16"/>
                <w:szCs w:val="16"/>
              </w:rPr>
              <w:t>J</w:t>
            </w:r>
            <w:r w:rsidRPr="001E661C">
              <w:rPr>
                <w:rFonts w:ascii="Garamond" w:hAnsi="Garamond"/>
                <w:b/>
                <w:sz w:val="16"/>
                <w:szCs w:val="16"/>
              </w:rPr>
              <w:t>I</w:t>
            </w:r>
            <w:r w:rsidRPr="001E661C">
              <w:rPr>
                <w:rFonts w:ascii="Garamond" w:hAnsi="Garamond"/>
                <w:b/>
                <w:spacing w:val="-1"/>
                <w:sz w:val="16"/>
                <w:szCs w:val="16"/>
              </w:rPr>
              <w:t>K</w:t>
            </w:r>
            <w:r w:rsidRPr="001E661C">
              <w:rPr>
                <w:rFonts w:ascii="Garamond" w:hAnsi="Garamond"/>
                <w:b/>
                <w:sz w:val="16"/>
                <w:szCs w:val="16"/>
              </w:rPr>
              <w:t>,</w:t>
            </w:r>
            <w:r w:rsidRPr="001E661C">
              <w:rPr>
                <w:rFonts w:ascii="Garamond" w:hAnsi="Garamond"/>
                <w:b/>
                <w:spacing w:val="-2"/>
                <w:sz w:val="16"/>
                <w:szCs w:val="16"/>
              </w:rPr>
              <w:t xml:space="preserve"> I</w:t>
            </w:r>
            <w:r w:rsidRPr="001E661C">
              <w:rPr>
                <w:rFonts w:ascii="Garamond" w:hAnsi="Garamond"/>
                <w:b/>
                <w:sz w:val="16"/>
                <w:szCs w:val="16"/>
              </w:rPr>
              <w:t>N</w:t>
            </w:r>
            <w:r w:rsidRPr="001E661C">
              <w:rPr>
                <w:rFonts w:ascii="Garamond" w:hAnsi="Garamond"/>
                <w:b/>
                <w:spacing w:val="-1"/>
                <w:sz w:val="16"/>
                <w:szCs w:val="16"/>
              </w:rPr>
              <w:t>O</w:t>
            </w:r>
            <w:r w:rsidRPr="001E661C">
              <w:rPr>
                <w:rFonts w:ascii="Garamond" w:hAnsi="Garamond"/>
                <w:b/>
                <w:spacing w:val="-2"/>
                <w:sz w:val="16"/>
                <w:szCs w:val="16"/>
              </w:rPr>
              <w:t>V</w:t>
            </w:r>
            <w:r w:rsidRPr="001E661C">
              <w:rPr>
                <w:rFonts w:ascii="Garamond" w:hAnsi="Garamond"/>
                <w:b/>
                <w:sz w:val="16"/>
                <w:szCs w:val="16"/>
              </w:rPr>
              <w:t>A</w:t>
            </w:r>
            <w:r w:rsidRPr="001E661C">
              <w:rPr>
                <w:rFonts w:ascii="Garamond" w:hAnsi="Garamond"/>
                <w:b/>
                <w:spacing w:val="-2"/>
                <w:sz w:val="16"/>
                <w:szCs w:val="16"/>
              </w:rPr>
              <w:t>C</w:t>
            </w:r>
            <w:r w:rsidRPr="001E661C">
              <w:rPr>
                <w:rFonts w:ascii="Garamond" w:hAnsi="Garamond"/>
                <w:b/>
                <w:spacing w:val="3"/>
                <w:sz w:val="16"/>
                <w:szCs w:val="16"/>
              </w:rPr>
              <w:t>I</w:t>
            </w:r>
            <w:r w:rsidRPr="001E661C">
              <w:rPr>
                <w:rFonts w:ascii="Garamond" w:hAnsi="Garamond"/>
                <w:b/>
                <w:spacing w:val="-3"/>
                <w:sz w:val="16"/>
                <w:szCs w:val="16"/>
              </w:rPr>
              <w:t>O</w:t>
            </w:r>
            <w:r w:rsidRPr="001E661C">
              <w:rPr>
                <w:rFonts w:ascii="Garamond" w:hAnsi="Garamond"/>
                <w:b/>
                <w:sz w:val="16"/>
                <w:szCs w:val="16"/>
              </w:rPr>
              <w:t xml:space="preserve">NI </w:t>
            </w:r>
            <w:r w:rsidRPr="001E661C">
              <w:rPr>
                <w:rFonts w:ascii="Garamond" w:hAnsi="Garamond"/>
                <w:b/>
                <w:spacing w:val="-1"/>
                <w:sz w:val="16"/>
                <w:szCs w:val="16"/>
              </w:rPr>
              <w:t>DH</w:t>
            </w:r>
            <w:r w:rsidRPr="001E661C">
              <w:rPr>
                <w:rFonts w:ascii="Garamond" w:hAnsi="Garamond"/>
                <w:b/>
                <w:sz w:val="16"/>
                <w:szCs w:val="16"/>
              </w:rPr>
              <w:t>E</w:t>
            </w:r>
            <w:r w:rsidRPr="001E661C">
              <w:rPr>
                <w:rFonts w:ascii="Garamond" w:hAnsi="Garamond"/>
                <w:b/>
                <w:spacing w:val="-2"/>
                <w:sz w:val="16"/>
                <w:szCs w:val="16"/>
              </w:rPr>
              <w:t xml:space="preserve"> </w:t>
            </w:r>
            <w:r w:rsidRPr="001E661C">
              <w:rPr>
                <w:rFonts w:ascii="Garamond" w:hAnsi="Garamond"/>
                <w:b/>
                <w:sz w:val="16"/>
                <w:szCs w:val="16"/>
              </w:rPr>
              <w:t>TIK</w:t>
            </w:r>
          </w:p>
        </w:tc>
        <w:tc>
          <w:tcPr>
            <w:tcW w:w="1726" w:type="dxa"/>
            <w:tcBorders>
              <w:top w:val="single" w:sz="6" w:space="0" w:color="000000"/>
              <w:left w:val="single" w:sz="6" w:space="0" w:color="000000"/>
              <w:right w:val="single" w:sz="6" w:space="0" w:color="000000"/>
            </w:tcBorders>
          </w:tcPr>
          <w:p w14:paraId="4C7086DD" w14:textId="77777777" w:rsidR="00C61F48" w:rsidRPr="001E661C" w:rsidRDefault="00C61F48" w:rsidP="00BA13DB">
            <w:pPr>
              <w:pStyle w:val="TableParagraph"/>
              <w:spacing w:before="1"/>
              <w:ind w:left="172" w:right="184"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Prania e universiteteve publike dhe private në zonën e programit;</w:t>
            </w:r>
          </w:p>
          <w:p w14:paraId="13F29AE3" w14:textId="77777777" w:rsidR="00C61F48" w:rsidRPr="001E661C" w:rsidRDefault="00C61F48" w:rsidP="00C61F48">
            <w:pPr>
              <w:pStyle w:val="TableParagraph"/>
              <w:numPr>
                <w:ilvl w:val="0"/>
                <w:numId w:val="5"/>
              </w:numPr>
              <w:tabs>
                <w:tab w:val="left" w:pos="212"/>
              </w:tabs>
              <w:spacing w:before="78"/>
              <w:ind w:right="223" w:hanging="72"/>
              <w:rPr>
                <w:rFonts w:ascii="Garamond" w:hAnsi="Garamond"/>
                <w:sz w:val="16"/>
                <w:szCs w:val="16"/>
              </w:rPr>
            </w:pPr>
            <w:r w:rsidRPr="001E661C">
              <w:rPr>
                <w:rFonts w:ascii="Garamond" w:hAnsi="Garamond"/>
                <w:sz w:val="16"/>
                <w:szCs w:val="16"/>
              </w:rPr>
              <w:t>Rritja e përqindjes së popullsisë që përdor në mënyrë aktive teknologjinë TIK.</w:t>
            </w:r>
          </w:p>
        </w:tc>
        <w:tc>
          <w:tcPr>
            <w:tcW w:w="2398" w:type="dxa"/>
            <w:tcBorders>
              <w:top w:val="single" w:sz="6" w:space="0" w:color="000000"/>
              <w:left w:val="single" w:sz="6" w:space="0" w:color="000000"/>
              <w:right w:val="single" w:sz="6" w:space="0" w:color="000000"/>
            </w:tcBorders>
          </w:tcPr>
          <w:p w14:paraId="5D2CBEB2" w14:textId="77777777" w:rsidR="00C61F48" w:rsidRPr="001E661C" w:rsidRDefault="00C61F48" w:rsidP="00BA13DB">
            <w:pPr>
              <w:pStyle w:val="TableParagraph"/>
              <w:spacing w:before="1"/>
              <w:ind w:left="172" w:right="203"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Kërkimet dhe praktikat novatore të universiteteve dhe operatorëve të tjerë në zonën e programit, të varfra;</w:t>
            </w:r>
          </w:p>
          <w:p w14:paraId="189C9067" w14:textId="77777777" w:rsidR="00C61F48" w:rsidRPr="001E661C" w:rsidRDefault="00C61F48" w:rsidP="00C61F48">
            <w:pPr>
              <w:pStyle w:val="TableParagraph"/>
              <w:numPr>
                <w:ilvl w:val="0"/>
                <w:numId w:val="4"/>
              </w:numPr>
              <w:tabs>
                <w:tab w:val="left" w:pos="212"/>
              </w:tabs>
              <w:spacing w:before="81"/>
              <w:ind w:right="704" w:hanging="72"/>
              <w:rPr>
                <w:rFonts w:ascii="Garamond" w:hAnsi="Garamond"/>
                <w:sz w:val="16"/>
                <w:szCs w:val="16"/>
              </w:rPr>
            </w:pPr>
            <w:r w:rsidRPr="001E661C">
              <w:rPr>
                <w:rFonts w:ascii="Garamond" w:hAnsi="Garamond"/>
                <w:sz w:val="16"/>
                <w:szCs w:val="16"/>
              </w:rPr>
              <w:t>Depërtimi modest</w:t>
            </w:r>
            <w:r w:rsidRPr="001E661C">
              <w:rPr>
                <w:rFonts w:ascii="Garamond" w:hAnsi="Garamond"/>
                <w:spacing w:val="-7"/>
                <w:sz w:val="16"/>
                <w:szCs w:val="16"/>
              </w:rPr>
              <w:t xml:space="preserve"> </w:t>
            </w:r>
            <w:r w:rsidRPr="001E661C">
              <w:rPr>
                <w:rFonts w:ascii="Garamond" w:hAnsi="Garamond"/>
                <w:sz w:val="16"/>
                <w:szCs w:val="16"/>
              </w:rPr>
              <w:t>në internet;</w:t>
            </w:r>
          </w:p>
          <w:p w14:paraId="495C7BCF" w14:textId="77777777" w:rsidR="00C61F48" w:rsidRPr="001E661C" w:rsidRDefault="00C61F48" w:rsidP="00C61F48">
            <w:pPr>
              <w:pStyle w:val="TableParagraph"/>
              <w:numPr>
                <w:ilvl w:val="0"/>
                <w:numId w:val="4"/>
              </w:numPr>
              <w:tabs>
                <w:tab w:val="left" w:pos="212"/>
              </w:tabs>
              <w:spacing w:before="80"/>
              <w:ind w:left="211"/>
              <w:rPr>
                <w:rFonts w:ascii="Garamond" w:hAnsi="Garamond"/>
                <w:sz w:val="16"/>
                <w:szCs w:val="16"/>
              </w:rPr>
            </w:pPr>
            <w:r w:rsidRPr="001E661C">
              <w:rPr>
                <w:rFonts w:ascii="Garamond" w:hAnsi="Garamond"/>
                <w:sz w:val="16"/>
                <w:szCs w:val="16"/>
              </w:rPr>
              <w:t>Arsimimi i dobët</w:t>
            </w:r>
            <w:r w:rsidRPr="001E661C">
              <w:rPr>
                <w:rFonts w:ascii="Garamond" w:hAnsi="Garamond"/>
                <w:spacing w:val="-14"/>
                <w:sz w:val="16"/>
                <w:szCs w:val="16"/>
              </w:rPr>
              <w:t xml:space="preserve"> </w:t>
            </w:r>
            <w:r w:rsidRPr="001E661C">
              <w:rPr>
                <w:rFonts w:ascii="Garamond" w:hAnsi="Garamond"/>
                <w:sz w:val="16"/>
                <w:szCs w:val="16"/>
              </w:rPr>
              <w:t>kompjuterik;</w:t>
            </w:r>
          </w:p>
          <w:p w14:paraId="7C069D78" w14:textId="77777777" w:rsidR="00C61F48" w:rsidRPr="001E661C" w:rsidRDefault="00C61F48" w:rsidP="00BA13DB">
            <w:pPr>
              <w:pStyle w:val="TableParagraph"/>
              <w:spacing w:before="80"/>
              <w:ind w:left="172" w:right="240"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Teknologjia e informacionit dhe komunikimit e përdorur nga ana e universiteteve, shkollave dhe bizneseve, e dobët.</w:t>
            </w:r>
          </w:p>
        </w:tc>
        <w:tc>
          <w:tcPr>
            <w:tcW w:w="2110" w:type="dxa"/>
            <w:tcBorders>
              <w:top w:val="single" w:sz="6" w:space="0" w:color="000000"/>
              <w:left w:val="single" w:sz="6" w:space="0" w:color="000000"/>
              <w:right w:val="single" w:sz="6" w:space="0" w:color="000000"/>
            </w:tcBorders>
          </w:tcPr>
          <w:p w14:paraId="24D40CAA" w14:textId="77777777" w:rsidR="00C61F48" w:rsidRPr="001E661C" w:rsidRDefault="00C61F48" w:rsidP="00BA13DB">
            <w:pPr>
              <w:pStyle w:val="TableParagraph"/>
              <w:spacing w:before="1"/>
              <w:ind w:left="172" w:right="79"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Zhvillimi dhe zbatimi i projekteve ndërkufitare të TIK;</w:t>
            </w:r>
          </w:p>
          <w:p w14:paraId="75F6AA33" w14:textId="77777777" w:rsidR="00C61F48" w:rsidRPr="001E661C" w:rsidRDefault="00C61F48" w:rsidP="00C61F48">
            <w:pPr>
              <w:pStyle w:val="TableParagraph"/>
              <w:numPr>
                <w:ilvl w:val="0"/>
                <w:numId w:val="3"/>
              </w:numPr>
              <w:tabs>
                <w:tab w:val="left" w:pos="212"/>
              </w:tabs>
              <w:spacing w:before="78"/>
              <w:ind w:right="155" w:hanging="72"/>
              <w:rPr>
                <w:rFonts w:ascii="Garamond" w:hAnsi="Garamond"/>
                <w:sz w:val="16"/>
                <w:szCs w:val="16"/>
              </w:rPr>
            </w:pPr>
            <w:r w:rsidRPr="001E661C">
              <w:rPr>
                <w:rFonts w:ascii="Garamond" w:hAnsi="Garamond"/>
                <w:sz w:val="16"/>
                <w:szCs w:val="16"/>
              </w:rPr>
              <w:t>Investimet në TIK dhe programet e kërkimit</w:t>
            </w:r>
            <w:r w:rsidRPr="001E661C">
              <w:rPr>
                <w:rFonts w:ascii="Garamond" w:hAnsi="Garamond"/>
                <w:spacing w:val="-9"/>
                <w:sz w:val="16"/>
                <w:szCs w:val="16"/>
              </w:rPr>
              <w:t xml:space="preserve"> </w:t>
            </w:r>
            <w:r w:rsidRPr="001E661C">
              <w:rPr>
                <w:rFonts w:ascii="Garamond" w:hAnsi="Garamond"/>
                <w:sz w:val="16"/>
                <w:szCs w:val="16"/>
              </w:rPr>
              <w:t>dhe zhvillimit që do të përshtaten me nevojat e zhvillimit të sektorit privat;</w:t>
            </w:r>
          </w:p>
          <w:p w14:paraId="12EC5B92" w14:textId="77777777" w:rsidR="00C61F48" w:rsidRPr="001E661C" w:rsidRDefault="00C61F48" w:rsidP="00C61F48">
            <w:pPr>
              <w:pStyle w:val="TableParagraph"/>
              <w:numPr>
                <w:ilvl w:val="0"/>
                <w:numId w:val="3"/>
              </w:numPr>
              <w:tabs>
                <w:tab w:val="left" w:pos="212"/>
              </w:tabs>
              <w:spacing w:before="80"/>
              <w:ind w:right="149" w:hanging="72"/>
              <w:rPr>
                <w:rFonts w:ascii="Garamond" w:hAnsi="Garamond"/>
                <w:sz w:val="16"/>
                <w:szCs w:val="16"/>
              </w:rPr>
            </w:pPr>
            <w:r w:rsidRPr="001E661C">
              <w:rPr>
                <w:rFonts w:ascii="Garamond" w:hAnsi="Garamond"/>
                <w:sz w:val="16"/>
                <w:szCs w:val="16"/>
              </w:rPr>
              <w:t>Forcimi i kërkimit shkencor, teknologjik</w:t>
            </w:r>
            <w:r w:rsidRPr="001E661C">
              <w:rPr>
                <w:rFonts w:ascii="Garamond" w:hAnsi="Garamond"/>
                <w:spacing w:val="-10"/>
                <w:sz w:val="16"/>
                <w:szCs w:val="16"/>
              </w:rPr>
              <w:t xml:space="preserve"> </w:t>
            </w:r>
            <w:r w:rsidRPr="001E661C">
              <w:rPr>
                <w:rFonts w:ascii="Garamond" w:hAnsi="Garamond"/>
                <w:sz w:val="16"/>
                <w:szCs w:val="16"/>
              </w:rPr>
              <w:t>dhe novatore në zonën e programit;</w:t>
            </w:r>
          </w:p>
          <w:p w14:paraId="10819907" w14:textId="77777777" w:rsidR="00C61F48" w:rsidRPr="001E661C" w:rsidRDefault="00C61F48" w:rsidP="00C61F48">
            <w:pPr>
              <w:pStyle w:val="TableParagraph"/>
              <w:numPr>
                <w:ilvl w:val="0"/>
                <w:numId w:val="3"/>
              </w:numPr>
              <w:tabs>
                <w:tab w:val="left" w:pos="212"/>
              </w:tabs>
              <w:spacing w:before="80"/>
              <w:ind w:right="173" w:hanging="72"/>
              <w:rPr>
                <w:rFonts w:ascii="Garamond" w:hAnsi="Garamond"/>
                <w:sz w:val="16"/>
                <w:szCs w:val="16"/>
              </w:rPr>
            </w:pPr>
            <w:r w:rsidRPr="001E661C">
              <w:rPr>
                <w:rFonts w:ascii="Garamond" w:hAnsi="Garamond"/>
                <w:sz w:val="16"/>
                <w:szCs w:val="16"/>
              </w:rPr>
              <w:t>Programet e shkëmbimit të</w:t>
            </w:r>
            <w:r w:rsidRPr="001E661C">
              <w:rPr>
                <w:rFonts w:ascii="Garamond" w:hAnsi="Garamond"/>
                <w:spacing w:val="-5"/>
                <w:sz w:val="16"/>
                <w:szCs w:val="16"/>
              </w:rPr>
              <w:t xml:space="preserve"> </w:t>
            </w:r>
            <w:r w:rsidRPr="001E661C">
              <w:rPr>
                <w:rFonts w:ascii="Garamond" w:hAnsi="Garamond"/>
                <w:sz w:val="16"/>
                <w:szCs w:val="16"/>
              </w:rPr>
              <w:t>studentëve.</w:t>
            </w:r>
          </w:p>
        </w:tc>
        <w:tc>
          <w:tcPr>
            <w:tcW w:w="2216" w:type="dxa"/>
            <w:tcBorders>
              <w:top w:val="single" w:sz="6" w:space="0" w:color="000000"/>
              <w:left w:val="single" w:sz="6" w:space="0" w:color="000000"/>
            </w:tcBorders>
          </w:tcPr>
          <w:p w14:paraId="56D862BB" w14:textId="77777777" w:rsidR="00C61F48" w:rsidRPr="001E661C" w:rsidRDefault="00C61F48" w:rsidP="00BA13DB">
            <w:pPr>
              <w:pStyle w:val="TableParagraph"/>
              <w:spacing w:before="1"/>
              <w:ind w:left="172" w:right="82" w:hanging="72"/>
              <w:rPr>
                <w:rFonts w:ascii="Garamond" w:hAnsi="Garamond"/>
                <w:sz w:val="16"/>
                <w:szCs w:val="16"/>
              </w:rPr>
            </w:pPr>
            <w:r w:rsidRPr="001E661C">
              <w:rPr>
                <w:rFonts w:ascii="Garamond" w:hAnsi="Garamond"/>
                <w:color w:val="000080"/>
                <w:sz w:val="16"/>
                <w:szCs w:val="16"/>
              </w:rPr>
              <w:t>•</w:t>
            </w:r>
            <w:r w:rsidRPr="001E661C">
              <w:rPr>
                <w:rFonts w:ascii="Garamond" w:hAnsi="Garamond"/>
                <w:sz w:val="16"/>
                <w:szCs w:val="16"/>
              </w:rPr>
              <w:t>Mungesa e strategjive kombëtare për promovimin e TIK, kërkimin shkencor &amp; zhvillimin;</w:t>
            </w:r>
          </w:p>
          <w:p w14:paraId="46507AD2" w14:textId="77777777" w:rsidR="00C61F48" w:rsidRPr="001E661C" w:rsidRDefault="00C61F48" w:rsidP="00C61F48">
            <w:pPr>
              <w:pStyle w:val="TableParagraph"/>
              <w:numPr>
                <w:ilvl w:val="0"/>
                <w:numId w:val="2"/>
              </w:numPr>
              <w:tabs>
                <w:tab w:val="left" w:pos="212"/>
              </w:tabs>
              <w:spacing w:before="81"/>
              <w:ind w:right="346" w:hanging="72"/>
              <w:rPr>
                <w:rFonts w:ascii="Garamond" w:hAnsi="Garamond"/>
                <w:sz w:val="16"/>
                <w:szCs w:val="16"/>
              </w:rPr>
            </w:pPr>
            <w:r w:rsidRPr="001E661C">
              <w:rPr>
                <w:rFonts w:ascii="Garamond" w:hAnsi="Garamond"/>
                <w:sz w:val="16"/>
                <w:szCs w:val="16"/>
              </w:rPr>
              <w:t>Burime financiare të kufizuara për kërkimin shkencor dhe</w:t>
            </w:r>
            <w:r w:rsidRPr="001E661C">
              <w:rPr>
                <w:rFonts w:ascii="Garamond" w:hAnsi="Garamond"/>
                <w:spacing w:val="-8"/>
                <w:sz w:val="16"/>
                <w:szCs w:val="16"/>
              </w:rPr>
              <w:t xml:space="preserve"> </w:t>
            </w:r>
            <w:r w:rsidRPr="001E661C">
              <w:rPr>
                <w:rFonts w:ascii="Garamond" w:hAnsi="Garamond"/>
                <w:sz w:val="16"/>
                <w:szCs w:val="16"/>
              </w:rPr>
              <w:t>zhvillimin;</w:t>
            </w:r>
          </w:p>
          <w:p w14:paraId="1884B0CB" w14:textId="77777777" w:rsidR="00C61F48" w:rsidRPr="001E661C" w:rsidRDefault="00C61F48" w:rsidP="00C61F48">
            <w:pPr>
              <w:pStyle w:val="TableParagraph"/>
              <w:numPr>
                <w:ilvl w:val="0"/>
                <w:numId w:val="2"/>
              </w:numPr>
              <w:tabs>
                <w:tab w:val="left" w:pos="212"/>
              </w:tabs>
              <w:spacing w:before="80"/>
              <w:ind w:right="80" w:hanging="72"/>
              <w:rPr>
                <w:rFonts w:ascii="Garamond" w:hAnsi="Garamond"/>
                <w:sz w:val="16"/>
                <w:szCs w:val="16"/>
              </w:rPr>
            </w:pPr>
            <w:r w:rsidRPr="001E661C">
              <w:rPr>
                <w:rFonts w:ascii="Garamond" w:hAnsi="Garamond"/>
                <w:sz w:val="16"/>
                <w:szCs w:val="16"/>
              </w:rPr>
              <w:t>Interesi i pamjaftueshëm i sektorit privat për</w:t>
            </w:r>
            <w:r w:rsidRPr="001E661C">
              <w:rPr>
                <w:rFonts w:ascii="Garamond" w:hAnsi="Garamond"/>
                <w:spacing w:val="-12"/>
                <w:sz w:val="16"/>
                <w:szCs w:val="16"/>
              </w:rPr>
              <w:t xml:space="preserve"> </w:t>
            </w:r>
            <w:r w:rsidRPr="001E661C">
              <w:rPr>
                <w:rFonts w:ascii="Garamond" w:hAnsi="Garamond"/>
                <w:sz w:val="16"/>
                <w:szCs w:val="16"/>
              </w:rPr>
              <w:t>zhvillimin teknologjik dhe modernizimin e proceseve të</w:t>
            </w:r>
            <w:r w:rsidRPr="001E661C">
              <w:rPr>
                <w:rFonts w:ascii="Garamond" w:hAnsi="Garamond"/>
                <w:spacing w:val="-6"/>
                <w:sz w:val="16"/>
                <w:szCs w:val="16"/>
              </w:rPr>
              <w:t xml:space="preserve"> </w:t>
            </w:r>
            <w:r w:rsidRPr="001E661C">
              <w:rPr>
                <w:rFonts w:ascii="Garamond" w:hAnsi="Garamond"/>
                <w:sz w:val="16"/>
                <w:szCs w:val="16"/>
              </w:rPr>
              <w:t>prodhimit.</w:t>
            </w:r>
          </w:p>
        </w:tc>
      </w:tr>
    </w:tbl>
    <w:p w14:paraId="6940AF4E" w14:textId="77777777" w:rsidR="00C61F48" w:rsidRDefault="00C61F48" w:rsidP="00532DCC">
      <w:pPr>
        <w:pStyle w:val="TEKSTI"/>
      </w:pPr>
    </w:p>
    <w:p w14:paraId="71922A82" w14:textId="77777777" w:rsidR="00C61F48" w:rsidRDefault="00C61F48" w:rsidP="00532DCC">
      <w:pPr>
        <w:pStyle w:val="TEKSTI"/>
      </w:pPr>
    </w:p>
    <w:p w14:paraId="6D8B4364" w14:textId="1B0643B2"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Marrëveshja e Financimit IPA II, Programet Vjetore të Veprimit BNK – Shtojca II-</w:t>
      </w:r>
      <w:r w:rsidR="003A6218">
        <w:rPr>
          <w:rFonts w:ascii="Garamond" w:hAnsi="Garamond"/>
          <w:sz w:val="24"/>
          <w:szCs w:val="24"/>
        </w:rPr>
        <w:t xml:space="preserve"> Kushtet e Përgjithshme v. 3.1 s</w:t>
      </w:r>
      <w:r w:rsidRPr="001D5A65">
        <w:rPr>
          <w:rFonts w:ascii="Garamond" w:hAnsi="Garamond"/>
          <w:sz w:val="24"/>
          <w:szCs w:val="24"/>
        </w:rPr>
        <w:t>htator 2018</w:t>
      </w:r>
    </w:p>
    <w:p w14:paraId="20ACE99A" w14:textId="77777777" w:rsidR="00774BF1" w:rsidRPr="001D5A65" w:rsidRDefault="00774BF1" w:rsidP="00774BF1">
      <w:pPr>
        <w:widowControl w:val="0"/>
        <w:autoSpaceDE w:val="0"/>
        <w:autoSpaceDN w:val="0"/>
        <w:adjustRightInd w:val="0"/>
        <w:spacing w:after="0" w:line="240" w:lineRule="auto"/>
        <w:rPr>
          <w:rFonts w:ascii="Garamond" w:hAnsi="Garamond"/>
          <w:sz w:val="24"/>
          <w:szCs w:val="24"/>
        </w:rPr>
      </w:pPr>
    </w:p>
    <w:p w14:paraId="575A76DC" w14:textId="77777777" w:rsidR="00D8448F" w:rsidRPr="001D5A65" w:rsidRDefault="00D8448F" w:rsidP="00D8448F">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SHTOJCA II – KUSHTET E PËRGJITHSHME</w:t>
      </w:r>
    </w:p>
    <w:p w14:paraId="448EB827"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323B8F07" w14:textId="17291CF2" w:rsidR="00D8448F" w:rsidRPr="001D5A65" w:rsidRDefault="00D8448F" w:rsidP="00D8448F">
      <w:pPr>
        <w:widowControl w:val="0"/>
        <w:autoSpaceDE w:val="0"/>
        <w:autoSpaceDN w:val="0"/>
        <w:adjustRightInd w:val="0"/>
        <w:spacing w:after="0" w:line="240" w:lineRule="auto"/>
        <w:ind w:firstLine="284"/>
        <w:rPr>
          <w:rFonts w:ascii="Garamond" w:hAnsi="Garamond"/>
          <w:b/>
          <w:sz w:val="24"/>
          <w:szCs w:val="24"/>
        </w:rPr>
      </w:pPr>
      <w:r w:rsidRPr="001D5A65">
        <w:rPr>
          <w:rFonts w:ascii="Garamond" w:hAnsi="Garamond"/>
          <w:b/>
          <w:sz w:val="24"/>
          <w:szCs w:val="24"/>
        </w:rPr>
        <w:t>Përmbajtja</w:t>
      </w:r>
    </w:p>
    <w:p w14:paraId="09C77B3A" w14:textId="2ED8959D" w:rsidR="00D8448F" w:rsidRPr="001D5A65" w:rsidRDefault="00D8448F" w:rsidP="00D8448F">
      <w:pPr>
        <w:widowControl w:val="0"/>
        <w:tabs>
          <w:tab w:val="left" w:leader="dot" w:pos="8840"/>
        </w:tabs>
        <w:autoSpaceDE w:val="0"/>
        <w:autoSpaceDN w:val="0"/>
        <w:adjustRightInd w:val="0"/>
        <w:spacing w:after="0" w:line="240" w:lineRule="auto"/>
        <w:ind w:firstLine="284"/>
        <w:rPr>
          <w:rFonts w:ascii="Garamond" w:hAnsi="Garamond"/>
          <w:sz w:val="24"/>
          <w:szCs w:val="24"/>
        </w:rPr>
      </w:pPr>
      <w:r w:rsidRPr="001D5A65">
        <w:rPr>
          <w:rFonts w:ascii="Garamond" w:hAnsi="Garamond"/>
          <w:b/>
          <w:bCs/>
          <w:sz w:val="24"/>
          <w:szCs w:val="24"/>
        </w:rPr>
        <w:t>SHTOJCA II – KUSHTET E PËRGJITHSHME</w:t>
      </w:r>
    </w:p>
    <w:p w14:paraId="59F3B396" w14:textId="48105275" w:rsidR="00D8448F" w:rsidRPr="001D5A65" w:rsidRDefault="00D8448F" w:rsidP="00D8448F">
      <w:pPr>
        <w:widowControl w:val="0"/>
        <w:tabs>
          <w:tab w:val="left" w:leader="dot" w:pos="8820"/>
        </w:tabs>
        <w:autoSpaceDE w:val="0"/>
        <w:autoSpaceDN w:val="0"/>
        <w:adjustRightInd w:val="0"/>
        <w:spacing w:after="0" w:line="240" w:lineRule="auto"/>
        <w:ind w:firstLine="284"/>
        <w:rPr>
          <w:rFonts w:ascii="Garamond" w:hAnsi="Garamond"/>
          <w:sz w:val="24"/>
          <w:szCs w:val="24"/>
        </w:rPr>
      </w:pPr>
      <w:r w:rsidRPr="001D5A65">
        <w:rPr>
          <w:rFonts w:ascii="Garamond" w:hAnsi="Garamond"/>
          <w:b/>
          <w:bCs/>
          <w:sz w:val="24"/>
          <w:szCs w:val="24"/>
        </w:rPr>
        <w:t>Pjesa e parë: Dispozita të përgjithshme</w:t>
      </w:r>
    </w:p>
    <w:p w14:paraId="753D6CC9"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50835F6B" w14:textId="48D30914" w:rsidR="00D8448F" w:rsidRPr="001D5A65" w:rsidRDefault="00D8448F" w:rsidP="00D8448F">
      <w:pPr>
        <w:widowControl w:val="0"/>
        <w:tabs>
          <w:tab w:val="left" w:leader="dot" w:pos="882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1 - Periudha e ekzekutimit, periudha e zbatimit operacional dhe afati kontraktues</w:t>
      </w:r>
    </w:p>
    <w:p w14:paraId="53414B60" w14:textId="35383842" w:rsidR="00D8448F" w:rsidRPr="001D5A65" w:rsidRDefault="00D8448F" w:rsidP="00D8448F">
      <w:pPr>
        <w:widowControl w:val="0"/>
        <w:tabs>
          <w:tab w:val="left" w:leader="dot" w:pos="886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2 - Përfituesit e IPA II dhe detyrat e tyre të përbashkëta  </w:t>
      </w:r>
    </w:p>
    <w:p w14:paraId="0761241A" w14:textId="63101A95" w:rsidR="00D8448F" w:rsidRPr="001D5A65" w:rsidRDefault="00D8448F" w:rsidP="00D8448F">
      <w:pPr>
        <w:widowControl w:val="0"/>
        <w:tabs>
          <w:tab w:val="left" w:leader="dot" w:pos="886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3 - Kërkesat e raportimit</w:t>
      </w:r>
    </w:p>
    <w:p w14:paraId="48528C5E" w14:textId="7BD8A98E" w:rsidR="00D8448F" w:rsidRPr="001D5A65" w:rsidRDefault="00D8448F" w:rsidP="00D8448F">
      <w:pPr>
        <w:widowControl w:val="0"/>
        <w:tabs>
          <w:tab w:val="left" w:leader="dot" w:pos="886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4 – Vizibiliteti dhe Komunikimi</w:t>
      </w:r>
    </w:p>
    <w:p w14:paraId="22D22CE0" w14:textId="41EDAE36" w:rsidR="00D8448F" w:rsidRPr="001D5A65" w:rsidRDefault="00D8448F" w:rsidP="00D8448F">
      <w:pPr>
        <w:widowControl w:val="0"/>
        <w:tabs>
          <w:tab w:val="left" w:leader="dot" w:pos="884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5 – Të drejtat e pronësisë intelektuale</w:t>
      </w:r>
    </w:p>
    <w:p w14:paraId="320A1509" w14:textId="564130BF" w:rsidR="00D8448F" w:rsidRPr="001D5A65" w:rsidRDefault="00D8448F" w:rsidP="00D8448F">
      <w:pPr>
        <w:widowControl w:val="0"/>
        <w:tabs>
          <w:tab w:val="left" w:leader="dot" w:pos="4200"/>
          <w:tab w:val="left" w:leader="dot" w:pos="886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6 - Pranueshmëria e shpenzimeve</w:t>
      </w:r>
    </w:p>
    <w:p w14:paraId="70AD0E0C" w14:textId="77777777" w:rsidR="00D8448F" w:rsidRPr="001D5A65" w:rsidRDefault="00D8448F" w:rsidP="00D8448F">
      <w:pPr>
        <w:widowControl w:val="0"/>
        <w:autoSpaceDE w:val="0"/>
        <w:autoSpaceDN w:val="0"/>
        <w:adjustRightInd w:val="0"/>
        <w:spacing w:after="0" w:line="240" w:lineRule="auto"/>
        <w:ind w:firstLine="284"/>
        <w:rPr>
          <w:rFonts w:ascii="Garamond" w:hAnsi="Garamond"/>
          <w:b/>
          <w:bCs/>
          <w:sz w:val="24"/>
          <w:szCs w:val="24"/>
        </w:rPr>
      </w:pPr>
    </w:p>
    <w:p w14:paraId="3A00E81B" w14:textId="1DF7F524"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r w:rsidRPr="001D5A65">
        <w:rPr>
          <w:rFonts w:ascii="Garamond" w:hAnsi="Garamond"/>
          <w:b/>
          <w:bCs/>
          <w:sz w:val="24"/>
          <w:szCs w:val="24"/>
        </w:rPr>
        <w:t>Pjesa e dytë: Dispozitat e zbatueshme të menaxhimit të tërthortë nga përfituesi i IPA-s II</w:t>
      </w:r>
    </w:p>
    <w:p w14:paraId="41983BB7"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7 – Parime të përgjithshme</w:t>
      </w:r>
    </w:p>
    <w:p w14:paraId="5DFFC7C4" w14:textId="4C84332E" w:rsidR="00D8448F" w:rsidRPr="001D5A65" w:rsidRDefault="00D8448F" w:rsidP="00D8448F">
      <w:pPr>
        <w:widowControl w:val="0"/>
        <w:tabs>
          <w:tab w:val="left" w:leader="dot" w:pos="894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8 - Procedurat e dhënies së prokurimit dhe granteve</w:t>
      </w:r>
    </w:p>
    <w:p w14:paraId="5F33F6A5"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8 – Detyrimi për të informuar, sanksionet administrative dhe mosveprimi</w:t>
      </w:r>
    </w:p>
    <w:p w14:paraId="352875F8" w14:textId="2FFC782E" w:rsidR="00D8448F" w:rsidRPr="001D5A65" w:rsidRDefault="00D8448F" w:rsidP="00D8448F">
      <w:pPr>
        <w:pStyle w:val="TEKSTI"/>
      </w:pPr>
      <w:r w:rsidRPr="001D5A65">
        <w:t>Neni 9 – Kontrollet paraprake mbi procedurat e granteve</w:t>
      </w:r>
      <w:r>
        <w:t xml:space="preserve"> dhe prokurimeve dhe kontrollet </w:t>
      </w:r>
      <w:r w:rsidRPr="001D5A65">
        <w:t>paraprake të kontratave dhe granteve që do të kryhen nga komisioni</w:t>
      </w:r>
    </w:p>
    <w:p w14:paraId="4BA29CA6" w14:textId="039B5162" w:rsidR="00D8448F" w:rsidRPr="001D5A65" w:rsidRDefault="00D8448F" w:rsidP="00D8448F">
      <w:pPr>
        <w:widowControl w:val="0"/>
        <w:tabs>
          <w:tab w:val="left" w:leader="dot" w:pos="898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10 - Llogaritë bankare, sistemet e kontabilitetit  dhe kostot e njohura</w:t>
      </w:r>
    </w:p>
    <w:p w14:paraId="0F77C113" w14:textId="18BEA66E" w:rsidR="00D8448F" w:rsidRPr="001D5A65" w:rsidRDefault="00D8448F" w:rsidP="00D8448F">
      <w:pPr>
        <w:pStyle w:val="TEKSTI"/>
      </w:pPr>
      <w:r w:rsidRPr="001D5A65">
        <w:t>Neni 11 - Dispozita për pagesat e bëra nga Komisioni për përfituesit IPA II që është Autoriteti</w:t>
      </w:r>
      <w:r>
        <w:t xml:space="preserve"> </w:t>
      </w:r>
      <w:r w:rsidRPr="001D5A65">
        <w:t xml:space="preserve">Kontraktues </w:t>
      </w:r>
    </w:p>
    <w:p w14:paraId="4A40D49A" w14:textId="650378DD" w:rsidR="00D8448F" w:rsidRPr="001D5A65" w:rsidRDefault="00D8448F" w:rsidP="00D8448F">
      <w:pPr>
        <w:widowControl w:val="0"/>
        <w:tabs>
          <w:tab w:val="left" w:leader="dot" w:pos="898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12 - Ndërprerja e pagesave </w:t>
      </w:r>
    </w:p>
    <w:p w14:paraId="1D5BEA06" w14:textId="515275A0" w:rsidR="00D8448F" w:rsidRPr="001D5A65" w:rsidRDefault="00D8448F" w:rsidP="00D8448F">
      <w:pPr>
        <w:widowControl w:val="0"/>
        <w:tabs>
          <w:tab w:val="left" w:leader="dot" w:pos="900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13 – Kthimi i fondeve </w:t>
      </w:r>
    </w:p>
    <w:p w14:paraId="727170EF" w14:textId="63776466" w:rsidR="00D8448F" w:rsidRPr="001D5A65" w:rsidRDefault="00D8448F" w:rsidP="00D8448F">
      <w:pPr>
        <w:widowControl w:val="0"/>
        <w:tabs>
          <w:tab w:val="left" w:leader="dot" w:pos="8900"/>
        </w:tabs>
        <w:autoSpaceDE w:val="0"/>
        <w:autoSpaceDN w:val="0"/>
        <w:adjustRightInd w:val="0"/>
        <w:spacing w:after="0" w:line="240" w:lineRule="auto"/>
        <w:ind w:firstLine="284"/>
        <w:rPr>
          <w:rFonts w:ascii="Garamond" w:hAnsi="Garamond"/>
          <w:sz w:val="24"/>
          <w:szCs w:val="24"/>
        </w:rPr>
      </w:pPr>
      <w:r w:rsidRPr="001D5A65">
        <w:rPr>
          <w:rFonts w:ascii="Garamond" w:hAnsi="Garamond"/>
          <w:b/>
          <w:bCs/>
          <w:sz w:val="24"/>
          <w:szCs w:val="24"/>
        </w:rPr>
        <w:t xml:space="preserve">Pjesa e tretë: Dispozitat përfundimtare </w:t>
      </w:r>
    </w:p>
    <w:p w14:paraId="0C7BF2A2" w14:textId="7C32D348" w:rsidR="00D8448F" w:rsidRPr="001D5A65" w:rsidRDefault="00D8448F" w:rsidP="00D8448F">
      <w:pPr>
        <w:widowControl w:val="0"/>
        <w:tabs>
          <w:tab w:val="left" w:leader="dot" w:pos="886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14 - Konsultimi ndërmjet përfituesve të IPA II dhe Komisionit  . </w:t>
      </w:r>
    </w:p>
    <w:p w14:paraId="5200F7CA" w14:textId="44E06645" w:rsidR="00D8448F" w:rsidRPr="001D5A65" w:rsidRDefault="00D8448F" w:rsidP="00D8448F">
      <w:pPr>
        <w:widowControl w:val="0"/>
        <w:tabs>
          <w:tab w:val="left" w:leader="dot" w:pos="888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15 - Amendimi i kësaj marrëveshjeje financimi</w:t>
      </w:r>
    </w:p>
    <w:p w14:paraId="4464F823" w14:textId="6FC03B4E" w:rsidR="00D8448F" w:rsidRPr="001D5A65" w:rsidRDefault="00D8448F" w:rsidP="00D8448F">
      <w:pPr>
        <w:widowControl w:val="0"/>
        <w:tabs>
          <w:tab w:val="left" w:leader="dot" w:pos="884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16 - Pezullimi i kësaj marrëveshjeje financimi  </w:t>
      </w:r>
    </w:p>
    <w:p w14:paraId="70901DD2" w14:textId="3CB02229" w:rsidR="00D8448F" w:rsidRPr="001D5A65" w:rsidRDefault="00D8448F" w:rsidP="00D8448F">
      <w:pPr>
        <w:widowControl w:val="0"/>
        <w:tabs>
          <w:tab w:val="left" w:leader="dot" w:pos="890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Neni 17 - Përfundimi i kësaj marrëveshjeje financimi  …</w:t>
      </w:r>
    </w:p>
    <w:p w14:paraId="3942C287" w14:textId="4C1B5E6D" w:rsidR="00D8448F" w:rsidRPr="001D5A65" w:rsidRDefault="00D8448F" w:rsidP="00D8448F">
      <w:pPr>
        <w:widowControl w:val="0"/>
        <w:tabs>
          <w:tab w:val="left" w:leader="dot" w:pos="8880"/>
        </w:tabs>
        <w:autoSpaceDE w:val="0"/>
        <w:autoSpaceDN w:val="0"/>
        <w:adjustRightInd w:val="0"/>
        <w:spacing w:after="0" w:line="240" w:lineRule="auto"/>
        <w:ind w:firstLine="284"/>
        <w:rPr>
          <w:rFonts w:ascii="Garamond" w:hAnsi="Garamond"/>
          <w:sz w:val="24"/>
          <w:szCs w:val="24"/>
        </w:rPr>
      </w:pPr>
      <w:r w:rsidRPr="001D5A65">
        <w:rPr>
          <w:rFonts w:ascii="Garamond" w:hAnsi="Garamond"/>
          <w:sz w:val="24"/>
          <w:szCs w:val="24"/>
        </w:rPr>
        <w:t xml:space="preserve">Neni 18 – Rregullimet për zgjidhjen e mosmarrëveshjeve </w:t>
      </w:r>
    </w:p>
    <w:p w14:paraId="512D9999"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5E2386BE" w14:textId="34E3A198" w:rsidR="00D8448F" w:rsidRPr="00D8448F" w:rsidRDefault="00D8448F" w:rsidP="00D8448F">
      <w:pPr>
        <w:widowControl w:val="0"/>
        <w:autoSpaceDE w:val="0"/>
        <w:autoSpaceDN w:val="0"/>
        <w:adjustRightInd w:val="0"/>
        <w:spacing w:after="0" w:line="240" w:lineRule="auto"/>
        <w:ind w:firstLine="284"/>
        <w:jc w:val="center"/>
        <w:rPr>
          <w:rFonts w:ascii="Garamond" w:hAnsi="Garamond"/>
          <w:bCs/>
          <w:sz w:val="24"/>
          <w:szCs w:val="24"/>
        </w:rPr>
      </w:pPr>
      <w:r w:rsidRPr="00D8448F">
        <w:rPr>
          <w:rFonts w:ascii="Garamond" w:hAnsi="Garamond"/>
          <w:bCs/>
          <w:sz w:val="24"/>
          <w:szCs w:val="24"/>
        </w:rPr>
        <w:t>PJESA E PARË</w:t>
      </w:r>
    </w:p>
    <w:p w14:paraId="315EF27B" w14:textId="7038A843" w:rsidR="00D8448F" w:rsidRPr="00D8448F" w:rsidRDefault="00D8448F" w:rsidP="00D8448F">
      <w:pPr>
        <w:widowControl w:val="0"/>
        <w:autoSpaceDE w:val="0"/>
        <w:autoSpaceDN w:val="0"/>
        <w:adjustRightInd w:val="0"/>
        <w:spacing w:after="0" w:line="240" w:lineRule="auto"/>
        <w:ind w:firstLine="284"/>
        <w:jc w:val="center"/>
        <w:rPr>
          <w:rFonts w:ascii="Garamond" w:hAnsi="Garamond"/>
          <w:sz w:val="24"/>
          <w:szCs w:val="24"/>
        </w:rPr>
      </w:pPr>
      <w:r w:rsidRPr="00D8448F">
        <w:rPr>
          <w:rFonts w:ascii="Garamond" w:hAnsi="Garamond"/>
          <w:bCs/>
          <w:sz w:val="24"/>
          <w:szCs w:val="24"/>
        </w:rPr>
        <w:t>DISPOZITA TË PËRGJITHSHME</w:t>
      </w:r>
    </w:p>
    <w:p w14:paraId="22891BD2"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0CC3FA35" w14:textId="3D075A64" w:rsidR="00D8448F" w:rsidRPr="00D8448F" w:rsidRDefault="00D8448F" w:rsidP="00D8448F">
      <w:pPr>
        <w:widowControl w:val="0"/>
        <w:autoSpaceDE w:val="0"/>
        <w:autoSpaceDN w:val="0"/>
        <w:adjustRightInd w:val="0"/>
        <w:spacing w:after="0" w:line="240" w:lineRule="auto"/>
        <w:ind w:firstLine="284"/>
        <w:jc w:val="center"/>
        <w:rPr>
          <w:rFonts w:ascii="Garamond" w:hAnsi="Garamond"/>
          <w:bCs/>
          <w:sz w:val="24"/>
          <w:szCs w:val="24"/>
        </w:rPr>
      </w:pPr>
      <w:r w:rsidRPr="00D8448F">
        <w:rPr>
          <w:rFonts w:ascii="Garamond" w:hAnsi="Garamond"/>
          <w:bCs/>
          <w:sz w:val="24"/>
          <w:szCs w:val="24"/>
        </w:rPr>
        <w:t>Neni 1</w:t>
      </w:r>
    </w:p>
    <w:p w14:paraId="00FD178B" w14:textId="556273F5" w:rsidR="00D8448F" w:rsidRPr="001D5A65" w:rsidRDefault="00D8448F" w:rsidP="00D8448F">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Periudha e ekzekutimit, periudha e zbatimit operacional dhe afati kontraktues</w:t>
      </w:r>
    </w:p>
    <w:p w14:paraId="087CD138"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3772FAC8" w14:textId="78DA01EA" w:rsidR="00D8448F" w:rsidRPr="001D5A65" w:rsidRDefault="00D8448F" w:rsidP="00D8448F">
      <w:pPr>
        <w:pStyle w:val="TEKSTI"/>
      </w:pPr>
      <w:r>
        <w:t xml:space="preserve">1. </w:t>
      </w:r>
      <w:r w:rsidRPr="001D5A65">
        <w:t xml:space="preserve">Periudha e ekzekutimit është periudha gjatë së cilës zbatohet Marrëveshja e Financimit dhe përfshin periudhën operative të zbatimit, si dhe një fazë të mbylljes. Kohëzgjatja e periudhës së ekzekutimit është e përcaktuar në nenin 2 (1) të Kushteve të Veçanta dhe do të fillojë me hyrjen në fuqi të kësaj Marrëveshjeje Financimi. </w:t>
      </w:r>
    </w:p>
    <w:p w14:paraId="510B9ACB" w14:textId="48B02104" w:rsidR="00D8448F" w:rsidRPr="001D5A65" w:rsidRDefault="00D8448F" w:rsidP="00D8448F">
      <w:pPr>
        <w:pStyle w:val="TEKSTI"/>
      </w:pPr>
      <w:r>
        <w:t xml:space="preserve">2. </w:t>
      </w:r>
      <w:r w:rsidRPr="001D5A65">
        <w:t xml:space="preserve">Periudha e zbatimit operacional është periudha në të cilën kanë përfunduar të gjitha aktivitetet operative të mbuluara nga prokurimi dhe kontratat e grantit të Programit të Veprimit. Kohëzgjatja e kësaj periudhe është përcaktuar në nenin 2 (2) për Kushtet e Veçanta dhe do të fillojë me hyrjen në fuqi të kësaj Marrëveshjeje Financimi; </w:t>
      </w:r>
    </w:p>
    <w:p w14:paraId="453E2E85" w14:textId="27EF7EE8" w:rsidR="00D8448F" w:rsidRPr="001D5A65" w:rsidRDefault="00D8448F" w:rsidP="00D8448F">
      <w:pPr>
        <w:pStyle w:val="TEKSTI"/>
      </w:pPr>
      <w:r>
        <w:t xml:space="preserve">3. </w:t>
      </w:r>
      <w:r w:rsidRPr="001D5A65">
        <w:t xml:space="preserve">Periudha operacionale e zbatimit dhe ekzekutimit duhet të respektohet nga Autoriteti Kontraktues në mbyllje dhe zbatim të prokurimit dhe kontratave të granteve, në kuadër të kësaj marrëveshjeje financiare. </w:t>
      </w:r>
    </w:p>
    <w:p w14:paraId="7D8B76CF" w14:textId="29E445B3" w:rsidR="00D8448F" w:rsidRPr="001D5A65" w:rsidRDefault="00D8448F" w:rsidP="00D8448F">
      <w:pPr>
        <w:pStyle w:val="TEKSTI"/>
      </w:pPr>
      <w:r>
        <w:t xml:space="preserve">4. </w:t>
      </w:r>
      <w:r w:rsidRPr="001D5A65">
        <w:t xml:space="preserve">Kostot që lidhen me projektet e këtij Programi Veprimi do të jenë të pranueshme për financimin e BE-së vetëm nëse janë kryer gjatë periudhës së zbatimit operativ. </w:t>
      </w:r>
    </w:p>
    <w:p w14:paraId="6A59E2E0" w14:textId="546135E2" w:rsidR="00D8448F" w:rsidRPr="001D5A65" w:rsidRDefault="00D8448F" w:rsidP="00D8448F">
      <w:pPr>
        <w:pStyle w:val="TEKSTI"/>
      </w:pPr>
      <w:r>
        <w:t xml:space="preserve">5. </w:t>
      </w:r>
      <w:r w:rsidRPr="001D5A65">
        <w:t xml:space="preserve">Prokurimet, kontratat e grantit dhe marrëveshjet e kontributit do të përfundojnë maksimumi brenda tre vjetëve nga hyrja në fuqi e Marrëveshjes Financiare, përveç: </w:t>
      </w:r>
    </w:p>
    <w:p w14:paraId="5C373E82" w14:textId="195AC0B0" w:rsidR="00D8448F" w:rsidRPr="001D5A65" w:rsidRDefault="00D8448F" w:rsidP="00D8448F">
      <w:pPr>
        <w:pStyle w:val="TEKSTI"/>
      </w:pPr>
      <w:r>
        <w:t xml:space="preserve">a) </w:t>
      </w:r>
      <w:r w:rsidRPr="001D5A65">
        <w:t xml:space="preserve">në ndryshimet në kontratat tashmë të lidhura; </w:t>
      </w:r>
    </w:p>
    <w:p w14:paraId="382F8335" w14:textId="71740963" w:rsidR="00D8448F" w:rsidRPr="001D5A65" w:rsidRDefault="00D8448F" w:rsidP="00D8448F">
      <w:pPr>
        <w:pStyle w:val="TEKSTI"/>
      </w:pPr>
      <w:r>
        <w:t xml:space="preserve">b) </w:t>
      </w:r>
      <w:r w:rsidRPr="001D5A65">
        <w:t xml:space="preserve">kur kontratat individuale të prokurimit përfundojnë pas një ndërprerjeje të parakohshme të kontratës ekzistuese të prokurimit; </w:t>
      </w:r>
    </w:p>
    <w:p w14:paraId="724FAC38" w14:textId="0994CAE4" w:rsidR="00D8448F" w:rsidRPr="001D5A65" w:rsidRDefault="00D8448F" w:rsidP="00D8448F">
      <w:pPr>
        <w:pStyle w:val="TEKSTI"/>
      </w:pPr>
      <w:r>
        <w:t xml:space="preserve">c) </w:t>
      </w:r>
      <w:r w:rsidRPr="001D5A65">
        <w:t xml:space="preserve">kontratave që lidhen me auditimin dhe vlerësimin, të cilat mund të jenë të nënshkruara pas zbatimit operacional; </w:t>
      </w:r>
    </w:p>
    <w:p w14:paraId="05B667B2" w14:textId="2C38330B" w:rsidR="00D8448F" w:rsidRPr="001D5A65" w:rsidRDefault="00D8448F" w:rsidP="00D8448F">
      <w:pPr>
        <w:pStyle w:val="TEKSTI"/>
      </w:pPr>
      <w:r>
        <w:t xml:space="preserve">d) </w:t>
      </w:r>
      <w:r w:rsidRPr="001D5A65">
        <w:t xml:space="preserve">ndryshimi i subjektit të ngarkuar me detyra të besuara. </w:t>
      </w:r>
    </w:p>
    <w:p w14:paraId="50662FCD" w14:textId="030AF8E7" w:rsidR="00D8448F" w:rsidRPr="001D5A65" w:rsidRDefault="00D8448F" w:rsidP="00D8448F">
      <w:pPr>
        <w:pStyle w:val="TEKSTI"/>
      </w:pPr>
      <w:r>
        <w:t xml:space="preserve">6. </w:t>
      </w:r>
      <w:r w:rsidRPr="001D5A65">
        <w:t>Kur një kontratë granti ose prokurimi nuk ka sjellë asnjë pagesë brenda dy viteve nga nënshkrimi i saj, do të ndërpritet automatikisht dhe fondet e saj do të bllokohen, me përjashtim të çështjeve gjyqësore pranë gjykatave ose në organet e arbitrazhit.</w:t>
      </w:r>
    </w:p>
    <w:p w14:paraId="13CBBCA2"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0A1324AB" w14:textId="0F47E6E5" w:rsidR="00D8448F" w:rsidRPr="00D8448F" w:rsidRDefault="00D8448F" w:rsidP="00D8448F">
      <w:pPr>
        <w:widowControl w:val="0"/>
        <w:autoSpaceDE w:val="0"/>
        <w:autoSpaceDN w:val="0"/>
        <w:adjustRightInd w:val="0"/>
        <w:spacing w:after="0" w:line="240" w:lineRule="auto"/>
        <w:ind w:firstLine="284"/>
        <w:jc w:val="center"/>
        <w:rPr>
          <w:rFonts w:ascii="Garamond" w:hAnsi="Garamond"/>
          <w:bCs/>
          <w:sz w:val="24"/>
          <w:szCs w:val="24"/>
        </w:rPr>
      </w:pPr>
      <w:r w:rsidRPr="00D8448F">
        <w:rPr>
          <w:rFonts w:ascii="Garamond" w:hAnsi="Garamond"/>
          <w:bCs/>
          <w:sz w:val="24"/>
          <w:szCs w:val="24"/>
        </w:rPr>
        <w:t>Neni 2</w:t>
      </w:r>
    </w:p>
    <w:p w14:paraId="0A105637" w14:textId="1B72698C" w:rsidR="00D8448F" w:rsidRPr="001D5A65" w:rsidRDefault="00D8448F" w:rsidP="00D8448F">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Përfituesit e IPA II dhe detyrat e tyre të përbashkëta</w:t>
      </w:r>
    </w:p>
    <w:p w14:paraId="2FC83AC6"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2F8379A6" w14:textId="22B3C368" w:rsidR="00D8448F" w:rsidRPr="001D5A65" w:rsidRDefault="007A49E2" w:rsidP="007A49E2">
      <w:pPr>
        <w:pStyle w:val="TEKSTI"/>
      </w:pPr>
      <w:r>
        <w:t xml:space="preserve">1. </w:t>
      </w:r>
      <w:r w:rsidR="00D8448F" w:rsidRPr="001D5A65">
        <w:t xml:space="preserve">Siç parashikohet në nenin 76 (3) të kuadrit të marrëveshjeve përkatëse, përfituesit e IPA II do të bashkëpunojnë ngushtë dhe duhet të përmbushin bashkërisht në veçanti funksionet e mëposhtme dhe të marrin përsipër përgjegjësitë e mëposhtme: </w:t>
      </w:r>
    </w:p>
    <w:p w14:paraId="359BDF81" w14:textId="607AF6EE" w:rsidR="00D8448F" w:rsidRPr="001D5A65" w:rsidRDefault="007A49E2" w:rsidP="007A49E2">
      <w:pPr>
        <w:pStyle w:val="TEKSTI"/>
      </w:pPr>
      <w:r>
        <w:t xml:space="preserve">a) </w:t>
      </w:r>
      <w:r w:rsidR="00D8448F" w:rsidRPr="001D5A65">
        <w:t xml:space="preserve">përgatisin programet e bashkëpunimit ndërkufitar në përputhje me nenin 68 të Marrëveshjeve Kuadër përkatëse ose rishikimet e tyre; </w:t>
      </w:r>
    </w:p>
    <w:p w14:paraId="47614732" w14:textId="4561C8A4" w:rsidR="00D8448F" w:rsidRPr="001D5A65" w:rsidRDefault="007A49E2" w:rsidP="007A49E2">
      <w:pPr>
        <w:pStyle w:val="TEKSTI"/>
      </w:pPr>
      <w:r>
        <w:t xml:space="preserve">b) </w:t>
      </w:r>
      <w:r w:rsidR="00D8448F" w:rsidRPr="001D5A65">
        <w:t xml:space="preserve">sigurojnë pjesëmarrjen në Komitetin e Përbashkët të Monitorimit (KPM), mbledhje dhe takime të tjera dypalëshe; </w:t>
      </w:r>
    </w:p>
    <w:p w14:paraId="49C02C64" w14:textId="660CD5AA" w:rsidR="00D8448F" w:rsidRPr="001D5A65" w:rsidRDefault="007A49E2" w:rsidP="007A49E2">
      <w:pPr>
        <w:pStyle w:val="TEKSTI"/>
      </w:pPr>
      <w:r>
        <w:t xml:space="preserve">c) </w:t>
      </w:r>
      <w:r w:rsidR="00D8448F" w:rsidRPr="001D5A65">
        <w:t xml:space="preserve">emërojnë përfaqësuesin e tyre në KPM; </w:t>
      </w:r>
    </w:p>
    <w:p w14:paraId="347A7477" w14:textId="156DCEF9" w:rsidR="00D8448F" w:rsidRPr="001D5A65" w:rsidRDefault="007A49E2" w:rsidP="007A49E2">
      <w:pPr>
        <w:pStyle w:val="TEKSTI"/>
      </w:pPr>
      <w:r>
        <w:t xml:space="preserve">d) </w:t>
      </w:r>
      <w:r w:rsidR="00D8448F" w:rsidRPr="001D5A65">
        <w:t xml:space="preserve">krijojnë Sekretariatin e Përbashkët Teknik (SPT) dhe sigurohen që ajo të ketë stafin e duhur; </w:t>
      </w:r>
    </w:p>
    <w:p w14:paraId="2754D51D" w14:textId="30A9F5BC" w:rsidR="00D8448F" w:rsidRPr="001D5A65" w:rsidRDefault="007A49E2" w:rsidP="007A49E2">
      <w:pPr>
        <w:pStyle w:val="TEKSTI"/>
      </w:pPr>
      <w:r>
        <w:t xml:space="preserve">e) </w:t>
      </w:r>
      <w:r w:rsidR="00D8448F" w:rsidRPr="001D5A65">
        <w:t xml:space="preserve">përgatisin dhe zbatojnë vendimet strategjike të KPM; </w:t>
      </w:r>
    </w:p>
    <w:p w14:paraId="6A71E941" w14:textId="0344E785" w:rsidR="00D8448F" w:rsidRPr="001D5A65" w:rsidRDefault="007A49E2" w:rsidP="007A49E2">
      <w:pPr>
        <w:pStyle w:val="TEKSTI"/>
      </w:pPr>
      <w:r>
        <w:t xml:space="preserve">f) </w:t>
      </w:r>
      <w:r w:rsidR="00D8448F" w:rsidRPr="001D5A65">
        <w:t xml:space="preserve">mbështesin punën e KPM-së dhe sigurojnë informacionin e kërkuar për të kryer detyrat e veta, në veçanti të dhënat që lidhen me ecurinë e programit operativ në arritjen e objektivave specifike dhe synimeve për prioritet tematike si ngritja e programit të bashkëpunimit ndërkufitar; </w:t>
      </w:r>
    </w:p>
    <w:p w14:paraId="5259E6FB" w14:textId="17567080" w:rsidR="00D8448F" w:rsidRPr="001D5A65" w:rsidRDefault="00D8448F" w:rsidP="007A49E2">
      <w:pPr>
        <w:pStyle w:val="TEKSTI"/>
      </w:pPr>
      <w:r>
        <w:rPr>
          <w:noProof/>
          <w:lang w:eastAsia="sq-AL"/>
        </w:rPr>
        <w:drawing>
          <wp:anchor distT="0" distB="0" distL="114300" distR="114300" simplePos="0" relativeHeight="251658247" behindDoc="1" locked="0" layoutInCell="0" allowOverlap="1" wp14:anchorId="24731221" wp14:editId="490F2C95">
            <wp:simplePos x="0" y="0"/>
            <wp:positionH relativeFrom="column">
              <wp:posOffset>2905760</wp:posOffset>
            </wp:positionH>
            <wp:positionV relativeFrom="paragraph">
              <wp:posOffset>-13970</wp:posOffset>
            </wp:positionV>
            <wp:extent cx="202565" cy="176530"/>
            <wp:effectExtent l="0" t="0" r="6985"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2565" cy="176530"/>
                    </a:xfrm>
                    <a:prstGeom prst="rect">
                      <a:avLst/>
                    </a:prstGeom>
                    <a:noFill/>
                  </pic:spPr>
                </pic:pic>
              </a:graphicData>
            </a:graphic>
            <wp14:sizeRelH relativeFrom="page">
              <wp14:pctWidth>0</wp14:pctWidth>
            </wp14:sizeRelH>
            <wp14:sizeRelV relativeFrom="page">
              <wp14:pctHeight>0</wp14:pctHeight>
            </wp14:sizeRelV>
          </wp:anchor>
        </w:drawing>
      </w:r>
      <w:r w:rsidR="007A49E2">
        <w:t xml:space="preserve">g) </w:t>
      </w:r>
      <w:r w:rsidRPr="001D5A65">
        <w:t xml:space="preserve">krijojnë një sistem për të mbledhur informacion të besueshëm mbi zbatimin e programit të bashkëpunimit ndërkufitar; </w:t>
      </w:r>
    </w:p>
    <w:p w14:paraId="1D8730CD" w14:textId="6A2698B5" w:rsidR="00D8448F" w:rsidRPr="001D5A65" w:rsidRDefault="007A49E2" w:rsidP="007A49E2">
      <w:pPr>
        <w:pStyle w:val="TEKSTI"/>
      </w:pPr>
      <w:r>
        <w:t xml:space="preserve">h) </w:t>
      </w:r>
      <w:r w:rsidR="00D8448F" w:rsidRPr="001D5A65">
        <w:t xml:space="preserve">hartojnë raportet vjetore dhe finale të zbatimit siç janë përmendur në nenin 80 të Marrëveshjes Kuadër përkatëse në përputhje me nenin 3; </w:t>
      </w:r>
    </w:p>
    <w:p w14:paraId="39794A6F" w14:textId="65BD4DE0" w:rsidR="00D8448F" w:rsidRPr="001D5A65" w:rsidRDefault="007A49E2" w:rsidP="007A49E2">
      <w:pPr>
        <w:pStyle w:val="TEKSTI"/>
      </w:pPr>
      <w:r>
        <w:t xml:space="preserve">i) </w:t>
      </w:r>
      <w:r w:rsidR="00D8448F" w:rsidRPr="001D5A65">
        <w:t xml:space="preserve">të përgatisin dhe të zbatojnë një plan koherent për komunikim dhe vizibilitet; </w:t>
      </w:r>
    </w:p>
    <w:p w14:paraId="3484A029" w14:textId="7A3C4AE0" w:rsidR="00D8448F" w:rsidRPr="001D5A65" w:rsidRDefault="007A49E2" w:rsidP="007A49E2">
      <w:pPr>
        <w:pStyle w:val="TEKSTI"/>
      </w:pPr>
      <w:r>
        <w:t xml:space="preserve">j) </w:t>
      </w:r>
      <w:r w:rsidR="00D8448F" w:rsidRPr="001D5A65">
        <w:t xml:space="preserve">të hartojnë një plan vjetor të punës për Sekretariatin e Përbashkët Teknik, të miratuar nga KPM-ja. </w:t>
      </w:r>
    </w:p>
    <w:p w14:paraId="44CC1498" w14:textId="76116D0E" w:rsidR="00D8448F" w:rsidRPr="001D5A65" w:rsidRDefault="007A49E2" w:rsidP="007A49E2">
      <w:pPr>
        <w:pStyle w:val="TEKSTI"/>
      </w:pPr>
      <w:r>
        <w:t xml:space="preserve">2. </w:t>
      </w:r>
      <w:r w:rsidR="00D8448F" w:rsidRPr="001D5A65">
        <w:t>Me qëllim zbatimin e nenit 25 të Marrëveshjes Kuadër mbi Mbrojtjen e të Dhënave, të dhënat personale do të jenë:</w:t>
      </w:r>
    </w:p>
    <w:p w14:paraId="643EF398" w14:textId="1591B1B1" w:rsidR="00D8448F" w:rsidRPr="001D5A65" w:rsidRDefault="007A49E2" w:rsidP="007A49E2">
      <w:pPr>
        <w:pStyle w:val="TEKSTI"/>
      </w:pPr>
      <w:r>
        <w:t>-</w:t>
      </w:r>
      <w:r w:rsidR="00D8448F" w:rsidRPr="001D5A65">
        <w:t>përpunuar në mënyrë të ligjshme, të drejtë dhe transparente në lidhje me subjektin e të dhënave;</w:t>
      </w:r>
    </w:p>
    <w:p w14:paraId="5E13E908" w14:textId="115A93AB" w:rsidR="00D8448F" w:rsidRPr="001D5A65" w:rsidRDefault="007A49E2" w:rsidP="007A49E2">
      <w:pPr>
        <w:pStyle w:val="TEKSTI"/>
      </w:pPr>
      <w:r>
        <w:t>-</w:t>
      </w:r>
      <w:r w:rsidR="00D8448F" w:rsidRPr="001D5A65">
        <w:t>të mbledhura për qëllime të specifikuara, të qarta dhe të ligjshme dhe të mos përpunohen më tej në atë mënyrë që është e papajtueshme me ato qëllime;</w:t>
      </w:r>
    </w:p>
    <w:p w14:paraId="3CDFB771" w14:textId="5ADFBBB8" w:rsidR="00D8448F" w:rsidRPr="001D5A65" w:rsidRDefault="007A49E2" w:rsidP="007A49E2">
      <w:pPr>
        <w:pStyle w:val="TEKSTI"/>
      </w:pPr>
      <w:r>
        <w:t>-</w:t>
      </w:r>
      <w:r w:rsidR="00D8448F" w:rsidRPr="001D5A65">
        <w:t>të mjaftueshme, të rëndësishme dhe të kufizuara në çka është e nevojshme në lidhje me qëllimet për të cilat përpunohen;</w:t>
      </w:r>
    </w:p>
    <w:p w14:paraId="6D8D343A" w14:textId="54316F50" w:rsidR="00D8448F" w:rsidRPr="001D5A65" w:rsidRDefault="007A49E2" w:rsidP="007A49E2">
      <w:pPr>
        <w:pStyle w:val="TEKSTI"/>
      </w:pPr>
      <w:r>
        <w:t>-</w:t>
      </w:r>
      <w:r w:rsidR="00D8448F" w:rsidRPr="001D5A65">
        <w:t>të sakta dhe, kur është e nevojshme, të përditësuara;</w:t>
      </w:r>
    </w:p>
    <w:p w14:paraId="5D198E87" w14:textId="0788385E" w:rsidR="00D8448F" w:rsidRPr="001D5A65" w:rsidRDefault="007A49E2" w:rsidP="007A49E2">
      <w:pPr>
        <w:pStyle w:val="TEKSTI"/>
      </w:pPr>
      <w:r>
        <w:t>-</w:t>
      </w:r>
      <w:r w:rsidR="00D8448F" w:rsidRPr="001D5A65">
        <w:t xml:space="preserve">përpunuar në atë mënyrë që garantojnë sigurinë e duhur të të dhënave personale dhe </w:t>
      </w:r>
    </w:p>
    <w:p w14:paraId="387DBBD1" w14:textId="0FE71BA2" w:rsidR="00D8448F" w:rsidRPr="001D5A65" w:rsidRDefault="007A49E2" w:rsidP="007A49E2">
      <w:pPr>
        <w:pStyle w:val="TEKSTI"/>
      </w:pPr>
      <w:r>
        <w:t>-</w:t>
      </w:r>
      <w:r w:rsidR="00D8448F" w:rsidRPr="001D5A65">
        <w:t>të mbajtura në një formë që lejon identifikimin e subjekteve të të dhënave jo më gjatë sesa është e nevojshme për qëllimet për të cilat përpunohen të dhënat personale.</w:t>
      </w:r>
    </w:p>
    <w:p w14:paraId="3A700D9C" w14:textId="77777777" w:rsidR="00D8448F" w:rsidRPr="001D5A65" w:rsidRDefault="00D8448F" w:rsidP="007A49E2">
      <w:pPr>
        <w:pStyle w:val="TEKSTI"/>
      </w:pPr>
      <w:r w:rsidRPr="001D5A65">
        <w:t>Të dhënat personale të përfshira në dokumente që duhen mbajtur nga përfituesi i IPA II, në përputhje me nenin 8.5, duhet të fshihen pasi të kenë përfunduar afatet e përcaktuara në nenin 8.5.</w:t>
      </w:r>
    </w:p>
    <w:p w14:paraId="77C6EFD6"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2DD2AD9E" w14:textId="766045AE" w:rsidR="007A49E2" w:rsidRPr="007A49E2" w:rsidRDefault="00D8448F" w:rsidP="007A49E2">
      <w:pPr>
        <w:widowControl w:val="0"/>
        <w:autoSpaceDE w:val="0"/>
        <w:autoSpaceDN w:val="0"/>
        <w:adjustRightInd w:val="0"/>
        <w:spacing w:after="0" w:line="240" w:lineRule="auto"/>
        <w:ind w:firstLine="284"/>
        <w:jc w:val="center"/>
        <w:rPr>
          <w:rFonts w:ascii="Garamond" w:hAnsi="Garamond"/>
          <w:bCs/>
          <w:sz w:val="24"/>
          <w:szCs w:val="24"/>
        </w:rPr>
      </w:pPr>
      <w:r w:rsidRPr="007A49E2">
        <w:rPr>
          <w:rFonts w:ascii="Garamond" w:hAnsi="Garamond"/>
          <w:bCs/>
          <w:sz w:val="24"/>
          <w:szCs w:val="24"/>
        </w:rPr>
        <w:t>Neni 3</w:t>
      </w:r>
    </w:p>
    <w:p w14:paraId="25EBE09A" w14:textId="065B4485" w:rsidR="00D8448F" w:rsidRPr="001D5A65" w:rsidRDefault="00D8448F" w:rsidP="007A49E2">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Kërkesat e raportimit</w:t>
      </w:r>
    </w:p>
    <w:p w14:paraId="65143129" w14:textId="77777777" w:rsidR="00D8448F" w:rsidRPr="001D5A65" w:rsidRDefault="00D8448F" w:rsidP="007A49E2">
      <w:pPr>
        <w:pStyle w:val="TEKSTI"/>
      </w:pPr>
    </w:p>
    <w:p w14:paraId="52AEDB18" w14:textId="665E1A39" w:rsidR="00D8448F" w:rsidRPr="001D5A65" w:rsidRDefault="007A49E2" w:rsidP="007A49E2">
      <w:pPr>
        <w:pStyle w:val="TEKSTI"/>
      </w:pPr>
      <w:r>
        <w:t xml:space="preserve">1. </w:t>
      </w:r>
      <w:r w:rsidR="00D8448F" w:rsidRPr="001D5A65">
        <w:t xml:space="preserve">Për qëllimet e kërkesave të raportimit të përcaktuara në nenin 80 (1) të Marrëveshjeve përkatëse Kuadër, strukturat operuese do të përdorin modelin e parashikuar në Shtojcën III të kësaj marrëveshjeje financimi. </w:t>
      </w:r>
    </w:p>
    <w:p w14:paraId="49231B12" w14:textId="53E23533" w:rsidR="00D8448F" w:rsidRPr="001D5A65" w:rsidRDefault="007A49E2" w:rsidP="007A49E2">
      <w:pPr>
        <w:pStyle w:val="TEKSTI"/>
      </w:pPr>
      <w:r>
        <w:t xml:space="preserve">2. </w:t>
      </w:r>
      <w:r w:rsidR="00D8448F" w:rsidRPr="001D5A65">
        <w:t xml:space="preserve">Për qëllim të kërkesave të përgjithshme të raportimit në Komision, të përcaktuara në nenin 58 të Marrëveshjes Kuadër dhe kërkesat specifike të raportimit nën menaxhimin e tërthortë të përcaktuara në nenin 59 (1) të Marrëveshjes Kuadër përkatëse në raportin vjetor për zbatimin e asistencës IPA II, NIPAC do të përdorë modelin e dhënë në Shtojcën IIIA të kësaj marrëveshjeje financimi. </w:t>
      </w:r>
    </w:p>
    <w:p w14:paraId="394DBDD4" w14:textId="65AE12E7" w:rsidR="00D8448F" w:rsidRPr="001D5A65" w:rsidRDefault="007A49E2" w:rsidP="007A49E2">
      <w:pPr>
        <w:pStyle w:val="TEKSTI"/>
      </w:pPr>
      <w:r>
        <w:t xml:space="preserve">3. </w:t>
      </w:r>
      <w:r w:rsidR="00D8448F" w:rsidRPr="001D5A65">
        <w:t>Për qëllim të kërkesave specifike të raportimit sipas menaxhimit të tërthortë të përcaktuar në pikën (a) të nenit 59 (2) të Marrëveshjes Kuadër mbi raportin vjetor financiar apo deklaratat, NAO si përfitues i IPA II që është Autoriteti Kontraktues, do të përdorë modelin e parashikuar në Shtojcën IV të kësaj marrëveshjeje financimi.</w:t>
      </w:r>
    </w:p>
    <w:p w14:paraId="7CB78D44" w14:textId="50BFE1DA" w:rsidR="00D8448F" w:rsidRPr="001D5A65" w:rsidRDefault="007A49E2" w:rsidP="007A49E2">
      <w:pPr>
        <w:pStyle w:val="TEKSTI"/>
      </w:pPr>
      <w:r>
        <w:t xml:space="preserve">4. </w:t>
      </w:r>
      <w:r w:rsidR="00D8448F" w:rsidRPr="001D5A65">
        <w:t>Për qëllim të nenit 59 (4) të Marrëveshjes Kuadër, NIPAC (KKIPA) si përfitues i IPA II që është Autoriteti Kontraktues, do t’i paraqesë Komisionit një raport përfundimtar mbi zbatimin e asistencës së IPA II të Programit të Veprimit jo më vonë se katër muaj pas disbursimit (pagesës) të fundit për kontraktuesit e saj ose përfituesit e granteve.</w:t>
      </w:r>
    </w:p>
    <w:p w14:paraId="04A54A09" w14:textId="2B0EA576" w:rsidR="00D8448F" w:rsidRPr="001D5A65" w:rsidRDefault="007A49E2" w:rsidP="007A49E2">
      <w:pPr>
        <w:pStyle w:val="TEKSTI"/>
      </w:pPr>
      <w:r>
        <w:t xml:space="preserve">5. </w:t>
      </w:r>
      <w:r w:rsidR="00D8448F" w:rsidRPr="001D5A65">
        <w:t xml:space="preserve">Për qëllim të nenit 59 (6) të Marrëveshjes Kuadër, ZKA si përfitues i IPA II ku është Autoriteti Kontraktues, do të sigurojë deri në datën 15 janar të vitit financiar vijues, në format elektronik, një kopje të të dhënave të mbajtura në sistemin e kontabilitetit, të krijuar  sipas nenit 10(5). Kjo duhet të mbështetet nga një raport i nënshkruar i paaudituar përmbledhës financiar, në përputhje me pikën (c) të Shtojcën IV. </w:t>
      </w:r>
    </w:p>
    <w:p w14:paraId="66559F80"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6CB14D2C" w14:textId="09D94FE0" w:rsidR="007A49E2" w:rsidRPr="007A49E2" w:rsidRDefault="00D8448F" w:rsidP="007A49E2">
      <w:pPr>
        <w:widowControl w:val="0"/>
        <w:autoSpaceDE w:val="0"/>
        <w:autoSpaceDN w:val="0"/>
        <w:adjustRightInd w:val="0"/>
        <w:spacing w:after="0" w:line="240" w:lineRule="auto"/>
        <w:ind w:firstLine="284"/>
        <w:jc w:val="center"/>
        <w:rPr>
          <w:rFonts w:ascii="Garamond" w:hAnsi="Garamond"/>
          <w:bCs/>
          <w:sz w:val="24"/>
          <w:szCs w:val="24"/>
        </w:rPr>
      </w:pPr>
      <w:r w:rsidRPr="007A49E2">
        <w:rPr>
          <w:rFonts w:ascii="Garamond" w:hAnsi="Garamond"/>
          <w:bCs/>
          <w:sz w:val="24"/>
          <w:szCs w:val="24"/>
        </w:rPr>
        <w:t>Neni 4</w:t>
      </w:r>
    </w:p>
    <w:p w14:paraId="7DD4D680" w14:textId="68EA9169" w:rsidR="00D8448F" w:rsidRPr="001D5A65" w:rsidRDefault="00D8448F" w:rsidP="007A49E2">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Vizibiliteti dhe Komunikimi</w:t>
      </w:r>
    </w:p>
    <w:p w14:paraId="6935E701"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53EC10F7" w14:textId="70D9F8F9" w:rsidR="00D8448F" w:rsidRPr="001D5A65" w:rsidRDefault="007A49E2" w:rsidP="007A49E2">
      <w:pPr>
        <w:pStyle w:val="TEKSTI"/>
      </w:pPr>
      <w:r>
        <w:t xml:space="preserve">1. </w:t>
      </w:r>
      <w:r w:rsidR="00D8448F" w:rsidRPr="001D5A65">
        <w:t xml:space="preserve">Siç parashikohet në dispozitat e nenit 24 (1), 76 (3) (k), dhe nenit 78 (8) (f) të Marrëveshjes Kuadër përkatëse, përfituesit e IPA II duhet të përgatisin një plan koherent të aktiviteteve të vizibilitetit dhe të komunikimit, të cilat do t'i paraqiten Komisionit për një marrëveshje, brenda 6 muajve nga hyrja në fuqi e kësaj Marrëveshjeje Financimi. </w:t>
      </w:r>
    </w:p>
    <w:p w14:paraId="0122159A" w14:textId="052729E7" w:rsidR="00D8448F" w:rsidRPr="001D5A65" w:rsidRDefault="007A49E2" w:rsidP="007A49E2">
      <w:pPr>
        <w:pStyle w:val="TEKSTI"/>
      </w:pPr>
      <w:r>
        <w:t xml:space="preserve">2. </w:t>
      </w:r>
      <w:r w:rsidR="00D8448F" w:rsidRPr="001D5A65">
        <w:t xml:space="preserve">Këto aktivitete të vizibilitetit dhe komunikimit duhet të jenë në përputhje me Manualin e Komunikimeve dhe Vizibilitetit për veprimet e jashtme të BE-së, të përcaktuara dhe të publikuara nga Komisioni, në fuqi në kohën e aktiviteteve. </w:t>
      </w:r>
    </w:p>
    <w:p w14:paraId="7CB9421F"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7CF6C15F" w14:textId="48B0ED55" w:rsidR="007A49E2" w:rsidRPr="007A49E2" w:rsidRDefault="00D8448F" w:rsidP="007A49E2">
      <w:pPr>
        <w:widowControl w:val="0"/>
        <w:autoSpaceDE w:val="0"/>
        <w:autoSpaceDN w:val="0"/>
        <w:adjustRightInd w:val="0"/>
        <w:spacing w:after="0" w:line="240" w:lineRule="auto"/>
        <w:ind w:firstLine="284"/>
        <w:jc w:val="center"/>
        <w:rPr>
          <w:rFonts w:ascii="Garamond" w:hAnsi="Garamond"/>
          <w:bCs/>
          <w:sz w:val="24"/>
          <w:szCs w:val="24"/>
        </w:rPr>
      </w:pPr>
      <w:r w:rsidRPr="007A49E2">
        <w:rPr>
          <w:rFonts w:ascii="Garamond" w:hAnsi="Garamond"/>
          <w:bCs/>
          <w:sz w:val="24"/>
          <w:szCs w:val="24"/>
        </w:rPr>
        <w:t>Neni 5</w:t>
      </w:r>
    </w:p>
    <w:p w14:paraId="6A2AA87E" w14:textId="21655D17" w:rsidR="00D8448F" w:rsidRPr="001D5A65" w:rsidRDefault="00D8448F" w:rsidP="007A49E2">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Të drejtat e pronësisë intelektuale</w:t>
      </w:r>
    </w:p>
    <w:p w14:paraId="018ECA5C" w14:textId="77777777" w:rsidR="00D8448F" w:rsidRDefault="00D8448F" w:rsidP="00D8448F">
      <w:pPr>
        <w:widowControl w:val="0"/>
        <w:autoSpaceDE w:val="0"/>
        <w:autoSpaceDN w:val="0"/>
        <w:adjustRightInd w:val="0"/>
        <w:spacing w:after="0" w:line="240" w:lineRule="auto"/>
        <w:ind w:firstLine="284"/>
        <w:rPr>
          <w:rFonts w:ascii="Garamond" w:hAnsi="Garamond"/>
          <w:sz w:val="24"/>
          <w:szCs w:val="24"/>
        </w:rPr>
      </w:pPr>
    </w:p>
    <w:p w14:paraId="5DF5E411" w14:textId="468DB5A3" w:rsidR="00D8448F" w:rsidRPr="001D5A65" w:rsidRDefault="007A49E2" w:rsidP="007A49E2">
      <w:pPr>
        <w:pStyle w:val="TEKSTI"/>
      </w:pPr>
      <w:r>
        <w:t xml:space="preserve">1. </w:t>
      </w:r>
      <w:r w:rsidR="00D8448F" w:rsidRPr="001D5A65">
        <w:t xml:space="preserve">Kontratat e financuara sipas kësaj marrëveshjeje financiare, duhet të garantojnë që përfituesit e IPA II të fitojnë të gjitha të drejtat e nevojshme të pronësisë intelektuale në lidhje me teknologjinë e informacionit, studimet, skicat, planet, publicitetin dhe çdo material tjetër të përgatitur për qëllime të planifikimit, zbatimit, monitorimit dhe vlerësimit. </w:t>
      </w:r>
    </w:p>
    <w:p w14:paraId="2604F362" w14:textId="63FF7C50" w:rsidR="00D8448F" w:rsidRPr="001D5A65" w:rsidRDefault="007A49E2" w:rsidP="007A49E2">
      <w:pPr>
        <w:pStyle w:val="TEKSTI"/>
      </w:pPr>
      <w:r>
        <w:t xml:space="preserve">2. </w:t>
      </w:r>
      <w:r w:rsidR="00D8448F" w:rsidRPr="001D5A65">
        <w:t xml:space="preserve">Përfituesi IPA II që është Autoriteti kontraktues, do të garantojë që Komisioni ose dikush apo personi i autorizuar nga Komisioni dhe përfituesit e të tjerë të IPA II, do të kenë qasje dhe të drejtën për të përdorur një material të tillë. Komisioni do ta përdorë një material të tillë vetëm për qëllimet e veta. </w:t>
      </w:r>
    </w:p>
    <w:p w14:paraId="26F9B04C"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02A29AB5" w14:textId="67869FB9" w:rsidR="007A49E2" w:rsidRPr="007A49E2" w:rsidRDefault="00D8448F" w:rsidP="007A49E2">
      <w:pPr>
        <w:widowControl w:val="0"/>
        <w:autoSpaceDE w:val="0"/>
        <w:autoSpaceDN w:val="0"/>
        <w:adjustRightInd w:val="0"/>
        <w:spacing w:after="0" w:line="240" w:lineRule="auto"/>
        <w:ind w:firstLine="284"/>
        <w:jc w:val="center"/>
        <w:rPr>
          <w:rFonts w:ascii="Garamond" w:hAnsi="Garamond"/>
          <w:bCs/>
          <w:sz w:val="24"/>
          <w:szCs w:val="24"/>
        </w:rPr>
      </w:pPr>
      <w:r w:rsidRPr="007A49E2">
        <w:rPr>
          <w:rFonts w:ascii="Garamond" w:hAnsi="Garamond"/>
          <w:bCs/>
          <w:sz w:val="24"/>
          <w:szCs w:val="24"/>
        </w:rPr>
        <w:t>Neni 6</w:t>
      </w:r>
    </w:p>
    <w:p w14:paraId="53ED2834" w14:textId="3315D484" w:rsidR="00D8448F" w:rsidRPr="001D5A65" w:rsidRDefault="00D8448F" w:rsidP="007A49E2">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Pranueshmëria e shpenzimeve</w:t>
      </w:r>
    </w:p>
    <w:p w14:paraId="4C2C2F80"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56272ED2" w14:textId="4F938F6A" w:rsidR="00D8448F" w:rsidRPr="001D5A65" w:rsidRDefault="007A49E2" w:rsidP="007A49E2">
      <w:pPr>
        <w:pStyle w:val="TEKSTI"/>
      </w:pPr>
      <w:r>
        <w:t xml:space="preserve">1. </w:t>
      </w:r>
      <w:r w:rsidR="00D8448F" w:rsidRPr="001D5A65">
        <w:t xml:space="preserve">Shpenzimet e mëposhtme nuk do të jenë të pranueshme për financim sipas kësaj marrëveshjeje financiare: </w:t>
      </w:r>
    </w:p>
    <w:p w14:paraId="7224CAC1" w14:textId="7244C1D3" w:rsidR="00D8448F" w:rsidRPr="001D5A65" w:rsidRDefault="003705DB" w:rsidP="007A49E2">
      <w:pPr>
        <w:pStyle w:val="TEKSTI"/>
      </w:pPr>
      <w:r>
        <w:t xml:space="preserve">a) </w:t>
      </w:r>
      <w:r w:rsidR="00D8448F" w:rsidRPr="001D5A65">
        <w:t xml:space="preserve">borxhet dhe pagesat e shërbimit të borxhit (interesi); </w:t>
      </w:r>
    </w:p>
    <w:p w14:paraId="2BFC5DAA" w14:textId="52CCA54D" w:rsidR="00D8448F" w:rsidRPr="001D5A65" w:rsidRDefault="003705DB" w:rsidP="007A49E2">
      <w:pPr>
        <w:pStyle w:val="TEKSTI"/>
      </w:pPr>
      <w:r>
        <w:t xml:space="preserve">b) </w:t>
      </w:r>
      <w:r w:rsidR="00D8448F" w:rsidRPr="001D5A65">
        <w:t xml:space="preserve">dispozitat për humbje ose detyrime të mundshme në të ardhmen; </w:t>
      </w:r>
    </w:p>
    <w:p w14:paraId="65218BE6" w14:textId="0FEE5950" w:rsidR="00D8448F" w:rsidRPr="001D5A65" w:rsidRDefault="003705DB" w:rsidP="007A49E2">
      <w:pPr>
        <w:pStyle w:val="TEKSTI"/>
      </w:pPr>
      <w:r>
        <w:t xml:space="preserve">c) </w:t>
      </w:r>
      <w:r w:rsidR="00D8448F" w:rsidRPr="001D5A65">
        <w:t xml:space="preserve">Kostoja e deklaruar nga përfituesi dhe e financuar nga një veprim apo program pune që merr një grant nga Unioni; </w:t>
      </w:r>
    </w:p>
    <w:p w14:paraId="644CC193" w14:textId="45E4F97A" w:rsidR="00D8448F" w:rsidRPr="001D5A65" w:rsidRDefault="003705DB" w:rsidP="007A49E2">
      <w:pPr>
        <w:pStyle w:val="TEKSTI"/>
      </w:pPr>
      <w:r>
        <w:t xml:space="preserve">d) </w:t>
      </w:r>
      <w:r w:rsidR="00D8448F" w:rsidRPr="001D5A65">
        <w:t xml:space="preserve">humbjet e këmbimit valutor; </w:t>
      </w:r>
    </w:p>
    <w:p w14:paraId="0E6F7C1F" w14:textId="7C43859F" w:rsidR="00D8448F" w:rsidRPr="001D5A65" w:rsidRDefault="003705DB" w:rsidP="007A49E2">
      <w:pPr>
        <w:pStyle w:val="TEKSTI"/>
      </w:pPr>
      <w:r>
        <w:t xml:space="preserve">e) </w:t>
      </w:r>
      <w:r w:rsidR="00D8448F" w:rsidRPr="001D5A65">
        <w:t xml:space="preserve">kreditë për palët e treta; </w:t>
      </w:r>
    </w:p>
    <w:p w14:paraId="2B443C37" w14:textId="15B9B6A7" w:rsidR="00D8448F" w:rsidRPr="001D5A65" w:rsidRDefault="003705DB" w:rsidP="007A49E2">
      <w:pPr>
        <w:pStyle w:val="TEKSTI"/>
      </w:pPr>
      <w:r>
        <w:t xml:space="preserve">f) </w:t>
      </w:r>
      <w:r w:rsidR="00D8448F" w:rsidRPr="001D5A65">
        <w:t xml:space="preserve">gjobat, penalitetet financiare dhe shpenzimet e procesit gjyqësor. </w:t>
      </w:r>
    </w:p>
    <w:p w14:paraId="2B957536" w14:textId="10A0E7F5" w:rsidR="00D8448F" w:rsidRPr="001D5A65" w:rsidRDefault="003705DB" w:rsidP="007A49E2">
      <w:pPr>
        <w:pStyle w:val="TEKSTI"/>
      </w:pPr>
      <w:r>
        <w:t xml:space="preserve">2. </w:t>
      </w:r>
      <w:r w:rsidR="00D8448F" w:rsidRPr="001D5A65">
        <w:t xml:space="preserve">Blerja e tokës që nuk është e ndërtuar dhe e tokës me ndërtim në shumën deri  10% të totalit të shpenzimeve të lejueshme për aktivitetin në fjalë, do të jetë e ligjshme/e pranueshmepër financim sipas asistencës për bashkëpunim ndërkufitar IPA II, nëse është e justifikuar nga natyra e veprimit dhe të dhënat në Shtojcën I. </w:t>
      </w:r>
    </w:p>
    <w:p w14:paraId="1FBE5B15"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121F89F0" w14:textId="77777777" w:rsidR="00774BF1" w:rsidRDefault="00774BF1" w:rsidP="00D8448F">
      <w:pPr>
        <w:widowControl w:val="0"/>
        <w:autoSpaceDE w:val="0"/>
        <w:autoSpaceDN w:val="0"/>
        <w:adjustRightInd w:val="0"/>
        <w:spacing w:after="0" w:line="240" w:lineRule="auto"/>
        <w:ind w:firstLine="284"/>
        <w:jc w:val="center"/>
        <w:rPr>
          <w:rFonts w:ascii="Garamond" w:hAnsi="Garamond"/>
          <w:bCs/>
          <w:sz w:val="24"/>
          <w:szCs w:val="24"/>
        </w:rPr>
      </w:pPr>
    </w:p>
    <w:p w14:paraId="5EFB6506" w14:textId="77777777" w:rsidR="00774BF1" w:rsidRDefault="00774BF1" w:rsidP="00D8448F">
      <w:pPr>
        <w:widowControl w:val="0"/>
        <w:autoSpaceDE w:val="0"/>
        <w:autoSpaceDN w:val="0"/>
        <w:adjustRightInd w:val="0"/>
        <w:spacing w:after="0" w:line="240" w:lineRule="auto"/>
        <w:ind w:firstLine="284"/>
        <w:jc w:val="center"/>
        <w:rPr>
          <w:rFonts w:ascii="Garamond" w:hAnsi="Garamond"/>
          <w:bCs/>
          <w:sz w:val="24"/>
          <w:szCs w:val="24"/>
        </w:rPr>
      </w:pPr>
    </w:p>
    <w:p w14:paraId="6D5F70CB" w14:textId="77777777" w:rsidR="00774BF1" w:rsidRDefault="00774BF1" w:rsidP="00D8448F">
      <w:pPr>
        <w:widowControl w:val="0"/>
        <w:autoSpaceDE w:val="0"/>
        <w:autoSpaceDN w:val="0"/>
        <w:adjustRightInd w:val="0"/>
        <w:spacing w:after="0" w:line="240" w:lineRule="auto"/>
        <w:ind w:firstLine="284"/>
        <w:jc w:val="center"/>
        <w:rPr>
          <w:rFonts w:ascii="Garamond" w:hAnsi="Garamond"/>
          <w:bCs/>
          <w:sz w:val="24"/>
          <w:szCs w:val="24"/>
        </w:rPr>
      </w:pPr>
    </w:p>
    <w:p w14:paraId="07EF59D4" w14:textId="0926F297" w:rsidR="003705DB" w:rsidRPr="003705DB" w:rsidRDefault="003705DB" w:rsidP="00D8448F">
      <w:pPr>
        <w:widowControl w:val="0"/>
        <w:autoSpaceDE w:val="0"/>
        <w:autoSpaceDN w:val="0"/>
        <w:adjustRightInd w:val="0"/>
        <w:spacing w:after="0" w:line="240" w:lineRule="auto"/>
        <w:ind w:firstLine="284"/>
        <w:jc w:val="center"/>
        <w:rPr>
          <w:rFonts w:ascii="Garamond" w:hAnsi="Garamond"/>
          <w:bCs/>
          <w:sz w:val="24"/>
          <w:szCs w:val="24"/>
        </w:rPr>
      </w:pPr>
      <w:r>
        <w:rPr>
          <w:rFonts w:ascii="Garamond" w:hAnsi="Garamond"/>
          <w:bCs/>
          <w:sz w:val="24"/>
          <w:szCs w:val="24"/>
        </w:rPr>
        <w:t>PJESA E DYTË</w:t>
      </w:r>
    </w:p>
    <w:p w14:paraId="2556BDDA" w14:textId="3AFBAF80" w:rsidR="00D8448F" w:rsidRPr="003705DB" w:rsidRDefault="003705DB" w:rsidP="00D8448F">
      <w:pPr>
        <w:widowControl w:val="0"/>
        <w:autoSpaceDE w:val="0"/>
        <w:autoSpaceDN w:val="0"/>
        <w:adjustRightInd w:val="0"/>
        <w:spacing w:after="0" w:line="240" w:lineRule="auto"/>
        <w:ind w:firstLine="284"/>
        <w:jc w:val="center"/>
        <w:rPr>
          <w:rFonts w:ascii="Garamond" w:hAnsi="Garamond"/>
          <w:bCs/>
          <w:sz w:val="24"/>
          <w:szCs w:val="24"/>
        </w:rPr>
      </w:pPr>
      <w:r w:rsidRPr="003705DB">
        <w:rPr>
          <w:rFonts w:ascii="Garamond" w:hAnsi="Garamond"/>
          <w:bCs/>
          <w:sz w:val="24"/>
          <w:szCs w:val="24"/>
        </w:rPr>
        <w:t>DISPOZITAT E ZBATUESHME TË MENAXHIMIT TË TËRTHORTË NGA PËRFITUESI IPA II</w:t>
      </w:r>
    </w:p>
    <w:p w14:paraId="6884B1F2" w14:textId="5E47A778" w:rsidR="003705DB" w:rsidRPr="003705DB" w:rsidRDefault="00D8448F" w:rsidP="003705DB">
      <w:pPr>
        <w:widowControl w:val="0"/>
        <w:autoSpaceDE w:val="0"/>
        <w:autoSpaceDN w:val="0"/>
        <w:adjustRightInd w:val="0"/>
        <w:spacing w:after="0" w:line="240" w:lineRule="auto"/>
        <w:ind w:firstLine="284"/>
        <w:jc w:val="center"/>
        <w:rPr>
          <w:rFonts w:ascii="Garamond" w:hAnsi="Garamond"/>
          <w:bCs/>
          <w:sz w:val="24"/>
          <w:szCs w:val="24"/>
        </w:rPr>
      </w:pPr>
      <w:r w:rsidRPr="003705DB">
        <w:rPr>
          <w:rFonts w:ascii="Garamond" w:hAnsi="Garamond"/>
          <w:bCs/>
          <w:sz w:val="24"/>
          <w:szCs w:val="24"/>
        </w:rPr>
        <w:t>Neni 7</w:t>
      </w:r>
    </w:p>
    <w:p w14:paraId="0BBE20A0" w14:textId="45AB78D7" w:rsidR="00D8448F" w:rsidRPr="001D5A65" w:rsidRDefault="00D8448F" w:rsidP="003705DB">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Parime të përgjithshme</w:t>
      </w:r>
    </w:p>
    <w:p w14:paraId="17F65818" w14:textId="77777777" w:rsidR="00D8448F" w:rsidRPr="001D5A65" w:rsidRDefault="00D8448F" w:rsidP="004268FE">
      <w:pPr>
        <w:pStyle w:val="TEKSTI"/>
      </w:pPr>
    </w:p>
    <w:p w14:paraId="609E4C83" w14:textId="2BE0CA0B" w:rsidR="00D8448F" w:rsidRPr="001D5A65" w:rsidRDefault="004268FE" w:rsidP="004268FE">
      <w:pPr>
        <w:pStyle w:val="TEKSTI"/>
      </w:pPr>
      <w:r>
        <w:t xml:space="preserve">1. </w:t>
      </w:r>
      <w:r w:rsidR="00D8448F" w:rsidRPr="001D5A65">
        <w:t xml:space="preserve">Qëllimi i pjesës së dytë është të vendosë rregullat për zbatimin e Programit të Veprimit nën menaxhimin e tërthortë dhe në veçanti rregullat që lidhen me detyrat që i janë besuar zbatimit të buxhetit, siç përshkruhet në Shtojcën I dhe për të përcaktuar të drejtat dhe detyrimet e përfituesit të IPA II që është Autoriteti Kontraktues dhe Komisioni në kryerjen e këtyre detyrave. </w:t>
      </w:r>
    </w:p>
    <w:p w14:paraId="3646EBFF" w14:textId="092D9CE6" w:rsidR="00D8448F" w:rsidRPr="001D5A65" w:rsidRDefault="004268FE" w:rsidP="004268FE">
      <w:pPr>
        <w:pStyle w:val="TEKSTI"/>
      </w:pPr>
      <w:r>
        <w:t xml:space="preserve">2. </w:t>
      </w:r>
      <w:r w:rsidR="00D8448F" w:rsidRPr="001D5A65">
        <w:t xml:space="preserve">Siç parashikohet në pikën (b) të nenit 76 (3) të Marrëveshjes Kuadër përkatëse, përfituesit e IPA II, bashkërisht, duhet të përgatisin një marrëveshje dypalëshe dhe të sigurojnë zbatimin e saj. </w:t>
      </w:r>
    </w:p>
    <w:p w14:paraId="5DF77B7A" w14:textId="3E9B6604" w:rsidR="00D8448F" w:rsidRPr="001D5A65" w:rsidRDefault="004268FE" w:rsidP="004268FE">
      <w:pPr>
        <w:pStyle w:val="TEKSTI"/>
      </w:pPr>
      <w:r>
        <w:t xml:space="preserve">3. </w:t>
      </w:r>
      <w:r w:rsidR="00D8448F" w:rsidRPr="001D5A65">
        <w:t xml:space="preserve">Përfituesi i IPA II që nuk është Autoritet Kontraktues, do të bashkëpunojë me përfituesin e IPA II që është Autoritet Kontraktues, për të siguruar se detyrat në vijim janë plotësuar: </w:t>
      </w:r>
    </w:p>
    <w:p w14:paraId="56A9A246" w14:textId="6AA58629" w:rsidR="00D8448F" w:rsidRPr="001D5A65" w:rsidRDefault="004268FE" w:rsidP="004268FE">
      <w:pPr>
        <w:pStyle w:val="TEKSTI"/>
      </w:pPr>
      <w:r>
        <w:t xml:space="preserve">a) </w:t>
      </w:r>
      <w:r w:rsidR="00D8448F" w:rsidRPr="001D5A65">
        <w:t xml:space="preserve">të kryejë ndjekjen operative dhe menaxhimin e operacioneve, siç parashikohet në pikën (b) të nenit 76 (4) të Marrëveshjes Kuadër; </w:t>
      </w:r>
    </w:p>
    <w:p w14:paraId="0EC77B6F" w14:textId="301152A8" w:rsidR="00D8448F" w:rsidRPr="001D5A65" w:rsidRDefault="004268FE" w:rsidP="004268FE">
      <w:pPr>
        <w:pStyle w:val="TEKSTI"/>
      </w:pPr>
      <w:r>
        <w:t xml:space="preserve">b) </w:t>
      </w:r>
      <w:r w:rsidR="00D8448F" w:rsidRPr="001D5A65">
        <w:t xml:space="preserve">të kryejë verifikime në përputhje me nenin 76 (5) të Marrëveshjes Kuadër; </w:t>
      </w:r>
    </w:p>
    <w:p w14:paraId="733C5106" w14:textId="239CB766" w:rsidR="00D8448F" w:rsidRPr="001D5A65" w:rsidRDefault="004268FE" w:rsidP="004268FE">
      <w:pPr>
        <w:pStyle w:val="TEKSTI"/>
      </w:pPr>
      <w:r>
        <w:t xml:space="preserve">c) </w:t>
      </w:r>
      <w:r w:rsidR="00D8448F" w:rsidRPr="001D5A65">
        <w:t xml:space="preserve">të mbrojë interesin financiar të Unionit, siç parashikohet në nenin 51 të Marrëveshjes Kuadër. </w:t>
      </w:r>
    </w:p>
    <w:p w14:paraId="6BFD46CB"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6DAE3B43" w14:textId="1FF636AA" w:rsidR="004268FE" w:rsidRPr="004268FE" w:rsidRDefault="00D8448F" w:rsidP="004268FE">
      <w:pPr>
        <w:widowControl w:val="0"/>
        <w:autoSpaceDE w:val="0"/>
        <w:autoSpaceDN w:val="0"/>
        <w:adjustRightInd w:val="0"/>
        <w:spacing w:after="0" w:line="240" w:lineRule="auto"/>
        <w:ind w:firstLine="284"/>
        <w:jc w:val="center"/>
        <w:rPr>
          <w:rFonts w:ascii="Garamond" w:hAnsi="Garamond"/>
          <w:bCs/>
          <w:sz w:val="24"/>
          <w:szCs w:val="24"/>
        </w:rPr>
      </w:pPr>
      <w:r w:rsidRPr="004268FE">
        <w:rPr>
          <w:rFonts w:ascii="Garamond" w:hAnsi="Garamond"/>
          <w:bCs/>
          <w:sz w:val="24"/>
          <w:szCs w:val="24"/>
        </w:rPr>
        <w:t>Neni 8</w:t>
      </w:r>
    </w:p>
    <w:p w14:paraId="6E91BE13" w14:textId="502469A8" w:rsidR="00D8448F" w:rsidRPr="001D5A65" w:rsidRDefault="00D8448F" w:rsidP="004268FE">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Procedurat e dhënies së prokurimit dhe granteve</w:t>
      </w:r>
    </w:p>
    <w:p w14:paraId="6835C122"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713F1448" w14:textId="439BC910" w:rsidR="00D8448F" w:rsidRPr="001D5A65" w:rsidRDefault="004268FE" w:rsidP="004268FE">
      <w:pPr>
        <w:pStyle w:val="TEKSTI"/>
      </w:pPr>
      <w:r>
        <w:t xml:space="preserve">1. </w:t>
      </w:r>
      <w:r w:rsidR="00D8448F" w:rsidRPr="001D5A65">
        <w:t xml:space="preserve">Detyrat e përmendura në nenin 7 (3) duhet të kryhen nga përfituesi i IPA II që është Autoritet Kontraktues, në përputhje me procedurat dhe dokumentet standarde të përcaktuara dhe të publikuara nga Komisioni për dhënien e prokurimit dhe kontratave të granteve, në veprimet e jashtme, në fuqi në kohën e fillimit të procedurës në fjalë (PRAG), si dhe në përputhje me standardet e kërkuara të Vizibilitetit dhe Komunikimit, të përmendura në Nenin 4 (2). </w:t>
      </w:r>
    </w:p>
    <w:p w14:paraId="63D1C80F" w14:textId="408EDDA1" w:rsidR="00D8448F" w:rsidRPr="001D5A65" w:rsidRDefault="004268FE" w:rsidP="004268FE">
      <w:pPr>
        <w:pStyle w:val="TEKSTI"/>
      </w:pPr>
      <w:r>
        <w:t xml:space="preserve">2. </w:t>
      </w:r>
      <w:r w:rsidR="00D8448F" w:rsidRPr="001D5A65">
        <w:t xml:space="preserve">Në përputhje me nenin 18 (2) të Marrëveshjes Kuadër, Komisioni do të pajisë përfituesin e IPA-II që është Autoritet Kontraktues, me udhëzime të mëtejshme për përshtatjen e procedurave dhe dokumenteve standarde, të përcaktuara dhe të publikuara nga Komisioni për dhënien e kontratave të prokurimit dhe granteve në veprimet e jashtme, në rastin specifik të bashkëpunimit ndërkufitar. </w:t>
      </w:r>
    </w:p>
    <w:p w14:paraId="29D27594" w14:textId="43D93DEF" w:rsidR="00D8448F" w:rsidRPr="001D5A65" w:rsidRDefault="004268FE" w:rsidP="004268FE">
      <w:pPr>
        <w:pStyle w:val="TEKSTI"/>
      </w:pPr>
      <w:r>
        <w:t xml:space="preserve">3. </w:t>
      </w:r>
      <w:r w:rsidR="00D8448F" w:rsidRPr="001D5A65">
        <w:t xml:space="preserve">Përfituesi IPA II që është Autoritet Kontraktues, do të kryejë procedurat e prokurimit dhe dhënies së grantit, të lidhë kontratat që pasojnë dhe të sigurojë që të gjitha dokumentet përkatëse për gjurmët e auditimit janë në gjuhën e kësaj marrëveshjeje të financimit. Në zbatim të pjesës së dytë të kësaj Marrëveshjeje Financiare, çdo referencë për dhënien e kontratave duhet të përfshijë gjithashtu kontratën e kontributit dhe çdo referencë për përfituesit e granteve do të përfshijë edhe organizatat që kanë nënshkruar marrëveshje kontributi. </w:t>
      </w:r>
    </w:p>
    <w:p w14:paraId="268D2447" w14:textId="5DFDA5B3" w:rsidR="00D8448F" w:rsidRPr="001D5A65" w:rsidRDefault="004268FE" w:rsidP="004268FE">
      <w:pPr>
        <w:pStyle w:val="TEKSTI"/>
      </w:pPr>
      <w:r>
        <w:t xml:space="preserve">4. </w:t>
      </w:r>
      <w:r w:rsidR="00D8448F" w:rsidRPr="001D5A65">
        <w:t xml:space="preserve">Përfituesit e vendeve IPA II do të bashkëpunojnë plotësisht në vendosjen e komisioneve të vlerësimit, siç parashikohet në pikën (a) të nenit 76 (4) i Marrëveshjes përkatëse Kuadër. </w:t>
      </w:r>
    </w:p>
    <w:p w14:paraId="3FD5313C" w14:textId="060E8E19" w:rsidR="00D8448F" w:rsidRPr="001D5A65" w:rsidRDefault="004268FE" w:rsidP="004268FE">
      <w:pPr>
        <w:pStyle w:val="TEKSTI"/>
      </w:pPr>
      <w:r>
        <w:t xml:space="preserve">5. </w:t>
      </w:r>
      <w:r w:rsidR="00D8448F" w:rsidRPr="001D5A65">
        <w:t xml:space="preserve">Përfituesi i IPA II që është Autoritet Kontraktues, do të mbajë të gjitha dokumentet ndihmëse financiare dhe kontraktuale përkatëse, nga data e hyrjes në fuqi të kësaj Marrëveshjeje Financiare ose nga një datë më e hershme, në rast se procedurat e prokurimit, thirrjet për propozime, ose procedurat e dhënies së granteve të drejtpërdrejta, kanë filluar para hyrjes në fuqi të kësaj Marrëveshjeje të Financimit: </w:t>
      </w:r>
    </w:p>
    <w:p w14:paraId="4443BF3B" w14:textId="1706A3FD" w:rsidR="00D8448F" w:rsidRPr="001D5A65" w:rsidRDefault="00F57060" w:rsidP="004268FE">
      <w:pPr>
        <w:pStyle w:val="TEKSTI"/>
      </w:pPr>
      <w:r>
        <w:t xml:space="preserve">a. </w:t>
      </w:r>
      <w:r w:rsidR="00D8448F" w:rsidRPr="001D5A65">
        <w:t xml:space="preserve">Për procedurat e prokurimit në veçanti: </w:t>
      </w:r>
    </w:p>
    <w:p w14:paraId="46842958" w14:textId="74CDE9E3" w:rsidR="00D8448F" w:rsidRPr="001D5A65" w:rsidRDefault="00F57060" w:rsidP="004268FE">
      <w:pPr>
        <w:pStyle w:val="TEKSTI"/>
      </w:pPr>
      <w:r>
        <w:t xml:space="preserve">a) </w:t>
      </w:r>
      <w:r w:rsidR="00D8448F" w:rsidRPr="001D5A65">
        <w:t xml:space="preserve">Njoftim i mëparshëm me dëshminë e publikimit të njoftimit të prokurimit dhe të çdo korrigjimi; </w:t>
      </w:r>
    </w:p>
    <w:p w14:paraId="5AB22DD5" w14:textId="070B1C4E" w:rsidR="00D8448F" w:rsidRPr="001D5A65" w:rsidRDefault="00F57060" w:rsidP="004268FE">
      <w:pPr>
        <w:pStyle w:val="TEKSTI"/>
      </w:pPr>
      <w:r>
        <w:t xml:space="preserve">b) </w:t>
      </w:r>
      <w:r w:rsidR="00D8448F" w:rsidRPr="001D5A65">
        <w:t xml:space="preserve">Caktimi i panelit të zgjedhur; </w:t>
      </w:r>
    </w:p>
    <w:p w14:paraId="74E5CE4E" w14:textId="50498399" w:rsidR="00D8448F" w:rsidRPr="001D5A65" w:rsidRDefault="00F57060" w:rsidP="004268FE">
      <w:pPr>
        <w:pStyle w:val="TEKSTI"/>
      </w:pPr>
      <w:r>
        <w:t xml:space="preserve">c) </w:t>
      </w:r>
      <w:r w:rsidR="00D8448F" w:rsidRPr="001D5A65">
        <w:t xml:space="preserve">Raporti i listës së të përzgjedhurve  (duke përfshirë anekset) dhe aplikimet; </w:t>
      </w:r>
    </w:p>
    <w:p w14:paraId="3E73D3CD" w14:textId="541D9B02" w:rsidR="00D8448F" w:rsidRPr="001D5A65" w:rsidRDefault="00F57060" w:rsidP="004268FE">
      <w:pPr>
        <w:pStyle w:val="TEKSTI"/>
      </w:pPr>
      <w:r>
        <w:t xml:space="preserve">d) </w:t>
      </w:r>
      <w:r w:rsidR="00D8448F" w:rsidRPr="001D5A65">
        <w:t xml:space="preserve">Dëshmi e publikimit të njoftimit të listës së përzgjedhurve </w:t>
      </w:r>
    </w:p>
    <w:p w14:paraId="6AA3DFFB" w14:textId="0ED0799D" w:rsidR="00D8448F" w:rsidRPr="001D5A65" w:rsidRDefault="00F57060" w:rsidP="004268FE">
      <w:pPr>
        <w:pStyle w:val="TEKSTI"/>
      </w:pPr>
      <w:r>
        <w:t xml:space="preserve">e) </w:t>
      </w:r>
      <w:r w:rsidR="00D8448F" w:rsidRPr="001D5A65">
        <w:t xml:space="preserve">Letra e kandidatëve jo-të përzgjedhur; </w:t>
      </w:r>
    </w:p>
    <w:p w14:paraId="1661CFEB" w14:textId="6ED6465D" w:rsidR="00D8448F" w:rsidRPr="001D5A65" w:rsidRDefault="00F57060" w:rsidP="004268FE">
      <w:pPr>
        <w:pStyle w:val="TEKSTI"/>
      </w:pPr>
      <w:r>
        <w:t xml:space="preserve">f) </w:t>
      </w:r>
      <w:r w:rsidR="00D8448F" w:rsidRPr="001D5A65">
        <w:t xml:space="preserve">Ftesë për tender ose ekuivalente e saj; </w:t>
      </w:r>
    </w:p>
    <w:p w14:paraId="5126A88E" w14:textId="2D563ED2" w:rsidR="00D8448F" w:rsidRPr="001D5A65" w:rsidRDefault="00F57060" w:rsidP="004268FE">
      <w:pPr>
        <w:pStyle w:val="TEKSTI"/>
      </w:pPr>
      <w:r>
        <w:t xml:space="preserve">g) </w:t>
      </w:r>
      <w:r w:rsidR="00D8448F" w:rsidRPr="001D5A65">
        <w:t xml:space="preserve">Dosja e tenderit, duke përfshirë anekset, sqarime, procesverbalet e mbledhjeve, dëshmitë e publikimit; </w:t>
      </w:r>
    </w:p>
    <w:p w14:paraId="23B66AA6" w14:textId="60B4BA74" w:rsidR="00D8448F" w:rsidRPr="001D5A65" w:rsidRDefault="00F57060" w:rsidP="004268FE">
      <w:pPr>
        <w:pStyle w:val="TEKSTI"/>
      </w:pPr>
      <w:r>
        <w:t xml:space="preserve">h) </w:t>
      </w:r>
      <w:r w:rsidR="00D8448F" w:rsidRPr="001D5A65">
        <w:t xml:space="preserve">Caktimi i komisionit të vlerësimit; </w:t>
      </w:r>
    </w:p>
    <w:p w14:paraId="5874A772" w14:textId="1061EEE0" w:rsidR="00D8448F" w:rsidRPr="001D5A65" w:rsidRDefault="00F57060" w:rsidP="004268FE">
      <w:pPr>
        <w:pStyle w:val="TEKSTI"/>
      </w:pPr>
      <w:r>
        <w:t xml:space="preserve">i) </w:t>
      </w:r>
      <w:r w:rsidR="00D8448F" w:rsidRPr="001D5A65">
        <w:t xml:space="preserve">Raporti për hapjen e tenderave, duke përfshirë anekset; </w:t>
      </w:r>
    </w:p>
    <w:p w14:paraId="16B94E98" w14:textId="17B62BF4" w:rsidR="00D8448F" w:rsidRPr="001D5A65" w:rsidRDefault="00F57060" w:rsidP="004268FE">
      <w:pPr>
        <w:pStyle w:val="TEKSTI"/>
      </w:pPr>
      <w:r>
        <w:t xml:space="preserve">j) </w:t>
      </w:r>
      <w:r w:rsidR="00D8448F" w:rsidRPr="001D5A65">
        <w:t>Raporti i vlerësimit/negocimit, duke përfshirë anekset dhe ofertat e pranuara;</w:t>
      </w:r>
      <w:r w:rsidR="00D8448F" w:rsidRPr="001D5A65">
        <w:rPr>
          <w:rStyle w:val="FootnoteReference"/>
        </w:rPr>
        <w:footnoteReference w:id="92"/>
      </w:r>
      <w:r w:rsidR="00D8448F" w:rsidRPr="001D5A65">
        <w:t xml:space="preserve"> </w:t>
      </w:r>
    </w:p>
    <w:p w14:paraId="1288D65B" w14:textId="7CBEC89A" w:rsidR="00D8448F" w:rsidRPr="001D5A65" w:rsidRDefault="00F57060" w:rsidP="004268FE">
      <w:pPr>
        <w:pStyle w:val="TEKSTI"/>
      </w:pPr>
      <w:r>
        <w:t xml:space="preserve">k) </w:t>
      </w:r>
      <w:r w:rsidR="00D8448F" w:rsidRPr="001D5A65">
        <w:t xml:space="preserve">Letra e njoftimit; </w:t>
      </w:r>
    </w:p>
    <w:p w14:paraId="1D9EF282" w14:textId="54B899A3" w:rsidR="00D8448F" w:rsidRPr="001D5A65" w:rsidRDefault="00F57060" w:rsidP="004268FE">
      <w:pPr>
        <w:pStyle w:val="TEKSTI"/>
      </w:pPr>
      <w:r>
        <w:t xml:space="preserve">l) </w:t>
      </w:r>
      <w:r w:rsidR="00D8448F" w:rsidRPr="001D5A65">
        <w:t xml:space="preserve">Shkresë për dorëzimin e kontratës; </w:t>
      </w:r>
    </w:p>
    <w:p w14:paraId="66FFAD98" w14:textId="48EAF11C" w:rsidR="00D8448F" w:rsidRPr="001D5A65" w:rsidRDefault="00F57060" w:rsidP="004268FE">
      <w:pPr>
        <w:pStyle w:val="TEKSTI"/>
      </w:pPr>
      <w:r>
        <w:t xml:space="preserve">m) </w:t>
      </w:r>
      <w:r w:rsidR="00D8448F" w:rsidRPr="001D5A65">
        <w:t xml:space="preserve">Letrat për kandidatët e pasuksesshëm; </w:t>
      </w:r>
    </w:p>
    <w:p w14:paraId="764458C6" w14:textId="7A6DE524" w:rsidR="00D8448F" w:rsidRPr="001D5A65" w:rsidRDefault="00F57060" w:rsidP="004268FE">
      <w:pPr>
        <w:pStyle w:val="TEKSTI"/>
      </w:pPr>
      <w:r>
        <w:t xml:space="preserve">n) </w:t>
      </w:r>
      <w:r w:rsidR="00D8448F" w:rsidRPr="001D5A65">
        <w:t xml:space="preserve">Dhënia /njoftimi i anulimit, përfshirë dëshminë e publikimit; </w:t>
      </w:r>
    </w:p>
    <w:p w14:paraId="444625EE" w14:textId="64FC8100" w:rsidR="00D8448F" w:rsidRPr="001D5A65" w:rsidRDefault="00F57060" w:rsidP="004268FE">
      <w:pPr>
        <w:pStyle w:val="TEKSTI"/>
      </w:pPr>
      <w:r>
        <w:t xml:space="preserve">o) </w:t>
      </w:r>
      <w:r w:rsidR="00D8448F" w:rsidRPr="001D5A65">
        <w:t xml:space="preserve">Kontratat e nënshkruara, ndryshimet, dispozitat shtesë, raportet e zbatimit, dhe korrespondenca përkatëse. </w:t>
      </w:r>
    </w:p>
    <w:p w14:paraId="465B2F02" w14:textId="45EDBEA2" w:rsidR="00D8448F" w:rsidRPr="001D5A65" w:rsidRDefault="00F57060" w:rsidP="004268FE">
      <w:pPr>
        <w:pStyle w:val="TEKSTI"/>
      </w:pPr>
      <w:r>
        <w:t xml:space="preserve">b. </w:t>
      </w:r>
      <w:r w:rsidR="00D8448F" w:rsidRPr="001D5A65">
        <w:t xml:space="preserve">Për thirrjet për propozime dhe dhënien e drejtpërdrejtë të granteve në veçanti: </w:t>
      </w:r>
    </w:p>
    <w:p w14:paraId="02B5C2E7" w14:textId="4CB71A54" w:rsidR="00D8448F" w:rsidRPr="001D5A65" w:rsidRDefault="00F57060" w:rsidP="004268FE">
      <w:pPr>
        <w:pStyle w:val="TEKSTI"/>
      </w:pPr>
      <w:r>
        <w:t xml:space="preserve">a) </w:t>
      </w:r>
      <w:r w:rsidR="00D8448F" w:rsidRPr="001D5A65">
        <w:t xml:space="preserve">Emërimi i komisionit të vlerësimit; </w:t>
      </w:r>
    </w:p>
    <w:p w14:paraId="11D9E101" w14:textId="2779DB50" w:rsidR="00D8448F" w:rsidRPr="001D5A65" w:rsidRDefault="00F57060" w:rsidP="004268FE">
      <w:pPr>
        <w:pStyle w:val="TEKSTI"/>
      </w:pPr>
      <w:r>
        <w:t xml:space="preserve">b) </w:t>
      </w:r>
      <w:r w:rsidR="00D8448F" w:rsidRPr="001D5A65">
        <w:t>Raporti i hapjes dhe raporti administrativ, duke përfshirë shtojcat dhe aplikimet e marra;</w:t>
      </w:r>
      <w:r w:rsidR="00D8448F" w:rsidRPr="001D5A65">
        <w:rPr>
          <w:rStyle w:val="FootnoteReference"/>
        </w:rPr>
        <w:footnoteReference w:id="93"/>
      </w:r>
    </w:p>
    <w:p w14:paraId="172811AA" w14:textId="7BAE9399" w:rsidR="00D8448F" w:rsidRPr="001D5A65" w:rsidRDefault="00F57060" w:rsidP="004268FE">
      <w:pPr>
        <w:pStyle w:val="TEKSTI"/>
      </w:pPr>
      <w:r>
        <w:t xml:space="preserve">c) </w:t>
      </w:r>
      <w:r w:rsidR="00D8448F" w:rsidRPr="001D5A65">
        <w:t xml:space="preserve">Letrat për aplikantët e suksesshëm dhe të pasuksesshëm, pas vlerësimit të hartimit të notës; </w:t>
      </w:r>
    </w:p>
    <w:p w14:paraId="18369859" w14:textId="73614C51" w:rsidR="00D8448F" w:rsidRPr="001D5A65" w:rsidRDefault="00F57060" w:rsidP="004268FE">
      <w:pPr>
        <w:pStyle w:val="TEKSTI"/>
      </w:pPr>
      <w:r>
        <w:t xml:space="preserve">d) </w:t>
      </w:r>
      <w:r w:rsidR="00D8448F" w:rsidRPr="001D5A65">
        <w:t xml:space="preserve">Raporti i vlerësimit të hartimit të notës; </w:t>
      </w:r>
    </w:p>
    <w:p w14:paraId="090F7F41" w14:textId="76B9A374" w:rsidR="00D8448F" w:rsidRPr="001D5A65" w:rsidRDefault="00F57060" w:rsidP="004268FE">
      <w:pPr>
        <w:pStyle w:val="TEKSTI"/>
      </w:pPr>
      <w:r>
        <w:t xml:space="preserve">e) </w:t>
      </w:r>
      <w:r w:rsidR="00D8448F" w:rsidRPr="001D5A65">
        <w:t xml:space="preserve">Raporti i vlerësimit të aplikimit të plotë ose raporti i negocimit me shtojcat përkatëse; </w:t>
      </w:r>
    </w:p>
    <w:p w14:paraId="1874B64E" w14:textId="4AC085DC" w:rsidR="00D8448F" w:rsidRPr="001D5A65" w:rsidRDefault="00F57060" w:rsidP="004268FE">
      <w:pPr>
        <w:pStyle w:val="TEKSTI"/>
      </w:pPr>
      <w:r>
        <w:t xml:space="preserve">f) </w:t>
      </w:r>
      <w:r w:rsidR="00D8448F" w:rsidRPr="001D5A65">
        <w:t xml:space="preserve">Kontrolli i pranueshmërisë dhe dokumentet e tjera shoqëruese; </w:t>
      </w:r>
    </w:p>
    <w:p w14:paraId="3A436418" w14:textId="358DB389" w:rsidR="00D8448F" w:rsidRPr="001D5A65" w:rsidRDefault="00A14524" w:rsidP="004268FE">
      <w:pPr>
        <w:pStyle w:val="TEKSTI"/>
      </w:pPr>
      <w:r>
        <w:t xml:space="preserve">g) </w:t>
      </w:r>
      <w:r w:rsidR="00D8448F" w:rsidRPr="001D5A65">
        <w:t xml:space="preserve">Letrat për aplikantët e suksesshëm dhe të pasuksesshëm me listën e miratuar rezervë, pas vlerësimit të plotë të aplikimit; </w:t>
      </w:r>
    </w:p>
    <w:p w14:paraId="793BB65B" w14:textId="182D58E0" w:rsidR="00D8448F" w:rsidRPr="001D5A65" w:rsidRDefault="00A14524" w:rsidP="004268FE">
      <w:pPr>
        <w:pStyle w:val="TEKSTI"/>
      </w:pPr>
      <w:r>
        <w:t xml:space="preserve">h) </w:t>
      </w:r>
      <w:r w:rsidR="00D8448F" w:rsidRPr="001D5A65">
        <w:t xml:space="preserve">Shkresa përcjellëse për dorëzimin e kontratës së grantit; </w:t>
      </w:r>
    </w:p>
    <w:p w14:paraId="763624AB" w14:textId="1EB75581" w:rsidR="00D8448F" w:rsidRPr="001D5A65" w:rsidRDefault="00A14524" w:rsidP="004268FE">
      <w:pPr>
        <w:pStyle w:val="TEKSTI"/>
      </w:pPr>
      <w:r>
        <w:t xml:space="preserve">i) </w:t>
      </w:r>
      <w:r w:rsidR="00D8448F" w:rsidRPr="001D5A65">
        <w:t xml:space="preserve">Dhënia/njoftimi i anulimit, me dëshmi të publikimit; </w:t>
      </w:r>
    </w:p>
    <w:p w14:paraId="587662B8" w14:textId="1CC45C12" w:rsidR="00D8448F" w:rsidRPr="001D5A65" w:rsidRDefault="00A14524" w:rsidP="004268FE">
      <w:pPr>
        <w:pStyle w:val="TEKSTI"/>
      </w:pPr>
      <w:r>
        <w:t xml:space="preserve">j) </w:t>
      </w:r>
      <w:r w:rsidR="00D8448F" w:rsidRPr="001D5A65">
        <w:t xml:space="preserve">Kontratat e nënshkruara, ndryshimet, dispozitat shtesë dhe korrespondencat përkatëse. </w:t>
      </w:r>
    </w:p>
    <w:p w14:paraId="7694E66B" w14:textId="77777777" w:rsidR="00D8448F" w:rsidRPr="001D5A65" w:rsidRDefault="00D8448F" w:rsidP="004268FE">
      <w:pPr>
        <w:pStyle w:val="TEKSTI"/>
      </w:pPr>
      <w:r w:rsidRPr="001D5A65">
        <w:t xml:space="preserve">Përveç kësaj, dokumentet financiare dhe kontraktuale të përmendura në paragrafin 6 (a) dhe (b) të këtij neni, do të plotësohen nga të gjitha dokumentet e tjera shoqëruese përkatëse, siç kërkohen nga procedurat e përmendura në pikën 1 të këtij neni, si dhe të gjithë dokumentacionin përkatës në lidhje me pagesat, rikuperimin dhe shpenzimet operative, për shembull raportet e projektit dhe raportet e kontrolleve të vendeve, pranimi i furnizimeve dhe punëve, sigurimet dhe garancitë, raportet e inxhinierëve të mbikëqyrjes. </w:t>
      </w:r>
    </w:p>
    <w:p w14:paraId="655834DA" w14:textId="77777777" w:rsidR="00D8448F" w:rsidRPr="001D5A65" w:rsidRDefault="00D8448F" w:rsidP="004268FE">
      <w:pPr>
        <w:pStyle w:val="TEKSTI"/>
      </w:pPr>
      <w:r w:rsidRPr="001D5A65">
        <w:t>Të gjitha dokumentet përkatëse financiare dhe kontraktuale do të mbahen për të njëjtën kohëzgjatje, në përputhje me nenin 49 të Marrëveshjes Kuadër.</w:t>
      </w:r>
    </w:p>
    <w:p w14:paraId="3E443308" w14:textId="77777777" w:rsidR="00D8448F" w:rsidRPr="001F66F5" w:rsidRDefault="00D8448F" w:rsidP="00D8448F">
      <w:pPr>
        <w:widowControl w:val="0"/>
        <w:autoSpaceDE w:val="0"/>
        <w:autoSpaceDN w:val="0"/>
        <w:adjustRightInd w:val="0"/>
        <w:spacing w:after="0" w:line="240" w:lineRule="auto"/>
        <w:ind w:firstLine="284"/>
        <w:rPr>
          <w:rFonts w:ascii="Garamond" w:hAnsi="Garamond"/>
          <w:sz w:val="24"/>
          <w:szCs w:val="24"/>
        </w:rPr>
      </w:pPr>
    </w:p>
    <w:p w14:paraId="57649ACC" w14:textId="376AEF39" w:rsidR="001F66F5" w:rsidRPr="001F66F5" w:rsidRDefault="00D8448F" w:rsidP="001F66F5">
      <w:pPr>
        <w:widowControl w:val="0"/>
        <w:autoSpaceDE w:val="0"/>
        <w:autoSpaceDN w:val="0"/>
        <w:adjustRightInd w:val="0"/>
        <w:spacing w:after="0" w:line="240" w:lineRule="auto"/>
        <w:ind w:firstLine="284"/>
        <w:jc w:val="center"/>
        <w:rPr>
          <w:rFonts w:ascii="Garamond" w:hAnsi="Garamond"/>
          <w:bCs/>
          <w:sz w:val="24"/>
          <w:szCs w:val="24"/>
        </w:rPr>
      </w:pPr>
      <w:r w:rsidRPr="001F66F5">
        <w:rPr>
          <w:rFonts w:ascii="Garamond" w:hAnsi="Garamond"/>
          <w:bCs/>
          <w:sz w:val="24"/>
          <w:szCs w:val="24"/>
        </w:rPr>
        <w:t>Neni 8a</w:t>
      </w:r>
    </w:p>
    <w:p w14:paraId="59667C71" w14:textId="49936A89" w:rsidR="00D8448F" w:rsidRPr="001D5A65" w:rsidRDefault="00D8448F" w:rsidP="001F66F5">
      <w:pPr>
        <w:widowControl w:val="0"/>
        <w:autoSpaceDE w:val="0"/>
        <w:autoSpaceDN w:val="0"/>
        <w:adjustRightInd w:val="0"/>
        <w:spacing w:after="0" w:line="240" w:lineRule="auto"/>
        <w:ind w:firstLine="284"/>
        <w:jc w:val="center"/>
        <w:rPr>
          <w:rFonts w:ascii="Garamond" w:hAnsi="Garamond"/>
          <w:b/>
          <w:bCs/>
          <w:sz w:val="24"/>
          <w:szCs w:val="24"/>
        </w:rPr>
      </w:pPr>
      <w:r w:rsidRPr="001D5A65">
        <w:rPr>
          <w:rFonts w:ascii="Garamond" w:hAnsi="Garamond"/>
          <w:b/>
          <w:bCs/>
          <w:sz w:val="24"/>
          <w:szCs w:val="24"/>
        </w:rPr>
        <w:t>Detyrimi për të informuar, sanksionet administrative dhe mosveprimi</w:t>
      </w:r>
    </w:p>
    <w:p w14:paraId="4168ECD8" w14:textId="77777777" w:rsidR="00D8448F" w:rsidRPr="001D5A65" w:rsidRDefault="00D8448F" w:rsidP="00D8448F">
      <w:pPr>
        <w:widowControl w:val="0"/>
        <w:autoSpaceDE w:val="0"/>
        <w:autoSpaceDN w:val="0"/>
        <w:adjustRightInd w:val="0"/>
        <w:spacing w:after="0" w:line="240" w:lineRule="auto"/>
        <w:ind w:firstLine="284"/>
        <w:rPr>
          <w:rFonts w:ascii="Garamond" w:hAnsi="Garamond"/>
          <w:b/>
          <w:bCs/>
          <w:sz w:val="24"/>
          <w:szCs w:val="24"/>
        </w:rPr>
      </w:pPr>
    </w:p>
    <w:p w14:paraId="7152E744" w14:textId="1C68354D" w:rsidR="00D8448F" w:rsidRPr="001D5A65" w:rsidRDefault="001F66F5" w:rsidP="001F66F5">
      <w:pPr>
        <w:pStyle w:val="TEKSTI"/>
      </w:pPr>
      <w:r>
        <w:t xml:space="preserve">1. </w:t>
      </w:r>
      <w:r w:rsidR="00D8448F" w:rsidRPr="001D5A65">
        <w:t>Gjatë zbatimit të procedurave dhe dokumenteve standarde të përcaktuara dhe të publikuara nga Komisioni për dhënien e kontratave të prokurimit dhe grantit, përfituesi i IPA II do të sigurojë që asnjë kontratë e prokurimit ose grantit të financuar nga BE nuk i jepet një operatori ekonomik ose aplikanti për grante, nëse operatori ekonomik ose kërkuesi i grantit, nëse ai personalisht ose një person me kompetenca të përfaqësimit, vendimmarrjes ose kontrollit mbi të, ndodhet në një nga situatat e përjashtimit të parashikuara në procedurat përkatëse dhe dokumentet standarde të Komisionit.</w:t>
      </w:r>
    </w:p>
    <w:p w14:paraId="6C69B8EC" w14:textId="33B0A480" w:rsidR="00D8448F" w:rsidRPr="001D5A65" w:rsidRDefault="001F66F5" w:rsidP="001F66F5">
      <w:pPr>
        <w:pStyle w:val="TEKSTI"/>
      </w:pPr>
      <w:r>
        <w:t xml:space="preserve">2. </w:t>
      </w:r>
      <w:r w:rsidR="00D8448F" w:rsidRPr="001D5A65">
        <w:t xml:space="preserve">Përfituesi IPA II që është Autoriteti Kontraktues do të informojë Komisionin, kur një kandidat, ofertues ose aplikant ndodhet në një situatë përjashtimi nga pjesëmarrja në procedurat e dhënies së prokurimit dhe grantit, ka kryer parregullsi dhe mashtrime ose është konstatuar në shkelje të rëndë të detyrimeve të tij kontraktuale. </w:t>
      </w:r>
    </w:p>
    <w:p w14:paraId="2EE835DD" w14:textId="1AA384BD" w:rsidR="00D8448F" w:rsidRPr="001D5A65" w:rsidRDefault="001F66F5" w:rsidP="001F66F5">
      <w:pPr>
        <w:pStyle w:val="TEKSTI"/>
      </w:pPr>
      <w:r>
        <w:t xml:space="preserve">3. </w:t>
      </w:r>
      <w:r w:rsidR="00D8448F" w:rsidRPr="001D5A65">
        <w:t xml:space="preserve">Përfituesi IPA II që është Autoritet Kontraktues, do të marrë parasysh informacionin përfshirë në Sistemin e Zbulimit të Parakohshëm dhe të Përjashtimit (EDES), gjatë dhënies së kontratave të prokurimit dhe granteve. Aksesi në informacione mund të sigurohet përmes pikës(ve) së ndërlidhjes ose nëpërmjet konsultimeve me mënyrat e mëposhtme: (Komisioni Evropian, Drejtoria e Përgjithshme për Buxhetin, nëpunësi i kontabilitetit të Komisionit, BRE2-13/505, B-1049 Bruksel, Belgjikë dhe me email: </w:t>
      </w:r>
      <w:hyperlink r:id="rId26" w:history="1">
        <w:r w:rsidR="00D8448F" w:rsidRPr="001D5A65">
          <w:t xml:space="preserve"> </w:t>
        </w:r>
        <w:r w:rsidR="00D8448F" w:rsidRPr="001D5A65">
          <w:rPr>
            <w:color w:val="0000FF"/>
            <w:u w:val="single"/>
          </w:rPr>
          <w:t>BUDG-C01-EXCL-DB@ec.europa.eu</w:t>
        </w:r>
      </w:hyperlink>
      <w:r w:rsidR="00D8448F" w:rsidRPr="001D5A65">
        <w:rPr>
          <w:u w:val="single"/>
        </w:rPr>
        <w:t xml:space="preserve"> </w:t>
      </w:r>
      <w:r w:rsidR="00D8448F" w:rsidRPr="001D5A65">
        <w:t xml:space="preserve">bashkë me adresën e Komisionit, të identifikuar në nenin 3 të Kushteve të veçanta). </w:t>
      </w:r>
    </w:p>
    <w:p w14:paraId="1D672A24" w14:textId="0E281005" w:rsidR="00D8448F" w:rsidRPr="001D5A65" w:rsidRDefault="001F66F5" w:rsidP="001F66F5">
      <w:pPr>
        <w:pStyle w:val="TEKSTI"/>
      </w:pPr>
      <w:r>
        <w:t xml:space="preserve">4. </w:t>
      </w:r>
      <w:r w:rsidR="00D8448F" w:rsidRPr="001D5A65">
        <w:t>Kur përfituesi IPA II që është Autoriteti Kontraktues, është në dijeni për një situatë përjashtimi në zbatimin e detyrave të përshkruara në Shtojcën I, përfituesi i IPA II që është Autoriteti Kontraktues, do ti vendosë një operatori ekonomik ose aplikuesi granti përjashtim nga prokurimet e saj të ardhshme ose procedurat e dhënies së granteve. Përfituesi i IPA II që është Autoriteti Kontraktues, gjithashtu mund të vendosë një penalitet financiar proporcional me vlerën e kontratës në fjalë. Përjashtimet dhe/ose penalitetet financiare do të vendosen pas një procedure për gjetjen dhe paraqitje e provave që siguron të drejtën e mbrojtjes së personit në fjalë. Përfituesi IPA II që është Autoriteti Kontraktues, njofton Komisionin në përputhje me paragrafin 1 të këtij Neni.</w:t>
      </w:r>
    </w:p>
    <w:p w14:paraId="38EA4CDE" w14:textId="0E51916E" w:rsidR="00D8448F" w:rsidRPr="001D5A65" w:rsidRDefault="001F66F5" w:rsidP="001F66F5">
      <w:pPr>
        <w:pStyle w:val="TEKSTI"/>
      </w:pPr>
      <w:r>
        <w:t xml:space="preserve">5. </w:t>
      </w:r>
      <w:r w:rsidR="00D8448F" w:rsidRPr="001D5A65">
        <w:t>Në lidhje me paragrafin 4 të këtij neni, përfituesi IPA II që është Autoriteti Kontraktues, merr përsipër mosveprimin, nëse nuk vendos përjashtim dhe/ose një penalitet financiar ndaj operatorit ekonomik ose kërkuesit të grantit.</w:t>
      </w:r>
    </w:p>
    <w:p w14:paraId="2FED9006" w14:textId="71F14204" w:rsidR="00D8448F" w:rsidRPr="001D5A65" w:rsidRDefault="001F66F5" w:rsidP="001F66F5">
      <w:pPr>
        <w:pStyle w:val="TEKSTI"/>
      </w:pPr>
      <w:r>
        <w:t xml:space="preserve">6. </w:t>
      </w:r>
      <w:r w:rsidR="00D8448F" w:rsidRPr="001D5A65">
        <w:t>Në rastin e mosveprimit, përfituesi IPA II që është Autoriteti Kontraktues, duhet të njoftojë Komisionin për të shpjeguar arsyet për mosveprimin e tij. Komisioni rezervon të drejtën për të përjashtuar një operator ekonomik ose një aplikues granti nga procedurat e ardhshme të financimit të BE-së dhe/ose të vendosë një penalitet financiar ndaj operatorit ekonomik ose kërkuesit të grantit ndërmjet 2% dhe 10% të vlerës totale të kontratës në fjalë.</w:t>
      </w:r>
    </w:p>
    <w:p w14:paraId="47BB1257" w14:textId="77777777" w:rsidR="00D8448F" w:rsidRPr="001D5A65" w:rsidRDefault="00D8448F" w:rsidP="001F66F5">
      <w:pPr>
        <w:pStyle w:val="TEKSTI"/>
        <w:rPr>
          <w:b/>
        </w:rPr>
      </w:pPr>
    </w:p>
    <w:p w14:paraId="66371AFD" w14:textId="5F0CA9DD" w:rsidR="001F66F5" w:rsidRPr="001F66F5" w:rsidRDefault="00D8448F" w:rsidP="001F66F5">
      <w:pPr>
        <w:widowControl w:val="0"/>
        <w:autoSpaceDE w:val="0"/>
        <w:autoSpaceDN w:val="0"/>
        <w:adjustRightInd w:val="0"/>
        <w:spacing w:after="0" w:line="240" w:lineRule="auto"/>
        <w:ind w:firstLine="284"/>
        <w:jc w:val="center"/>
        <w:rPr>
          <w:rFonts w:ascii="Garamond" w:hAnsi="Garamond"/>
          <w:bCs/>
          <w:sz w:val="24"/>
          <w:szCs w:val="24"/>
        </w:rPr>
      </w:pPr>
      <w:r w:rsidRPr="001F66F5">
        <w:rPr>
          <w:rFonts w:ascii="Garamond" w:hAnsi="Garamond"/>
          <w:bCs/>
          <w:sz w:val="24"/>
          <w:szCs w:val="24"/>
        </w:rPr>
        <w:t>Neni 9</w:t>
      </w:r>
    </w:p>
    <w:p w14:paraId="29C9A469" w14:textId="6B1350B9" w:rsidR="00D8448F" w:rsidRPr="001D5A65" w:rsidRDefault="00D8448F" w:rsidP="001F66F5">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Kontrollet paraprake mbi procedurat e granteve dhe prokurimeve dhe kontrollet paraprake të kontratave dhe granteve që do të kryhen nga Komisioni</w:t>
      </w:r>
    </w:p>
    <w:p w14:paraId="37B529FC" w14:textId="77777777" w:rsidR="00D8448F" w:rsidRPr="001D5A65" w:rsidRDefault="00D8448F" w:rsidP="001F66F5">
      <w:pPr>
        <w:pStyle w:val="TEKSTI"/>
      </w:pPr>
    </w:p>
    <w:p w14:paraId="3C187A38" w14:textId="03DD696B" w:rsidR="00D8448F" w:rsidRPr="001D5A65" w:rsidRDefault="001F66F5" w:rsidP="001F66F5">
      <w:pPr>
        <w:pStyle w:val="TEKSTI"/>
      </w:pPr>
      <w:r>
        <w:t xml:space="preserve">1. </w:t>
      </w:r>
      <w:r w:rsidR="00D8448F" w:rsidRPr="001D5A65">
        <w:t xml:space="preserve">Komisioni mund të ushtrojë kontrolle paraprake (ex ante) për tenderimin e kontratave, hapjen e thirrjeve për propozime dhe dhënien e kontratave dhe granteve për fazat e mëposhtme të prokurimit ose dhënies së granteve: </w:t>
      </w:r>
    </w:p>
    <w:p w14:paraId="6037ED85" w14:textId="2DB7E774" w:rsidR="00D8448F" w:rsidRPr="001D5A65" w:rsidRDefault="001F66F5" w:rsidP="001F66F5">
      <w:pPr>
        <w:pStyle w:val="TEKSTI"/>
      </w:pPr>
      <w:r>
        <w:t xml:space="preserve">a) </w:t>
      </w:r>
      <w:r w:rsidR="00D8448F" w:rsidRPr="001D5A65">
        <w:t xml:space="preserve">për miratimin e njoftimeve të kontratës për prokurim, programet e punës për thirrjet për propozime dhe çdo korrigjim të tij; </w:t>
      </w:r>
    </w:p>
    <w:p w14:paraId="0030E34E" w14:textId="03372749" w:rsidR="00D8448F" w:rsidRPr="001D5A65" w:rsidRDefault="001F66F5" w:rsidP="001F66F5">
      <w:pPr>
        <w:pStyle w:val="TEKSTI"/>
      </w:pPr>
      <w:r>
        <w:t xml:space="preserve">b) </w:t>
      </w:r>
      <w:r w:rsidR="00D8448F" w:rsidRPr="001D5A65">
        <w:t xml:space="preserve">për miratimin e dosjeve të tenderit dhe udhëzimeve për aplikantët për grante; </w:t>
      </w:r>
    </w:p>
    <w:p w14:paraId="2DC16315" w14:textId="75EABC56" w:rsidR="00D8448F" w:rsidRPr="001D5A65" w:rsidRDefault="001F66F5" w:rsidP="001F66F5">
      <w:pPr>
        <w:pStyle w:val="TEKSTI"/>
      </w:pPr>
      <w:r>
        <w:t xml:space="preserve">c) </w:t>
      </w:r>
      <w:r w:rsidR="00D8448F" w:rsidRPr="001D5A65">
        <w:t xml:space="preserve">për miratimin e përbërjes së komisioneve të vlerësimit; </w:t>
      </w:r>
    </w:p>
    <w:p w14:paraId="5B7D5BE4" w14:textId="49481E83" w:rsidR="00D8448F" w:rsidRPr="001D5A65" w:rsidRDefault="001F66F5" w:rsidP="001F66F5">
      <w:pPr>
        <w:pStyle w:val="TEKSTI"/>
      </w:pPr>
      <w:r>
        <w:t xml:space="preserve">d) </w:t>
      </w:r>
      <w:r w:rsidR="00D8448F" w:rsidRPr="001D5A65">
        <w:t>për miratimin e raporteve të vlerësimit dhe vendimet e dhënies së kontratës</w:t>
      </w:r>
      <w:r w:rsidR="00D8448F" w:rsidRPr="001D5A65">
        <w:rPr>
          <w:rStyle w:val="FootnoteReference"/>
        </w:rPr>
        <w:footnoteReference w:id="94"/>
      </w:r>
      <w:r w:rsidR="00D8448F" w:rsidRPr="001D5A65">
        <w:t xml:space="preserve">; </w:t>
      </w:r>
    </w:p>
    <w:p w14:paraId="3EA1BF72" w14:textId="6EC76E50" w:rsidR="00D8448F" w:rsidRPr="001D5A65" w:rsidRDefault="001F66F5" w:rsidP="001F66F5">
      <w:pPr>
        <w:pStyle w:val="TEKSTI"/>
      </w:pPr>
      <w:r>
        <w:t xml:space="preserve">e) </w:t>
      </w:r>
      <w:r w:rsidR="00D8448F" w:rsidRPr="001D5A65">
        <w:t xml:space="preserve">për miratimin e dosjeve të kontratës dhe shtesën e kontratës. </w:t>
      </w:r>
    </w:p>
    <w:p w14:paraId="7E165D6C" w14:textId="71AF6795" w:rsidR="00D8448F" w:rsidRPr="001D5A65" w:rsidRDefault="001F66F5" w:rsidP="001F66F5">
      <w:pPr>
        <w:pStyle w:val="TEKSTI"/>
      </w:pPr>
      <w:r>
        <w:t xml:space="preserve">2. </w:t>
      </w:r>
      <w:r w:rsidR="00D8448F" w:rsidRPr="001D5A65">
        <w:t>Lidhur me kontrollin paraprak, komisioni duhet të vendosë:</w:t>
      </w:r>
    </w:p>
    <w:p w14:paraId="2B9C9875" w14:textId="7125B570" w:rsidR="00D8448F" w:rsidRPr="001D5A65" w:rsidRDefault="001F66F5" w:rsidP="001F66F5">
      <w:pPr>
        <w:pStyle w:val="TEKSTI"/>
      </w:pPr>
      <w:r>
        <w:t xml:space="preserve">a) </w:t>
      </w:r>
      <w:r w:rsidR="00D8448F" w:rsidRPr="001D5A65">
        <w:t xml:space="preserve">të kryejë kontrolle paraprake për të gjitha dosjet ose </w:t>
      </w:r>
    </w:p>
    <w:p w14:paraId="386DE411" w14:textId="4EAE82B2" w:rsidR="00D8448F" w:rsidRPr="001D5A65" w:rsidRDefault="001F66F5" w:rsidP="001F66F5">
      <w:pPr>
        <w:pStyle w:val="TEKSTI"/>
      </w:pPr>
      <w:r>
        <w:t xml:space="preserve">b) </w:t>
      </w:r>
      <w:r w:rsidR="00D8448F" w:rsidRPr="001D5A65">
        <w:t xml:space="preserve">të kryejë kontrolle paraprake në përzgjedhjen e këtyre dosjeve ose </w:t>
      </w:r>
    </w:p>
    <w:p w14:paraId="42463591" w14:textId="17D8CDFE" w:rsidR="00D8448F" w:rsidRPr="001D5A65" w:rsidRDefault="001F66F5" w:rsidP="001F66F5">
      <w:pPr>
        <w:pStyle w:val="TEKSTI"/>
      </w:pPr>
      <w:r>
        <w:t xml:space="preserve">c) </w:t>
      </w:r>
      <w:r w:rsidR="00D8448F" w:rsidRPr="001D5A65">
        <w:t xml:space="preserve">të heqë dorë plotësisht nga kontrollet paraprake. </w:t>
      </w:r>
    </w:p>
    <w:p w14:paraId="0398273B" w14:textId="73634F41" w:rsidR="00D8448F" w:rsidRPr="001D5A65" w:rsidRDefault="001F66F5" w:rsidP="001F66F5">
      <w:pPr>
        <w:pStyle w:val="TEKSTI"/>
      </w:pPr>
      <w:r>
        <w:t xml:space="preserve">3. </w:t>
      </w:r>
      <w:r w:rsidR="00D8448F" w:rsidRPr="001D5A65">
        <w:t xml:space="preserve">Nëse Komisioni vendos për të kryer kontrolle paraprake në përputhje me paragrafin 2, shkronjat (a) ose (b) të këtij neni, ai duhet të informojë përfituesin e IPA II që është Autoriteti Kontraktues i dosjeve të përzgjedhura, në lidhje me kontrollet paraprake. Ky përfitues i IPA II do të japë të gjithë dokumentacionin dhe informacionin e nevojshëm për Komisionin, pasi të informohet se një dosje është përzgjedhur për kontroll paraprak maksimumi në kohën e dorëzimit të njoftimit të kontratës ose programit të punës për publikim. </w:t>
      </w:r>
    </w:p>
    <w:p w14:paraId="64088597" w14:textId="2BC92AB2" w:rsidR="00D8448F" w:rsidRPr="001D5A65" w:rsidRDefault="001F66F5" w:rsidP="001F66F5">
      <w:pPr>
        <w:pStyle w:val="TEKSTI"/>
      </w:pPr>
      <w:r>
        <w:t xml:space="preserve">4. </w:t>
      </w:r>
      <w:r w:rsidR="00D8448F" w:rsidRPr="001D5A65">
        <w:t xml:space="preserve">Komisioni mund të vendosë për të kryer kontrolle të mëpasshme (ex-post), duke përfshirë auditimet dhe kontrollet në vend, në çdo kohë, për ndonjë kontratë ose grantet e dhëna nga përfituesi IPA II që është Autoriteti Kontraktues që rrjedhin nga kjo marrëveshje financimi. Ky përfitues i IPA II do të të vërë në dispozicion të gjithë dokumentacionin dhe informacionin e nevojshëm për Komisionin, pasi të informohet se kjo dosje është përzgjedhur për kontroll të mëpasshëm (ex post). Komisioni mund të autorizojë një person ose njësi ekonomike për të kryer kontrolle ex post në emër të tij. </w:t>
      </w:r>
    </w:p>
    <w:p w14:paraId="35F9ECF7"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bookmarkStart w:id="57" w:name="page8"/>
      <w:bookmarkEnd w:id="57"/>
    </w:p>
    <w:p w14:paraId="2654ADBF" w14:textId="4F967526" w:rsidR="00B837C2" w:rsidRPr="00B837C2" w:rsidRDefault="00D8448F" w:rsidP="00B837C2">
      <w:pPr>
        <w:widowControl w:val="0"/>
        <w:autoSpaceDE w:val="0"/>
        <w:autoSpaceDN w:val="0"/>
        <w:adjustRightInd w:val="0"/>
        <w:spacing w:after="0" w:line="240" w:lineRule="auto"/>
        <w:ind w:firstLine="284"/>
        <w:jc w:val="center"/>
        <w:rPr>
          <w:rFonts w:ascii="Garamond" w:hAnsi="Garamond"/>
          <w:bCs/>
          <w:sz w:val="24"/>
          <w:szCs w:val="24"/>
        </w:rPr>
      </w:pPr>
      <w:r w:rsidRPr="00B837C2">
        <w:rPr>
          <w:rFonts w:ascii="Garamond" w:hAnsi="Garamond"/>
          <w:bCs/>
          <w:sz w:val="24"/>
          <w:szCs w:val="24"/>
        </w:rPr>
        <w:t>Neni 10</w:t>
      </w:r>
    </w:p>
    <w:p w14:paraId="500483EA" w14:textId="199A4D5C" w:rsidR="00D8448F" w:rsidRPr="001D5A65" w:rsidRDefault="00D8448F" w:rsidP="00B837C2">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Llogaritë bankare, sistemet e kontabilitetit dhe kostoja e njohur</w:t>
      </w:r>
    </w:p>
    <w:p w14:paraId="58458D16"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7F42601A" w14:textId="2127B330" w:rsidR="00D8448F" w:rsidRPr="001D5A65" w:rsidRDefault="00300139" w:rsidP="00300139">
      <w:pPr>
        <w:pStyle w:val="TEKSTI"/>
      </w:pPr>
      <w:r>
        <w:t xml:space="preserve">1. </w:t>
      </w:r>
      <w:r w:rsidR="00D8448F" w:rsidRPr="001D5A65">
        <w:t xml:space="preserve">Pas hyrjes në fuqi të kësaj Marrëveshjeje Financimi, Fondi Kombëtar dhe struktura operative e përfituesit të IPA II që është Autoriteti Kontraktues për Programin e Veprimit, duhet të hapë të paktën një llogari bankare në Euro. Bilanci i përgjithshëm bankar për Programin e Veprimit do të jetë shuma e bilanceve në të gjitha llogaritë bankare të Programit të Veprimit, të mbajtura nga Fondi Kombëtar dhe të gjitha strukturat pjesëmarrëse që operojnë tek përfituesi i IPA II që është Autoriteti Kontraktues. </w:t>
      </w:r>
    </w:p>
    <w:p w14:paraId="7D8C4B53" w14:textId="36BD1C01" w:rsidR="00D8448F" w:rsidRPr="001D5A65" w:rsidRDefault="00300139" w:rsidP="00300139">
      <w:pPr>
        <w:pStyle w:val="TEKSTI"/>
      </w:pPr>
      <w:r>
        <w:t xml:space="preserve">2. </w:t>
      </w:r>
      <w:r w:rsidR="00D8448F" w:rsidRPr="001D5A65">
        <w:t xml:space="preserve">Përfituesi i IPA II që është Autoriteti Kontraktues, do të përgatisë dhe dorëzojë në Komision planet e parashikimit të disbursimit për kohëzgjatjen e periudhës së zbatimit të Programit të Veprimit. Këto parashikime duhet të përditësohen për raportin vjetor financiar të përmendur në nenin 3 (2) dhe për çdo kërkesë për fonde. Parashikimet do të bazohen në një analizë të dokumentuar dhe të detajuar (duke përfshirë edhe kontraktimin e planifikuar dhe orarin e pagesave sipas kontratës për dymbëdhjetë muajt në vijim), të cilat do të jenë në dispozicion të Komisionit në bazë të kërkesës. </w:t>
      </w:r>
    </w:p>
    <w:p w14:paraId="55C024E8" w14:textId="0FE832E0" w:rsidR="00D8448F" w:rsidRPr="001D5A65" w:rsidRDefault="00300139" w:rsidP="00300139">
      <w:pPr>
        <w:pStyle w:val="TEKSTI"/>
      </w:pPr>
      <w:r>
        <w:t xml:space="preserve">3. </w:t>
      </w:r>
      <w:r w:rsidR="00D8448F" w:rsidRPr="001D5A65">
        <w:t xml:space="preserve">Plani fillestar i parashikimit të disbursimit duhet të përmbajë përmbledhjen e parashikimit vjetorë të disbursimit për të gjithë periudhën e zbatimit dhe parashikimet mujore të disbursimit për dymbëdhjetë muajt e parë të Programit të Veprimit. Planet e mëvonshme duhet të përmbajnë përmbledhjen vjetore të parashikimeve të disbursimit për bilancin e periudhës së zbatimit të Programit të Veprimit dhe parashikimet mujore të disbursimit për katërmbëdhjetë muajt në vijim. </w:t>
      </w:r>
    </w:p>
    <w:p w14:paraId="1692C8D3" w14:textId="59F46D0D" w:rsidR="00D8448F" w:rsidRPr="001D5A65" w:rsidRDefault="00300139" w:rsidP="00300139">
      <w:pPr>
        <w:pStyle w:val="TEKSTI"/>
      </w:pPr>
      <w:r>
        <w:t xml:space="preserve">4. </w:t>
      </w:r>
      <w:r w:rsidR="00D8448F" w:rsidRPr="001D5A65">
        <w:t xml:space="preserve">Përfituesi i IPA II që është Autoriteti Kontraktues, është i detyruar të krijojë dhe mirëmbajë një sistem të kontabilitetit në përputhje me pikën 2 (3) (b) të Shtojcës A të Marrëveshjes Kuadër, i cili do të mbajë të paktën informacionin për kontratat që menaxhohen nën Programin e Veprimit të treguar në Shtojcën V. </w:t>
      </w:r>
    </w:p>
    <w:p w14:paraId="605AD1D6" w14:textId="110875F9" w:rsidR="00D8448F" w:rsidRPr="001D5A65" w:rsidRDefault="00300139" w:rsidP="00300139">
      <w:pPr>
        <w:pStyle w:val="TEKSTI"/>
      </w:pPr>
      <w:r>
        <w:t xml:space="preserve">5. </w:t>
      </w:r>
      <w:r w:rsidR="00D8448F" w:rsidRPr="001D5A65">
        <w:t xml:space="preserve">Kostoja e njohur në sistemin e kontabilitetit e mbajtur nën seksionin 4 të këtij neni, duhet të jetë kryer,  paguar dhe  pranuar dhe të korrespondojë me kostot aktuale të provuara nga dokumentet mbështetëse dhe të përdoret kur është e përshtatshme, për të nisur para-financimin e paguar nga përfituesi i IPA II që është Autoriteti Kontraktues sipas kontratave lokale. </w:t>
      </w:r>
    </w:p>
    <w:p w14:paraId="4947AE69" w14:textId="0CA29AAA" w:rsidR="00D8448F" w:rsidRPr="001D5A65" w:rsidRDefault="00300139" w:rsidP="00300139">
      <w:pPr>
        <w:pStyle w:val="TEKSTI"/>
      </w:pPr>
      <w:r>
        <w:t xml:space="preserve">6. </w:t>
      </w:r>
      <w:r w:rsidR="00D8448F" w:rsidRPr="001D5A65">
        <w:t xml:space="preserve">Kostoja e njohur në sistemin e kontabilitetit do të shfrytëzohet nga Komisioni për njohjen e përkohshme të kostos së saj, gjatë zbatimit të Programit të Veprimit (duke përfshirë autorizimin e para-financimit që i paguhet përfituesit të IPA II, i cili është Autoriteti Kontraktues) për procesin e miratimit për pagesat,  autorizimin përfundimtar të procedurës së llogarive në fund të Programit të Veprimit, praktikat vjetore të ndërprera dhe çdo zbatim tjetër të menaxhimit dhe të shqyrtimeve të performancës. </w:t>
      </w:r>
    </w:p>
    <w:p w14:paraId="7A9E26A3" w14:textId="551430FE" w:rsidR="00D8448F" w:rsidRPr="001D5A65" w:rsidRDefault="00300139" w:rsidP="00300139">
      <w:pPr>
        <w:pStyle w:val="TEKSTI"/>
      </w:pPr>
      <w:r>
        <w:t xml:space="preserve">7. </w:t>
      </w:r>
      <w:r w:rsidR="00D8448F" w:rsidRPr="001D5A65">
        <w:t xml:space="preserve">Përfituesi i IPA-II që është Autoriteti Kontraktues, do t'i sigurojë Komisionit raportet në vijim: </w:t>
      </w:r>
    </w:p>
    <w:p w14:paraId="6670FCF6" w14:textId="02A853D3" w:rsidR="00D8448F" w:rsidRPr="001D5A65" w:rsidRDefault="00300139" w:rsidP="00300139">
      <w:pPr>
        <w:pStyle w:val="TEKSTI"/>
      </w:pPr>
      <w:r>
        <w:t xml:space="preserve">a) </w:t>
      </w:r>
      <w:r w:rsidR="00D8448F" w:rsidRPr="001D5A65">
        <w:t xml:space="preserve">Raportin Përmbledhës - siç është përcaktuar në nenin 3 (5); </w:t>
      </w:r>
    </w:p>
    <w:p w14:paraId="3C1E2242" w14:textId="0EA46713" w:rsidR="00D8448F" w:rsidRPr="001D5A65" w:rsidRDefault="00300139" w:rsidP="00300139">
      <w:pPr>
        <w:pStyle w:val="TEKSTI"/>
      </w:pPr>
      <w:r>
        <w:t xml:space="preserve">b) </w:t>
      </w:r>
      <w:r w:rsidR="00D8448F" w:rsidRPr="001D5A65">
        <w:t xml:space="preserve">Raportet vjetore siç janë përcaktuar në paragrafët (2) deri (4) të nenit 3; </w:t>
      </w:r>
    </w:p>
    <w:p w14:paraId="252548BE" w14:textId="5412F7D4" w:rsidR="00D8448F" w:rsidRPr="001D5A65" w:rsidRDefault="00300139" w:rsidP="00300139">
      <w:pPr>
        <w:pStyle w:val="TEKSTI"/>
      </w:pPr>
      <w:r>
        <w:t xml:space="preserve">c) </w:t>
      </w:r>
      <w:r w:rsidR="00D8448F" w:rsidRPr="001D5A65">
        <w:t xml:space="preserve">Kërkesa për raportet e fondeve, siç përmenden në nenin 11. </w:t>
      </w:r>
    </w:p>
    <w:p w14:paraId="22647492"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6758E14E" w14:textId="3CD7930F" w:rsidR="00300139" w:rsidRPr="00300139" w:rsidRDefault="00D8448F"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Neni 11</w:t>
      </w:r>
    </w:p>
    <w:p w14:paraId="52366E94" w14:textId="57C85E54"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Dispozita për pagesat e kryera nga Komisioni për përfituesit IPA II që është Autoriteti Kontraktues</w:t>
      </w:r>
    </w:p>
    <w:p w14:paraId="0D3CF8E4"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7724F421" w14:textId="3531786C" w:rsidR="00D8448F" w:rsidRPr="001D5A65" w:rsidRDefault="00300139" w:rsidP="00300139">
      <w:pPr>
        <w:pStyle w:val="TEKSTI"/>
      </w:pPr>
      <w:r>
        <w:t xml:space="preserve">1. </w:t>
      </w:r>
      <w:r w:rsidR="00D8448F" w:rsidRPr="001D5A65">
        <w:t xml:space="preserve">Përfituesi IPA II që është Autoriteti Kontraktues, duhet të paraqesë parashikimin e tij fillestar të disbursimit (pagesës) për Programin e Veprimit, të përgatitur në përputhje me nenin 10 (2), me kërkesën e parë për pagesë të para-financuar. Pagesa e parë e para-financimit do të bëhet për 100% të pagesës së parashikuar për vitin e parë të planit të parashikuar për disbursim. </w:t>
      </w:r>
    </w:p>
    <w:p w14:paraId="77E9875C" w14:textId="2DDB22EA" w:rsidR="00D8448F" w:rsidRPr="001D5A65" w:rsidRDefault="00300139" w:rsidP="00300139">
      <w:pPr>
        <w:pStyle w:val="TEKSTI"/>
      </w:pPr>
      <w:r>
        <w:t xml:space="preserve">2. </w:t>
      </w:r>
      <w:r w:rsidR="00D8448F" w:rsidRPr="001D5A65">
        <w:t xml:space="preserve">Përfituesi IPA II që është Autoriteti Kontraktues, do të paraqesë kërkesa të vazhdueshme të pagesës së para-financimit kur bilanci i përgjithshëm bankar për Programin e Veprimit përfshihet nën pagesën e parashikuar për pesë muajt në vazhdim të Programit të Veprimit. </w:t>
      </w:r>
    </w:p>
    <w:p w14:paraId="3368CA92" w14:textId="3B90B783" w:rsidR="00D8448F" w:rsidRPr="001D5A65" w:rsidRDefault="00300139" w:rsidP="00300139">
      <w:pPr>
        <w:pStyle w:val="TEKSTI"/>
      </w:pPr>
      <w:r>
        <w:t xml:space="preserve">3. </w:t>
      </w:r>
      <w:r w:rsidR="00D8448F" w:rsidRPr="001D5A65">
        <w:t xml:space="preserve">Çdo kërkesë për para-financim shtesë do të mbështetet nga dokumentet e mëposhtme: </w:t>
      </w:r>
    </w:p>
    <w:p w14:paraId="0A5B88C2" w14:textId="69491546" w:rsidR="00D8448F" w:rsidRPr="001D5A65" w:rsidRDefault="00300139" w:rsidP="00300139">
      <w:pPr>
        <w:pStyle w:val="TEKSTI"/>
      </w:pPr>
      <w:r>
        <w:t xml:space="preserve">a) </w:t>
      </w:r>
      <w:r w:rsidR="00D8448F" w:rsidRPr="001D5A65">
        <w:t xml:space="preserve">Një deklaratë përmbledhëse të të gjitha pagesave të kryera për Programin e Veprimit; </w:t>
      </w:r>
    </w:p>
    <w:p w14:paraId="57C8337F" w14:textId="33C20E73" w:rsidR="00D8448F" w:rsidRPr="001D5A65" w:rsidRDefault="00300139" w:rsidP="00300139">
      <w:pPr>
        <w:pStyle w:val="TEKSTI"/>
      </w:pPr>
      <w:r>
        <w:t xml:space="preserve">b) </w:t>
      </w:r>
      <w:r w:rsidR="00D8448F" w:rsidRPr="001D5A65">
        <w:t xml:space="preserve">Balancat bankare për Programin e Veprimit në datën e përcaktuar të kërkesës; </w:t>
      </w:r>
    </w:p>
    <w:p w14:paraId="78770B51" w14:textId="36B11A75" w:rsidR="00D8448F" w:rsidRPr="001D5A65" w:rsidRDefault="00300139" w:rsidP="00300139">
      <w:pPr>
        <w:pStyle w:val="TEKSTI"/>
      </w:pPr>
      <w:r>
        <w:t xml:space="preserve">c) </w:t>
      </w:r>
      <w:r w:rsidR="00D8448F" w:rsidRPr="001D5A65">
        <w:t xml:space="preserve">Një parashikim të pagesave për Programin e Veprimit për katërmbëdhjetë muajt në vazhdim në datën e përcaktuar të kërkesës. </w:t>
      </w:r>
    </w:p>
    <w:p w14:paraId="5A4920AB" w14:textId="4350DBB0" w:rsidR="00D8448F" w:rsidRPr="001D5A65" w:rsidRDefault="00300139" w:rsidP="00300139">
      <w:pPr>
        <w:pStyle w:val="TEKSTI"/>
      </w:pPr>
      <w:r>
        <w:t xml:space="preserve">4. </w:t>
      </w:r>
      <w:r w:rsidR="00D8448F" w:rsidRPr="001D5A65">
        <w:t xml:space="preserve">Përfituesi IPA II që është Autoriteti Kontraktues, mund të kërkojë për çdo para-financim pasues, shumën e totalit të disbursimeve të parashikimit për katërmbëdhjetë muaj, pas datës së përcaktuar të kërkesës, pa balancat e referuara në nenin 3 (b) të këtij neni në datën e përcaktuar të kërkesës për fondet e rritura nga ndonjë shumë e financuar nga përfituesi IPA II sipas paragrafit 5 të këtij neni dhe që nuk është rimbursuar ende. </w:t>
      </w:r>
    </w:p>
    <w:p w14:paraId="6EFD9A98" w14:textId="453567E7" w:rsidR="00D8448F" w:rsidRPr="001D5A65" w:rsidRDefault="00D8448F" w:rsidP="00300139">
      <w:pPr>
        <w:pStyle w:val="TEKSTI"/>
      </w:pPr>
      <w:r w:rsidRPr="001D5A65">
        <w:t xml:space="preserve">Komisioni gëzon të drejtën për të reduktuar çdo pagesë pasuese të para-financimit, nëse tepricat totale bankare të mbajtura nga përfituesi i IPA II që është Autoriteti Kontraktues në bazë të këtij programi dhe në të gjitha programet e tjera të IPA I apo IPA II që menaxhohen nga përfituesi i IPA II që është Autoriteti Kontraktues, tejkalon parashikimin e disbursimit për katërmbëdhjetë muajt e ardhshëm. </w:t>
      </w:r>
    </w:p>
    <w:p w14:paraId="0D4DCC5C" w14:textId="21D4B7A1" w:rsidR="00D8448F" w:rsidRPr="001D5A65" w:rsidRDefault="00300139" w:rsidP="00300139">
      <w:pPr>
        <w:pStyle w:val="TEKSTI"/>
      </w:pPr>
      <w:r>
        <w:t xml:space="preserve">5. </w:t>
      </w:r>
      <w:r w:rsidR="00D8448F" w:rsidRPr="001D5A65">
        <w:t xml:space="preserve">Në rastet kur pagesa është reduktuar sipas paragrafit 4 të këtij neni, përfituesi i IPA II që është Autoriteti Kontraktues, duhet ta financojë programin nga burimet e veta, deri në shumën e reduktimit. Përfituesi i IPA II që është Autoriteti kontraktues, më pas mund të kërkojë rimbursimin e këtij financimi, si pjesë e kërkesës së ardhshme për fonde të përcaktuara në paragrafin 4 të këtij neni. </w:t>
      </w:r>
    </w:p>
    <w:p w14:paraId="79998DB2" w14:textId="13E08172" w:rsidR="00D8448F" w:rsidRPr="001D5A65" w:rsidRDefault="00300139" w:rsidP="00300139">
      <w:pPr>
        <w:pStyle w:val="TEKSTI"/>
      </w:pPr>
      <w:r>
        <w:t xml:space="preserve">6. </w:t>
      </w:r>
      <w:r w:rsidR="00D8448F" w:rsidRPr="001D5A65">
        <w:t xml:space="preserve">Komisioni ka të drejtë për të rikuperuar balancat e tepërta bankare, të cilat kanë mbetur të papërdorura për më shumë se dymbëdhjetë muaj. Para se të ushtrojë këtë të drejtë, Komisioni e fton përfituesin e IPA II që është Autoriteti Kontraktues, për të dhënë arsyet e vonesës në disbursimin e fondeve dhe të demonstrojë nevojën për to në vazhdim gjatë dy muajve të ardhshëm. </w:t>
      </w:r>
    </w:p>
    <w:p w14:paraId="647516A7" w14:textId="7E54BDE8" w:rsidR="00D8448F" w:rsidRPr="001D5A65" w:rsidRDefault="00300139" w:rsidP="00300139">
      <w:pPr>
        <w:pStyle w:val="TEKSTI"/>
      </w:pPr>
      <w:r>
        <w:t xml:space="preserve">7. </w:t>
      </w:r>
      <w:r w:rsidR="00D8448F" w:rsidRPr="001D5A65">
        <w:t xml:space="preserve">Interesi i gjeneruar nga llogaritë bankare të përdorura për këtë Program nuk njihet nga Komisioni. </w:t>
      </w:r>
    </w:p>
    <w:p w14:paraId="572B9AE6" w14:textId="5283E3BF" w:rsidR="00D8448F" w:rsidRPr="001D5A65" w:rsidRDefault="00300139" w:rsidP="00300139">
      <w:pPr>
        <w:pStyle w:val="TEKSTI"/>
      </w:pPr>
      <w:r>
        <w:t xml:space="preserve">8. </w:t>
      </w:r>
      <w:r w:rsidR="00D8448F" w:rsidRPr="001D5A65">
        <w:t xml:space="preserve">Sipas Nenit 33 (4) të Marrëveshjes Kuadër, kur ndërprerja e afatit për kërkesën për pagesë tejkalon dy muaj, përfituesi i IPA II që është Autoriteti Kontraktues mund të kërkojë një vendim nga Komisioni, nëse ndërprerja e afatit duhet vazhdojë. </w:t>
      </w:r>
    </w:p>
    <w:p w14:paraId="0BFDABD0" w14:textId="28C4F180" w:rsidR="00D8448F" w:rsidRPr="001D5A65" w:rsidRDefault="00300139" w:rsidP="00300139">
      <w:pPr>
        <w:pStyle w:val="TEKSTI"/>
      </w:pPr>
      <w:r>
        <w:t xml:space="preserve">9. </w:t>
      </w:r>
      <w:r w:rsidR="00D8448F" w:rsidRPr="001D5A65">
        <w:t xml:space="preserve">Pasqyra financiare përfundimtare e përmendur në nenin 37 (2) të Marrëveshjes Kuadër do të dorëzohet nga ZKA jo më vonë se 16 muaj pas përfundimit të periudhës së zbatimit operacional. </w:t>
      </w:r>
    </w:p>
    <w:p w14:paraId="1DB4F580"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0C52440F" w14:textId="4CD6FDF3" w:rsidR="00300139" w:rsidRPr="00300139" w:rsidRDefault="00D8448F"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Neni 12</w:t>
      </w:r>
    </w:p>
    <w:p w14:paraId="423AE60C" w14:textId="4B09AA4C"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Ndërprerja e pagesave</w:t>
      </w:r>
    </w:p>
    <w:p w14:paraId="68983D30"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33704AAE" w14:textId="6ED93308" w:rsidR="00D8448F" w:rsidRPr="001D5A65" w:rsidRDefault="00300139" w:rsidP="00300139">
      <w:pPr>
        <w:pStyle w:val="TEKSTI"/>
      </w:pPr>
      <w:r>
        <w:t xml:space="preserve">1. </w:t>
      </w:r>
      <w:r w:rsidR="00D8448F" w:rsidRPr="001D5A65">
        <w:t xml:space="preserve">Pa cenuar pezullimin ose përfundimin e kësaj Marrëveshjeje financimi sipas përkatësisht neneve 16 dhe 17 dhe përveç nenit 39 të Marrëveshjes Kuadër, Komisioni mund të ndërpresë pagesat pjesërisht ose plotësisht, në qoftë se: </w:t>
      </w:r>
    </w:p>
    <w:p w14:paraId="3FBCB0EE" w14:textId="5B44F5FA" w:rsidR="00D8448F" w:rsidRPr="001D5A65" w:rsidRDefault="00300139" w:rsidP="00300139">
      <w:pPr>
        <w:pStyle w:val="TEKSTI"/>
      </w:pPr>
      <w:r>
        <w:t xml:space="preserve">a) </w:t>
      </w:r>
      <w:r w:rsidR="00D8448F" w:rsidRPr="001D5A65">
        <w:t xml:space="preserve">Komisioni ka vendosur ose paraqet shqetësime serioze, pasi përfituesi IPA II që është Autoriteti Kontraktues ka bërë gabime të konsiderueshme, ka parregullsi apo mashtrime që vënë në dyshim ligjshmërinë ose rregullsinë e transaksioneve në fjalë, në implementimin e Programit të Veprimit, ose nuk ka përmbushur detyrimet e tij sipas kësaj marrëveshjeje financiare; </w:t>
      </w:r>
    </w:p>
    <w:p w14:paraId="563318FE" w14:textId="7F9D70AD" w:rsidR="00D8448F" w:rsidRPr="001D5A65" w:rsidRDefault="00300139" w:rsidP="00300139">
      <w:pPr>
        <w:pStyle w:val="TEKSTI"/>
      </w:pPr>
      <w:r>
        <w:t xml:space="preserve">b) </w:t>
      </w:r>
      <w:r w:rsidR="00D8448F" w:rsidRPr="001D5A65">
        <w:t xml:space="preserve">Komisioni ka vendosur ose paraqet shqetësime serioze, nëse përfituesi IPA II që është Autoriteti Kontraktues ka kryer gabime  sistemike ose të përsëritura, ose ka parregullsi, mashtrime apo shkelje të detyrimeve në këtë ose në të tjera marrëveshje financimi, me kusht që ato gabime, parregullsi, mashtrime, ose shkelje të detyrimeve të kenë ndikim material në zbatimin e kësaj marrëveshjeje financiare apo vënë në dyshim besueshmërinë e sistemit të kontrollit të brendshëm të përfituesit të IPA II ose ligjshmërinë dhe rregullsinë e shpenzimeve bazë; </w:t>
      </w:r>
    </w:p>
    <w:p w14:paraId="0152A3C4" w14:textId="77777777"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p>
    <w:p w14:paraId="0936DDBB" w14:textId="26E4AD70" w:rsidR="00300139" w:rsidRPr="00300139" w:rsidRDefault="00D8448F"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Neni 13</w:t>
      </w:r>
    </w:p>
    <w:p w14:paraId="5A61415C" w14:textId="18E511B3"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Kthimi i fondeve</w:t>
      </w:r>
    </w:p>
    <w:p w14:paraId="6015583D" w14:textId="77777777" w:rsidR="00D8448F" w:rsidRPr="001D5A65" w:rsidRDefault="00D8448F" w:rsidP="00300139">
      <w:pPr>
        <w:pStyle w:val="TEKSTI"/>
      </w:pPr>
    </w:p>
    <w:p w14:paraId="2DE6FE18" w14:textId="2DDE5803" w:rsidR="00D8448F" w:rsidRPr="001D5A65" w:rsidRDefault="00300139" w:rsidP="00300139">
      <w:pPr>
        <w:pStyle w:val="TEKSTI"/>
      </w:pPr>
      <w:r>
        <w:t xml:space="preserve">1. </w:t>
      </w:r>
      <w:r w:rsidR="00D8448F" w:rsidRPr="001D5A65">
        <w:t xml:space="preserve">Përveç rasteve të përmendura në nenin 41 të Marrëveshjes Kuadër, Komisioni mund të rimarrë fondet nga përfituesi i IPA II që është Autoriteti Kontraktues, siç parashikohet në rregulloren financiare, veçanërisht në rast se: </w:t>
      </w:r>
    </w:p>
    <w:p w14:paraId="737E5F10" w14:textId="2B2D97D3" w:rsidR="00D8448F" w:rsidRPr="001D5A65" w:rsidRDefault="00300139" w:rsidP="00300139">
      <w:pPr>
        <w:pStyle w:val="TEKSTI"/>
      </w:pPr>
      <w:r>
        <w:t xml:space="preserve">a) </w:t>
      </w:r>
      <w:r w:rsidR="00D8448F" w:rsidRPr="001D5A65">
        <w:t xml:space="preserve">Komisioni vendos se objektivat e Programit të Veprimit të përcaktuara në Shtojcën I nuk janë arritur; </w:t>
      </w:r>
    </w:p>
    <w:p w14:paraId="12B8008D" w14:textId="48308A8E" w:rsidR="00D8448F" w:rsidRPr="001D5A65" w:rsidRDefault="00300139" w:rsidP="00300139">
      <w:pPr>
        <w:pStyle w:val="TEKSTI"/>
      </w:pPr>
      <w:r>
        <w:t xml:space="preserve">b) </w:t>
      </w:r>
      <w:r w:rsidR="00D8448F" w:rsidRPr="001D5A65">
        <w:t xml:space="preserve">shpenzimet janë të papërshtatshme; </w:t>
      </w:r>
    </w:p>
    <w:p w14:paraId="0A021EEE" w14:textId="0940417B" w:rsidR="00D8448F" w:rsidRPr="001D5A65" w:rsidRDefault="00300139" w:rsidP="00300139">
      <w:pPr>
        <w:pStyle w:val="TEKSTI"/>
      </w:pPr>
      <w:r>
        <w:t xml:space="preserve">c) </w:t>
      </w:r>
      <w:r w:rsidR="00D8448F" w:rsidRPr="001D5A65">
        <w:t xml:space="preserve">shpenzimet janë shkaktuar si rezultat i gabimeve, parregullsive, mashtrimeve apo shkeljeve të detyrimeve në zbatimin e Programit të Veprimit, në veçanti në procedurën e prokurimit dhe dhënies së granteve. </w:t>
      </w:r>
    </w:p>
    <w:p w14:paraId="790C6C96" w14:textId="011CC1A3" w:rsidR="00D8448F" w:rsidRPr="001D5A65" w:rsidRDefault="00300139" w:rsidP="00300139">
      <w:pPr>
        <w:pStyle w:val="TEKSTI"/>
      </w:pPr>
      <w:r>
        <w:t xml:space="preserve">2. </w:t>
      </w:r>
      <w:r w:rsidR="00D8448F" w:rsidRPr="001D5A65">
        <w:t xml:space="preserve">Në përputhje me ligjin kombëtar, përfituesi i IPA II që është Autoriteti Kontraktues do të rimarrë kontributin e Unionit që i paguhet përfituesit të IPA II, i cili është Autoriteti Kontraktues nga marrësit të cilët ndodhen në një prej situatave të përcaktuara në paragrafin 1 pika b) ose c) të këtij neni ose të referuara në nenin 41 të Marrëveshjes Kuadër. Fakti se përfituesi IPA II që është Autoriteti Kontraktues nuk ka sukses në kthimin e të gjithë ose një pjese të fondeve nuk do ta pengojë Komisionin për rikuperimin e fondeve nga përfituesi i IPA II që është Autoriteti Kontraktues. </w:t>
      </w:r>
    </w:p>
    <w:p w14:paraId="0589BDA7" w14:textId="473D354C" w:rsidR="00D8448F" w:rsidRPr="001D5A65" w:rsidRDefault="00300139" w:rsidP="00300139">
      <w:pPr>
        <w:pStyle w:val="TEKSTI"/>
      </w:pPr>
      <w:r>
        <w:t xml:space="preserve">3. </w:t>
      </w:r>
      <w:r w:rsidR="00D8448F" w:rsidRPr="001D5A65">
        <w:t xml:space="preserve">Përfituesi i IPA II që nuk është Autoriteti Kontraktues, do të bëjë përpjekje maksimale për të mbështetur përfituesin e IPA-II që është Autoriteti Kontraktues, në rimëkëmbjen e saj, kur përfituesi vendoset në territorin e tij. Marrëveshja për rikuperimin do të parashikohet në një marrëveshje dypalëshe që do të lidhet në përputhje me nenin 69 të Marrëveshjeve Kuadër përkatëse. </w:t>
      </w:r>
    </w:p>
    <w:p w14:paraId="1FE8BEE8" w14:textId="38B6618F" w:rsidR="00D8448F" w:rsidRPr="001D5A65" w:rsidRDefault="00300139" w:rsidP="00300139">
      <w:pPr>
        <w:pStyle w:val="TEKSTI"/>
      </w:pPr>
      <w:r>
        <w:t xml:space="preserve">4. </w:t>
      </w:r>
      <w:r w:rsidR="00D8448F" w:rsidRPr="001D5A65">
        <w:t>Shumat e paguara padrejtësisht apo të mbuluara nga përfituesi IPA II që është Autoriteti Kontraktues, shumat e garancive financiare, performancës dhe para-financimit, të paraqitura në bazë të prokurimit dhe dhënies së procedurave të granteve, shumat nga gjobat e vendosura nga përfituesi IPA II që është Autoriteti Kontraktues për kandidatët, ofertuesit,</w:t>
      </w:r>
      <w:bookmarkStart w:id="58" w:name="page11"/>
      <w:bookmarkEnd w:id="58"/>
      <w:r w:rsidR="00D8448F" w:rsidRPr="001D5A65">
        <w:t xml:space="preserve"> aplikantët, kontraktuesit ose përfituesit e granteve, të paguara për përfituesit e IPA II që është Autoriteti Kontraktues, ose do të ri-përdoren për Programin e Veprimit, ose do t’i kthehen Komisionit.</w:t>
      </w:r>
    </w:p>
    <w:p w14:paraId="157CF326" w14:textId="77777777" w:rsidR="00300139" w:rsidRDefault="00300139" w:rsidP="00D8448F">
      <w:pPr>
        <w:widowControl w:val="0"/>
        <w:autoSpaceDE w:val="0"/>
        <w:autoSpaceDN w:val="0"/>
        <w:adjustRightInd w:val="0"/>
        <w:spacing w:after="0" w:line="240" w:lineRule="auto"/>
        <w:ind w:firstLine="284"/>
        <w:rPr>
          <w:rFonts w:ascii="Garamond" w:hAnsi="Garamond"/>
          <w:b/>
          <w:bCs/>
          <w:sz w:val="24"/>
          <w:szCs w:val="24"/>
        </w:rPr>
      </w:pPr>
    </w:p>
    <w:p w14:paraId="2FECF6C2" w14:textId="48CF20E0" w:rsidR="00300139" w:rsidRPr="00300139" w:rsidRDefault="00300139"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PJESA E TRETË</w:t>
      </w:r>
    </w:p>
    <w:p w14:paraId="2D377494" w14:textId="6A638CDF" w:rsidR="00D8448F" w:rsidRPr="00300139" w:rsidRDefault="00300139" w:rsidP="00300139">
      <w:pPr>
        <w:widowControl w:val="0"/>
        <w:autoSpaceDE w:val="0"/>
        <w:autoSpaceDN w:val="0"/>
        <w:adjustRightInd w:val="0"/>
        <w:spacing w:after="0" w:line="240" w:lineRule="auto"/>
        <w:ind w:firstLine="284"/>
        <w:jc w:val="center"/>
        <w:rPr>
          <w:rFonts w:ascii="Garamond" w:hAnsi="Garamond"/>
          <w:sz w:val="24"/>
          <w:szCs w:val="24"/>
        </w:rPr>
      </w:pPr>
      <w:r w:rsidRPr="00300139">
        <w:rPr>
          <w:rFonts w:ascii="Garamond" w:hAnsi="Garamond"/>
          <w:bCs/>
          <w:sz w:val="24"/>
          <w:szCs w:val="24"/>
        </w:rPr>
        <w:t>DISPOZITAT PËRFUNDIMTARE</w:t>
      </w:r>
    </w:p>
    <w:p w14:paraId="43801B6C" w14:textId="77777777" w:rsidR="00D8448F" w:rsidRPr="00300139" w:rsidRDefault="00D8448F" w:rsidP="00300139">
      <w:pPr>
        <w:widowControl w:val="0"/>
        <w:autoSpaceDE w:val="0"/>
        <w:autoSpaceDN w:val="0"/>
        <w:adjustRightInd w:val="0"/>
        <w:spacing w:after="0" w:line="240" w:lineRule="auto"/>
        <w:ind w:firstLine="284"/>
        <w:jc w:val="center"/>
        <w:rPr>
          <w:rFonts w:ascii="Garamond" w:hAnsi="Garamond"/>
          <w:sz w:val="24"/>
          <w:szCs w:val="24"/>
        </w:rPr>
      </w:pPr>
    </w:p>
    <w:p w14:paraId="1576B2C7" w14:textId="11C5B7F3" w:rsidR="00300139" w:rsidRPr="00300139" w:rsidRDefault="00D8448F"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Neni 14</w:t>
      </w:r>
    </w:p>
    <w:p w14:paraId="24A8C6EB" w14:textId="05B527D5"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Konsultime ndërmjet përfituesve të IPA II dhe Komisionit</w:t>
      </w:r>
    </w:p>
    <w:p w14:paraId="79E3E030" w14:textId="77777777"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p>
    <w:p w14:paraId="361C81D5" w14:textId="692EA723" w:rsidR="00D8448F" w:rsidRPr="001D5A65" w:rsidRDefault="00300139" w:rsidP="00300139">
      <w:pPr>
        <w:pStyle w:val="TEKSTI"/>
      </w:pPr>
      <w:r>
        <w:t xml:space="preserve">1. </w:t>
      </w:r>
      <w:r w:rsidR="00D8448F" w:rsidRPr="001D5A65">
        <w:t xml:space="preserve">Përfituesit e IPA II dhe Komisioni do të konsultohen me njëri tjetrin para se të krijojnë mosmarrëveshje në lidhje me zbatimin ose interpretimin e mëtejshëm të kësaj Marrëveshjeje Financimi, në përputhje me nenin 18 të këtyre Kushteve të Përgjithshme. </w:t>
      </w:r>
    </w:p>
    <w:p w14:paraId="631BB3B5" w14:textId="7397FBBA" w:rsidR="00D8448F" w:rsidRPr="001D5A65" w:rsidRDefault="00300139" w:rsidP="00300139">
      <w:pPr>
        <w:pStyle w:val="TEKSTI"/>
      </w:pPr>
      <w:r>
        <w:t xml:space="preserve">2. </w:t>
      </w:r>
      <w:r w:rsidR="00D8448F" w:rsidRPr="001D5A65">
        <w:t xml:space="preserve">Kur Komisioni vihet në dijeni për problemet në kryerjen e procedurave që lidhen me zbatimin e kësaj Marrëveshje Financimi, ai duhet të krijojë të gjitha kontaktet e nevojshme me përfituesit e IPA II për të korrigjuar situatën dhe ndërmarrë hapat e nevojshëm. </w:t>
      </w:r>
    </w:p>
    <w:p w14:paraId="3C346E79" w14:textId="28A0F36D" w:rsidR="00D8448F" w:rsidRPr="001D5A65" w:rsidRDefault="00300139" w:rsidP="00300139">
      <w:pPr>
        <w:pStyle w:val="TEKSTI"/>
      </w:pPr>
      <w:r>
        <w:t xml:space="preserve">3. </w:t>
      </w:r>
      <w:r w:rsidR="00D8448F" w:rsidRPr="001D5A65">
        <w:t xml:space="preserve">Konsultimi mund të çojë në një ndryshim, në pezullimin ose përfundimin e kësaj marrëveshjeje financimi. </w:t>
      </w:r>
    </w:p>
    <w:p w14:paraId="19A4C114" w14:textId="4D8C19FC" w:rsidR="00D8448F" w:rsidRPr="001D5A65" w:rsidRDefault="00300139" w:rsidP="00300139">
      <w:pPr>
        <w:pStyle w:val="TEKSTI"/>
      </w:pPr>
      <w:r>
        <w:t xml:space="preserve">4. </w:t>
      </w:r>
      <w:r w:rsidR="00D8448F" w:rsidRPr="001D5A65">
        <w:t xml:space="preserve">Komisioni do të informojë rregullisht përfituesit e IPA II për zbatimin e aktiviteteve të përshkruara në Shtojcën I, të cilat nuk përfshihen në Pjesën e Dytë të këtyre Kushteve të Përgjithshme. </w:t>
      </w:r>
    </w:p>
    <w:p w14:paraId="608FE3D2"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6C8850E4" w14:textId="062DADB5" w:rsidR="00300139" w:rsidRPr="00300139" w:rsidRDefault="00D8448F" w:rsidP="00300139">
      <w:pPr>
        <w:widowControl w:val="0"/>
        <w:autoSpaceDE w:val="0"/>
        <w:autoSpaceDN w:val="0"/>
        <w:adjustRightInd w:val="0"/>
        <w:spacing w:after="0" w:line="240" w:lineRule="auto"/>
        <w:ind w:firstLine="284"/>
        <w:jc w:val="center"/>
        <w:rPr>
          <w:rFonts w:ascii="Garamond" w:hAnsi="Garamond"/>
          <w:bCs/>
          <w:sz w:val="24"/>
          <w:szCs w:val="24"/>
        </w:rPr>
      </w:pPr>
      <w:r w:rsidRPr="00300139">
        <w:rPr>
          <w:rFonts w:ascii="Garamond" w:hAnsi="Garamond"/>
          <w:bCs/>
          <w:sz w:val="24"/>
          <w:szCs w:val="24"/>
        </w:rPr>
        <w:t>Neni 15</w:t>
      </w:r>
    </w:p>
    <w:p w14:paraId="0B23DB0A" w14:textId="44943E7A" w:rsidR="00D8448F" w:rsidRPr="001D5A65" w:rsidRDefault="00D8448F" w:rsidP="00300139">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Ndryshimi i kësaj Marrëveshjeje Financimi</w:t>
      </w:r>
    </w:p>
    <w:p w14:paraId="7996C9C0"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28C6B0A7" w14:textId="7C455F3A" w:rsidR="00D8448F" w:rsidRPr="001D5A65" w:rsidRDefault="005F54D3" w:rsidP="005F54D3">
      <w:pPr>
        <w:pStyle w:val="TEKSTI"/>
      </w:pPr>
      <w:r>
        <w:t xml:space="preserve">1. </w:t>
      </w:r>
      <w:r w:rsidR="00D8448F" w:rsidRPr="001D5A65">
        <w:t xml:space="preserve">Çdo ndryshim i kësaj marrëveshjeje financiare duhet të bëhet me shkrim, duke përfshirë dhe shkëmbimin e shkresave. </w:t>
      </w:r>
    </w:p>
    <w:p w14:paraId="1B40DAD5" w14:textId="285ED462" w:rsidR="00D8448F" w:rsidRPr="001D5A65" w:rsidRDefault="005F54D3" w:rsidP="005F54D3">
      <w:pPr>
        <w:pStyle w:val="TEKSTI"/>
      </w:pPr>
      <w:r>
        <w:t xml:space="preserve">2. </w:t>
      </w:r>
      <w:r w:rsidR="00D8448F" w:rsidRPr="001D5A65">
        <w:t xml:space="preserve">Nëse përfituesit e IPA II, kërkojnë një amendament, kërkesa duhet t’i paraqitet bashkërisht Komisionit të paktën gjashtë muaj para se ndryshimi që kërkohet të hyjë në fuqi. </w:t>
      </w:r>
    </w:p>
    <w:p w14:paraId="0840E163" w14:textId="6A590623" w:rsidR="00D8448F" w:rsidRPr="001D5A65" w:rsidRDefault="005F54D3" w:rsidP="005F54D3">
      <w:pPr>
        <w:pStyle w:val="TEKSTI"/>
      </w:pPr>
      <w:r>
        <w:t xml:space="preserve">3. </w:t>
      </w:r>
      <w:r w:rsidR="00D8448F" w:rsidRPr="001D5A65">
        <w:t xml:space="preserve">Komisioni mund të amendojë </w:t>
      </w:r>
      <w:r w:rsidR="00D8448F" w:rsidRPr="001D5A65">
        <w:rPr>
          <w:i/>
          <w:iCs/>
        </w:rPr>
        <w:t>Dokumentet Model</w:t>
      </w:r>
      <w:r w:rsidR="00D8448F" w:rsidRPr="001D5A65">
        <w:t xml:space="preserve"> në Shtojcën III, IIIA, IV dhe V, pa nevojën e një amendamenti të kësaj marrëveshjeje financiare. Përfituesit e IPA II do të informohen me shkrim për çdo amendament të tillë dhe për hyrjen e tij në fuqi.</w:t>
      </w:r>
    </w:p>
    <w:p w14:paraId="3C134CBC" w14:textId="77777777" w:rsidR="00D8448F" w:rsidRPr="001D5A65" w:rsidRDefault="00D8448F" w:rsidP="00D8448F">
      <w:pPr>
        <w:widowControl w:val="0"/>
        <w:overflowPunct w:val="0"/>
        <w:autoSpaceDE w:val="0"/>
        <w:autoSpaceDN w:val="0"/>
        <w:adjustRightInd w:val="0"/>
        <w:spacing w:after="0" w:line="240" w:lineRule="auto"/>
        <w:ind w:firstLine="284"/>
        <w:jc w:val="both"/>
        <w:rPr>
          <w:rFonts w:ascii="Garamond" w:hAnsi="Garamond"/>
          <w:sz w:val="24"/>
          <w:szCs w:val="24"/>
        </w:rPr>
      </w:pPr>
    </w:p>
    <w:p w14:paraId="104F999B" w14:textId="0780B7AF" w:rsidR="005F54D3" w:rsidRPr="005F54D3" w:rsidRDefault="00D8448F" w:rsidP="005F54D3">
      <w:pPr>
        <w:widowControl w:val="0"/>
        <w:autoSpaceDE w:val="0"/>
        <w:autoSpaceDN w:val="0"/>
        <w:adjustRightInd w:val="0"/>
        <w:spacing w:after="0" w:line="240" w:lineRule="auto"/>
        <w:ind w:firstLine="284"/>
        <w:jc w:val="center"/>
        <w:rPr>
          <w:rFonts w:ascii="Garamond" w:hAnsi="Garamond"/>
          <w:bCs/>
          <w:sz w:val="24"/>
          <w:szCs w:val="24"/>
        </w:rPr>
      </w:pPr>
      <w:r w:rsidRPr="005F54D3">
        <w:rPr>
          <w:rFonts w:ascii="Garamond" w:hAnsi="Garamond"/>
          <w:bCs/>
          <w:sz w:val="24"/>
          <w:szCs w:val="24"/>
        </w:rPr>
        <w:t>Neni 16</w:t>
      </w:r>
    </w:p>
    <w:p w14:paraId="2E62076A" w14:textId="58C48DCC" w:rsidR="00D8448F" w:rsidRPr="001D5A65" w:rsidRDefault="00D8448F" w:rsidP="005F54D3">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Pezullimi i kësaj Marrëveshjeje Financimi</w:t>
      </w:r>
    </w:p>
    <w:p w14:paraId="01C334D8"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38CEF2F3" w14:textId="0FC32C35" w:rsidR="00D8448F" w:rsidRPr="001D5A65" w:rsidRDefault="000A6041" w:rsidP="000A6041">
      <w:pPr>
        <w:pStyle w:val="TEKSTI"/>
      </w:pPr>
      <w:r>
        <w:t xml:space="preserve">1. </w:t>
      </w:r>
      <w:r w:rsidR="00D8448F" w:rsidRPr="001D5A65">
        <w:t xml:space="preserve">Zbatimi i kësaj marrëveshjeje financiare mund të pezullohet në rastet e mëposhtme: </w:t>
      </w:r>
    </w:p>
    <w:p w14:paraId="3A74DD42" w14:textId="75046142" w:rsidR="00D8448F" w:rsidRPr="001D5A65" w:rsidRDefault="000A6041" w:rsidP="000A6041">
      <w:pPr>
        <w:pStyle w:val="TEKSTI"/>
      </w:pPr>
      <w:r>
        <w:t xml:space="preserve">a) </w:t>
      </w:r>
      <w:r w:rsidR="00D8448F" w:rsidRPr="001D5A65">
        <w:t xml:space="preserve">Nëse ndonjë përfitues IPA II shkel një detyrim sipas kësaj marrëveshjeje financiare. </w:t>
      </w:r>
    </w:p>
    <w:p w14:paraId="62CECCF1" w14:textId="44140E86" w:rsidR="00D8448F" w:rsidRPr="001D5A65" w:rsidRDefault="000A6041" w:rsidP="000A6041">
      <w:pPr>
        <w:pStyle w:val="TEKSTI"/>
      </w:pPr>
      <w:r>
        <w:t xml:space="preserve">b) </w:t>
      </w:r>
      <w:r w:rsidR="00D8448F" w:rsidRPr="001D5A65">
        <w:t xml:space="preserve">Nëse përfituesi i IPA II që është Autoriteti Kontraktues shkel ndonjë detyrim të përcaktuar në bazë të procedurave dhe dokumenteve standarde të përmendura në nenin 18 (2) të Marrëveshjes përkatëse Kuadër, pa cenuar dispozitat në nenin 8 (2). </w:t>
      </w:r>
    </w:p>
    <w:p w14:paraId="363BECFC" w14:textId="0AFC50F6" w:rsidR="00D8448F" w:rsidRPr="001D5A65" w:rsidRDefault="000A6041" w:rsidP="000A6041">
      <w:pPr>
        <w:pStyle w:val="TEKSTI"/>
      </w:pPr>
      <w:r>
        <w:t xml:space="preserve">c) </w:t>
      </w:r>
      <w:r w:rsidR="00D8448F" w:rsidRPr="001D5A65">
        <w:t xml:space="preserve">Nëse përfituesi i IPA II që është Autoriteti Kontraktues, nuk i plotëson kërkesat për zbatimin e detyrave të besuara të buxhetit. </w:t>
      </w:r>
    </w:p>
    <w:p w14:paraId="6238291F" w14:textId="6F040CC7" w:rsidR="00D8448F" w:rsidRPr="001D5A65" w:rsidRDefault="000A6041" w:rsidP="000A6041">
      <w:pPr>
        <w:pStyle w:val="TEKSTI"/>
      </w:pPr>
      <w:r>
        <w:t xml:space="preserve">d) </w:t>
      </w:r>
      <w:r w:rsidR="00D8448F" w:rsidRPr="001D5A65">
        <w:t>Nëse përfituesit e IPA II nuk i përmbushin bashkërisht funksionet dhe përgjegjësitë e përmendura në Nenin 2 (1) dhe kur është e mundur edhe menaxhimin e tërthortë sipas Nenit 7(3).</w:t>
      </w:r>
    </w:p>
    <w:p w14:paraId="3A0C8CC8" w14:textId="096B0FA1" w:rsidR="00D8448F" w:rsidRPr="001D5A65" w:rsidRDefault="000A6041" w:rsidP="000A6041">
      <w:pPr>
        <w:pStyle w:val="TEKSTI"/>
      </w:pPr>
      <w:r>
        <w:t xml:space="preserve">e) </w:t>
      </w:r>
      <w:r w:rsidR="00D8448F" w:rsidRPr="001D5A65">
        <w:t>Nëse ndonjë përfitues i IPA II vendos të pezullojë ose ndërpresë procesin e pranimit të anëtarësimit në BE.</w:t>
      </w:r>
    </w:p>
    <w:p w14:paraId="214681D8" w14:textId="6B43452A" w:rsidR="00D8448F" w:rsidRPr="001D5A65" w:rsidRDefault="000A6041" w:rsidP="000A6041">
      <w:pPr>
        <w:pStyle w:val="TEKSTI"/>
      </w:pPr>
      <w:bookmarkStart w:id="59" w:name="page12"/>
      <w:bookmarkEnd w:id="59"/>
      <w:r>
        <w:t xml:space="preserve">f) </w:t>
      </w:r>
      <w:r w:rsidR="00D8448F" w:rsidRPr="001D5A65">
        <w:t>Nëse ndonjë përfitues i IPA II shkel një detyrim në lidhje me respektimin e të drejtave të njeriut, parimet demokratike dhe sundimin e ligjit, si dhe në raste të rënda të korrupsionit ose nëse përfituesi IPA II është fajtor për sjellje të rëndë profesionale të provuar me ndonjë mënyrë të justifikuar. Shkelje e rëndë profesionale nënkupton një nga sa më poshtë:</w:t>
      </w:r>
    </w:p>
    <w:p w14:paraId="19E7B1FB" w14:textId="0EC14682" w:rsidR="00D8448F" w:rsidRPr="001D5A65" w:rsidRDefault="000A6041" w:rsidP="000A6041">
      <w:pPr>
        <w:pStyle w:val="TEKSTI"/>
        <w:rPr>
          <w:rFonts w:cs="Times New Roman"/>
        </w:rPr>
      </w:pPr>
      <w:r>
        <w:rPr>
          <w:rFonts w:cs="Times New Roman"/>
        </w:rPr>
        <w:t>-</w:t>
      </w:r>
      <w:r w:rsidR="00D8448F" w:rsidRPr="001D5A65">
        <w:rPr>
          <w:rFonts w:cs="Times New Roman"/>
        </w:rPr>
        <w:t>shkelje e ligjeve ose rregulloreve në fuqi ose e standardeve etike të profesionit të cilit i përket një person ose subjekt, ose</w:t>
      </w:r>
    </w:p>
    <w:p w14:paraId="68A3B93B" w14:textId="27BAB295" w:rsidR="00D8448F" w:rsidRPr="001D5A65" w:rsidRDefault="000A6041" w:rsidP="000A6041">
      <w:pPr>
        <w:pStyle w:val="TEKSTI"/>
        <w:rPr>
          <w:rFonts w:cs="Times New Roman"/>
        </w:rPr>
      </w:pPr>
      <w:r>
        <w:rPr>
          <w:rFonts w:cs="Times New Roman"/>
        </w:rPr>
        <w:t>-</w:t>
      </w:r>
      <w:r w:rsidR="00D8448F" w:rsidRPr="001D5A65">
        <w:rPr>
          <w:rFonts w:cs="Times New Roman"/>
        </w:rPr>
        <w:t>çdo sjellje e gabuar e një personi ose subjekti që ka ndikim në kredibilitetin e tij profesional, kur sjellja e tillë nënkupton qëllimin e gabuar ose neglizhencën e rëndë.</w:t>
      </w:r>
    </w:p>
    <w:p w14:paraId="3D005354" w14:textId="4061D14D" w:rsidR="00D8448F" w:rsidRPr="001D5A65" w:rsidRDefault="000A6041" w:rsidP="000A6041">
      <w:pPr>
        <w:pStyle w:val="TEKSTI"/>
      </w:pPr>
      <w:r>
        <w:t xml:space="preserve">g) </w:t>
      </w:r>
      <w:r w:rsidR="00D8448F" w:rsidRPr="001D5A65">
        <w:t xml:space="preserve">Në rastet e forcës madhore, siç përcaktohet më poshtë. "Forcë Madhore" do të thotë çdo situatë e paparashikueshme dhe e jashtëzakonshme ose ngjarje përtej kontrollit të palëve, e cila pengon secilën prej tyre në përmbushjen e ndonjë prej detyrimeve të tyre, gjë që nuk i atribuohet gabimit ose neglizhencës nga ana e tyre (ose pjesës së kontraktuesve të tyre, agjentëve ose të punësuarve) dhe vërteton pakapërcyeshmërinë e situatës, pavarësisht se janë bërë përpjekjet e duhura. Defektet në pajisje ose materiale, ose vonesat e tyre të mundshme, mosmarrëveshjet e punës, grevat ose vështirësitë financiare nuk mund të përdoren si forcë madhore. Një palë nuk duhet të konsiderohet si shkelëse e detyrimeve të saj, nëse është penguar nga përmbushja e tyre për shkak të një force madhore për të cilën pala tjetër është informuar siç duhet. Një palë që përballet me një forcë madhore duhet ta informojë palën tjetër pa vonesë, duke deklaruar natyrën, kohëzgjatjen e mundshme dhe efektet e parashikueshme të problemit, dhe të marrë çdo masë për të minimizuar dëmet e mundshme. </w:t>
      </w:r>
    </w:p>
    <w:p w14:paraId="5089A298" w14:textId="77777777" w:rsidR="00D8448F" w:rsidRPr="001D5A65" w:rsidRDefault="00D8448F" w:rsidP="000A6041">
      <w:pPr>
        <w:pStyle w:val="TEKSTI"/>
      </w:pPr>
      <w:r w:rsidRPr="001D5A65">
        <w:t xml:space="preserve">Asnjëra prej palëve nuk do të konsiderohet përgjegjëse për shkelje të detyrimeve të veta sipas kësaj Marrëveshjeje Financiare, nëse është penguar nga përmbushja e tyre nga forca madhore, me kusht që ajo palë të marrë masa për të minimizuar dëmtimet e mundshme. </w:t>
      </w:r>
    </w:p>
    <w:p w14:paraId="77C19DEB" w14:textId="03A74248" w:rsidR="00D8448F" w:rsidRPr="001D5A65" w:rsidRDefault="000A6041" w:rsidP="000A6041">
      <w:pPr>
        <w:pStyle w:val="TEKSTI"/>
      </w:pPr>
      <w:r>
        <w:t xml:space="preserve">2. </w:t>
      </w:r>
      <w:r w:rsidR="00D8448F" w:rsidRPr="001D5A65">
        <w:t xml:space="preserve">Komisioni mund ta pezullojë këtë Marrëveshje Financimi pa njoftim paraprak. </w:t>
      </w:r>
    </w:p>
    <w:p w14:paraId="3FACAE7E" w14:textId="42A66653" w:rsidR="00D8448F" w:rsidRPr="001D5A65" w:rsidRDefault="000A6041" w:rsidP="000A6041">
      <w:pPr>
        <w:pStyle w:val="TEKSTI"/>
      </w:pPr>
      <w:r>
        <w:t xml:space="preserve">3. </w:t>
      </w:r>
      <w:r w:rsidR="00D8448F" w:rsidRPr="001D5A65">
        <w:t xml:space="preserve">Komisioni mund të marrë masat e duhura parandaluese para se të bëhet pezullimi. </w:t>
      </w:r>
    </w:p>
    <w:p w14:paraId="75392B14" w14:textId="04B05167" w:rsidR="00D8448F" w:rsidRPr="001D5A65" w:rsidRDefault="000A6041" w:rsidP="000A6041">
      <w:pPr>
        <w:pStyle w:val="TEKSTI"/>
      </w:pPr>
      <w:r>
        <w:t xml:space="preserve">4. </w:t>
      </w:r>
      <w:r w:rsidR="00D8448F" w:rsidRPr="001D5A65">
        <w:t xml:space="preserve">Kur pezullimi është njoftuar, duhet të tregohen pasojat e prokurimit dhe kontratave të granteve në vazhdim dhe marrëveshjet e delegacionit për këto kontrata, si dhe marrëveshjet që duhen nënshkruar për këto kontrata. </w:t>
      </w:r>
    </w:p>
    <w:p w14:paraId="239B1112" w14:textId="698DC2EC" w:rsidR="00D8448F" w:rsidRPr="001D5A65" w:rsidRDefault="000A6041" w:rsidP="000A6041">
      <w:pPr>
        <w:pStyle w:val="TEKSTI"/>
      </w:pPr>
      <w:r>
        <w:t xml:space="preserve">5. </w:t>
      </w:r>
      <w:r w:rsidR="00D8448F" w:rsidRPr="001D5A65">
        <w:t xml:space="preserve">Pezullimi i kësaj marrëveshjeje financimi nuk e cenon ndërprerjen e kësaj marrëveshjeje financimi nga Komisioni, në përputhje me nenin 17. </w:t>
      </w:r>
    </w:p>
    <w:p w14:paraId="59056764" w14:textId="66CD64D7" w:rsidR="00D8448F" w:rsidRPr="001D5A65" w:rsidRDefault="0051532D" w:rsidP="000A6041">
      <w:pPr>
        <w:pStyle w:val="TEKSTI"/>
      </w:pPr>
      <w:r>
        <w:t xml:space="preserve">6. </w:t>
      </w:r>
      <w:r w:rsidR="00D8448F" w:rsidRPr="001D5A65">
        <w:t>Palët do të rifillojnë zbatimin e Marrëveshjes Financiare sapo kushtet ta lejojnë, me miratimin paraprak me shkrim të Komisionit. Kjo nuk cenon asnjë amendim të kësaj marrëveshjeje financiare që mund të jenë të nevojshme për të përshtatur Programin e Veprimit me kushtet e reja zbatuese, duke përfshirë, nëse është e mundur, zgjatjen e periudhës së zbatimit ose përfundimin e kësaj marrëveshjeje financiare në përputhje me nenin 17.</w:t>
      </w:r>
    </w:p>
    <w:p w14:paraId="3F5C43F1"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39FCEC00" w14:textId="29081702" w:rsidR="0051532D" w:rsidRPr="0051532D" w:rsidRDefault="00D8448F" w:rsidP="0051532D">
      <w:pPr>
        <w:widowControl w:val="0"/>
        <w:autoSpaceDE w:val="0"/>
        <w:autoSpaceDN w:val="0"/>
        <w:adjustRightInd w:val="0"/>
        <w:spacing w:after="0" w:line="240" w:lineRule="auto"/>
        <w:ind w:firstLine="284"/>
        <w:jc w:val="center"/>
        <w:rPr>
          <w:rFonts w:ascii="Garamond" w:hAnsi="Garamond"/>
          <w:bCs/>
          <w:sz w:val="24"/>
          <w:szCs w:val="24"/>
        </w:rPr>
      </w:pPr>
      <w:r w:rsidRPr="0051532D">
        <w:rPr>
          <w:rFonts w:ascii="Garamond" w:hAnsi="Garamond"/>
          <w:bCs/>
          <w:sz w:val="24"/>
          <w:szCs w:val="24"/>
        </w:rPr>
        <w:t>Neni 17</w:t>
      </w:r>
    </w:p>
    <w:p w14:paraId="51A73B82" w14:textId="36F67C37" w:rsidR="00D8448F" w:rsidRPr="001D5A65" w:rsidRDefault="00D8448F" w:rsidP="0051532D">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Përfundimi i kësaj marrëveshjeje financimi</w:t>
      </w:r>
    </w:p>
    <w:p w14:paraId="17A2C498" w14:textId="77777777" w:rsidR="00D8448F" w:rsidRPr="001D5A65" w:rsidRDefault="00D8448F" w:rsidP="0051532D">
      <w:pPr>
        <w:pStyle w:val="TEKSTI"/>
      </w:pPr>
    </w:p>
    <w:p w14:paraId="5A5CB0F1" w14:textId="36677714" w:rsidR="00D8448F" w:rsidRPr="001D5A65" w:rsidRDefault="0051532D" w:rsidP="0051532D">
      <w:pPr>
        <w:pStyle w:val="TEKSTI"/>
      </w:pPr>
      <w:r>
        <w:t xml:space="preserve">1. </w:t>
      </w:r>
      <w:r w:rsidR="00D8448F" w:rsidRPr="001D5A65">
        <w:t xml:space="preserve">Nëse çështjet të cilat çuan në pezullimin e Marrëveshjes së Financimit nuk janë zgjidhur brenda një periudhe maksimale 180 ditore, secila palë mund ta përfundojë Marrëveshjen Financiare me njoftim 30 ditë para. </w:t>
      </w:r>
    </w:p>
    <w:p w14:paraId="72A18959" w14:textId="72B70018" w:rsidR="00D8448F" w:rsidRPr="001D5A65" w:rsidRDefault="0051532D" w:rsidP="0051532D">
      <w:pPr>
        <w:pStyle w:val="TEKSTI"/>
      </w:pPr>
      <w:r>
        <w:t xml:space="preserve">2. </w:t>
      </w:r>
      <w:r w:rsidR="00D8448F" w:rsidRPr="001D5A65">
        <w:t xml:space="preserve">Kur ndërprerja është njoftuar, duhet të tregohen pasoja e prokurimeve dhe kontratave të granteve në vazhdim dhe kontratat ose grantet e tilla që duhen nënshkruar. </w:t>
      </w:r>
    </w:p>
    <w:p w14:paraId="5661C93D" w14:textId="718B87AF" w:rsidR="00D8448F" w:rsidRPr="001D5A65" w:rsidRDefault="0051532D" w:rsidP="0051532D">
      <w:pPr>
        <w:pStyle w:val="TEKSTI"/>
      </w:pPr>
      <w:r>
        <w:t xml:space="preserve">3. </w:t>
      </w:r>
      <w:r w:rsidR="00D8448F" w:rsidRPr="001D5A65">
        <w:t xml:space="preserve">Përfundimi i kësaj marrëveshjeje financiare nuk do të përjashtojë mundësinë e Komisionit që të kryejë korrigjime financiare në përputhje me nenet 43 dhe 44 të Marrëveshjes Kuadër. </w:t>
      </w:r>
    </w:p>
    <w:p w14:paraId="0071FEBC" w14:textId="77777777" w:rsidR="00D8448F" w:rsidRPr="001D5A65" w:rsidRDefault="00D8448F" w:rsidP="00D8448F">
      <w:pPr>
        <w:widowControl w:val="0"/>
        <w:overflowPunct w:val="0"/>
        <w:autoSpaceDE w:val="0"/>
        <w:autoSpaceDN w:val="0"/>
        <w:adjustRightInd w:val="0"/>
        <w:spacing w:after="0" w:line="240" w:lineRule="auto"/>
        <w:ind w:firstLine="284"/>
        <w:jc w:val="both"/>
        <w:rPr>
          <w:rFonts w:ascii="Garamond" w:hAnsi="Garamond"/>
          <w:sz w:val="24"/>
          <w:szCs w:val="24"/>
        </w:rPr>
      </w:pPr>
    </w:p>
    <w:p w14:paraId="5A5AE294" w14:textId="53FA3383" w:rsidR="0051532D" w:rsidRPr="0051532D" w:rsidRDefault="00D8448F" w:rsidP="0051532D">
      <w:pPr>
        <w:widowControl w:val="0"/>
        <w:autoSpaceDE w:val="0"/>
        <w:autoSpaceDN w:val="0"/>
        <w:adjustRightInd w:val="0"/>
        <w:spacing w:after="0" w:line="240" w:lineRule="auto"/>
        <w:ind w:firstLine="284"/>
        <w:jc w:val="center"/>
        <w:rPr>
          <w:rFonts w:ascii="Garamond" w:hAnsi="Garamond"/>
          <w:bCs/>
          <w:sz w:val="24"/>
          <w:szCs w:val="24"/>
        </w:rPr>
      </w:pPr>
      <w:r w:rsidRPr="0051532D">
        <w:rPr>
          <w:rFonts w:ascii="Garamond" w:hAnsi="Garamond"/>
          <w:bCs/>
          <w:sz w:val="24"/>
          <w:szCs w:val="24"/>
        </w:rPr>
        <w:t>Neni 18</w:t>
      </w:r>
    </w:p>
    <w:p w14:paraId="3046100B" w14:textId="6BB32E0A" w:rsidR="00D8448F" w:rsidRPr="001D5A65" w:rsidRDefault="00D8448F" w:rsidP="0051532D">
      <w:pPr>
        <w:widowControl w:val="0"/>
        <w:autoSpaceDE w:val="0"/>
        <w:autoSpaceDN w:val="0"/>
        <w:adjustRightInd w:val="0"/>
        <w:spacing w:after="0" w:line="240" w:lineRule="auto"/>
        <w:ind w:firstLine="284"/>
        <w:jc w:val="center"/>
        <w:rPr>
          <w:rFonts w:ascii="Garamond" w:hAnsi="Garamond"/>
          <w:sz w:val="24"/>
          <w:szCs w:val="24"/>
        </w:rPr>
      </w:pPr>
      <w:r w:rsidRPr="001D5A65">
        <w:rPr>
          <w:rFonts w:ascii="Garamond" w:hAnsi="Garamond"/>
          <w:b/>
          <w:bCs/>
          <w:sz w:val="24"/>
          <w:szCs w:val="24"/>
        </w:rPr>
        <w:t>Rregullimet për zgjidhjen e mosmarrëveshjeve</w:t>
      </w:r>
    </w:p>
    <w:p w14:paraId="0AE2541C"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27C17A8C" w14:textId="4097086C" w:rsidR="00D8448F" w:rsidRPr="001D5A65" w:rsidRDefault="0051532D" w:rsidP="0051532D">
      <w:pPr>
        <w:pStyle w:val="TEKSTI"/>
      </w:pPr>
      <w:r>
        <w:t xml:space="preserve">1. </w:t>
      </w:r>
      <w:r w:rsidR="00D8448F" w:rsidRPr="001D5A65">
        <w:t xml:space="preserve">Çdo mosmarrëveshje në lidhje me Marrëveshjen e Financimit që nuk mund të zgjidhet brenda një periudhe gjashtëmujore nga konsultimet midis palëve, të parashikuar në nenin 14, mund të zgjidhet nga arbitrazhi me kërkesën e njërës prej palëve. </w:t>
      </w:r>
    </w:p>
    <w:p w14:paraId="0B90548F" w14:textId="3955F5BE" w:rsidR="00D8448F" w:rsidRPr="001D5A65" w:rsidRDefault="0051532D" w:rsidP="0051532D">
      <w:pPr>
        <w:pStyle w:val="TEKSTI"/>
      </w:pPr>
      <w:r>
        <w:t xml:space="preserve">2. </w:t>
      </w:r>
      <w:r w:rsidR="00D8448F" w:rsidRPr="001D5A65">
        <w:t>Secila palë do të caktojë një gjyqtar brenda 30 ditëve nga data e kërkesës për arbitrazh. Nëse kjo nuk arrihet, secila palë mund t'i kërkojë Sekretarit të Përgjithshëm të Gjykatës së Përhershme të Arbitrazhit (Hagë) të caktojë një gjyqtar të dytë. Të dy gjyqtarët, nga ana e tyre, caktojnë një gjyqtar të tretë brenda 30 ditëve. Nëse kjo nuk arrihet, secila palë mund t'i kërkojë Sekretarit të Përgjithshëm të Gjykatës së Përhershme të Arbitrazhit të caktojë gjyqtarin e tretë.</w:t>
      </w:r>
    </w:p>
    <w:p w14:paraId="552C7EDD" w14:textId="31C13E96" w:rsidR="00D8448F" w:rsidRPr="001D5A65" w:rsidRDefault="0051532D" w:rsidP="0051532D">
      <w:pPr>
        <w:pStyle w:val="TEKSTI"/>
      </w:pPr>
      <w:r>
        <w:t xml:space="preserve">3. </w:t>
      </w:r>
      <w:r w:rsidR="00D8448F" w:rsidRPr="001D5A65">
        <w:t>Përveç kur arbitrat vendosin ndryshe, do të zbatohen procedurat e parashikuara në Gjykatën e Përhershme të Arbitrazhit, rregullat opsionale për Arbitrazhin që përfshijnë organizatat ndërkombëtare dhe shtetet. Vendimet e arbitrave merren me shumicë brenda një periudhe tremujore.</w:t>
      </w:r>
    </w:p>
    <w:p w14:paraId="0B38A464" w14:textId="2E4F1572" w:rsidR="00D8448F" w:rsidRPr="001D5A65" w:rsidRDefault="0051532D" w:rsidP="0051532D">
      <w:pPr>
        <w:pStyle w:val="TEKSTI"/>
      </w:pPr>
      <w:r>
        <w:t xml:space="preserve">4. </w:t>
      </w:r>
      <w:r w:rsidR="00D8448F" w:rsidRPr="001D5A65">
        <w:t>Secila palë do të jetë e detyruar të marrë masat e nevojshme për zbatimin e vendimit të gjyqtarëve.</w:t>
      </w:r>
    </w:p>
    <w:p w14:paraId="17074FDF" w14:textId="77777777" w:rsidR="00D8448F" w:rsidRDefault="00D8448F" w:rsidP="00D8448F">
      <w:pPr>
        <w:widowControl w:val="0"/>
        <w:autoSpaceDE w:val="0"/>
        <w:autoSpaceDN w:val="0"/>
        <w:adjustRightInd w:val="0"/>
        <w:spacing w:after="0" w:line="240" w:lineRule="auto"/>
        <w:ind w:firstLine="284"/>
        <w:rPr>
          <w:rFonts w:ascii="Garamond" w:hAnsi="Garamond"/>
          <w:sz w:val="24"/>
          <w:szCs w:val="24"/>
        </w:rPr>
      </w:pPr>
    </w:p>
    <w:p w14:paraId="09FE5F7F" w14:textId="77777777" w:rsidR="00435DCD" w:rsidRDefault="00435DCD" w:rsidP="00D8448F">
      <w:pPr>
        <w:widowControl w:val="0"/>
        <w:autoSpaceDE w:val="0"/>
        <w:autoSpaceDN w:val="0"/>
        <w:adjustRightInd w:val="0"/>
        <w:spacing w:after="0" w:line="240" w:lineRule="auto"/>
        <w:ind w:firstLine="284"/>
        <w:rPr>
          <w:rFonts w:ascii="Garamond" w:hAnsi="Garamond"/>
          <w:sz w:val="24"/>
          <w:szCs w:val="24"/>
        </w:rPr>
      </w:pPr>
    </w:p>
    <w:p w14:paraId="7EA2395D" w14:textId="77777777" w:rsidR="00435DCD" w:rsidRDefault="00435DCD" w:rsidP="00D8448F">
      <w:pPr>
        <w:widowControl w:val="0"/>
        <w:autoSpaceDE w:val="0"/>
        <w:autoSpaceDN w:val="0"/>
        <w:adjustRightInd w:val="0"/>
        <w:spacing w:after="0" w:line="240" w:lineRule="auto"/>
        <w:ind w:firstLine="284"/>
        <w:rPr>
          <w:rFonts w:ascii="Garamond" w:hAnsi="Garamond"/>
          <w:sz w:val="24"/>
          <w:szCs w:val="24"/>
        </w:rPr>
      </w:pPr>
    </w:p>
    <w:p w14:paraId="307FA7C3" w14:textId="77777777" w:rsidR="00435DCD" w:rsidRDefault="00435DCD" w:rsidP="00D8448F">
      <w:pPr>
        <w:widowControl w:val="0"/>
        <w:autoSpaceDE w:val="0"/>
        <w:autoSpaceDN w:val="0"/>
        <w:adjustRightInd w:val="0"/>
        <w:spacing w:after="0" w:line="240" w:lineRule="auto"/>
        <w:ind w:firstLine="284"/>
        <w:rPr>
          <w:rFonts w:ascii="Garamond" w:hAnsi="Garamond"/>
          <w:sz w:val="24"/>
          <w:szCs w:val="24"/>
        </w:rPr>
      </w:pPr>
    </w:p>
    <w:p w14:paraId="2C53AACC" w14:textId="77777777" w:rsidR="00435DCD" w:rsidRPr="001D5A65" w:rsidRDefault="00435DCD" w:rsidP="00D8448F">
      <w:pPr>
        <w:widowControl w:val="0"/>
        <w:autoSpaceDE w:val="0"/>
        <w:autoSpaceDN w:val="0"/>
        <w:adjustRightInd w:val="0"/>
        <w:spacing w:after="0" w:line="240" w:lineRule="auto"/>
        <w:ind w:firstLine="284"/>
        <w:rPr>
          <w:rFonts w:ascii="Garamond" w:hAnsi="Garamond"/>
          <w:sz w:val="24"/>
          <w:szCs w:val="24"/>
        </w:rPr>
      </w:pPr>
    </w:p>
    <w:p w14:paraId="0FA1BDC4" w14:textId="77777777" w:rsidR="00435DCD" w:rsidRPr="000756BE" w:rsidRDefault="00435DCD" w:rsidP="00435DCD">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Shtojca III A Modeli i Raportimit Vjetor</w:t>
      </w:r>
    </w:p>
    <w:p w14:paraId="68AD7EE0" w14:textId="77777777" w:rsidR="00435DCD" w:rsidRPr="000756BE" w:rsidRDefault="00435DCD" w:rsidP="00435DCD">
      <w:pPr>
        <w:widowControl w:val="0"/>
        <w:overflowPunct w:val="0"/>
        <w:autoSpaceDE w:val="0"/>
        <w:autoSpaceDN w:val="0"/>
        <w:adjustRightInd w:val="0"/>
        <w:spacing w:after="0" w:line="240" w:lineRule="auto"/>
        <w:ind w:firstLine="284"/>
        <w:rPr>
          <w:rFonts w:ascii="Garamond" w:hAnsi="Garamond"/>
          <w:sz w:val="24"/>
          <w:szCs w:val="24"/>
        </w:rPr>
      </w:pPr>
    </w:p>
    <w:p w14:paraId="62E935C8" w14:textId="77777777" w:rsidR="00435DCD" w:rsidRPr="000756BE" w:rsidRDefault="00435DCD" w:rsidP="00435DCD">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Periudha e mbuluar nga raporti: </w:t>
      </w:r>
    </w:p>
    <w:p w14:paraId="27C134C4" w14:textId="77777777" w:rsidR="00435DCD" w:rsidRPr="000756BE" w:rsidRDefault="00435DCD" w:rsidP="00435DCD">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01/01/20XX-31/12/20XX</w:t>
      </w:r>
    </w:p>
    <w:p w14:paraId="3A120763" w14:textId="77777777" w:rsidR="00435DCD" w:rsidRPr="000756BE" w:rsidRDefault="00435DCD" w:rsidP="00435DCD">
      <w:pPr>
        <w:widowControl w:val="0"/>
        <w:tabs>
          <w:tab w:val="left" w:pos="4530"/>
        </w:tabs>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ab/>
      </w:r>
    </w:p>
    <w:p w14:paraId="60B2460B" w14:textId="77777777" w:rsidR="00435DCD" w:rsidRPr="000756BE" w:rsidRDefault="00435DCD" w:rsidP="00435DCD">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Raport i lëshuar më XX/XX/20XX</w:t>
      </w:r>
    </w:p>
    <w:p w14:paraId="3235EF1C" w14:textId="77777777" w:rsidR="00435DCD" w:rsidRPr="000756BE" w:rsidRDefault="00435DCD" w:rsidP="00435DCD">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 </w:t>
      </w:r>
    </w:p>
    <w:p w14:paraId="061A500B" w14:textId="77777777" w:rsidR="00435DCD" w:rsidRPr="000756BE" w:rsidRDefault="00435DCD" w:rsidP="00435DCD">
      <w:pPr>
        <w:widowControl w:val="0"/>
        <w:overflowPunct w:val="0"/>
        <w:autoSpaceDE w:val="0"/>
        <w:autoSpaceDN w:val="0"/>
        <w:adjustRightInd w:val="0"/>
        <w:spacing w:after="0" w:line="240" w:lineRule="auto"/>
        <w:ind w:firstLine="284"/>
        <w:rPr>
          <w:rFonts w:ascii="Garamond" w:hAnsi="Garamond"/>
          <w:b/>
          <w:bCs/>
          <w:sz w:val="24"/>
          <w:szCs w:val="24"/>
        </w:rPr>
      </w:pPr>
      <w:r w:rsidRPr="000756BE">
        <w:rPr>
          <w:rFonts w:ascii="Garamond" w:hAnsi="Garamond"/>
          <w:b/>
          <w:bCs/>
          <w:sz w:val="24"/>
          <w:szCs w:val="24"/>
        </w:rPr>
        <w:t>Raport vjetor mbi zbatimin e asistencës IPA II nën menaxhim e drejtpërdrejtë dhe të tërthortë nga [vendi] të paraqitur nga Koordinatori Kombëtar i IPA-s</w:t>
      </w:r>
    </w:p>
    <w:p w14:paraId="777AE1AE" w14:textId="77777777" w:rsidR="00435DCD" w:rsidRPr="000756BE" w:rsidRDefault="00435DCD" w:rsidP="00435DCD">
      <w:pPr>
        <w:pStyle w:val="TEKSTI"/>
      </w:pPr>
    </w:p>
    <w:p w14:paraId="4030BD88" w14:textId="541FB40B" w:rsidR="00435DCD" w:rsidRPr="000756BE" w:rsidRDefault="00435DCD" w:rsidP="00435DCD">
      <w:pPr>
        <w:pStyle w:val="TEKSTI"/>
        <w:rPr>
          <w:b/>
          <w:bCs/>
        </w:rPr>
      </w:pPr>
      <w:r>
        <w:rPr>
          <w:b/>
          <w:bCs/>
        </w:rPr>
        <w:t xml:space="preserve">I. </w:t>
      </w:r>
      <w:r w:rsidRPr="000756BE">
        <w:rPr>
          <w:b/>
          <w:bCs/>
        </w:rPr>
        <w:t xml:space="preserve">Përmbledhje ekzekutive </w:t>
      </w:r>
    </w:p>
    <w:p w14:paraId="49CF1586" w14:textId="650FFDA2" w:rsidR="00435DCD" w:rsidRPr="000756BE" w:rsidRDefault="00435DCD" w:rsidP="00435DCD">
      <w:pPr>
        <w:pStyle w:val="TEKSTI"/>
      </w:pPr>
      <w:r>
        <w:t xml:space="preserve">1. </w:t>
      </w:r>
      <w:r w:rsidRPr="000756BE">
        <w:t xml:space="preserve">Referencë e objektivave të Dokumenteve Strategjikë të Vendit dhe një pasqyrë e shkurtër e sfidave të sektorëve </w:t>
      </w:r>
    </w:p>
    <w:p w14:paraId="5B416A74" w14:textId="68AE6F73" w:rsidR="00435DCD" w:rsidRPr="000756BE" w:rsidRDefault="00435DCD" w:rsidP="00435DCD">
      <w:pPr>
        <w:pStyle w:val="TEKSTI"/>
      </w:pPr>
      <w:r>
        <w:t xml:space="preserve">2. </w:t>
      </w:r>
      <w:r w:rsidRPr="000756BE">
        <w:t xml:space="preserve">Përfshirja në programim </w:t>
      </w:r>
    </w:p>
    <w:p w14:paraId="78F89E94" w14:textId="06F66F5D" w:rsidR="00435DCD" w:rsidRPr="000756BE" w:rsidRDefault="00435DCD" w:rsidP="00435DCD">
      <w:pPr>
        <w:pStyle w:val="TEKSTI"/>
      </w:pPr>
      <w:r>
        <w:t xml:space="preserve">3. </w:t>
      </w:r>
      <w:r w:rsidRPr="000756BE">
        <w:t xml:space="preserve">Marrëdhëniet me Komisionin Evropian. </w:t>
      </w:r>
    </w:p>
    <w:p w14:paraId="17147EC7" w14:textId="371AFB6F" w:rsidR="00435DCD" w:rsidRPr="000756BE" w:rsidRDefault="00435DCD" w:rsidP="00435DCD">
      <w:pPr>
        <w:pStyle w:val="TEKSTI"/>
      </w:pPr>
      <w:r>
        <w:t xml:space="preserve">4. </w:t>
      </w:r>
      <w:r w:rsidRPr="000756BE">
        <w:t xml:space="preserve">Problemet që hasen në përmbushjen e kushteve të nevojshme për zbatimin dhe në sigurimin e qëndrueshmërisë, në lidhje me masat e marra/të planifikuara, rekomandimet për veprime të mëtejshme. </w:t>
      </w:r>
    </w:p>
    <w:p w14:paraId="0D9F7D69" w14:textId="45C6E8EF" w:rsidR="00435DCD" w:rsidRPr="000756BE" w:rsidRDefault="00435DCD" w:rsidP="00435DCD">
      <w:pPr>
        <w:pStyle w:val="TEKSTI"/>
      </w:pPr>
      <w:r>
        <w:t xml:space="preserve">5. </w:t>
      </w:r>
      <w:r w:rsidRPr="000756BE">
        <w:t xml:space="preserve">Çështje të rëndësishme që rrjedhin nga pjesëmarrja e përfituesit të IPA II në komitetin monitorues të IPA-s dhe në komisionet sektoriale të monitorimit (duke përfshirë Komitetin e Përbashkët të Monitorimit për BNK-në), nëse ka. </w:t>
      </w:r>
    </w:p>
    <w:p w14:paraId="638BC561" w14:textId="71A65CDB" w:rsidR="00435DCD" w:rsidRPr="000756BE" w:rsidRDefault="00435DCD" w:rsidP="00435DCD">
      <w:pPr>
        <w:pStyle w:val="TEKSTI"/>
      </w:pPr>
      <w:r>
        <w:t xml:space="preserve">6. </w:t>
      </w:r>
      <w:r w:rsidRPr="000756BE">
        <w:t xml:space="preserve">Përfshirja në veprimet shumë-vendëshe dhe çdo çështje që ka lidhje me to. </w:t>
      </w:r>
    </w:p>
    <w:p w14:paraId="58EEF46B" w14:textId="16452D94" w:rsidR="00435DCD" w:rsidRPr="000756BE" w:rsidRDefault="00435DCD" w:rsidP="00435DCD">
      <w:pPr>
        <w:pStyle w:val="TEKSTI"/>
      </w:pPr>
      <w:r>
        <w:t xml:space="preserve">7. </w:t>
      </w:r>
      <w:r w:rsidRPr="000756BE">
        <w:t xml:space="preserve">Aktivitete monitorimi dhe vlerësimi, mësimet kryesore që janë nxjerrë dhe ndjekja e rekomandimeve. </w:t>
      </w:r>
    </w:p>
    <w:p w14:paraId="60A1FC80" w14:textId="0F6386A8" w:rsidR="00435DCD" w:rsidRPr="000756BE" w:rsidRDefault="00435DCD" w:rsidP="00435DCD">
      <w:pPr>
        <w:pStyle w:val="TEKSTI"/>
      </w:pPr>
      <w:r>
        <w:t xml:space="preserve">8. </w:t>
      </w:r>
      <w:r w:rsidRPr="000756BE">
        <w:t xml:space="preserve">Aktivitetet mbi komunikimin dhe vizibilitetin. </w:t>
      </w:r>
    </w:p>
    <w:p w14:paraId="4160A725" w14:textId="78318823" w:rsidR="00435DCD" w:rsidRPr="000756BE" w:rsidRDefault="00435DCD" w:rsidP="00435DCD">
      <w:pPr>
        <w:pStyle w:val="TEKSTI"/>
      </w:pPr>
      <w:r>
        <w:t xml:space="preserve">9. </w:t>
      </w:r>
      <w:r w:rsidRPr="000756BE">
        <w:t xml:space="preserve">Koordinimi i donatorëve </w:t>
      </w:r>
    </w:p>
    <w:p w14:paraId="772012BC" w14:textId="77777777" w:rsidR="00435DCD" w:rsidRPr="000756BE" w:rsidRDefault="00435DCD" w:rsidP="00435DCD">
      <w:pPr>
        <w:pStyle w:val="TEKSTI"/>
      </w:pPr>
      <w:r w:rsidRPr="000756BE">
        <w:rPr>
          <w:i/>
          <w:iCs/>
        </w:rPr>
        <w:t>Në rastet e menaxhimit të tërthortë, përmbledhja ekzekutive duhet të përmbajë gjithashtu:</w:t>
      </w:r>
    </w:p>
    <w:p w14:paraId="39EF946B" w14:textId="0A904251" w:rsidR="00435DCD" w:rsidRPr="000756BE" w:rsidRDefault="00435DCD" w:rsidP="00435DCD">
      <w:pPr>
        <w:pStyle w:val="TEKSTI"/>
      </w:pPr>
      <w:r>
        <w:t xml:space="preserve">10. </w:t>
      </w:r>
      <w:r w:rsidRPr="000756BE">
        <w:t xml:space="preserve">Zbatimin gjithëpërfshirës të asistencës së IPA-s nën menaxhim e tërthortë  (maksimumi një faqe). </w:t>
      </w:r>
    </w:p>
    <w:p w14:paraId="079A0568" w14:textId="5B4CD2C6" w:rsidR="00435DCD" w:rsidRPr="000756BE" w:rsidRDefault="00435DCD" w:rsidP="00435DCD">
      <w:pPr>
        <w:pStyle w:val="TEKSTI"/>
      </w:pPr>
      <w:r>
        <w:t xml:space="preserve">11. </w:t>
      </w:r>
      <w:r w:rsidRPr="000756BE">
        <w:t xml:space="preserve">Problemet kryesore horizontale të hasura në zbatimin e asistencës së IPA-s dhe masat përkatëse të marra /planifikuara (maksimumi gjysmë faqe). </w:t>
      </w:r>
    </w:p>
    <w:p w14:paraId="0DE69DC4" w14:textId="5F987483" w:rsidR="00435DCD" w:rsidRPr="000756BE" w:rsidRDefault="00435DCD" w:rsidP="00435DCD">
      <w:pPr>
        <w:pStyle w:val="TEKSTI"/>
      </w:pPr>
      <w:r>
        <w:t xml:space="preserve">12. </w:t>
      </w:r>
      <w:r w:rsidRPr="000756BE">
        <w:t xml:space="preserve">Rekomandimet për veprime të mëtejshme (maksimumi gjysmë faqe). </w:t>
      </w:r>
    </w:p>
    <w:p w14:paraId="3AF8707C" w14:textId="702CD483" w:rsidR="00435DCD" w:rsidRPr="000756BE" w:rsidRDefault="00435DCD" w:rsidP="00435DCD">
      <w:pPr>
        <w:pStyle w:val="TEKSTI"/>
      </w:pPr>
      <w:r>
        <w:t xml:space="preserve">13. </w:t>
      </w:r>
      <w:r w:rsidRPr="000756BE">
        <w:t xml:space="preserve">Auditimet - gjetjet kryesore, rekomandimet dhe veprimet korrigjuese të ndërmarra. </w:t>
      </w:r>
    </w:p>
    <w:p w14:paraId="68000B1A" w14:textId="77777777" w:rsidR="00435DCD" w:rsidRPr="000756BE" w:rsidRDefault="00435DCD" w:rsidP="00435DCD">
      <w:pPr>
        <w:pStyle w:val="TEKSTI"/>
      </w:pPr>
    </w:p>
    <w:p w14:paraId="567A30F8" w14:textId="77777777" w:rsidR="00435DCD" w:rsidRPr="000756BE" w:rsidRDefault="00435DCD" w:rsidP="00435DCD">
      <w:pPr>
        <w:pStyle w:val="TEKSTI"/>
      </w:pPr>
      <w:r w:rsidRPr="000756BE">
        <w:rPr>
          <w:b/>
          <w:bCs/>
        </w:rPr>
        <w:t>II. Informacion sipas Sektorëve</w:t>
      </w:r>
      <w:r w:rsidRPr="000756BE">
        <w:t xml:space="preserve"> </w:t>
      </w:r>
    </w:p>
    <w:p w14:paraId="54DCC19B" w14:textId="77777777" w:rsidR="00435DCD" w:rsidRPr="000756BE" w:rsidRDefault="00435DCD" w:rsidP="00435DCD">
      <w:pPr>
        <w:widowControl w:val="0"/>
        <w:tabs>
          <w:tab w:val="left" w:pos="9540"/>
        </w:tabs>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w:t>
      </w:r>
      <w:r w:rsidRPr="000756BE">
        <w:rPr>
          <w:rStyle w:val="FootnoteReference"/>
          <w:rFonts w:ascii="Garamond" w:hAnsi="Garamond"/>
          <w:b/>
          <w:bCs/>
          <w:sz w:val="24"/>
          <w:szCs w:val="24"/>
        </w:rPr>
        <w:footnoteReference w:id="95"/>
      </w:r>
      <w:r w:rsidRPr="000756BE">
        <w:rPr>
          <w:rFonts w:ascii="Garamond" w:hAnsi="Garamond"/>
          <w:b/>
          <w:bCs/>
          <w:sz w:val="24"/>
          <w:szCs w:val="24"/>
        </w:rPr>
        <w:t xml:space="preserve">: </w:t>
      </w:r>
      <w:r w:rsidRPr="000756BE">
        <w:rPr>
          <w:rFonts w:ascii="Garamond" w:hAnsi="Garamond"/>
          <w:sz w:val="24"/>
          <w:szCs w:val="24"/>
        </w:rPr>
        <w:t>[</w:t>
      </w:r>
      <w:r w:rsidRPr="000756BE">
        <w:rPr>
          <w:rFonts w:ascii="Garamond" w:hAnsi="Garamond"/>
          <w:i/>
          <w:iCs/>
          <w:sz w:val="24"/>
          <w:szCs w:val="24"/>
        </w:rPr>
        <w:t>Transporti</w:t>
      </w:r>
      <w:r w:rsidRPr="000756BE">
        <w:rPr>
          <w:rFonts w:ascii="Garamond" w:hAnsi="Garamond"/>
          <w:sz w:val="24"/>
          <w:szCs w:val="24"/>
        </w:rPr>
        <w:t>]</w:t>
      </w:r>
    </w:p>
    <w:p w14:paraId="33FC41DC" w14:textId="77777777" w:rsidR="00435DCD" w:rsidRPr="000756BE" w:rsidRDefault="00435DCD" w:rsidP="00B47ADB">
      <w:pPr>
        <w:pStyle w:val="TEKSTI"/>
      </w:pPr>
    </w:p>
    <w:p w14:paraId="6F7753A2" w14:textId="77777777" w:rsidR="00435DCD" w:rsidRPr="00B47ADB" w:rsidRDefault="00435DCD" w:rsidP="00B47ADB">
      <w:pPr>
        <w:pStyle w:val="TEKSTI"/>
      </w:pPr>
      <w:r w:rsidRPr="00B47ADB">
        <w:t>Pjesa përshkruese: përmbledhje mbi sektorin, duke përfshirë informacionin e mëposhtëm:</w:t>
      </w:r>
    </w:p>
    <w:p w14:paraId="0A4BBE90" w14:textId="014E530E" w:rsidR="00435DCD" w:rsidRPr="000756BE" w:rsidRDefault="00B47ADB" w:rsidP="00B47ADB">
      <w:pPr>
        <w:pStyle w:val="TEKSTI"/>
      </w:pPr>
      <w:r>
        <w:t xml:space="preserve">1. </w:t>
      </w:r>
      <w:r w:rsidR="00435DCD" w:rsidRPr="000756BE">
        <w:t xml:space="preserve">Përfshirja në programim </w:t>
      </w:r>
    </w:p>
    <w:p w14:paraId="50D5A552" w14:textId="5D9B6395" w:rsidR="00435DCD" w:rsidRPr="000756BE" w:rsidRDefault="00B47ADB" w:rsidP="00B47ADB">
      <w:pPr>
        <w:pStyle w:val="TEKSTI"/>
      </w:pPr>
      <w:r>
        <w:t xml:space="preserve">2. </w:t>
      </w:r>
      <w:r w:rsidR="00435DCD" w:rsidRPr="000756BE">
        <w:t xml:space="preserve">Përmbledhje e rezultateve të arritura drejt një qasjeje të sektorit me të drejta të plota (d.m.th. objektivat e arritura sipas treguesve të sektorit në dokumentin e planifikimit të Sektorit). </w:t>
      </w:r>
    </w:p>
    <w:p w14:paraId="7C72915F" w14:textId="48599ABE" w:rsidR="00435DCD" w:rsidRPr="000756BE" w:rsidRDefault="00B47ADB" w:rsidP="00B47ADB">
      <w:pPr>
        <w:pStyle w:val="TEKSTI"/>
      </w:pPr>
      <w:r>
        <w:t xml:space="preserve">3. </w:t>
      </w:r>
      <w:r w:rsidR="00435DCD" w:rsidRPr="000756BE">
        <w:t xml:space="preserve">Koordinimi me instrumente të tjera dhe / ose donatorë / IFI-të brenda sektorit. </w:t>
      </w:r>
    </w:p>
    <w:p w14:paraId="790A0265" w14:textId="76182793" w:rsidR="00435DCD" w:rsidRPr="000756BE" w:rsidRDefault="00B47ADB" w:rsidP="00B47ADB">
      <w:pPr>
        <w:pStyle w:val="TEKSTI"/>
      </w:pPr>
      <w:r>
        <w:t xml:space="preserve">4. </w:t>
      </w:r>
      <w:r w:rsidR="00435DCD" w:rsidRPr="000756BE">
        <w:t xml:space="preserve">Ndikimi i veprimeve të IPA II brenda sektorit mbi zhvillimin e kapaciteteve përkatëse kombëtare administrative në atë sektor, në planifikimin strategjik dhe buxhetimin. </w:t>
      </w:r>
    </w:p>
    <w:p w14:paraId="097BC987" w14:textId="77777777" w:rsidR="00435DCD" w:rsidRPr="000756BE" w:rsidRDefault="00435DCD" w:rsidP="00435DCD">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i/>
          <w:iCs/>
          <w:sz w:val="24"/>
          <w:szCs w:val="24"/>
        </w:rPr>
        <w:t>Nën menaxhim e tërthortë duhet të përfshihet dhe informacioni i mëposhtëm:</w:t>
      </w:r>
    </w:p>
    <w:p w14:paraId="56FEF27D" w14:textId="29FEC3AA" w:rsidR="00435DCD" w:rsidRPr="000756BE" w:rsidRDefault="00B350A2" w:rsidP="00B350A2">
      <w:pPr>
        <w:pStyle w:val="TEKSTI"/>
      </w:pPr>
      <w:r>
        <w:t xml:space="preserve">5. </w:t>
      </w:r>
      <w:r w:rsidR="00435DCD" w:rsidRPr="000756BE">
        <w:t>Struktura/t operuese dhe ndryshimet që kanë lidhje me to, nëse ka: [</w:t>
      </w:r>
      <w:r w:rsidR="00435DCD" w:rsidRPr="000756BE">
        <w:rPr>
          <w:i/>
          <w:iCs/>
        </w:rPr>
        <w:t>Ministria e</w:t>
      </w:r>
      <w:r w:rsidR="00435DCD" w:rsidRPr="000756BE">
        <w:t xml:space="preserve"> </w:t>
      </w:r>
      <w:r w:rsidR="00435DCD" w:rsidRPr="000756BE">
        <w:rPr>
          <w:i/>
          <w:iCs/>
        </w:rPr>
        <w:t xml:space="preserve">Transportit] </w:t>
      </w:r>
    </w:p>
    <w:p w14:paraId="3ECABAA6" w14:textId="2DA51A1D" w:rsidR="00435DCD" w:rsidRPr="000756BE" w:rsidRDefault="00B350A2" w:rsidP="00B350A2">
      <w:pPr>
        <w:pStyle w:val="TEKSTI"/>
      </w:pPr>
      <w:r>
        <w:t xml:space="preserve">6. </w:t>
      </w:r>
      <w:r w:rsidR="00435DCD" w:rsidRPr="000756BE">
        <w:t xml:space="preserve">Informacion mbi zbatimin e programeve në atë sektor. </w:t>
      </w:r>
    </w:p>
    <w:p w14:paraId="503A151A" w14:textId="31E79DB5" w:rsidR="00435DCD" w:rsidRPr="000756BE" w:rsidRDefault="00B350A2" w:rsidP="00B350A2">
      <w:pPr>
        <w:pStyle w:val="TEKSTI"/>
      </w:pPr>
      <w:r>
        <w:t xml:space="preserve">7. </w:t>
      </w:r>
      <w:r w:rsidR="00435DCD" w:rsidRPr="000756BE">
        <w:t xml:space="preserve">Arritjet kryesore në atë sektor. </w:t>
      </w:r>
    </w:p>
    <w:p w14:paraId="7A6B6D9C" w14:textId="3634ABFB" w:rsidR="00435DCD" w:rsidRPr="000756BE" w:rsidRDefault="00B350A2" w:rsidP="00B350A2">
      <w:pPr>
        <w:pStyle w:val="TEKSTI"/>
      </w:pPr>
      <w:r>
        <w:t xml:space="preserve">8. </w:t>
      </w:r>
      <w:r w:rsidR="00435DCD" w:rsidRPr="000756BE">
        <w:t xml:space="preserve">Çdo problem i rëndësishëm që haset gjatë zbatimit të detyrave të besuara, p.sh. vonesat në kontraktim dhe masat e marra / planifikuara në vijim. </w:t>
      </w:r>
    </w:p>
    <w:p w14:paraId="1BE1B5DF" w14:textId="7FA9413B" w:rsidR="00435DCD" w:rsidRPr="000756BE" w:rsidRDefault="00B350A2" w:rsidP="00B350A2">
      <w:pPr>
        <w:pStyle w:val="TEKSTI"/>
      </w:pPr>
      <w:r>
        <w:t xml:space="preserve">9. </w:t>
      </w:r>
      <w:r w:rsidR="00435DCD" w:rsidRPr="000756BE">
        <w:t xml:space="preserve">Rekomandime për veprime të mëtejshme. </w:t>
      </w:r>
    </w:p>
    <w:p w14:paraId="564C3FE8" w14:textId="1B385F36" w:rsidR="00435DCD" w:rsidRPr="000756BE" w:rsidRDefault="00B350A2" w:rsidP="00B350A2">
      <w:pPr>
        <w:pStyle w:val="TEKSTI"/>
      </w:pPr>
      <w:r>
        <w:t xml:space="preserve">10. </w:t>
      </w:r>
      <w:r w:rsidR="00435DCD" w:rsidRPr="000756BE">
        <w:t xml:space="preserve">Aktivitetet monitoruese dhe vlerësuese të kryera, auditimet - gjetjet kryesore dhe mësimet e nxjerra, rekomandimet, ndjekja dhe veprimet korrigjuese të ndërmarra. </w:t>
      </w:r>
    </w:p>
    <w:p w14:paraId="463C8444" w14:textId="77777777" w:rsidR="00435DCD" w:rsidRPr="000756BE" w:rsidRDefault="00435DCD" w:rsidP="00435DCD">
      <w:pPr>
        <w:widowControl w:val="0"/>
        <w:autoSpaceDE w:val="0"/>
        <w:autoSpaceDN w:val="0"/>
        <w:adjustRightInd w:val="0"/>
        <w:spacing w:after="0" w:line="240" w:lineRule="auto"/>
        <w:ind w:firstLine="284"/>
        <w:rPr>
          <w:rFonts w:ascii="Garamond" w:hAnsi="Garamond"/>
          <w:sz w:val="24"/>
          <w:szCs w:val="24"/>
        </w:rPr>
      </w:pPr>
    </w:p>
    <w:p w14:paraId="2F58309F" w14:textId="77777777" w:rsidR="00435DCD" w:rsidRPr="000756BE" w:rsidRDefault="00435DCD" w:rsidP="00435DCD">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 Bashkëpunimi Ndërkufitar</w:t>
      </w:r>
      <w:r w:rsidRPr="000756BE">
        <w:rPr>
          <w:rStyle w:val="FootnoteReference"/>
          <w:rFonts w:ascii="Garamond" w:hAnsi="Garamond"/>
          <w:b/>
          <w:bCs/>
          <w:sz w:val="24"/>
          <w:szCs w:val="24"/>
        </w:rPr>
        <w:footnoteReference w:id="96"/>
      </w:r>
    </w:p>
    <w:p w14:paraId="654E21B8" w14:textId="77777777" w:rsidR="00435DCD" w:rsidRPr="000756BE" w:rsidRDefault="00435DCD" w:rsidP="00B350A2">
      <w:pPr>
        <w:pStyle w:val="TEKSTI"/>
      </w:pPr>
    </w:p>
    <w:p w14:paraId="01708782" w14:textId="5CA947F3" w:rsidR="00435DCD" w:rsidRPr="000756BE" w:rsidRDefault="00B350A2" w:rsidP="00B350A2">
      <w:pPr>
        <w:pStyle w:val="TEKSTI"/>
      </w:pPr>
      <w:r>
        <w:t xml:space="preserve">1. </w:t>
      </w:r>
      <w:r w:rsidR="00435DCD" w:rsidRPr="000756BE">
        <w:t>Përfshirja në programim, sipas rastit.</w:t>
      </w:r>
    </w:p>
    <w:p w14:paraId="2B275AC3" w14:textId="2FFB5309" w:rsidR="00435DCD" w:rsidRPr="000756BE" w:rsidRDefault="00B350A2" w:rsidP="00B350A2">
      <w:pPr>
        <w:pStyle w:val="TEKSTI"/>
      </w:pPr>
      <w:r>
        <w:t xml:space="preserve">2. </w:t>
      </w:r>
      <w:r w:rsidR="00435DCD" w:rsidRPr="000756BE">
        <w:t xml:space="preserve">Progresi i bërë në zbatimin e Programit Ndërkufitar dhe në veçanti në arritjen e objektivave specifike sipas prioriteteve tematike (duke përfshirë edhe elemente sasiore dhe cilësore që tregojnë progres në lidhje me objektivat). </w:t>
      </w:r>
    </w:p>
    <w:p w14:paraId="4CC6A0A4" w14:textId="57AD426E" w:rsidR="00435DCD" w:rsidRPr="000756BE" w:rsidRDefault="00B350A2" w:rsidP="00B350A2">
      <w:pPr>
        <w:pStyle w:val="TEKSTI"/>
      </w:pPr>
      <w:r>
        <w:t xml:space="preserve">3. </w:t>
      </w:r>
      <w:r w:rsidR="00435DCD" w:rsidRPr="000756BE">
        <w:t xml:space="preserve">Një përmbledhje e problemeve të hasura në zbatimin e programit të BNK-së dhe çdo veprim korrigjues i ndërmarrë, si dhe rekomandime për veprime të mëtejshme korrigjuese. </w:t>
      </w:r>
    </w:p>
    <w:p w14:paraId="547536D5" w14:textId="50704368" w:rsidR="00435DCD" w:rsidRPr="000756BE" w:rsidRDefault="00B350A2" w:rsidP="00B350A2">
      <w:pPr>
        <w:pStyle w:val="TEKSTI"/>
      </w:pPr>
      <w:r>
        <w:t xml:space="preserve">4. </w:t>
      </w:r>
      <w:r w:rsidR="00435DCD" w:rsidRPr="000756BE">
        <w:t xml:space="preserve">Monitorimi, duke përfshirë edhe marrëveshjet për mbledhjen e të dhënave dhe kur është e zbatueshme, dhe aktivitete vlerësimi. </w:t>
      </w:r>
    </w:p>
    <w:p w14:paraId="434B23B4" w14:textId="37124AF5" w:rsidR="00435DCD" w:rsidRPr="000756BE" w:rsidRDefault="00B350A2" w:rsidP="00B350A2">
      <w:pPr>
        <w:pStyle w:val="TEKSTI"/>
      </w:pPr>
      <w:r>
        <w:t xml:space="preserve">5. </w:t>
      </w:r>
      <w:r w:rsidR="00435DCD" w:rsidRPr="000756BE">
        <w:t xml:space="preserve">Aktivitetet mbi komunikimin dhe svizibilitetin. </w:t>
      </w:r>
    </w:p>
    <w:p w14:paraId="4F2A7A4B" w14:textId="53D25A91" w:rsidR="00435DCD" w:rsidRPr="000756BE" w:rsidRDefault="00B350A2" w:rsidP="00B350A2">
      <w:pPr>
        <w:pStyle w:val="TEKSTI"/>
      </w:pPr>
      <w:r>
        <w:t xml:space="preserve">6. </w:t>
      </w:r>
      <w:r w:rsidR="00435DCD" w:rsidRPr="000756BE">
        <w:t xml:space="preserve">Koordinimi me vendin partner. </w:t>
      </w:r>
    </w:p>
    <w:p w14:paraId="10C8C11E" w14:textId="77777777" w:rsidR="00435DCD" w:rsidRPr="000756BE" w:rsidRDefault="00435DCD" w:rsidP="00B350A2">
      <w:pPr>
        <w:pStyle w:val="TEKSTI"/>
      </w:pPr>
      <w:r w:rsidRPr="000756BE">
        <w:rPr>
          <w:i/>
          <w:iCs/>
        </w:rPr>
        <w:t>Nën menaxhim të tërthortë duhet të përfshihet edhe informacioni i mëposhtëm:</w:t>
      </w:r>
    </w:p>
    <w:p w14:paraId="5F283B76" w14:textId="7119A9CC" w:rsidR="00435DCD" w:rsidRPr="000756BE" w:rsidRDefault="00B350A2" w:rsidP="00B350A2">
      <w:pPr>
        <w:pStyle w:val="TEKSTI"/>
      </w:pPr>
      <w:r>
        <w:t xml:space="preserve">1. </w:t>
      </w:r>
      <w:r w:rsidR="00435DCD" w:rsidRPr="000756BE">
        <w:t xml:space="preserve">Struktura operuese ekzistuese dhe ndryshimet që kanë lidhje me të, nëse ka. </w:t>
      </w:r>
    </w:p>
    <w:p w14:paraId="6FA294B6" w14:textId="45C8DDBA" w:rsidR="00435DCD" w:rsidRPr="000756BE" w:rsidRDefault="00B350A2" w:rsidP="00B350A2">
      <w:pPr>
        <w:pStyle w:val="TEKSTI"/>
      </w:pPr>
      <w:r>
        <w:t xml:space="preserve">2. </w:t>
      </w:r>
      <w:r w:rsidR="00435DCD" w:rsidRPr="000756BE">
        <w:t xml:space="preserve">Çdo problem i rëndësishëm që haset në zbatimin e detyrave të besuara, p.sh. vonesat në kontraktim dhe masat pasuese të ndërmarra/planifikuara. </w:t>
      </w:r>
    </w:p>
    <w:p w14:paraId="0A81FAB6" w14:textId="7B95C64A" w:rsidR="00435DCD" w:rsidRPr="000756BE" w:rsidRDefault="00B350A2" w:rsidP="00B350A2">
      <w:pPr>
        <w:pStyle w:val="TEKSTI"/>
      </w:pPr>
      <w:r>
        <w:t xml:space="preserve">3. </w:t>
      </w:r>
      <w:r w:rsidR="00435DCD" w:rsidRPr="000756BE">
        <w:t xml:space="preserve">Rekomandime për veprime të mëtejshme </w:t>
      </w:r>
    </w:p>
    <w:p w14:paraId="263DD55D" w14:textId="59888B30" w:rsidR="00435DCD" w:rsidRPr="000756BE" w:rsidRDefault="00B350A2" w:rsidP="00B350A2">
      <w:pPr>
        <w:pStyle w:val="TEKSTI"/>
      </w:pPr>
      <w:r>
        <w:t xml:space="preserve">4. </w:t>
      </w:r>
      <w:r w:rsidR="00435DCD" w:rsidRPr="000756BE">
        <w:t xml:space="preserve">Auditimet e kryera - gjetjet kryesore dhe rekomandimet, si dhe masat korrigjuese të ndërmarra. </w:t>
      </w:r>
    </w:p>
    <w:p w14:paraId="3E927803" w14:textId="77777777" w:rsidR="00D8448F" w:rsidRPr="001D5A65" w:rsidRDefault="00D8448F" w:rsidP="00D8448F">
      <w:pPr>
        <w:widowControl w:val="0"/>
        <w:autoSpaceDE w:val="0"/>
        <w:autoSpaceDN w:val="0"/>
        <w:adjustRightInd w:val="0"/>
        <w:spacing w:after="0" w:line="240" w:lineRule="auto"/>
        <w:ind w:firstLine="284"/>
        <w:rPr>
          <w:rFonts w:ascii="Garamond" w:hAnsi="Garamond"/>
          <w:sz w:val="24"/>
          <w:szCs w:val="24"/>
        </w:rPr>
      </w:pPr>
    </w:p>
    <w:p w14:paraId="713DC50F" w14:textId="6E8CB022" w:rsidR="00C61F48" w:rsidRDefault="002302F4" w:rsidP="00532DCC">
      <w:pPr>
        <w:pStyle w:val="TEKSTI"/>
        <w:rPr>
          <w:i/>
        </w:rPr>
      </w:pPr>
      <w:r w:rsidRPr="002302F4">
        <w:rPr>
          <w:noProof/>
          <w:lang w:eastAsia="sq-AL"/>
        </w:rPr>
        <w:drawing>
          <wp:inline distT="0" distB="0" distL="0" distR="0" wp14:anchorId="264DF7D9" wp14:editId="0813F875">
            <wp:extent cx="5876014" cy="3487308"/>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3775" t="27172" r="25948" b="19782"/>
                    <a:stretch/>
                  </pic:blipFill>
                  <pic:spPr bwMode="auto">
                    <a:xfrm>
                      <a:off x="0" y="0"/>
                      <a:ext cx="5879650" cy="3489466"/>
                    </a:xfrm>
                    <a:prstGeom prst="rect">
                      <a:avLst/>
                    </a:prstGeom>
                    <a:ln>
                      <a:noFill/>
                    </a:ln>
                    <a:extLst>
                      <a:ext uri="{53640926-AAD7-44D8-BBD7-CCE9431645EC}">
                        <a14:shadowObscured xmlns:a14="http://schemas.microsoft.com/office/drawing/2010/main"/>
                      </a:ext>
                    </a:extLst>
                  </pic:spPr>
                </pic:pic>
              </a:graphicData>
            </a:graphic>
          </wp:inline>
        </w:drawing>
      </w:r>
    </w:p>
    <w:p w14:paraId="4DEDCE95" w14:textId="77777777" w:rsidR="00560A03" w:rsidRDefault="00560A03" w:rsidP="00532DCC">
      <w:pPr>
        <w:pStyle w:val="TEKSTI"/>
        <w:rPr>
          <w:i/>
        </w:rPr>
      </w:pPr>
    </w:p>
    <w:p w14:paraId="371B017F" w14:textId="6530C5F2" w:rsidR="00560A03" w:rsidRDefault="00560A03" w:rsidP="00532DCC">
      <w:pPr>
        <w:pStyle w:val="TEKSTI"/>
        <w:rPr>
          <w:i/>
        </w:rPr>
      </w:pPr>
      <w:r w:rsidRPr="00560A03">
        <w:rPr>
          <w:noProof/>
          <w:lang w:eastAsia="sq-AL"/>
        </w:rPr>
        <w:drawing>
          <wp:inline distT="0" distB="0" distL="0" distR="0" wp14:anchorId="1B26C336" wp14:editId="3CB9BA72">
            <wp:extent cx="5680658" cy="3283889"/>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3909" t="30221" r="25594" b="17884"/>
                    <a:stretch/>
                  </pic:blipFill>
                  <pic:spPr bwMode="auto">
                    <a:xfrm>
                      <a:off x="0" y="0"/>
                      <a:ext cx="5692563" cy="3290771"/>
                    </a:xfrm>
                    <a:prstGeom prst="rect">
                      <a:avLst/>
                    </a:prstGeom>
                    <a:ln>
                      <a:noFill/>
                    </a:ln>
                    <a:extLst>
                      <a:ext uri="{53640926-AAD7-44D8-BBD7-CCE9431645EC}">
                        <a14:shadowObscured xmlns:a14="http://schemas.microsoft.com/office/drawing/2010/main"/>
                      </a:ext>
                    </a:extLst>
                  </pic:spPr>
                </pic:pic>
              </a:graphicData>
            </a:graphic>
          </wp:inline>
        </w:drawing>
      </w:r>
    </w:p>
    <w:p w14:paraId="4CD154E7" w14:textId="77777777" w:rsidR="00D55169" w:rsidRDefault="00D55169" w:rsidP="00D55169">
      <w:pPr>
        <w:pStyle w:val="TEKSTI"/>
      </w:pPr>
    </w:p>
    <w:p w14:paraId="0FA7852F" w14:textId="77777777" w:rsidR="00D55169" w:rsidRPr="00D55169" w:rsidRDefault="00D55169" w:rsidP="00D55169">
      <w:pPr>
        <w:pStyle w:val="TEKSTI"/>
      </w:pPr>
      <w:r w:rsidRPr="00D55169">
        <w:rPr>
          <w:iCs/>
        </w:rPr>
        <w:t>Nën menaxhim e tërthortë duhet të sigurohen dhe Shtojcat e mëposhtme:</w:t>
      </w:r>
    </w:p>
    <w:p w14:paraId="28AD1E63" w14:textId="77777777" w:rsidR="00D55169" w:rsidRPr="00D55169" w:rsidRDefault="00D55169" w:rsidP="00D55169">
      <w:pPr>
        <w:pStyle w:val="TEKSTI"/>
      </w:pPr>
    </w:p>
    <w:p w14:paraId="14738C4A" w14:textId="77777777" w:rsidR="00D55169" w:rsidRPr="00D55169" w:rsidRDefault="00D55169" w:rsidP="00D55169">
      <w:pPr>
        <w:pStyle w:val="TEKSTI"/>
      </w:pPr>
      <w:r w:rsidRPr="00D55169">
        <w:rPr>
          <w:b/>
          <w:bCs/>
          <w:u w:val="single"/>
        </w:rPr>
        <w:t>Shtojca 1</w:t>
      </w:r>
    </w:p>
    <w:p w14:paraId="4FF1B980" w14:textId="77777777" w:rsidR="00D55169" w:rsidRPr="00D55169" w:rsidRDefault="00D55169" w:rsidP="00D55169">
      <w:pPr>
        <w:pStyle w:val="TEKSTI"/>
      </w:pPr>
      <w:r w:rsidRPr="00D55169">
        <w:t>Përmbledhje mbi funksionimin e sistemeve të kontrollit dhe menaxhimit (duke përfshirë ndryshimet në strukturën institucionale) (maksimumi një faqe).</w:t>
      </w:r>
    </w:p>
    <w:p w14:paraId="07664EE0" w14:textId="77777777" w:rsidR="00D55169" w:rsidRPr="00D55169" w:rsidRDefault="00D55169" w:rsidP="00D55169">
      <w:pPr>
        <w:pStyle w:val="TEKSTI"/>
      </w:pPr>
    </w:p>
    <w:p w14:paraId="7AECA603" w14:textId="77777777" w:rsidR="00D55169" w:rsidRPr="00D55169" w:rsidRDefault="00D55169" w:rsidP="00D55169">
      <w:pPr>
        <w:pStyle w:val="TEKSTI"/>
      </w:pPr>
      <w:r w:rsidRPr="00D55169">
        <w:t>Aktivitetet mbi transparencën, vizibilitetin, informacionin dhe komunikimin, në përputhje me MK (maksimumi një faqe)</w:t>
      </w:r>
    </w:p>
    <w:p w14:paraId="63A9BB99" w14:textId="77777777" w:rsidR="00D55169" w:rsidRPr="00D55169" w:rsidRDefault="00D55169" w:rsidP="00D55169">
      <w:pPr>
        <w:pStyle w:val="TEKSTI"/>
      </w:pPr>
    </w:p>
    <w:p w14:paraId="018EB5D3" w14:textId="77777777" w:rsidR="00D55169" w:rsidRPr="00D55169" w:rsidRDefault="00D55169" w:rsidP="00D55169">
      <w:pPr>
        <w:pStyle w:val="TEKSTI"/>
      </w:pPr>
      <w:r w:rsidRPr="00D55169">
        <w:rPr>
          <w:b/>
          <w:bCs/>
          <w:u w:val="single"/>
        </w:rPr>
        <w:t>Shtojca 2</w:t>
      </w:r>
    </w:p>
    <w:p w14:paraId="2FF0348C" w14:textId="77777777" w:rsidR="00D55169" w:rsidRPr="00D55169" w:rsidRDefault="00D55169" w:rsidP="00D55169">
      <w:pPr>
        <w:pStyle w:val="TEKSTI"/>
      </w:pPr>
      <w:r w:rsidRPr="00D55169">
        <w:t>Histori suksesi (Shënim. ky seksion mund të përdoret për raportin vjetor të asistencës financiare, i cili përgatitet nga Komisioni Evropian).</w:t>
      </w:r>
    </w:p>
    <w:p w14:paraId="2D1CB58E" w14:textId="77777777" w:rsidR="00D55169" w:rsidRPr="00D55169" w:rsidRDefault="00D55169" w:rsidP="00D55169">
      <w:pPr>
        <w:pStyle w:val="TEKSTI"/>
      </w:pPr>
    </w:p>
    <w:p w14:paraId="416DC222" w14:textId="77777777" w:rsidR="00D55169" w:rsidRPr="00D55169" w:rsidRDefault="00D55169" w:rsidP="00D55169">
      <w:pPr>
        <w:pStyle w:val="TEKSTI"/>
      </w:pPr>
      <w:r w:rsidRPr="00D55169">
        <w:rPr>
          <w:b/>
          <w:bCs/>
          <w:u w:val="single"/>
        </w:rPr>
        <w:t>Shtojca 3</w:t>
      </w:r>
    </w:p>
    <w:p w14:paraId="3D0C8695" w14:textId="77777777" w:rsidR="00D55169" w:rsidRPr="00D55169" w:rsidRDefault="00D55169" w:rsidP="00D55169">
      <w:pPr>
        <w:pStyle w:val="TEKSTI"/>
      </w:pPr>
      <w:r w:rsidRPr="00D55169">
        <w:t>Plani vjetor i prokurimit</w:t>
      </w:r>
    </w:p>
    <w:p w14:paraId="2493C857" w14:textId="77777777" w:rsidR="00D55169" w:rsidRPr="00D55169" w:rsidRDefault="00D55169" w:rsidP="00D55169">
      <w:pPr>
        <w:pStyle w:val="TEKSTI"/>
      </w:pPr>
    </w:p>
    <w:p w14:paraId="54796CA6" w14:textId="77777777" w:rsidR="00D55169" w:rsidRPr="00D55169" w:rsidRDefault="00D55169" w:rsidP="00D55169">
      <w:pPr>
        <w:pStyle w:val="TEKSTI"/>
      </w:pPr>
      <w:r w:rsidRPr="00D55169">
        <w:t xml:space="preserve">Shtojca e mëposhtme duhet të sigurohet si për menaxhimin e drejtpërdrejtë, ashtu dhe për atë të tërthortë: </w:t>
      </w:r>
    </w:p>
    <w:p w14:paraId="5149FB3D" w14:textId="77777777" w:rsidR="00D55169" w:rsidRPr="00D55169" w:rsidRDefault="00D55169" w:rsidP="00D55169">
      <w:pPr>
        <w:pStyle w:val="TEKSTI"/>
      </w:pPr>
      <w:r w:rsidRPr="00D55169">
        <w:rPr>
          <w:b/>
          <w:bCs/>
          <w:u w:val="single"/>
        </w:rPr>
        <w:t>Shtojca 4</w:t>
      </w:r>
    </w:p>
    <w:p w14:paraId="6CEF417D" w14:textId="77777777" w:rsidR="00D55169" w:rsidRPr="00D55169" w:rsidRDefault="00D55169" w:rsidP="00D55169">
      <w:pPr>
        <w:pStyle w:val="TEKSTI"/>
      </w:pPr>
      <w:r w:rsidRPr="00D55169">
        <w:t>Udhërrëfyesi i qasjes sektoriale – arritjet (duke theksuar nëse objektivat e planifikuara janë përmbushur ose jo).</w:t>
      </w:r>
    </w:p>
    <w:p w14:paraId="31B0401D" w14:textId="77777777" w:rsidR="00D55169" w:rsidRPr="00D55169" w:rsidRDefault="00D55169" w:rsidP="00D55169">
      <w:pPr>
        <w:widowControl w:val="0"/>
        <w:overflowPunct w:val="0"/>
        <w:autoSpaceDE w:val="0"/>
        <w:autoSpaceDN w:val="0"/>
        <w:adjustRightInd w:val="0"/>
        <w:spacing w:after="0" w:line="228" w:lineRule="auto"/>
        <w:ind w:right="40"/>
        <w:jc w:val="both"/>
        <w:rPr>
          <w:rFonts w:ascii="Garamond" w:hAnsi="Garamond"/>
          <w:sz w:val="24"/>
          <w:szCs w:val="24"/>
        </w:rPr>
      </w:pPr>
    </w:p>
    <w:p w14:paraId="15B303DA" w14:textId="77777777" w:rsidR="00D55169" w:rsidRDefault="00D55169" w:rsidP="00532DCC">
      <w:pPr>
        <w:pStyle w:val="TEKSTI"/>
        <w:rPr>
          <w:i/>
        </w:rPr>
      </w:pPr>
    </w:p>
    <w:p w14:paraId="7CC95222" w14:textId="77777777" w:rsidR="00525CC4" w:rsidRDefault="00525CC4" w:rsidP="00532DCC">
      <w:pPr>
        <w:pStyle w:val="TEKSTI"/>
        <w:rPr>
          <w:i/>
        </w:rPr>
      </w:pPr>
    </w:p>
    <w:p w14:paraId="5260DA63" w14:textId="77777777" w:rsidR="00525CC4" w:rsidRDefault="00525CC4" w:rsidP="00532DCC">
      <w:pPr>
        <w:pStyle w:val="TEKSTI"/>
        <w:rPr>
          <w:i/>
        </w:rPr>
      </w:pPr>
    </w:p>
    <w:p w14:paraId="6525EE06" w14:textId="77777777" w:rsidR="00525CC4" w:rsidRPr="000756BE" w:rsidRDefault="00525CC4" w:rsidP="00525CC4">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Shtojca III A Modeli i Raportimit Vjetor</w:t>
      </w:r>
    </w:p>
    <w:p w14:paraId="7B29460D" w14:textId="77777777" w:rsidR="00525CC4" w:rsidRPr="000756BE" w:rsidRDefault="00525CC4" w:rsidP="00525CC4">
      <w:pPr>
        <w:widowControl w:val="0"/>
        <w:overflowPunct w:val="0"/>
        <w:autoSpaceDE w:val="0"/>
        <w:autoSpaceDN w:val="0"/>
        <w:adjustRightInd w:val="0"/>
        <w:spacing w:after="0" w:line="240" w:lineRule="auto"/>
        <w:ind w:firstLine="284"/>
        <w:rPr>
          <w:rFonts w:ascii="Garamond" w:hAnsi="Garamond"/>
          <w:sz w:val="24"/>
          <w:szCs w:val="24"/>
        </w:rPr>
      </w:pPr>
    </w:p>
    <w:p w14:paraId="797153CF" w14:textId="77777777" w:rsidR="00525CC4" w:rsidRPr="000756BE" w:rsidRDefault="00525CC4" w:rsidP="00525CC4">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Periudha e mbuluar nga raporti: </w:t>
      </w:r>
    </w:p>
    <w:p w14:paraId="0BA92C68" w14:textId="77777777" w:rsidR="00525CC4" w:rsidRPr="000756BE" w:rsidRDefault="00525CC4" w:rsidP="00525CC4">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01/01/20XX-31/12/20XX</w:t>
      </w:r>
    </w:p>
    <w:p w14:paraId="74193D29" w14:textId="77777777" w:rsidR="00525CC4" w:rsidRPr="000756BE" w:rsidRDefault="00525CC4" w:rsidP="00525CC4">
      <w:pPr>
        <w:widowControl w:val="0"/>
        <w:tabs>
          <w:tab w:val="left" w:pos="4530"/>
        </w:tabs>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ab/>
      </w:r>
    </w:p>
    <w:p w14:paraId="074C549F" w14:textId="77777777" w:rsidR="00525CC4" w:rsidRPr="000756BE" w:rsidRDefault="00525CC4" w:rsidP="00525CC4">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Raport i lëshuar më XX/XX/20XX</w:t>
      </w:r>
    </w:p>
    <w:p w14:paraId="1656FBA8" w14:textId="77777777" w:rsidR="00525CC4" w:rsidRPr="000756BE" w:rsidRDefault="00525CC4" w:rsidP="00525CC4">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 </w:t>
      </w:r>
    </w:p>
    <w:p w14:paraId="22010FBC" w14:textId="77777777" w:rsidR="00525CC4" w:rsidRPr="000756BE" w:rsidRDefault="00525CC4" w:rsidP="00525CC4">
      <w:pPr>
        <w:widowControl w:val="0"/>
        <w:overflowPunct w:val="0"/>
        <w:autoSpaceDE w:val="0"/>
        <w:autoSpaceDN w:val="0"/>
        <w:adjustRightInd w:val="0"/>
        <w:spacing w:after="0" w:line="240" w:lineRule="auto"/>
        <w:ind w:firstLine="284"/>
        <w:rPr>
          <w:rFonts w:ascii="Garamond" w:hAnsi="Garamond"/>
          <w:b/>
          <w:bCs/>
          <w:sz w:val="24"/>
          <w:szCs w:val="24"/>
        </w:rPr>
      </w:pPr>
      <w:r w:rsidRPr="000756BE">
        <w:rPr>
          <w:rFonts w:ascii="Garamond" w:hAnsi="Garamond"/>
          <w:b/>
          <w:bCs/>
          <w:sz w:val="24"/>
          <w:szCs w:val="24"/>
        </w:rPr>
        <w:t>Raport vjetor mbi zbatimin e asistencës IPA II nën menaxhim e drejtpërdrejtë dhe të tërthortë nga [vendi] të paraqitur nga Koordinatori Kombëtar i IPA-s</w:t>
      </w:r>
    </w:p>
    <w:p w14:paraId="1DC55F83" w14:textId="77777777" w:rsidR="00525CC4" w:rsidRPr="000756BE" w:rsidRDefault="00525CC4" w:rsidP="00525CC4">
      <w:pPr>
        <w:pStyle w:val="TEKSTI"/>
      </w:pPr>
    </w:p>
    <w:p w14:paraId="37EDF19E" w14:textId="77777777" w:rsidR="00525CC4" w:rsidRPr="000756BE" w:rsidRDefault="00525CC4" w:rsidP="00525CC4">
      <w:pPr>
        <w:pStyle w:val="TEKSTI"/>
        <w:rPr>
          <w:b/>
          <w:bCs/>
        </w:rPr>
      </w:pPr>
      <w:r>
        <w:rPr>
          <w:b/>
          <w:bCs/>
        </w:rPr>
        <w:t xml:space="preserve">I. </w:t>
      </w:r>
      <w:r w:rsidRPr="000756BE">
        <w:rPr>
          <w:b/>
          <w:bCs/>
        </w:rPr>
        <w:t xml:space="preserve">Përmbledhje ekzekutive </w:t>
      </w:r>
    </w:p>
    <w:p w14:paraId="3E5B09BF" w14:textId="77777777" w:rsidR="00525CC4" w:rsidRPr="000756BE" w:rsidRDefault="00525CC4" w:rsidP="00525CC4">
      <w:pPr>
        <w:pStyle w:val="TEKSTI"/>
      </w:pPr>
      <w:r>
        <w:t xml:space="preserve">1. </w:t>
      </w:r>
      <w:r w:rsidRPr="000756BE">
        <w:t xml:space="preserve">Referencë e objektivave të Dokumenteve Strategjikë të Vendit dhe një pasqyrë e shkurtër e sfidave të sektorëve </w:t>
      </w:r>
    </w:p>
    <w:p w14:paraId="4591CBF0" w14:textId="77777777" w:rsidR="00525CC4" w:rsidRPr="000756BE" w:rsidRDefault="00525CC4" w:rsidP="00525CC4">
      <w:pPr>
        <w:pStyle w:val="TEKSTI"/>
      </w:pPr>
      <w:r>
        <w:t xml:space="preserve">2. </w:t>
      </w:r>
      <w:r w:rsidRPr="000756BE">
        <w:t xml:space="preserve">Përfshirja në programim </w:t>
      </w:r>
    </w:p>
    <w:p w14:paraId="05499114" w14:textId="77777777" w:rsidR="00525CC4" w:rsidRPr="000756BE" w:rsidRDefault="00525CC4" w:rsidP="00525CC4">
      <w:pPr>
        <w:pStyle w:val="TEKSTI"/>
      </w:pPr>
      <w:r>
        <w:t xml:space="preserve">3. </w:t>
      </w:r>
      <w:r w:rsidRPr="000756BE">
        <w:t xml:space="preserve">Marrëdhëniet me Komisionin Evropian. </w:t>
      </w:r>
    </w:p>
    <w:p w14:paraId="724F6C67" w14:textId="77777777" w:rsidR="00525CC4" w:rsidRPr="000756BE" w:rsidRDefault="00525CC4" w:rsidP="00525CC4">
      <w:pPr>
        <w:pStyle w:val="TEKSTI"/>
      </w:pPr>
      <w:r>
        <w:t xml:space="preserve">4. </w:t>
      </w:r>
      <w:r w:rsidRPr="000756BE">
        <w:t xml:space="preserve">Problemet që hasen në përmbushjen e kushteve të nevojshme për zbatimin dhe në sigurimin e qëndrueshmërisë, në lidhje me masat e marra/të planifikuara, rekomandimet për veprime të mëtejshme. </w:t>
      </w:r>
    </w:p>
    <w:p w14:paraId="6BFE97D6" w14:textId="77777777" w:rsidR="00525CC4" w:rsidRPr="000756BE" w:rsidRDefault="00525CC4" w:rsidP="00525CC4">
      <w:pPr>
        <w:pStyle w:val="TEKSTI"/>
      </w:pPr>
      <w:r>
        <w:t xml:space="preserve">5. </w:t>
      </w:r>
      <w:r w:rsidRPr="000756BE">
        <w:t xml:space="preserve">Çështje të rëndësishme që rrjedhin nga pjesëmarrja e përfituesit të IPA II në komitetin monitorues të IPA-s dhe në komisionet sektoriale të monitorimit (duke përfshirë Komitetin e Përbashkët të Monitorimit për BNK-në), nëse ka. </w:t>
      </w:r>
    </w:p>
    <w:p w14:paraId="2113E6A7" w14:textId="77777777" w:rsidR="00525CC4" w:rsidRPr="000756BE" w:rsidRDefault="00525CC4" w:rsidP="00525CC4">
      <w:pPr>
        <w:pStyle w:val="TEKSTI"/>
      </w:pPr>
      <w:r>
        <w:t xml:space="preserve">6. </w:t>
      </w:r>
      <w:r w:rsidRPr="000756BE">
        <w:t xml:space="preserve">Përfshirja në veprimet shumë-vendëshe dhe çdo çështje që ka lidhje me to. </w:t>
      </w:r>
    </w:p>
    <w:p w14:paraId="13845C87" w14:textId="77777777" w:rsidR="00525CC4" w:rsidRPr="000756BE" w:rsidRDefault="00525CC4" w:rsidP="00525CC4">
      <w:pPr>
        <w:pStyle w:val="TEKSTI"/>
      </w:pPr>
      <w:r>
        <w:t xml:space="preserve">7. </w:t>
      </w:r>
      <w:r w:rsidRPr="000756BE">
        <w:t xml:space="preserve">Aktivitete monitorimi dhe vlerësimi, mësimet kryesore që janë nxjerrë dhe ndjekja e rekomandimeve. </w:t>
      </w:r>
    </w:p>
    <w:p w14:paraId="57DE61EF" w14:textId="77777777" w:rsidR="00525CC4" w:rsidRPr="000756BE" w:rsidRDefault="00525CC4" w:rsidP="00525CC4">
      <w:pPr>
        <w:pStyle w:val="TEKSTI"/>
      </w:pPr>
      <w:r>
        <w:t xml:space="preserve">8. </w:t>
      </w:r>
      <w:r w:rsidRPr="000756BE">
        <w:t xml:space="preserve">Aktivitetet mbi komunikimin dhe vizibilitetin. </w:t>
      </w:r>
    </w:p>
    <w:p w14:paraId="09600530" w14:textId="77777777" w:rsidR="00525CC4" w:rsidRPr="000756BE" w:rsidRDefault="00525CC4" w:rsidP="00525CC4">
      <w:pPr>
        <w:pStyle w:val="TEKSTI"/>
      </w:pPr>
      <w:r>
        <w:t xml:space="preserve">9. </w:t>
      </w:r>
      <w:r w:rsidRPr="000756BE">
        <w:t xml:space="preserve">Koordinimi i donatorëve </w:t>
      </w:r>
    </w:p>
    <w:p w14:paraId="43B3C37A" w14:textId="77777777" w:rsidR="00525CC4" w:rsidRPr="000756BE" w:rsidRDefault="00525CC4" w:rsidP="00525CC4">
      <w:pPr>
        <w:pStyle w:val="TEKSTI"/>
      </w:pPr>
      <w:r w:rsidRPr="000756BE">
        <w:rPr>
          <w:i/>
          <w:iCs/>
        </w:rPr>
        <w:t>Në rastet e menaxhimit të tërthortë, përmbledhja ekzekutive duhet të përmbajë gjithashtu:</w:t>
      </w:r>
    </w:p>
    <w:p w14:paraId="625EEC45" w14:textId="77777777" w:rsidR="00525CC4" w:rsidRPr="000756BE" w:rsidRDefault="00525CC4" w:rsidP="00525CC4">
      <w:pPr>
        <w:pStyle w:val="TEKSTI"/>
      </w:pPr>
      <w:r>
        <w:t xml:space="preserve">10. </w:t>
      </w:r>
      <w:r w:rsidRPr="000756BE">
        <w:t xml:space="preserve">Zbatimin gjithëpërfshirës të asistencës së IPA-s nën menaxhim e tërthortë  (maksimumi një faqe). </w:t>
      </w:r>
    </w:p>
    <w:p w14:paraId="6E9B01CF" w14:textId="77777777" w:rsidR="00525CC4" w:rsidRPr="000756BE" w:rsidRDefault="00525CC4" w:rsidP="00525CC4">
      <w:pPr>
        <w:pStyle w:val="TEKSTI"/>
      </w:pPr>
      <w:r>
        <w:t xml:space="preserve">11. </w:t>
      </w:r>
      <w:r w:rsidRPr="000756BE">
        <w:t xml:space="preserve">Problemet kryesore horizontale të hasura në zbatimin e asistencës së IPA-s dhe masat përkatëse të marra /planifikuara (maksimumi gjysmë faqe). </w:t>
      </w:r>
    </w:p>
    <w:p w14:paraId="4BA14DDF" w14:textId="77777777" w:rsidR="00525CC4" w:rsidRPr="000756BE" w:rsidRDefault="00525CC4" w:rsidP="00525CC4">
      <w:pPr>
        <w:pStyle w:val="TEKSTI"/>
      </w:pPr>
      <w:r>
        <w:t xml:space="preserve">12. </w:t>
      </w:r>
      <w:r w:rsidRPr="000756BE">
        <w:t xml:space="preserve">Rekomandimet për veprime të mëtejshme (maksimumi gjysmë faqe). </w:t>
      </w:r>
    </w:p>
    <w:p w14:paraId="06353E9B" w14:textId="77777777" w:rsidR="00525CC4" w:rsidRPr="000756BE" w:rsidRDefault="00525CC4" w:rsidP="00525CC4">
      <w:pPr>
        <w:pStyle w:val="TEKSTI"/>
      </w:pPr>
      <w:r>
        <w:t xml:space="preserve">13. </w:t>
      </w:r>
      <w:r w:rsidRPr="000756BE">
        <w:t xml:space="preserve">Auditimet - gjetjet kryesore, rekomandimet dhe veprimet korrigjuese të ndërmarra. </w:t>
      </w:r>
    </w:p>
    <w:p w14:paraId="43AF6493" w14:textId="77777777" w:rsidR="00525CC4" w:rsidRPr="000756BE" w:rsidRDefault="00525CC4" w:rsidP="00525CC4">
      <w:pPr>
        <w:pStyle w:val="TEKSTI"/>
      </w:pPr>
    </w:p>
    <w:p w14:paraId="3AB231F2" w14:textId="77777777" w:rsidR="00525CC4" w:rsidRPr="000756BE" w:rsidRDefault="00525CC4" w:rsidP="00525CC4">
      <w:pPr>
        <w:pStyle w:val="TEKSTI"/>
      </w:pPr>
      <w:r w:rsidRPr="000756BE">
        <w:rPr>
          <w:b/>
          <w:bCs/>
        </w:rPr>
        <w:t>II. Informacion sipas Sektorëve</w:t>
      </w:r>
      <w:r w:rsidRPr="000756BE">
        <w:t xml:space="preserve"> </w:t>
      </w:r>
    </w:p>
    <w:p w14:paraId="6132E2E2" w14:textId="77777777" w:rsidR="00525CC4" w:rsidRPr="000756BE" w:rsidRDefault="00525CC4" w:rsidP="00525CC4">
      <w:pPr>
        <w:widowControl w:val="0"/>
        <w:tabs>
          <w:tab w:val="left" w:pos="9540"/>
        </w:tabs>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w:t>
      </w:r>
      <w:r w:rsidRPr="000756BE">
        <w:rPr>
          <w:rStyle w:val="FootnoteReference"/>
          <w:rFonts w:ascii="Garamond" w:hAnsi="Garamond"/>
          <w:b/>
          <w:bCs/>
          <w:sz w:val="24"/>
          <w:szCs w:val="24"/>
        </w:rPr>
        <w:footnoteReference w:id="97"/>
      </w:r>
      <w:r w:rsidRPr="000756BE">
        <w:rPr>
          <w:rFonts w:ascii="Garamond" w:hAnsi="Garamond"/>
          <w:b/>
          <w:bCs/>
          <w:sz w:val="24"/>
          <w:szCs w:val="24"/>
        </w:rPr>
        <w:t xml:space="preserve">: </w:t>
      </w:r>
      <w:r w:rsidRPr="000756BE">
        <w:rPr>
          <w:rFonts w:ascii="Garamond" w:hAnsi="Garamond"/>
          <w:sz w:val="24"/>
          <w:szCs w:val="24"/>
        </w:rPr>
        <w:t>[</w:t>
      </w:r>
      <w:r w:rsidRPr="000756BE">
        <w:rPr>
          <w:rFonts w:ascii="Garamond" w:hAnsi="Garamond"/>
          <w:i/>
          <w:iCs/>
          <w:sz w:val="24"/>
          <w:szCs w:val="24"/>
        </w:rPr>
        <w:t>Transporti</w:t>
      </w:r>
      <w:r w:rsidRPr="000756BE">
        <w:rPr>
          <w:rFonts w:ascii="Garamond" w:hAnsi="Garamond"/>
          <w:sz w:val="24"/>
          <w:szCs w:val="24"/>
        </w:rPr>
        <w:t>]</w:t>
      </w:r>
    </w:p>
    <w:p w14:paraId="7836ED5C" w14:textId="77777777" w:rsidR="00525CC4" w:rsidRPr="000756BE" w:rsidRDefault="00525CC4" w:rsidP="00525CC4">
      <w:pPr>
        <w:pStyle w:val="TEKSTI"/>
      </w:pPr>
    </w:p>
    <w:p w14:paraId="6E3CECE3" w14:textId="77777777" w:rsidR="00525CC4" w:rsidRPr="00B47ADB" w:rsidRDefault="00525CC4" w:rsidP="00525CC4">
      <w:pPr>
        <w:pStyle w:val="TEKSTI"/>
      </w:pPr>
      <w:r w:rsidRPr="00B47ADB">
        <w:t>Pjesa përshkruese: përmbledhje mbi sektorin, duke përfshirë informacionin e mëposhtëm:</w:t>
      </w:r>
    </w:p>
    <w:p w14:paraId="3258B415" w14:textId="77777777" w:rsidR="00525CC4" w:rsidRPr="000756BE" w:rsidRDefault="00525CC4" w:rsidP="00525CC4">
      <w:pPr>
        <w:pStyle w:val="TEKSTI"/>
      </w:pPr>
      <w:r>
        <w:t xml:space="preserve">1. </w:t>
      </w:r>
      <w:r w:rsidRPr="000756BE">
        <w:t xml:space="preserve">Përfshirja në programim </w:t>
      </w:r>
    </w:p>
    <w:p w14:paraId="10014799" w14:textId="77777777" w:rsidR="00525CC4" w:rsidRPr="000756BE" w:rsidRDefault="00525CC4" w:rsidP="00525CC4">
      <w:pPr>
        <w:pStyle w:val="TEKSTI"/>
      </w:pPr>
      <w:r>
        <w:t xml:space="preserve">2. </w:t>
      </w:r>
      <w:r w:rsidRPr="000756BE">
        <w:t xml:space="preserve">Përmbledhje e rezultateve të arritura drejt një qasjeje të sektorit me të drejta të plota (d.m.th. objektivat e arritura sipas treguesve të sektorit në dokumentin e planifikimit të Sektorit). </w:t>
      </w:r>
    </w:p>
    <w:p w14:paraId="1C247461" w14:textId="77777777" w:rsidR="00525CC4" w:rsidRPr="000756BE" w:rsidRDefault="00525CC4" w:rsidP="00525CC4">
      <w:pPr>
        <w:pStyle w:val="TEKSTI"/>
      </w:pPr>
      <w:r>
        <w:t xml:space="preserve">3. </w:t>
      </w:r>
      <w:r w:rsidRPr="000756BE">
        <w:t xml:space="preserve">Koordinimi me instrumente të tjera dhe / ose donatorë / IFI-të brenda sektorit. </w:t>
      </w:r>
    </w:p>
    <w:p w14:paraId="3D915EC4" w14:textId="77777777" w:rsidR="00525CC4" w:rsidRPr="000756BE" w:rsidRDefault="00525CC4" w:rsidP="00525CC4">
      <w:pPr>
        <w:pStyle w:val="TEKSTI"/>
      </w:pPr>
      <w:r>
        <w:t xml:space="preserve">4. </w:t>
      </w:r>
      <w:r w:rsidRPr="000756BE">
        <w:t xml:space="preserve">Ndikimi i veprimeve të IPA II brenda sektorit mbi zhvillimin e kapaciteteve përkatëse kombëtare administrative në atë sektor, në planifikimin strategjik dhe buxhetimin. </w:t>
      </w:r>
    </w:p>
    <w:p w14:paraId="0CED6185" w14:textId="77777777" w:rsidR="00525CC4" w:rsidRPr="000756BE" w:rsidRDefault="00525CC4" w:rsidP="00525CC4">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i/>
          <w:iCs/>
          <w:sz w:val="24"/>
          <w:szCs w:val="24"/>
        </w:rPr>
        <w:t>Nën menaxhim e tërthortë duhet të përfshihet dhe informacioni i mëposhtëm:</w:t>
      </w:r>
    </w:p>
    <w:p w14:paraId="09C2D667" w14:textId="77777777" w:rsidR="00525CC4" w:rsidRPr="000756BE" w:rsidRDefault="00525CC4" w:rsidP="00525CC4">
      <w:pPr>
        <w:pStyle w:val="TEKSTI"/>
      </w:pPr>
      <w:r>
        <w:t xml:space="preserve">5. </w:t>
      </w:r>
      <w:r w:rsidRPr="000756BE">
        <w:t>Struktura/t operuese dhe ndryshimet që kanë lidhje me to, nëse ka: [</w:t>
      </w:r>
      <w:r w:rsidRPr="000756BE">
        <w:rPr>
          <w:i/>
          <w:iCs/>
        </w:rPr>
        <w:t>Ministria e</w:t>
      </w:r>
      <w:r w:rsidRPr="000756BE">
        <w:t xml:space="preserve"> </w:t>
      </w:r>
      <w:r w:rsidRPr="000756BE">
        <w:rPr>
          <w:i/>
          <w:iCs/>
        </w:rPr>
        <w:t xml:space="preserve">Transportit] </w:t>
      </w:r>
    </w:p>
    <w:p w14:paraId="12A7F1E8" w14:textId="77777777" w:rsidR="00525CC4" w:rsidRPr="000756BE" w:rsidRDefault="00525CC4" w:rsidP="00525CC4">
      <w:pPr>
        <w:pStyle w:val="TEKSTI"/>
      </w:pPr>
      <w:r>
        <w:t xml:space="preserve">6. </w:t>
      </w:r>
      <w:r w:rsidRPr="000756BE">
        <w:t xml:space="preserve">Informacion mbi zbatimin e programeve në atë sektor. </w:t>
      </w:r>
    </w:p>
    <w:p w14:paraId="78F816DA" w14:textId="77777777" w:rsidR="00525CC4" w:rsidRPr="000756BE" w:rsidRDefault="00525CC4" w:rsidP="00525CC4">
      <w:pPr>
        <w:pStyle w:val="TEKSTI"/>
      </w:pPr>
      <w:r>
        <w:t xml:space="preserve">7. </w:t>
      </w:r>
      <w:r w:rsidRPr="000756BE">
        <w:t xml:space="preserve">Arritjet kryesore në atë sektor. </w:t>
      </w:r>
    </w:p>
    <w:p w14:paraId="6091A619" w14:textId="77777777" w:rsidR="00525CC4" w:rsidRPr="000756BE" w:rsidRDefault="00525CC4" w:rsidP="00525CC4">
      <w:pPr>
        <w:pStyle w:val="TEKSTI"/>
      </w:pPr>
      <w:r>
        <w:t xml:space="preserve">8. </w:t>
      </w:r>
      <w:r w:rsidRPr="000756BE">
        <w:t xml:space="preserve">Çdo problem i rëndësishëm që haset gjatë zbatimit të detyrave të besuara, p.sh. vonesat në kontraktim dhe masat e marra / planifikuara në vijim. </w:t>
      </w:r>
    </w:p>
    <w:p w14:paraId="4E9E057E" w14:textId="77777777" w:rsidR="00525CC4" w:rsidRPr="000756BE" w:rsidRDefault="00525CC4" w:rsidP="00525CC4">
      <w:pPr>
        <w:pStyle w:val="TEKSTI"/>
      </w:pPr>
      <w:r>
        <w:t xml:space="preserve">9. </w:t>
      </w:r>
      <w:r w:rsidRPr="000756BE">
        <w:t xml:space="preserve">Rekomandime për veprime të mëtejshme. </w:t>
      </w:r>
    </w:p>
    <w:p w14:paraId="1F4588A5" w14:textId="77777777" w:rsidR="00525CC4" w:rsidRPr="000756BE" w:rsidRDefault="00525CC4" w:rsidP="00525CC4">
      <w:pPr>
        <w:pStyle w:val="TEKSTI"/>
      </w:pPr>
      <w:r>
        <w:t xml:space="preserve">10. </w:t>
      </w:r>
      <w:r w:rsidRPr="000756BE">
        <w:t xml:space="preserve">Aktivitetet monitoruese dhe vlerësuese të kryera, auditimet - gjetjet kryesore dhe mësimet e nxjerra, rekomandimet, ndjekja dhe veprimet korrigjuese të ndërmarra. </w:t>
      </w:r>
    </w:p>
    <w:p w14:paraId="61CEF0F0" w14:textId="77777777" w:rsidR="00525CC4" w:rsidRPr="000756BE" w:rsidRDefault="00525CC4" w:rsidP="00525CC4">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 Bashkëpunimi Ndërkufitar</w:t>
      </w:r>
      <w:r w:rsidRPr="000756BE">
        <w:rPr>
          <w:rStyle w:val="FootnoteReference"/>
          <w:rFonts w:ascii="Garamond" w:hAnsi="Garamond"/>
          <w:b/>
          <w:bCs/>
          <w:sz w:val="24"/>
          <w:szCs w:val="24"/>
        </w:rPr>
        <w:footnoteReference w:id="98"/>
      </w:r>
    </w:p>
    <w:p w14:paraId="5AFE07EB" w14:textId="77777777" w:rsidR="00525CC4" w:rsidRPr="000756BE" w:rsidRDefault="00525CC4" w:rsidP="00525CC4">
      <w:pPr>
        <w:pStyle w:val="TEKSTI"/>
      </w:pPr>
    </w:p>
    <w:p w14:paraId="5E82AF51" w14:textId="77777777" w:rsidR="00525CC4" w:rsidRPr="000756BE" w:rsidRDefault="00525CC4" w:rsidP="00525CC4">
      <w:pPr>
        <w:pStyle w:val="TEKSTI"/>
      </w:pPr>
      <w:r>
        <w:t xml:space="preserve">1. </w:t>
      </w:r>
      <w:r w:rsidRPr="000756BE">
        <w:t>Përfshirja në programim, sipas rastit.</w:t>
      </w:r>
    </w:p>
    <w:p w14:paraId="568C944F" w14:textId="77777777" w:rsidR="00525CC4" w:rsidRPr="000756BE" w:rsidRDefault="00525CC4" w:rsidP="00525CC4">
      <w:pPr>
        <w:pStyle w:val="TEKSTI"/>
      </w:pPr>
      <w:r>
        <w:t xml:space="preserve">2. </w:t>
      </w:r>
      <w:r w:rsidRPr="000756BE">
        <w:t xml:space="preserve">Progresi i bërë në zbatimin e Programit Ndërkufitar dhe në veçanti në arritjen e objektivave specifike sipas prioriteteve tematike (duke përfshirë edhe elemente sasiore dhe cilësore që tregojnë progres në lidhje me objektivat). </w:t>
      </w:r>
    </w:p>
    <w:p w14:paraId="6A228B64" w14:textId="77777777" w:rsidR="00525CC4" w:rsidRPr="000756BE" w:rsidRDefault="00525CC4" w:rsidP="00525CC4">
      <w:pPr>
        <w:pStyle w:val="TEKSTI"/>
      </w:pPr>
      <w:r>
        <w:t xml:space="preserve">3. </w:t>
      </w:r>
      <w:r w:rsidRPr="000756BE">
        <w:t xml:space="preserve">Një përmbledhje e problemeve të hasura në zbatimin e programit të BNK-së dhe çdo veprim korrigjues i ndërmarrë, si dhe rekomandime për veprime të mëtejshme korrigjuese. </w:t>
      </w:r>
    </w:p>
    <w:p w14:paraId="4A4A5C5C" w14:textId="77777777" w:rsidR="00525CC4" w:rsidRPr="000756BE" w:rsidRDefault="00525CC4" w:rsidP="00525CC4">
      <w:pPr>
        <w:pStyle w:val="TEKSTI"/>
      </w:pPr>
      <w:r>
        <w:t xml:space="preserve">4. </w:t>
      </w:r>
      <w:r w:rsidRPr="000756BE">
        <w:t xml:space="preserve">Monitorimi, duke përfshirë edhe marrëveshjet për mbledhjen e të dhënave dhe kur është e zbatueshme, dhe aktivitete vlerësimi. </w:t>
      </w:r>
    </w:p>
    <w:p w14:paraId="21C617E1" w14:textId="77777777" w:rsidR="00525CC4" w:rsidRPr="000756BE" w:rsidRDefault="00525CC4" w:rsidP="00525CC4">
      <w:pPr>
        <w:pStyle w:val="TEKSTI"/>
      </w:pPr>
      <w:r>
        <w:t xml:space="preserve">5. </w:t>
      </w:r>
      <w:r w:rsidRPr="000756BE">
        <w:t xml:space="preserve">Aktivitetet mbi komunikimin dhe svizibilitetin. </w:t>
      </w:r>
    </w:p>
    <w:p w14:paraId="478EE024" w14:textId="77777777" w:rsidR="00525CC4" w:rsidRDefault="00525CC4" w:rsidP="00525CC4">
      <w:pPr>
        <w:pStyle w:val="TEKSTI"/>
      </w:pPr>
      <w:r>
        <w:t xml:space="preserve">6. </w:t>
      </w:r>
      <w:r w:rsidRPr="000756BE">
        <w:t xml:space="preserve">Koordinimi me vendin partner. </w:t>
      </w:r>
    </w:p>
    <w:p w14:paraId="41ED70AE" w14:textId="77777777" w:rsidR="00130FB7" w:rsidRDefault="00130FB7" w:rsidP="00130FB7">
      <w:pPr>
        <w:pStyle w:val="TEKSTI"/>
      </w:pPr>
    </w:p>
    <w:p w14:paraId="2589873C" w14:textId="77777777" w:rsidR="00130FB7" w:rsidRPr="00130FB7" w:rsidRDefault="00130FB7" w:rsidP="00130FB7">
      <w:pPr>
        <w:pStyle w:val="TEKSTI"/>
        <w:rPr>
          <w:b/>
        </w:rPr>
      </w:pPr>
      <w:r w:rsidRPr="00130FB7">
        <w:rPr>
          <w:b/>
        </w:rPr>
        <w:t xml:space="preserve">Shtojca V e kësaj Marrëveshjeje Financiare </w:t>
      </w:r>
    </w:p>
    <w:p w14:paraId="2815CE55" w14:textId="0B610021" w:rsidR="00130FB7" w:rsidRPr="00130FB7" w:rsidRDefault="00130FB7" w:rsidP="00130FB7">
      <w:pPr>
        <w:pStyle w:val="TEKSTI"/>
        <w:rPr>
          <w:b/>
        </w:rPr>
      </w:pPr>
      <w:r w:rsidRPr="00130FB7">
        <w:rPr>
          <w:b/>
          <w:color w:val="212121"/>
          <w:shd w:val="clear" w:color="auto" w:fill="FFFFFF"/>
        </w:rPr>
        <w:t>Specifikimi minimal i Sistemit të Kontabilitetit Akrual</w:t>
      </w:r>
    </w:p>
    <w:p w14:paraId="67995BEF" w14:textId="77777777" w:rsidR="00130FB7" w:rsidRPr="00130FB7" w:rsidRDefault="00130FB7" w:rsidP="00130FB7">
      <w:pPr>
        <w:pStyle w:val="TEKSTI"/>
        <w:rPr>
          <w:b/>
        </w:rPr>
      </w:pPr>
    </w:p>
    <w:p w14:paraId="0168BD7D" w14:textId="77777777" w:rsidR="00130FB7" w:rsidRDefault="00130FB7" w:rsidP="00130FB7">
      <w:pPr>
        <w:pStyle w:val="TEKSTI"/>
      </w:pPr>
      <w:r>
        <w:t>Sistemi i kontabilitetit të përfituesit të IPA II duhet të plotësojë kërkesat e mëposhtme:</w:t>
      </w:r>
    </w:p>
    <w:p w14:paraId="2A3A19D6" w14:textId="77777777" w:rsidR="00130FB7" w:rsidRDefault="00130FB7" w:rsidP="00130FB7">
      <w:pPr>
        <w:pStyle w:val="TEKSTI"/>
      </w:pPr>
    </w:p>
    <w:p w14:paraId="5597B1C3" w14:textId="234EB50E" w:rsidR="00130FB7" w:rsidRDefault="00130FB7" w:rsidP="00130FB7">
      <w:pPr>
        <w:pStyle w:val="TEKSTI"/>
      </w:pPr>
      <w:r>
        <w:t xml:space="preserve">1. Të reflektojë strukturën organizative të caktuar për sistemet e kontrollit të brendshëm të përshtatur për kryerjen e detyrave. Në mënyrë të veçantë, para se të autorizohet një veprim, duhet të verifikohen të gjitha aspektet (si operative dhe financiare) e veprimit nga anëtarët e tjerë të stafit, përveç atij që e ka nisur veprimin. Personi që merret me verifikimin nuk mund të jetë në varësi të atij që e ka nisur transaksionin. </w:t>
      </w:r>
    </w:p>
    <w:p w14:paraId="129C38EB" w14:textId="4FFF9631" w:rsidR="00130FB7" w:rsidRDefault="00130FB7" w:rsidP="00130FB7">
      <w:pPr>
        <w:pStyle w:val="TEKSTI"/>
      </w:pPr>
      <w:r>
        <w:t xml:space="preserve">2. Të përfshijë një gjurmë auditimi për të gjitha transaksionet dhe ndryshimet. </w:t>
      </w:r>
    </w:p>
    <w:p w14:paraId="7CFCDED7" w14:textId="1B31BB08" w:rsidR="00130FB7" w:rsidRDefault="00130FB7" w:rsidP="00130FB7">
      <w:pPr>
        <w:pStyle w:val="TEKSTI"/>
      </w:pPr>
      <w:r>
        <w:t xml:space="preserve">3. Të ketë siguri të mjaftueshme fizike dhe elektronike, duke përfshirë sistemet e rikuperimit dhe të ruajtjes së një kopje rezervë/mbështetjes. </w:t>
      </w:r>
    </w:p>
    <w:p w14:paraId="67ADF991" w14:textId="5DE0E497" w:rsidR="00130FB7" w:rsidRDefault="00130FB7" w:rsidP="00130FB7">
      <w:pPr>
        <w:pStyle w:val="TEKSTI"/>
      </w:pPr>
      <w:r>
        <w:t xml:space="preserve">4. Sistemi i kontabilitetit duhet të përmbajë të paktën informacionin e mëposhtëm për kontratat lokale që menaxhohen nën secilin program: </w:t>
      </w:r>
    </w:p>
    <w:p w14:paraId="3D5CE1D8" w14:textId="17AE6806" w:rsidR="00130FB7" w:rsidRDefault="00130FB7" w:rsidP="00130FB7">
      <w:pPr>
        <w:pStyle w:val="TEKSTI"/>
      </w:pPr>
      <w:r>
        <w:t xml:space="preserve">a) Referencën e Kontratës; </w:t>
      </w:r>
    </w:p>
    <w:p w14:paraId="4CFFCA7A" w14:textId="719E79C4" w:rsidR="00130FB7" w:rsidRDefault="004E2BB1" w:rsidP="00130FB7">
      <w:pPr>
        <w:pStyle w:val="TEKSTI"/>
      </w:pPr>
      <w:r>
        <w:t xml:space="preserve">b) </w:t>
      </w:r>
      <w:r w:rsidR="00130FB7">
        <w:t xml:space="preserve">Vlerën e kontratës, duke përfshirë çdo ndryshim; </w:t>
      </w:r>
    </w:p>
    <w:p w14:paraId="1A348A3D" w14:textId="67B249FD" w:rsidR="00130FB7" w:rsidRDefault="004E2BB1" w:rsidP="00130FB7">
      <w:pPr>
        <w:pStyle w:val="TEKSTI"/>
      </w:pPr>
      <w:r>
        <w:t xml:space="preserve">c) </w:t>
      </w:r>
      <w:r w:rsidR="00130FB7">
        <w:t xml:space="preserve">Datat e nënshkrimit të kontratës (nga të dyja palët); </w:t>
      </w:r>
    </w:p>
    <w:p w14:paraId="03E42B19" w14:textId="3DCD5D6E" w:rsidR="00130FB7" w:rsidRDefault="004E2BB1" w:rsidP="00130FB7">
      <w:pPr>
        <w:pStyle w:val="TEKSTI"/>
      </w:pPr>
      <w:r>
        <w:t xml:space="preserve">d) </w:t>
      </w:r>
      <w:r w:rsidR="00130FB7">
        <w:t>Datën e fillimit të zbatimit të kontratës;</w:t>
      </w:r>
    </w:p>
    <w:p w14:paraId="580DBAA5" w14:textId="77777777" w:rsidR="00130FB7" w:rsidRDefault="00130FB7" w:rsidP="00130FB7">
      <w:pPr>
        <w:pStyle w:val="TEKSTI"/>
      </w:pPr>
      <w:r>
        <w:t>Kjo është përveç datës së nënshkrimit të kontratës dhe mund të jetë e ndryshme nga ajo, si në rastet kur data e fillimit të punimeve të kontratës jepet pas nënshkrimit të kontratës nëpërmjet një Urdhri Administrativ.</w:t>
      </w:r>
    </w:p>
    <w:p w14:paraId="17857247" w14:textId="55E29572" w:rsidR="00130FB7" w:rsidRDefault="004E2BB1" w:rsidP="00130FB7">
      <w:pPr>
        <w:pStyle w:val="TEKSTI"/>
      </w:pPr>
      <w:r>
        <w:t xml:space="preserve">e) </w:t>
      </w:r>
      <w:r w:rsidR="00130FB7">
        <w:t xml:space="preserve">Datën e përfundimit të zbatimit të kontratës, duke përfshirë çdo ndryshim; </w:t>
      </w:r>
    </w:p>
    <w:p w14:paraId="5ABF82F5" w14:textId="708C1F50" w:rsidR="00130FB7" w:rsidRDefault="00130FB7" w:rsidP="00130FB7">
      <w:pPr>
        <w:pStyle w:val="TEKSTI"/>
      </w:pPr>
      <w:r>
        <w:t xml:space="preserve">Kjo është data e fundit kur mund të këtë kosto të pranueshme. Kjo nuk përfshin asnjë periudhë garancie ose kohën e lejuar për përgatitjen e raportit nga kontraktuesi. </w:t>
      </w:r>
    </w:p>
    <w:p w14:paraId="7B3B773D" w14:textId="4A9A254A" w:rsidR="00130FB7" w:rsidRDefault="004E2BB1" w:rsidP="00130FB7">
      <w:pPr>
        <w:pStyle w:val="TEKSTI"/>
      </w:pPr>
      <w:r>
        <w:t xml:space="preserve">f) </w:t>
      </w:r>
      <w:r w:rsidR="00130FB7">
        <w:t xml:space="preserve">Totali i paguar (me lekë në dorë) nga kontrata; </w:t>
      </w:r>
    </w:p>
    <w:p w14:paraId="2AFE29B5" w14:textId="16957103" w:rsidR="00130FB7" w:rsidRDefault="004E2BB1" w:rsidP="00130FB7">
      <w:pPr>
        <w:pStyle w:val="TEKSTI"/>
      </w:pPr>
      <w:r>
        <w:t xml:space="preserve">g) </w:t>
      </w:r>
      <w:r w:rsidR="00130FB7">
        <w:t xml:space="preserve">Parafinancimi i paguar me kontratë; </w:t>
      </w:r>
    </w:p>
    <w:p w14:paraId="60CECCA5" w14:textId="08C25307" w:rsidR="00130FB7" w:rsidRDefault="00130FB7" w:rsidP="00130FB7">
      <w:pPr>
        <w:pStyle w:val="TEKSTI"/>
      </w:pPr>
      <w:r>
        <w:t xml:space="preserve">Njohje e hollësishme dhe regjistrim në bilancin e kërkuar sipas kontratës së para-financimit. </w:t>
      </w:r>
    </w:p>
    <w:p w14:paraId="788DCD86" w14:textId="21F7EC6A" w:rsidR="00130FB7" w:rsidRDefault="004E2BB1" w:rsidP="00130FB7">
      <w:pPr>
        <w:pStyle w:val="TEKSTI"/>
      </w:pPr>
      <w:r>
        <w:t xml:space="preserve">h) </w:t>
      </w:r>
      <w:r w:rsidR="00130FB7">
        <w:t xml:space="preserve">Kosto e njohur - e drejtpërdrejtë (me kontratë); </w:t>
      </w:r>
    </w:p>
    <w:p w14:paraId="41792AF3" w14:textId="77777777" w:rsidR="00130FB7" w:rsidRDefault="00130FB7" w:rsidP="00130FB7">
      <w:pPr>
        <w:pStyle w:val="TEKSTI"/>
      </w:pPr>
      <w:r>
        <w:t>Njohje e hollësishme e kostos si një detyrim për shpenzimet e vitit. Disa pagesa do të mbulojnë në mënyrë të drejtpërdrejtë shpenzimet e kryera. Nuk përfshihet ndonjë para-financim. Këto mund të jenë pagesa përfundimtare kur para-financimi</w:t>
      </w:r>
      <w:bookmarkStart w:id="60" w:name="page13"/>
      <w:bookmarkEnd w:id="60"/>
      <w:r>
        <w:t xml:space="preserve"> është hequr tashmë ose pagesa të ndërmjetme kur para-financimi është hequr ose kur kontrata nuk përfshin sigurimin e para-financimit.</w:t>
      </w:r>
    </w:p>
    <w:p w14:paraId="7FB70D1C" w14:textId="3F35732D" w:rsidR="00130FB7" w:rsidRDefault="004E2BB1" w:rsidP="00130FB7">
      <w:pPr>
        <w:pStyle w:val="TEKSTI"/>
      </w:pPr>
      <w:r>
        <w:t xml:space="preserve">i) </w:t>
      </w:r>
      <w:r w:rsidR="00130FB7">
        <w:t xml:space="preserve">Kosto e njohur – e tërthortë (me kontratë); </w:t>
      </w:r>
    </w:p>
    <w:p w14:paraId="2C7ED7AB" w14:textId="77777777" w:rsidR="00130FB7" w:rsidRDefault="00130FB7" w:rsidP="00130FB7">
      <w:pPr>
        <w:pStyle w:val="TEKSTI"/>
        <w:rPr>
          <w:sz w:val="16"/>
        </w:rPr>
      </w:pPr>
    </w:p>
    <w:p w14:paraId="19249590" w14:textId="77777777" w:rsidR="00130FB7" w:rsidRDefault="00130FB7" w:rsidP="00130FB7">
      <w:pPr>
        <w:pStyle w:val="TEKSTI"/>
      </w:pPr>
      <w:r>
        <w:t xml:space="preserve">Njohje e hollësishme e kostos si një detyrim për shpenzimet e vitit. Disa fatura apo detyrime kostoje, të paraqitura nga një përfitues i grantit ose kontraktues, do të lidhen me kostot që mbulohen nga para-financimi i paguar më herët gjatë periudhës së zbatimit të marrëveshjes ose kontratës së grantit. Në këto raste, pagesa e bërë do të jetë më e vogël sesa kostoja e raportuar. Ajo mund të jetë dhe zero, nëse e gjithë kostoja është e mbuluar me para-financim (sigurisht do të jetë zero në qoftë se kostot e raportuara janë të pamjaftueshme për të thithur para-financimin dhe lëshohet një urdhër rivlerësimi për bilancin e papërdorur të para-financimit.). Në të gjitha këto raste, sistemi gjatë përcaktimit të shumës për t'u paguar, duhet të regjistrojë vlerën e plotë të kostos së pranueshme të raportuar si shpenzime për vitin dhe të reduktojë nga bilanci i para-financimit koston e kompensuar nga para-financimi. </w:t>
      </w:r>
    </w:p>
    <w:p w14:paraId="79446F25" w14:textId="093454CB" w:rsidR="00130FB7" w:rsidRDefault="004E2BB1" w:rsidP="00130FB7">
      <w:pPr>
        <w:pStyle w:val="TEKSTI"/>
      </w:pPr>
      <w:r>
        <w:t xml:space="preserve">j) </w:t>
      </w:r>
      <w:r w:rsidR="00130FB7">
        <w:t xml:space="preserve">Kthimi i fondeve të papërdorura për të ulur para-financimin (me kontratë); </w:t>
      </w:r>
    </w:p>
    <w:p w14:paraId="7A049BFF" w14:textId="77777777" w:rsidR="00130FB7" w:rsidRDefault="00130FB7" w:rsidP="00130FB7">
      <w:pPr>
        <w:pStyle w:val="TEKSTI"/>
      </w:pPr>
      <w:r>
        <w:t xml:space="preserve">Njohja e reduktimit të fondeve të para-financimit në bilanc pas kthimit të një para-financimi të papërdorur. </w:t>
      </w:r>
    </w:p>
    <w:p w14:paraId="6D65B70B" w14:textId="2279D94F" w:rsidR="00130FB7" w:rsidRDefault="000E39DD" w:rsidP="00130FB7">
      <w:pPr>
        <w:pStyle w:val="TEKSTI"/>
      </w:pPr>
      <w:r>
        <w:t>k</w:t>
      </w:r>
      <w:r w:rsidR="004E2BB1">
        <w:t xml:space="preserve">) </w:t>
      </w:r>
      <w:r w:rsidR="00130FB7">
        <w:t xml:space="preserve">Kthimi i fondeve të papërdorura për të ulur koston (sipas kontratës); </w:t>
      </w:r>
    </w:p>
    <w:p w14:paraId="6F00FE0F" w14:textId="77777777" w:rsidR="00130FB7" w:rsidRDefault="00130FB7" w:rsidP="00130FB7">
      <w:pPr>
        <w:pStyle w:val="TEKSTI"/>
      </w:pPr>
      <w:r>
        <w:t xml:space="preserve">Kur një kthim fondesh bëhet kundrejt një kostoje të pranuar më parë - ndoshta pas një hetimi për mashtrim. Në raste të tilla, shpenzimet e regjistruara për vitin duhet të reduktohen në qoftë se kostoja është pranuar në të njëjtin vit si rikuperimi pasues; ose të ardhurat duhet të regjistrohen kur kostoja është pranuar, në një vit para tij të kthimit të fondeve. </w:t>
      </w:r>
    </w:p>
    <w:p w14:paraId="174BD585" w14:textId="609417A2" w:rsidR="00130FB7" w:rsidRDefault="004E2BB1" w:rsidP="00130FB7">
      <w:pPr>
        <w:pStyle w:val="TEKSTI"/>
      </w:pPr>
      <w:r>
        <w:t xml:space="preserve">l) </w:t>
      </w:r>
      <w:r w:rsidR="00130FB7">
        <w:t xml:space="preserve">Data e faturës së furnizuesit për çdo faturë, ose dokument tjetër i shoqëruar nga një raport financiar që paraqet shpenzimet e njohura; </w:t>
      </w:r>
    </w:p>
    <w:p w14:paraId="01AE00CA" w14:textId="2C5B9E9C" w:rsidR="00130FB7" w:rsidRDefault="004E2BB1" w:rsidP="00130FB7">
      <w:pPr>
        <w:pStyle w:val="TEKSTI"/>
      </w:pPr>
      <w:r>
        <w:t xml:space="preserve">m) </w:t>
      </w:r>
      <w:r w:rsidR="00130FB7">
        <w:t>Informacion mbi kontekstin e kthimit të fondeve të kostove të papranueshme dhe kthimeve të fondeve.</w:t>
      </w:r>
    </w:p>
    <w:p w14:paraId="4D089ABA" w14:textId="77777777" w:rsidR="00130FB7" w:rsidRDefault="00130FB7" w:rsidP="00130FB7">
      <w:pPr>
        <w:pStyle w:val="TEKSTI"/>
      </w:pPr>
    </w:p>
    <w:p w14:paraId="4FD22A3A" w14:textId="6C9681C0" w:rsidR="00C90A39" w:rsidRDefault="00C90A39" w:rsidP="00C90A39">
      <w:pPr>
        <w:pStyle w:val="TEKSTI"/>
        <w:ind w:firstLine="0"/>
        <w:jc w:val="center"/>
      </w:pPr>
      <w:r w:rsidRPr="00C90A39">
        <w:rPr>
          <w:noProof/>
          <w:lang w:eastAsia="sq-AL"/>
        </w:rPr>
        <w:drawing>
          <wp:inline distT="0" distB="0" distL="0" distR="0" wp14:anchorId="64FC935E" wp14:editId="6A4D35C1">
            <wp:extent cx="5987333" cy="1458349"/>
            <wp:effectExtent l="0" t="0" r="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5881" t="17463" r="44226" b="60933"/>
                    <a:stretch/>
                  </pic:blipFill>
                  <pic:spPr bwMode="auto">
                    <a:xfrm>
                      <a:off x="0" y="0"/>
                      <a:ext cx="5996196" cy="1460508"/>
                    </a:xfrm>
                    <a:prstGeom prst="rect">
                      <a:avLst/>
                    </a:prstGeom>
                    <a:ln>
                      <a:noFill/>
                    </a:ln>
                    <a:extLst>
                      <a:ext uri="{53640926-AAD7-44D8-BBD7-CCE9431645EC}">
                        <a14:shadowObscured xmlns:a14="http://schemas.microsoft.com/office/drawing/2010/main"/>
                      </a:ext>
                    </a:extLst>
                  </pic:spPr>
                </pic:pic>
              </a:graphicData>
            </a:graphic>
          </wp:inline>
        </w:drawing>
      </w:r>
    </w:p>
    <w:p w14:paraId="7BC33E44" w14:textId="77777777" w:rsidR="00D521A9" w:rsidRPr="00C70693" w:rsidRDefault="00D521A9" w:rsidP="00C90A39">
      <w:pPr>
        <w:pStyle w:val="TEKSTI"/>
        <w:ind w:firstLine="0"/>
        <w:jc w:val="center"/>
        <w:rPr>
          <w:sz w:val="14"/>
        </w:rPr>
      </w:pPr>
    </w:p>
    <w:p w14:paraId="0C38B5EF" w14:textId="516B5C3B" w:rsidR="00D521A9" w:rsidRDefault="00D521A9" w:rsidP="00C90A39">
      <w:pPr>
        <w:pStyle w:val="TEKSTI"/>
        <w:ind w:firstLine="0"/>
        <w:jc w:val="center"/>
      </w:pPr>
      <w:r w:rsidRPr="00D521A9">
        <w:rPr>
          <w:noProof/>
          <w:lang w:eastAsia="sq-AL"/>
        </w:rPr>
        <w:drawing>
          <wp:inline distT="0" distB="0" distL="0" distR="0" wp14:anchorId="1EBE2E6F" wp14:editId="7CAD9FC1">
            <wp:extent cx="6103995" cy="1804946"/>
            <wp:effectExtent l="0" t="0" r="0" b="508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7602" t="17199" r="40985" b="55774"/>
                    <a:stretch/>
                  </pic:blipFill>
                  <pic:spPr bwMode="auto">
                    <a:xfrm>
                      <a:off x="0" y="0"/>
                      <a:ext cx="6112569" cy="1807481"/>
                    </a:xfrm>
                    <a:prstGeom prst="rect">
                      <a:avLst/>
                    </a:prstGeom>
                    <a:ln>
                      <a:noFill/>
                    </a:ln>
                    <a:extLst>
                      <a:ext uri="{53640926-AAD7-44D8-BBD7-CCE9431645EC}">
                        <a14:shadowObscured xmlns:a14="http://schemas.microsoft.com/office/drawing/2010/main"/>
                      </a:ext>
                    </a:extLst>
                  </pic:spPr>
                </pic:pic>
              </a:graphicData>
            </a:graphic>
          </wp:inline>
        </w:drawing>
      </w:r>
    </w:p>
    <w:p w14:paraId="24CC4A13" w14:textId="77777777" w:rsidR="003137FA" w:rsidRPr="00C70693" w:rsidRDefault="003137FA" w:rsidP="00C90A39">
      <w:pPr>
        <w:pStyle w:val="TEKSTI"/>
        <w:ind w:firstLine="0"/>
        <w:jc w:val="center"/>
        <w:rPr>
          <w:sz w:val="16"/>
        </w:rPr>
      </w:pPr>
    </w:p>
    <w:p w14:paraId="12B70FDB" w14:textId="77777777" w:rsidR="00C70693" w:rsidRDefault="003137FA" w:rsidP="003137FA">
      <w:pPr>
        <w:pStyle w:val="TEKSTI"/>
        <w:ind w:firstLine="0"/>
        <w:jc w:val="center"/>
        <w:sectPr w:rsidR="00C70693" w:rsidSect="0007044D">
          <w:pgSz w:w="11906" w:h="16838" w:code="9"/>
          <w:pgMar w:top="1418" w:right="1418" w:bottom="1418" w:left="1418" w:header="1304" w:footer="1134" w:gutter="0"/>
          <w:cols w:space="708"/>
          <w:docGrid w:linePitch="360"/>
        </w:sectPr>
      </w:pPr>
      <w:r w:rsidRPr="003137FA">
        <w:rPr>
          <w:noProof/>
          <w:lang w:eastAsia="sq-AL"/>
        </w:rPr>
        <w:drawing>
          <wp:inline distT="0" distB="0" distL="0" distR="0" wp14:anchorId="282A0CF3" wp14:editId="45744AAE">
            <wp:extent cx="6106602" cy="1296062"/>
            <wp:effectExtent l="0" t="0" r="889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2211" t="8354" r="42783" b="71744"/>
                    <a:stretch/>
                  </pic:blipFill>
                  <pic:spPr bwMode="auto">
                    <a:xfrm>
                      <a:off x="0" y="0"/>
                      <a:ext cx="6113241" cy="1297471"/>
                    </a:xfrm>
                    <a:prstGeom prst="rect">
                      <a:avLst/>
                    </a:prstGeom>
                    <a:ln>
                      <a:noFill/>
                    </a:ln>
                    <a:extLst>
                      <a:ext uri="{53640926-AAD7-44D8-BBD7-CCE9431645EC}">
                        <a14:shadowObscured xmlns:a14="http://schemas.microsoft.com/office/drawing/2010/main"/>
                      </a:ext>
                    </a:extLst>
                  </pic:spPr>
                </pic:pic>
              </a:graphicData>
            </a:graphic>
          </wp:inline>
        </w:drawing>
      </w:r>
    </w:p>
    <w:p w14:paraId="4C428468" w14:textId="60888309" w:rsidR="003137FA" w:rsidRDefault="00C70693" w:rsidP="003137FA">
      <w:pPr>
        <w:pStyle w:val="TEKSTI"/>
        <w:ind w:firstLine="0"/>
        <w:jc w:val="center"/>
      </w:pPr>
      <w:r w:rsidRPr="00C70693">
        <w:rPr>
          <w:noProof/>
          <w:lang w:eastAsia="sq-AL"/>
        </w:rPr>
        <w:drawing>
          <wp:inline distT="0" distB="0" distL="0" distR="0" wp14:anchorId="7017CBAE" wp14:editId="2A4AB2F7">
            <wp:extent cx="9154913" cy="1552354"/>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1969" t="7658" r="13102" b="66740"/>
                    <a:stretch/>
                  </pic:blipFill>
                  <pic:spPr bwMode="auto">
                    <a:xfrm>
                      <a:off x="0" y="0"/>
                      <a:ext cx="9180693" cy="1556725"/>
                    </a:xfrm>
                    <a:prstGeom prst="rect">
                      <a:avLst/>
                    </a:prstGeom>
                    <a:ln>
                      <a:noFill/>
                    </a:ln>
                    <a:extLst>
                      <a:ext uri="{53640926-AAD7-44D8-BBD7-CCE9431645EC}">
                        <a14:shadowObscured xmlns:a14="http://schemas.microsoft.com/office/drawing/2010/main"/>
                      </a:ext>
                    </a:extLst>
                  </pic:spPr>
                </pic:pic>
              </a:graphicData>
            </a:graphic>
          </wp:inline>
        </w:drawing>
      </w:r>
    </w:p>
    <w:p w14:paraId="56325F0D" w14:textId="77777777" w:rsidR="00C70693" w:rsidRDefault="00C70693" w:rsidP="003137FA">
      <w:pPr>
        <w:pStyle w:val="TEKSTI"/>
        <w:ind w:firstLine="0"/>
        <w:jc w:val="center"/>
      </w:pPr>
    </w:p>
    <w:p w14:paraId="1961BF78" w14:textId="019DCAEF" w:rsidR="003137FA" w:rsidRDefault="003137FA" w:rsidP="003137FA">
      <w:pPr>
        <w:pStyle w:val="TEKSTI"/>
        <w:ind w:firstLine="0"/>
        <w:jc w:val="center"/>
      </w:pPr>
    </w:p>
    <w:p w14:paraId="55FB124B" w14:textId="34E00765" w:rsidR="003137FA" w:rsidRDefault="003137FA" w:rsidP="003137FA">
      <w:pPr>
        <w:pStyle w:val="TEKSTI"/>
        <w:ind w:firstLine="0"/>
        <w:jc w:val="center"/>
      </w:pPr>
    </w:p>
    <w:p w14:paraId="590013AF" w14:textId="77777777" w:rsidR="00EC60BC" w:rsidRDefault="00EC60BC" w:rsidP="003137FA">
      <w:pPr>
        <w:pStyle w:val="TEKSTI"/>
        <w:ind w:firstLine="0"/>
        <w:jc w:val="center"/>
      </w:pPr>
    </w:p>
    <w:p w14:paraId="72FFFA8F" w14:textId="77777777" w:rsidR="00EC60BC" w:rsidRDefault="00EC60BC" w:rsidP="003137FA">
      <w:pPr>
        <w:pStyle w:val="TEKSTI"/>
        <w:ind w:firstLine="0"/>
        <w:jc w:val="center"/>
      </w:pPr>
    </w:p>
    <w:p w14:paraId="613C45EB" w14:textId="77777777" w:rsidR="00EC60BC" w:rsidRDefault="00EC60BC" w:rsidP="003137FA">
      <w:pPr>
        <w:pStyle w:val="TEKSTI"/>
        <w:ind w:firstLine="0"/>
        <w:jc w:val="center"/>
      </w:pPr>
    </w:p>
    <w:p w14:paraId="60533FE1" w14:textId="77777777" w:rsidR="00EC60BC" w:rsidRDefault="00EC60BC" w:rsidP="003137FA">
      <w:pPr>
        <w:pStyle w:val="TEKSTI"/>
        <w:ind w:firstLine="0"/>
        <w:jc w:val="center"/>
      </w:pPr>
    </w:p>
    <w:p w14:paraId="2E472FEF" w14:textId="77777777" w:rsidR="00EC60BC" w:rsidRDefault="00EC60BC" w:rsidP="003137FA">
      <w:pPr>
        <w:pStyle w:val="TEKSTI"/>
        <w:ind w:firstLine="0"/>
        <w:jc w:val="center"/>
        <w:sectPr w:rsidR="00EC60BC" w:rsidSect="00C70693">
          <w:pgSz w:w="16838" w:h="11906" w:orient="landscape" w:code="9"/>
          <w:pgMar w:top="1418" w:right="1418" w:bottom="1418" w:left="1418" w:header="1304" w:footer="1134" w:gutter="0"/>
          <w:cols w:space="708"/>
          <w:docGrid w:linePitch="360"/>
        </w:sectPr>
      </w:pPr>
    </w:p>
    <w:p w14:paraId="4C50EDEF" w14:textId="77777777" w:rsidR="00193940" w:rsidRPr="00D55169" w:rsidRDefault="00193940" w:rsidP="00193940">
      <w:pPr>
        <w:pStyle w:val="TEKSTI"/>
      </w:pPr>
      <w:r w:rsidRPr="00D55169">
        <w:rPr>
          <w:iCs/>
        </w:rPr>
        <w:t>Nën menaxhim e tërthortë duhet të sigurohen dhe Shtojcat e mëposhtme:</w:t>
      </w:r>
    </w:p>
    <w:p w14:paraId="57C4CF5A" w14:textId="77777777" w:rsidR="00193940" w:rsidRPr="00D55169" w:rsidRDefault="00193940" w:rsidP="00193940">
      <w:pPr>
        <w:pStyle w:val="TEKSTI"/>
      </w:pPr>
    </w:p>
    <w:p w14:paraId="34538E41" w14:textId="77777777" w:rsidR="00193940" w:rsidRPr="00D55169" w:rsidRDefault="00193940" w:rsidP="00193940">
      <w:pPr>
        <w:pStyle w:val="TEKSTI"/>
      </w:pPr>
      <w:r w:rsidRPr="00D55169">
        <w:rPr>
          <w:b/>
          <w:bCs/>
          <w:u w:val="single"/>
        </w:rPr>
        <w:t>Shtojca 1</w:t>
      </w:r>
    </w:p>
    <w:p w14:paraId="0485364C" w14:textId="77777777" w:rsidR="00193940" w:rsidRPr="00D55169" w:rsidRDefault="00193940" w:rsidP="00193940">
      <w:pPr>
        <w:pStyle w:val="TEKSTI"/>
      </w:pPr>
      <w:r w:rsidRPr="00D55169">
        <w:t>Përmbledhje mbi funksionimin e sistemeve të kontrollit dhe menaxhimit (duke përfshirë ndryshimet në strukturën institucionale) (maksimumi një faqe).</w:t>
      </w:r>
    </w:p>
    <w:p w14:paraId="0580BD8E" w14:textId="77777777" w:rsidR="00193940" w:rsidRPr="00D55169" w:rsidRDefault="00193940" w:rsidP="00193940">
      <w:pPr>
        <w:pStyle w:val="TEKSTI"/>
      </w:pPr>
    </w:p>
    <w:p w14:paraId="36F4B00D" w14:textId="77777777" w:rsidR="00193940" w:rsidRPr="00D55169" w:rsidRDefault="00193940" w:rsidP="00193940">
      <w:pPr>
        <w:pStyle w:val="TEKSTI"/>
      </w:pPr>
      <w:r w:rsidRPr="00D55169">
        <w:t>Aktivitetet mbi transparencën, vizibilitetin, informacionin dhe komunikimin, në përputhje me MK (maksimumi një faqe)</w:t>
      </w:r>
    </w:p>
    <w:p w14:paraId="6412B6CA" w14:textId="77777777" w:rsidR="00193940" w:rsidRPr="00D55169" w:rsidRDefault="00193940" w:rsidP="00193940">
      <w:pPr>
        <w:pStyle w:val="TEKSTI"/>
      </w:pPr>
    </w:p>
    <w:p w14:paraId="3CFB5BF1" w14:textId="77777777" w:rsidR="00193940" w:rsidRPr="00D55169" w:rsidRDefault="00193940" w:rsidP="00193940">
      <w:pPr>
        <w:pStyle w:val="TEKSTI"/>
      </w:pPr>
      <w:r w:rsidRPr="00D55169">
        <w:rPr>
          <w:b/>
          <w:bCs/>
          <w:u w:val="single"/>
        </w:rPr>
        <w:t>Shtojca 2</w:t>
      </w:r>
    </w:p>
    <w:p w14:paraId="1203105C" w14:textId="77777777" w:rsidR="00193940" w:rsidRPr="00D55169" w:rsidRDefault="00193940" w:rsidP="00193940">
      <w:pPr>
        <w:pStyle w:val="TEKSTI"/>
      </w:pPr>
      <w:r w:rsidRPr="00D55169">
        <w:t>Histori suksesi (Shënim. ky seksion mund të përdoret për raportin vjetor të asistencës financiare, i cili përgatitet nga Komisioni Evropian).</w:t>
      </w:r>
    </w:p>
    <w:p w14:paraId="1A974ACD" w14:textId="77777777" w:rsidR="00193940" w:rsidRPr="00D55169" w:rsidRDefault="00193940" w:rsidP="00193940">
      <w:pPr>
        <w:pStyle w:val="TEKSTI"/>
      </w:pPr>
    </w:p>
    <w:p w14:paraId="391D68D9" w14:textId="77777777" w:rsidR="00193940" w:rsidRPr="00D55169" w:rsidRDefault="00193940" w:rsidP="00193940">
      <w:pPr>
        <w:pStyle w:val="TEKSTI"/>
      </w:pPr>
      <w:r w:rsidRPr="00D55169">
        <w:rPr>
          <w:b/>
          <w:bCs/>
          <w:u w:val="single"/>
        </w:rPr>
        <w:t>Shtojca 3</w:t>
      </w:r>
    </w:p>
    <w:p w14:paraId="384C2686" w14:textId="77777777" w:rsidR="00193940" w:rsidRPr="00D55169" w:rsidRDefault="00193940" w:rsidP="00193940">
      <w:pPr>
        <w:pStyle w:val="TEKSTI"/>
      </w:pPr>
      <w:r w:rsidRPr="00D55169">
        <w:t>Plani vjetor i prokurimit</w:t>
      </w:r>
    </w:p>
    <w:p w14:paraId="5C6EA66A" w14:textId="77777777" w:rsidR="00193940" w:rsidRPr="00D55169" w:rsidRDefault="00193940" w:rsidP="00193940">
      <w:pPr>
        <w:pStyle w:val="TEKSTI"/>
      </w:pPr>
    </w:p>
    <w:p w14:paraId="1BF31224" w14:textId="77777777" w:rsidR="00193940" w:rsidRPr="00D55169" w:rsidRDefault="00193940" w:rsidP="00193940">
      <w:pPr>
        <w:pStyle w:val="TEKSTI"/>
      </w:pPr>
      <w:r w:rsidRPr="00D55169">
        <w:t xml:space="preserve">Shtojca e mëposhtme duhet të sigurohet si për menaxhimin e drejtpërdrejtë, ashtu dhe për atë të tërthortë: </w:t>
      </w:r>
    </w:p>
    <w:p w14:paraId="570BBC8E" w14:textId="77777777" w:rsidR="00193940" w:rsidRPr="00D55169" w:rsidRDefault="00193940" w:rsidP="00193940">
      <w:pPr>
        <w:pStyle w:val="TEKSTI"/>
      </w:pPr>
      <w:r w:rsidRPr="00D55169">
        <w:rPr>
          <w:b/>
          <w:bCs/>
          <w:u w:val="single"/>
        </w:rPr>
        <w:t>Shtojca 4</w:t>
      </w:r>
    </w:p>
    <w:p w14:paraId="784D6661" w14:textId="77777777" w:rsidR="00193940" w:rsidRPr="00D55169" w:rsidRDefault="00193940" w:rsidP="00193940">
      <w:pPr>
        <w:pStyle w:val="TEKSTI"/>
      </w:pPr>
      <w:r w:rsidRPr="00D55169">
        <w:t>Udhërrëfyesi i qasjes sektoriale – arritjet (duke theksuar nëse objektivat e planifikuara janë përmbushur ose jo).</w:t>
      </w:r>
    </w:p>
    <w:p w14:paraId="4C5D8C6D" w14:textId="77777777" w:rsidR="00193940" w:rsidRPr="00D55169" w:rsidRDefault="00193940" w:rsidP="00193940">
      <w:pPr>
        <w:widowControl w:val="0"/>
        <w:overflowPunct w:val="0"/>
        <w:autoSpaceDE w:val="0"/>
        <w:autoSpaceDN w:val="0"/>
        <w:adjustRightInd w:val="0"/>
        <w:spacing w:after="0" w:line="228" w:lineRule="auto"/>
        <w:ind w:right="40"/>
        <w:jc w:val="both"/>
        <w:rPr>
          <w:rFonts w:ascii="Garamond" w:hAnsi="Garamond"/>
          <w:sz w:val="24"/>
          <w:szCs w:val="24"/>
        </w:rPr>
      </w:pPr>
    </w:p>
    <w:p w14:paraId="74C69013" w14:textId="081E2B70" w:rsidR="00EC60BC" w:rsidRDefault="00890C4F" w:rsidP="003137FA">
      <w:pPr>
        <w:pStyle w:val="TEKSTI"/>
        <w:ind w:firstLine="0"/>
        <w:jc w:val="center"/>
      </w:pPr>
      <w:r w:rsidRPr="002302F4">
        <w:rPr>
          <w:noProof/>
          <w:lang w:eastAsia="sq-AL"/>
        </w:rPr>
        <w:drawing>
          <wp:inline distT="0" distB="0" distL="0" distR="0" wp14:anchorId="087520C9" wp14:editId="013C7AAA">
            <wp:extent cx="5759450" cy="341782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3775" t="27172" r="25948" b="19782"/>
                    <a:stretch/>
                  </pic:blipFill>
                  <pic:spPr bwMode="auto">
                    <a:xfrm>
                      <a:off x="0" y="0"/>
                      <a:ext cx="5759450" cy="3417826"/>
                    </a:xfrm>
                    <a:prstGeom prst="rect">
                      <a:avLst/>
                    </a:prstGeom>
                    <a:ln>
                      <a:noFill/>
                    </a:ln>
                    <a:extLst>
                      <a:ext uri="{53640926-AAD7-44D8-BBD7-CCE9431645EC}">
                        <a14:shadowObscured xmlns:a14="http://schemas.microsoft.com/office/drawing/2010/main"/>
                      </a:ext>
                    </a:extLst>
                  </pic:spPr>
                </pic:pic>
              </a:graphicData>
            </a:graphic>
          </wp:inline>
        </w:drawing>
      </w:r>
    </w:p>
    <w:p w14:paraId="5C5A5E24" w14:textId="77777777" w:rsidR="00890C4F" w:rsidRDefault="00890C4F" w:rsidP="003137FA">
      <w:pPr>
        <w:pStyle w:val="TEKSTI"/>
        <w:ind w:firstLine="0"/>
        <w:jc w:val="center"/>
      </w:pPr>
    </w:p>
    <w:p w14:paraId="11DA6C57" w14:textId="77777777" w:rsidR="00890C4F" w:rsidRDefault="00890C4F" w:rsidP="003137FA">
      <w:pPr>
        <w:pStyle w:val="TEKSTI"/>
        <w:ind w:firstLine="0"/>
        <w:jc w:val="center"/>
      </w:pPr>
    </w:p>
    <w:p w14:paraId="037AF03E" w14:textId="1E5F3B90" w:rsidR="00890C4F" w:rsidRDefault="00890C4F" w:rsidP="003137FA">
      <w:pPr>
        <w:pStyle w:val="TEKSTI"/>
        <w:ind w:firstLine="0"/>
        <w:jc w:val="center"/>
      </w:pPr>
      <w:r w:rsidRPr="00560A03">
        <w:rPr>
          <w:noProof/>
          <w:lang w:eastAsia="sq-AL"/>
        </w:rPr>
        <w:drawing>
          <wp:inline distT="0" distB="0" distL="0" distR="0" wp14:anchorId="467CD044" wp14:editId="3D4E8916">
            <wp:extent cx="5680658" cy="3283889"/>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3909" t="30221" r="25594" b="17884"/>
                    <a:stretch/>
                  </pic:blipFill>
                  <pic:spPr bwMode="auto">
                    <a:xfrm>
                      <a:off x="0" y="0"/>
                      <a:ext cx="5692563" cy="3290771"/>
                    </a:xfrm>
                    <a:prstGeom prst="rect">
                      <a:avLst/>
                    </a:prstGeom>
                    <a:ln>
                      <a:noFill/>
                    </a:ln>
                    <a:extLst>
                      <a:ext uri="{53640926-AAD7-44D8-BBD7-CCE9431645EC}">
                        <a14:shadowObscured xmlns:a14="http://schemas.microsoft.com/office/drawing/2010/main"/>
                      </a:ext>
                    </a:extLst>
                  </pic:spPr>
                </pic:pic>
              </a:graphicData>
            </a:graphic>
          </wp:inline>
        </w:drawing>
      </w:r>
    </w:p>
    <w:p w14:paraId="5A4F5CB9" w14:textId="77777777" w:rsidR="00890C4F" w:rsidRDefault="00890C4F" w:rsidP="003137FA">
      <w:pPr>
        <w:pStyle w:val="TEKSTI"/>
        <w:ind w:firstLine="0"/>
        <w:jc w:val="center"/>
      </w:pPr>
    </w:p>
    <w:p w14:paraId="256E37C7" w14:textId="77777777" w:rsidR="00890C4F" w:rsidRPr="000756BE" w:rsidRDefault="00890C4F" w:rsidP="00890C4F">
      <w:pPr>
        <w:pStyle w:val="TEKSTI"/>
      </w:pPr>
      <w:r w:rsidRPr="000756BE">
        <w:rPr>
          <w:i/>
          <w:iCs/>
        </w:rPr>
        <w:t>Nën menaxhim të tërthortë duhet të përfshihet edhe informacioni i mëposhtëm:</w:t>
      </w:r>
    </w:p>
    <w:p w14:paraId="105E9C6C" w14:textId="77777777" w:rsidR="00890C4F" w:rsidRPr="000756BE" w:rsidRDefault="00890C4F" w:rsidP="00890C4F">
      <w:pPr>
        <w:pStyle w:val="TEKSTI"/>
      </w:pPr>
      <w:r>
        <w:t xml:space="preserve">1. </w:t>
      </w:r>
      <w:r w:rsidRPr="000756BE">
        <w:t xml:space="preserve">Struktura operuese ekzistuese dhe ndryshimet që kanë lidhje me të, nëse ka. </w:t>
      </w:r>
    </w:p>
    <w:p w14:paraId="18A38785" w14:textId="77777777" w:rsidR="00890C4F" w:rsidRPr="000756BE" w:rsidRDefault="00890C4F" w:rsidP="00890C4F">
      <w:pPr>
        <w:pStyle w:val="TEKSTI"/>
      </w:pPr>
      <w:r>
        <w:t xml:space="preserve">2. </w:t>
      </w:r>
      <w:r w:rsidRPr="000756BE">
        <w:t xml:space="preserve">Çdo problem i rëndësishëm që haset në zbatimin e detyrave të besuara, p.sh. vonesat në kontraktim dhe masat pasuese të ndërmarra/planifikuara. </w:t>
      </w:r>
    </w:p>
    <w:p w14:paraId="5492BA34" w14:textId="77777777" w:rsidR="00890C4F" w:rsidRPr="000756BE" w:rsidRDefault="00890C4F" w:rsidP="00890C4F">
      <w:pPr>
        <w:pStyle w:val="TEKSTI"/>
      </w:pPr>
      <w:r>
        <w:t xml:space="preserve">3. </w:t>
      </w:r>
      <w:r w:rsidRPr="000756BE">
        <w:t xml:space="preserve">Rekomandime për veprime të mëtejshme </w:t>
      </w:r>
    </w:p>
    <w:p w14:paraId="1BFE4245" w14:textId="77777777" w:rsidR="00890C4F" w:rsidRPr="000756BE" w:rsidRDefault="00890C4F" w:rsidP="00890C4F">
      <w:pPr>
        <w:pStyle w:val="TEKSTI"/>
      </w:pPr>
      <w:r>
        <w:t xml:space="preserve">4. </w:t>
      </w:r>
      <w:r w:rsidRPr="000756BE">
        <w:t xml:space="preserve">Auditimet e kryera - gjetjet kryesore dhe rekomandimet, si dhe masat korrigjuese të ndërmarra. </w:t>
      </w:r>
    </w:p>
    <w:p w14:paraId="31A516F3" w14:textId="77777777" w:rsidR="00890C4F" w:rsidRDefault="00890C4F" w:rsidP="003137FA">
      <w:pPr>
        <w:pStyle w:val="TEKSTI"/>
        <w:ind w:firstLine="0"/>
        <w:jc w:val="center"/>
      </w:pPr>
    </w:p>
    <w:p w14:paraId="209201B3" w14:textId="77777777" w:rsidR="00890C4F" w:rsidRPr="000756BE" w:rsidRDefault="00890C4F" w:rsidP="00890C4F">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Shtojca III A Modeli i Raportimit Vjetor</w:t>
      </w:r>
    </w:p>
    <w:p w14:paraId="1C58066C" w14:textId="77777777" w:rsidR="00890C4F" w:rsidRPr="000756BE" w:rsidRDefault="00890C4F" w:rsidP="00890C4F">
      <w:pPr>
        <w:widowControl w:val="0"/>
        <w:overflowPunct w:val="0"/>
        <w:autoSpaceDE w:val="0"/>
        <w:autoSpaceDN w:val="0"/>
        <w:adjustRightInd w:val="0"/>
        <w:spacing w:after="0" w:line="240" w:lineRule="auto"/>
        <w:ind w:firstLine="284"/>
        <w:rPr>
          <w:rFonts w:ascii="Garamond" w:hAnsi="Garamond"/>
          <w:sz w:val="24"/>
          <w:szCs w:val="24"/>
        </w:rPr>
      </w:pPr>
    </w:p>
    <w:p w14:paraId="77FB2144" w14:textId="77777777" w:rsidR="00890C4F" w:rsidRPr="000756BE" w:rsidRDefault="00890C4F" w:rsidP="00890C4F">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Periudha e mbuluar nga raporti: </w:t>
      </w:r>
    </w:p>
    <w:p w14:paraId="78382B34" w14:textId="77777777" w:rsidR="00890C4F" w:rsidRPr="000756BE" w:rsidRDefault="00890C4F" w:rsidP="00890C4F">
      <w:pPr>
        <w:widowControl w:val="0"/>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01/01/20XX-31/12/20XX</w:t>
      </w:r>
    </w:p>
    <w:p w14:paraId="1DDE73B0" w14:textId="77777777" w:rsidR="00890C4F" w:rsidRPr="000756BE" w:rsidRDefault="00890C4F" w:rsidP="00890C4F">
      <w:pPr>
        <w:widowControl w:val="0"/>
        <w:tabs>
          <w:tab w:val="left" w:pos="4530"/>
        </w:tabs>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ab/>
      </w:r>
    </w:p>
    <w:p w14:paraId="7A08DBE9" w14:textId="77777777" w:rsidR="00890C4F" w:rsidRPr="000756BE" w:rsidRDefault="00890C4F" w:rsidP="00890C4F">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Raport i lëshuar më XX/XX/20XX</w:t>
      </w:r>
    </w:p>
    <w:p w14:paraId="40E96398" w14:textId="77777777" w:rsidR="00890C4F" w:rsidRPr="000756BE" w:rsidRDefault="00890C4F" w:rsidP="00890C4F">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sz w:val="24"/>
          <w:szCs w:val="24"/>
        </w:rPr>
        <w:t xml:space="preserve"> </w:t>
      </w:r>
    </w:p>
    <w:p w14:paraId="549E9210" w14:textId="77777777" w:rsidR="00890C4F" w:rsidRPr="000756BE" w:rsidRDefault="00890C4F" w:rsidP="00890C4F">
      <w:pPr>
        <w:widowControl w:val="0"/>
        <w:overflowPunct w:val="0"/>
        <w:autoSpaceDE w:val="0"/>
        <w:autoSpaceDN w:val="0"/>
        <w:adjustRightInd w:val="0"/>
        <w:spacing w:after="0" w:line="240" w:lineRule="auto"/>
        <w:ind w:firstLine="284"/>
        <w:rPr>
          <w:rFonts w:ascii="Garamond" w:hAnsi="Garamond"/>
          <w:b/>
          <w:bCs/>
          <w:sz w:val="24"/>
          <w:szCs w:val="24"/>
        </w:rPr>
      </w:pPr>
      <w:r w:rsidRPr="000756BE">
        <w:rPr>
          <w:rFonts w:ascii="Garamond" w:hAnsi="Garamond"/>
          <w:b/>
          <w:bCs/>
          <w:sz w:val="24"/>
          <w:szCs w:val="24"/>
        </w:rPr>
        <w:t>Raport vjetor mbi zbatimin e asistencës IPA II nën menaxhim e drejtpërdrejtë dhe të tërthortë nga [vendi] të paraqitur nga Koordinatori Kombëtar i IPA-s</w:t>
      </w:r>
    </w:p>
    <w:p w14:paraId="62565377" w14:textId="77777777" w:rsidR="00890C4F" w:rsidRPr="000756BE" w:rsidRDefault="00890C4F" w:rsidP="00890C4F">
      <w:pPr>
        <w:pStyle w:val="TEKSTI"/>
      </w:pPr>
    </w:p>
    <w:p w14:paraId="24CCEC66" w14:textId="77777777" w:rsidR="00890C4F" w:rsidRPr="000756BE" w:rsidRDefault="00890C4F" w:rsidP="00890C4F">
      <w:pPr>
        <w:pStyle w:val="TEKSTI"/>
        <w:rPr>
          <w:b/>
          <w:bCs/>
        </w:rPr>
      </w:pPr>
      <w:r>
        <w:rPr>
          <w:b/>
          <w:bCs/>
        </w:rPr>
        <w:t xml:space="preserve">I. </w:t>
      </w:r>
      <w:r w:rsidRPr="000756BE">
        <w:rPr>
          <w:b/>
          <w:bCs/>
        </w:rPr>
        <w:t xml:space="preserve">Përmbledhje ekzekutive </w:t>
      </w:r>
    </w:p>
    <w:p w14:paraId="6495DBAB" w14:textId="77777777" w:rsidR="00890C4F" w:rsidRPr="000756BE" w:rsidRDefault="00890C4F" w:rsidP="00890C4F">
      <w:pPr>
        <w:pStyle w:val="TEKSTI"/>
      </w:pPr>
      <w:r>
        <w:t xml:space="preserve">1. </w:t>
      </w:r>
      <w:r w:rsidRPr="000756BE">
        <w:t xml:space="preserve">Referencë e objektivave të Dokumenteve Strategjikë të Vendit dhe një pasqyrë e shkurtër e sfidave të sektorëve </w:t>
      </w:r>
    </w:p>
    <w:p w14:paraId="64192E6C" w14:textId="77777777" w:rsidR="00890C4F" w:rsidRPr="000756BE" w:rsidRDefault="00890C4F" w:rsidP="00890C4F">
      <w:pPr>
        <w:pStyle w:val="TEKSTI"/>
      </w:pPr>
      <w:r>
        <w:t xml:space="preserve">2. </w:t>
      </w:r>
      <w:r w:rsidRPr="000756BE">
        <w:t xml:space="preserve">Përfshirja në programim </w:t>
      </w:r>
    </w:p>
    <w:p w14:paraId="3516D661" w14:textId="77777777" w:rsidR="00890C4F" w:rsidRPr="000756BE" w:rsidRDefault="00890C4F" w:rsidP="00890C4F">
      <w:pPr>
        <w:pStyle w:val="TEKSTI"/>
      </w:pPr>
      <w:r>
        <w:t xml:space="preserve">3. </w:t>
      </w:r>
      <w:r w:rsidRPr="000756BE">
        <w:t xml:space="preserve">Marrëdhëniet me Komisionin Evropian. </w:t>
      </w:r>
    </w:p>
    <w:p w14:paraId="482B055B" w14:textId="77777777" w:rsidR="00890C4F" w:rsidRPr="000756BE" w:rsidRDefault="00890C4F" w:rsidP="00890C4F">
      <w:pPr>
        <w:pStyle w:val="TEKSTI"/>
      </w:pPr>
      <w:r>
        <w:t xml:space="preserve">4. </w:t>
      </w:r>
      <w:r w:rsidRPr="000756BE">
        <w:t xml:space="preserve">Problemet që hasen në përmbushjen e kushteve të nevojshme për zbatimin dhe në sigurimin e qëndrueshmërisë, në lidhje me masat e marra/të planifikuara, rekomandimet për veprime të mëtejshme. </w:t>
      </w:r>
    </w:p>
    <w:p w14:paraId="35793DCA" w14:textId="77777777" w:rsidR="00890C4F" w:rsidRPr="000756BE" w:rsidRDefault="00890C4F" w:rsidP="00890C4F">
      <w:pPr>
        <w:pStyle w:val="TEKSTI"/>
      </w:pPr>
      <w:r>
        <w:t xml:space="preserve">5. </w:t>
      </w:r>
      <w:r w:rsidRPr="000756BE">
        <w:t xml:space="preserve">Çështje të rëndësishme që rrjedhin nga pjesëmarrja e përfituesit të IPA II në komitetin monitorues të IPA-s dhe në komisionet sektoriale të monitorimit (duke përfshirë Komitetin e Përbashkët të Monitorimit për BNK-në), nëse ka. </w:t>
      </w:r>
    </w:p>
    <w:p w14:paraId="07443E09" w14:textId="77777777" w:rsidR="00890C4F" w:rsidRPr="000756BE" w:rsidRDefault="00890C4F" w:rsidP="00890C4F">
      <w:pPr>
        <w:pStyle w:val="TEKSTI"/>
      </w:pPr>
      <w:r>
        <w:t xml:space="preserve">6. </w:t>
      </w:r>
      <w:r w:rsidRPr="000756BE">
        <w:t xml:space="preserve">Përfshirja në veprimet shumë-vendëshe dhe çdo çështje që ka lidhje me to. </w:t>
      </w:r>
    </w:p>
    <w:p w14:paraId="600C95F7" w14:textId="77777777" w:rsidR="00890C4F" w:rsidRPr="000756BE" w:rsidRDefault="00890C4F" w:rsidP="00890C4F">
      <w:pPr>
        <w:pStyle w:val="TEKSTI"/>
      </w:pPr>
      <w:r>
        <w:t xml:space="preserve">7. </w:t>
      </w:r>
      <w:r w:rsidRPr="000756BE">
        <w:t xml:space="preserve">Aktivitete monitorimi dhe vlerësimi, mësimet kryesore që janë nxjerrë dhe ndjekja e rekomandimeve. </w:t>
      </w:r>
    </w:p>
    <w:p w14:paraId="5DE2157F" w14:textId="77777777" w:rsidR="00890C4F" w:rsidRPr="000756BE" w:rsidRDefault="00890C4F" w:rsidP="00890C4F">
      <w:pPr>
        <w:pStyle w:val="TEKSTI"/>
      </w:pPr>
      <w:r>
        <w:t xml:space="preserve">8. </w:t>
      </w:r>
      <w:r w:rsidRPr="000756BE">
        <w:t xml:space="preserve">Aktivitetet mbi komunikimin dhe vizibilitetin. </w:t>
      </w:r>
    </w:p>
    <w:p w14:paraId="455F9123" w14:textId="77777777" w:rsidR="00890C4F" w:rsidRPr="000756BE" w:rsidRDefault="00890C4F" w:rsidP="00890C4F">
      <w:pPr>
        <w:pStyle w:val="TEKSTI"/>
      </w:pPr>
      <w:r>
        <w:t xml:space="preserve">9. </w:t>
      </w:r>
      <w:r w:rsidRPr="000756BE">
        <w:t xml:space="preserve">Koordinimi i donatorëve </w:t>
      </w:r>
    </w:p>
    <w:p w14:paraId="7E4FCA0C" w14:textId="77777777" w:rsidR="00890C4F" w:rsidRPr="000756BE" w:rsidRDefault="00890C4F" w:rsidP="00890C4F">
      <w:pPr>
        <w:pStyle w:val="TEKSTI"/>
      </w:pPr>
      <w:r w:rsidRPr="000756BE">
        <w:rPr>
          <w:i/>
          <w:iCs/>
        </w:rPr>
        <w:t>Në rastet e menaxhimit të tërthortë, përmbledhja ekzekutive duhet të përmbajë gjithashtu:</w:t>
      </w:r>
    </w:p>
    <w:p w14:paraId="5607227F" w14:textId="77777777" w:rsidR="00890C4F" w:rsidRPr="000756BE" w:rsidRDefault="00890C4F" w:rsidP="00890C4F">
      <w:pPr>
        <w:pStyle w:val="TEKSTI"/>
      </w:pPr>
      <w:r>
        <w:t xml:space="preserve">10. </w:t>
      </w:r>
      <w:r w:rsidRPr="000756BE">
        <w:t xml:space="preserve">Zbatimin gjithëpërfshirës të asistencës së IPA-s nën menaxhim e tërthortë  (maksimumi një faqe). </w:t>
      </w:r>
    </w:p>
    <w:p w14:paraId="6AC350F4" w14:textId="77777777" w:rsidR="00890C4F" w:rsidRPr="000756BE" w:rsidRDefault="00890C4F" w:rsidP="00890C4F">
      <w:pPr>
        <w:pStyle w:val="TEKSTI"/>
      </w:pPr>
      <w:r>
        <w:t xml:space="preserve">11. </w:t>
      </w:r>
      <w:r w:rsidRPr="000756BE">
        <w:t xml:space="preserve">Problemet kryesore horizontale të hasura në zbatimin e asistencës së IPA-s dhe masat përkatëse të marra /planifikuara (maksimumi gjysmë faqe). </w:t>
      </w:r>
    </w:p>
    <w:p w14:paraId="62059347" w14:textId="77777777" w:rsidR="00890C4F" w:rsidRPr="000756BE" w:rsidRDefault="00890C4F" w:rsidP="00890C4F">
      <w:pPr>
        <w:pStyle w:val="TEKSTI"/>
      </w:pPr>
      <w:r>
        <w:t xml:space="preserve">12. </w:t>
      </w:r>
      <w:r w:rsidRPr="000756BE">
        <w:t xml:space="preserve">Rekomandimet për veprime të mëtejshme (maksimumi gjysmë faqe). </w:t>
      </w:r>
    </w:p>
    <w:p w14:paraId="0AF0078D" w14:textId="77777777" w:rsidR="00890C4F" w:rsidRPr="000756BE" w:rsidRDefault="00890C4F" w:rsidP="00890C4F">
      <w:pPr>
        <w:pStyle w:val="TEKSTI"/>
      </w:pPr>
      <w:r>
        <w:t xml:space="preserve">13. </w:t>
      </w:r>
      <w:r w:rsidRPr="000756BE">
        <w:t xml:space="preserve">Auditimet - gjetjet kryesore, rekomandimet dhe veprimet korrigjuese të ndërmarra. </w:t>
      </w:r>
    </w:p>
    <w:p w14:paraId="355E7042" w14:textId="77777777" w:rsidR="00890C4F" w:rsidRPr="000756BE" w:rsidRDefault="00890C4F" w:rsidP="00890C4F">
      <w:pPr>
        <w:pStyle w:val="TEKSTI"/>
      </w:pPr>
    </w:p>
    <w:p w14:paraId="03056B1F" w14:textId="77777777" w:rsidR="00890C4F" w:rsidRPr="000756BE" w:rsidRDefault="00890C4F" w:rsidP="00890C4F">
      <w:pPr>
        <w:pStyle w:val="TEKSTI"/>
      </w:pPr>
      <w:r w:rsidRPr="000756BE">
        <w:rPr>
          <w:b/>
          <w:bCs/>
        </w:rPr>
        <w:t>II. Informacion sipas Sektorëve</w:t>
      </w:r>
      <w:r w:rsidRPr="000756BE">
        <w:t xml:space="preserve"> </w:t>
      </w:r>
    </w:p>
    <w:p w14:paraId="01EB4142" w14:textId="77777777" w:rsidR="00890C4F" w:rsidRPr="000756BE" w:rsidRDefault="00890C4F" w:rsidP="00890C4F">
      <w:pPr>
        <w:widowControl w:val="0"/>
        <w:tabs>
          <w:tab w:val="left" w:pos="9540"/>
        </w:tabs>
        <w:overflowPunct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w:t>
      </w:r>
      <w:r w:rsidRPr="000756BE">
        <w:rPr>
          <w:rStyle w:val="FootnoteReference"/>
          <w:rFonts w:ascii="Garamond" w:hAnsi="Garamond"/>
          <w:b/>
          <w:bCs/>
          <w:sz w:val="24"/>
          <w:szCs w:val="24"/>
        </w:rPr>
        <w:footnoteReference w:id="99"/>
      </w:r>
      <w:r w:rsidRPr="000756BE">
        <w:rPr>
          <w:rFonts w:ascii="Garamond" w:hAnsi="Garamond"/>
          <w:b/>
          <w:bCs/>
          <w:sz w:val="24"/>
          <w:szCs w:val="24"/>
        </w:rPr>
        <w:t xml:space="preserve">: </w:t>
      </w:r>
      <w:r w:rsidRPr="000756BE">
        <w:rPr>
          <w:rFonts w:ascii="Garamond" w:hAnsi="Garamond"/>
          <w:sz w:val="24"/>
          <w:szCs w:val="24"/>
        </w:rPr>
        <w:t>[</w:t>
      </w:r>
      <w:r w:rsidRPr="000756BE">
        <w:rPr>
          <w:rFonts w:ascii="Garamond" w:hAnsi="Garamond"/>
          <w:i/>
          <w:iCs/>
          <w:sz w:val="24"/>
          <w:szCs w:val="24"/>
        </w:rPr>
        <w:t>Transporti</w:t>
      </w:r>
      <w:r w:rsidRPr="000756BE">
        <w:rPr>
          <w:rFonts w:ascii="Garamond" w:hAnsi="Garamond"/>
          <w:sz w:val="24"/>
          <w:szCs w:val="24"/>
        </w:rPr>
        <w:t>]</w:t>
      </w:r>
    </w:p>
    <w:p w14:paraId="7B9B7861" w14:textId="77777777" w:rsidR="00890C4F" w:rsidRPr="00B47ADB" w:rsidRDefault="00890C4F" w:rsidP="00890C4F">
      <w:pPr>
        <w:pStyle w:val="TEKSTI"/>
      </w:pPr>
      <w:r w:rsidRPr="00B47ADB">
        <w:t>Pjesa përshkruese: përmbledhje mbi sektorin, duke përfshirë informacionin e mëposhtëm:</w:t>
      </w:r>
    </w:p>
    <w:p w14:paraId="16660E56" w14:textId="77777777" w:rsidR="00890C4F" w:rsidRPr="000756BE" w:rsidRDefault="00890C4F" w:rsidP="00890C4F">
      <w:pPr>
        <w:pStyle w:val="TEKSTI"/>
      </w:pPr>
      <w:r>
        <w:t xml:space="preserve">1. </w:t>
      </w:r>
      <w:r w:rsidRPr="000756BE">
        <w:t xml:space="preserve">Përfshirja në programim </w:t>
      </w:r>
    </w:p>
    <w:p w14:paraId="6440BEB3" w14:textId="77777777" w:rsidR="00890C4F" w:rsidRPr="000756BE" w:rsidRDefault="00890C4F" w:rsidP="00890C4F">
      <w:pPr>
        <w:pStyle w:val="TEKSTI"/>
      </w:pPr>
      <w:r>
        <w:t xml:space="preserve">2. </w:t>
      </w:r>
      <w:r w:rsidRPr="000756BE">
        <w:t xml:space="preserve">Përmbledhje e rezultateve të arritura drejt një qasjeje të sektorit me të drejta të plota (d.m.th. objektivat e arritura sipas treguesve të sektorit në dokumentin e planifikimit të Sektorit). </w:t>
      </w:r>
    </w:p>
    <w:p w14:paraId="22E0C17B" w14:textId="77777777" w:rsidR="00890C4F" w:rsidRPr="000756BE" w:rsidRDefault="00890C4F" w:rsidP="00890C4F">
      <w:pPr>
        <w:pStyle w:val="TEKSTI"/>
      </w:pPr>
      <w:r>
        <w:t xml:space="preserve">3. </w:t>
      </w:r>
      <w:r w:rsidRPr="000756BE">
        <w:t xml:space="preserve">Koordinimi me instrumente të tjera dhe / ose donatorë / IFI-të brenda sektorit. </w:t>
      </w:r>
    </w:p>
    <w:p w14:paraId="236B471B" w14:textId="77777777" w:rsidR="00890C4F" w:rsidRPr="000756BE" w:rsidRDefault="00890C4F" w:rsidP="00890C4F">
      <w:pPr>
        <w:pStyle w:val="TEKSTI"/>
      </w:pPr>
      <w:r>
        <w:t xml:space="preserve">4. </w:t>
      </w:r>
      <w:r w:rsidRPr="000756BE">
        <w:t xml:space="preserve">Ndikimi i veprimeve të IPA II brenda sektorit mbi zhvillimin e kapaciteteve përkatëse kombëtare administrative në atë sektor, në planifikimin strategjik dhe buxhetimin. </w:t>
      </w:r>
    </w:p>
    <w:p w14:paraId="65938BDB" w14:textId="77777777" w:rsidR="00890C4F" w:rsidRPr="000756BE" w:rsidRDefault="00890C4F" w:rsidP="00890C4F">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i/>
          <w:iCs/>
          <w:sz w:val="24"/>
          <w:szCs w:val="24"/>
        </w:rPr>
        <w:t>Nën menaxhim e tërthortë duhet të përfshihet dhe informacioni i mëposhtëm:</w:t>
      </w:r>
    </w:p>
    <w:p w14:paraId="68694179" w14:textId="77777777" w:rsidR="00890C4F" w:rsidRPr="000756BE" w:rsidRDefault="00890C4F" w:rsidP="00890C4F">
      <w:pPr>
        <w:pStyle w:val="TEKSTI"/>
      </w:pPr>
      <w:r>
        <w:t xml:space="preserve">5. </w:t>
      </w:r>
      <w:r w:rsidRPr="000756BE">
        <w:t>Struktura/t operuese dhe ndryshimet që kanë lidhje me to, nëse ka: [</w:t>
      </w:r>
      <w:r w:rsidRPr="000756BE">
        <w:rPr>
          <w:i/>
          <w:iCs/>
        </w:rPr>
        <w:t>Ministria e</w:t>
      </w:r>
      <w:r w:rsidRPr="000756BE">
        <w:t xml:space="preserve"> </w:t>
      </w:r>
      <w:r w:rsidRPr="000756BE">
        <w:rPr>
          <w:i/>
          <w:iCs/>
        </w:rPr>
        <w:t xml:space="preserve">Transportit] </w:t>
      </w:r>
    </w:p>
    <w:p w14:paraId="2901B4E5" w14:textId="77777777" w:rsidR="00890C4F" w:rsidRPr="000756BE" w:rsidRDefault="00890C4F" w:rsidP="00890C4F">
      <w:pPr>
        <w:pStyle w:val="TEKSTI"/>
      </w:pPr>
      <w:r>
        <w:t xml:space="preserve">6. </w:t>
      </w:r>
      <w:r w:rsidRPr="000756BE">
        <w:t xml:space="preserve">Informacion mbi zbatimin e programeve në atë sektor. </w:t>
      </w:r>
    </w:p>
    <w:p w14:paraId="3B3D3E0C" w14:textId="77777777" w:rsidR="00890C4F" w:rsidRPr="000756BE" w:rsidRDefault="00890C4F" w:rsidP="00890C4F">
      <w:pPr>
        <w:pStyle w:val="TEKSTI"/>
      </w:pPr>
      <w:r>
        <w:t xml:space="preserve">7. </w:t>
      </w:r>
      <w:r w:rsidRPr="000756BE">
        <w:t xml:space="preserve">Arritjet kryesore në atë sektor. </w:t>
      </w:r>
    </w:p>
    <w:p w14:paraId="3782139F" w14:textId="77777777" w:rsidR="00890C4F" w:rsidRPr="000756BE" w:rsidRDefault="00890C4F" w:rsidP="00890C4F">
      <w:pPr>
        <w:pStyle w:val="TEKSTI"/>
      </w:pPr>
      <w:r>
        <w:t xml:space="preserve">8. </w:t>
      </w:r>
      <w:r w:rsidRPr="000756BE">
        <w:t xml:space="preserve">Çdo problem i rëndësishëm që haset gjatë zbatimit të detyrave të besuara, p.sh. vonesat në kontraktim dhe masat e marra / planifikuara në vijim. </w:t>
      </w:r>
    </w:p>
    <w:p w14:paraId="14379C9F" w14:textId="77777777" w:rsidR="00890C4F" w:rsidRPr="000756BE" w:rsidRDefault="00890C4F" w:rsidP="00890C4F">
      <w:pPr>
        <w:pStyle w:val="TEKSTI"/>
      </w:pPr>
      <w:r>
        <w:t xml:space="preserve">9. </w:t>
      </w:r>
      <w:r w:rsidRPr="000756BE">
        <w:t xml:space="preserve">Rekomandime për veprime të mëtejshme. </w:t>
      </w:r>
    </w:p>
    <w:p w14:paraId="34803BC8" w14:textId="77777777" w:rsidR="00890C4F" w:rsidRPr="000756BE" w:rsidRDefault="00890C4F" w:rsidP="00890C4F">
      <w:pPr>
        <w:pStyle w:val="TEKSTI"/>
      </w:pPr>
      <w:r>
        <w:t xml:space="preserve">10. </w:t>
      </w:r>
      <w:r w:rsidRPr="000756BE">
        <w:t xml:space="preserve">Aktivitetet monitoruese dhe vlerësuese të kryera, auditimet - gjetjet kryesore dhe mësimet e nxjerra, rekomandimet, ndjekja dhe veprimet korrigjuese të ndërmarra. </w:t>
      </w:r>
    </w:p>
    <w:p w14:paraId="36822E17" w14:textId="77777777" w:rsidR="00890C4F" w:rsidRPr="000756BE" w:rsidRDefault="00890C4F" w:rsidP="00890C4F">
      <w:pPr>
        <w:widowControl w:val="0"/>
        <w:autoSpaceDE w:val="0"/>
        <w:autoSpaceDN w:val="0"/>
        <w:adjustRightInd w:val="0"/>
        <w:spacing w:after="0" w:line="240" w:lineRule="auto"/>
        <w:ind w:firstLine="284"/>
        <w:rPr>
          <w:rFonts w:ascii="Garamond" w:hAnsi="Garamond"/>
          <w:sz w:val="24"/>
          <w:szCs w:val="24"/>
        </w:rPr>
      </w:pPr>
    </w:p>
    <w:p w14:paraId="3B2EF84E" w14:textId="77777777" w:rsidR="00890C4F" w:rsidRPr="000756BE" w:rsidRDefault="00890C4F" w:rsidP="00890C4F">
      <w:pPr>
        <w:widowControl w:val="0"/>
        <w:autoSpaceDE w:val="0"/>
        <w:autoSpaceDN w:val="0"/>
        <w:adjustRightInd w:val="0"/>
        <w:spacing w:after="0" w:line="240" w:lineRule="auto"/>
        <w:ind w:firstLine="284"/>
        <w:rPr>
          <w:rFonts w:ascii="Garamond" w:hAnsi="Garamond"/>
          <w:sz w:val="24"/>
          <w:szCs w:val="24"/>
        </w:rPr>
      </w:pPr>
      <w:r w:rsidRPr="000756BE">
        <w:rPr>
          <w:rFonts w:ascii="Garamond" w:hAnsi="Garamond"/>
          <w:b/>
          <w:bCs/>
          <w:sz w:val="24"/>
          <w:szCs w:val="24"/>
        </w:rPr>
        <w:t>Titulli i sektorit: Bashkëpunimi Ndërkufitar</w:t>
      </w:r>
      <w:r w:rsidRPr="000756BE">
        <w:rPr>
          <w:rStyle w:val="FootnoteReference"/>
          <w:rFonts w:ascii="Garamond" w:hAnsi="Garamond"/>
          <w:b/>
          <w:bCs/>
          <w:sz w:val="24"/>
          <w:szCs w:val="24"/>
        </w:rPr>
        <w:footnoteReference w:id="100"/>
      </w:r>
    </w:p>
    <w:p w14:paraId="435B9690" w14:textId="77777777" w:rsidR="00890C4F" w:rsidRPr="000756BE" w:rsidRDefault="00890C4F" w:rsidP="00890C4F">
      <w:pPr>
        <w:pStyle w:val="TEKSTI"/>
      </w:pPr>
      <w:r>
        <w:t xml:space="preserve">1. </w:t>
      </w:r>
      <w:r w:rsidRPr="000756BE">
        <w:t>Përfshirja në programim, sipas rastit.</w:t>
      </w:r>
    </w:p>
    <w:p w14:paraId="2BABFBD0" w14:textId="77777777" w:rsidR="00890C4F" w:rsidRPr="000756BE" w:rsidRDefault="00890C4F" w:rsidP="00890C4F">
      <w:pPr>
        <w:pStyle w:val="TEKSTI"/>
      </w:pPr>
      <w:r>
        <w:t xml:space="preserve">2. </w:t>
      </w:r>
      <w:r w:rsidRPr="000756BE">
        <w:t xml:space="preserve">Progresi i bërë në zbatimin e Programit Ndërkufitar dhe në veçanti në arritjen e objektivave specifike sipas prioriteteve tematike (duke përfshirë edhe elemente sasiore dhe cilësore që tregojnë progres në lidhje me objektivat). </w:t>
      </w:r>
    </w:p>
    <w:p w14:paraId="7FE82ACF" w14:textId="77777777" w:rsidR="00890C4F" w:rsidRPr="000756BE" w:rsidRDefault="00890C4F" w:rsidP="00890C4F">
      <w:pPr>
        <w:pStyle w:val="TEKSTI"/>
      </w:pPr>
      <w:r>
        <w:t xml:space="preserve">3. </w:t>
      </w:r>
      <w:r w:rsidRPr="000756BE">
        <w:t xml:space="preserve">Një përmbledhje e problemeve të hasura në zbatimin e programit të BNK-së dhe çdo veprim korrigjues i ndërmarrë, si dhe rekomandime për veprime të mëtejshme korrigjuese. </w:t>
      </w:r>
    </w:p>
    <w:p w14:paraId="08BF35A6" w14:textId="77777777" w:rsidR="00890C4F" w:rsidRPr="000756BE" w:rsidRDefault="00890C4F" w:rsidP="00890C4F">
      <w:pPr>
        <w:pStyle w:val="TEKSTI"/>
      </w:pPr>
      <w:r>
        <w:t xml:space="preserve">4. </w:t>
      </w:r>
      <w:r w:rsidRPr="000756BE">
        <w:t xml:space="preserve">Monitorimi, duke përfshirë edhe marrëveshjet për mbledhjen e të dhënave dhe kur është e zbatueshme, dhe aktivitete vlerësimi. </w:t>
      </w:r>
    </w:p>
    <w:p w14:paraId="2A79CAE4" w14:textId="77777777" w:rsidR="00890C4F" w:rsidRPr="000756BE" w:rsidRDefault="00890C4F" w:rsidP="00890C4F">
      <w:pPr>
        <w:pStyle w:val="TEKSTI"/>
      </w:pPr>
      <w:r>
        <w:t xml:space="preserve">5. </w:t>
      </w:r>
      <w:r w:rsidRPr="000756BE">
        <w:t xml:space="preserve">Aktivitetet mbi komunikimin dhe svizibilitetin. </w:t>
      </w:r>
    </w:p>
    <w:p w14:paraId="1D695F67" w14:textId="77777777" w:rsidR="00890C4F" w:rsidRPr="000756BE" w:rsidRDefault="00890C4F" w:rsidP="00890C4F">
      <w:pPr>
        <w:pStyle w:val="TEKSTI"/>
      </w:pPr>
      <w:r>
        <w:t xml:space="preserve">6. </w:t>
      </w:r>
      <w:r w:rsidRPr="000756BE">
        <w:t xml:space="preserve">Koordinimi me vendin partner. </w:t>
      </w:r>
    </w:p>
    <w:p w14:paraId="6E7DAC56" w14:textId="77777777" w:rsidR="00890C4F" w:rsidRDefault="00890C4F" w:rsidP="00890C4F">
      <w:pPr>
        <w:pStyle w:val="TEKSTI"/>
        <w:rPr>
          <w:i/>
          <w:iCs/>
        </w:rPr>
      </w:pPr>
      <w:r w:rsidRPr="000756BE">
        <w:rPr>
          <w:i/>
          <w:iCs/>
        </w:rPr>
        <w:t>Nën menaxhim të tërthortë duhet të përfshihet edhe informacioni i mëposhtëm:</w:t>
      </w:r>
    </w:p>
    <w:p w14:paraId="3F865C5C" w14:textId="77777777" w:rsidR="00890C4F" w:rsidRDefault="00890C4F" w:rsidP="00A56C08">
      <w:pPr>
        <w:pStyle w:val="TEKSTI"/>
        <w:ind w:firstLine="0"/>
      </w:pPr>
    </w:p>
    <w:p w14:paraId="317CBC62" w14:textId="77777777" w:rsidR="00890C4F" w:rsidRPr="00D55169" w:rsidRDefault="00890C4F" w:rsidP="00890C4F">
      <w:pPr>
        <w:pStyle w:val="TEKSTI"/>
      </w:pPr>
      <w:r w:rsidRPr="00D55169">
        <w:rPr>
          <w:b/>
          <w:bCs/>
          <w:u w:val="single"/>
        </w:rPr>
        <w:t>Shtojca 1</w:t>
      </w:r>
    </w:p>
    <w:p w14:paraId="1953CB41" w14:textId="77777777" w:rsidR="00890C4F" w:rsidRPr="00D55169" w:rsidRDefault="00890C4F" w:rsidP="00890C4F">
      <w:pPr>
        <w:pStyle w:val="TEKSTI"/>
      </w:pPr>
      <w:r w:rsidRPr="00D55169">
        <w:t>Përmbledhje mbi funksionimin e sistemeve të kontrollit dhe menaxhimit (duke përfshirë ndryshimet në strukturën institucionale) (maksimumi një faqe).</w:t>
      </w:r>
    </w:p>
    <w:p w14:paraId="3EA93350" w14:textId="77777777" w:rsidR="00890C4F" w:rsidRPr="00D55169" w:rsidRDefault="00890C4F" w:rsidP="00890C4F">
      <w:pPr>
        <w:pStyle w:val="TEKSTI"/>
      </w:pPr>
    </w:p>
    <w:p w14:paraId="7C224E77" w14:textId="77777777" w:rsidR="00890C4F" w:rsidRPr="00D55169" w:rsidRDefault="00890C4F" w:rsidP="00890C4F">
      <w:pPr>
        <w:pStyle w:val="TEKSTI"/>
      </w:pPr>
      <w:r w:rsidRPr="00D55169">
        <w:t>Aktivitetet mbi transparencën, vizibilitetin, informacionin dhe komunikimin, në përputhje me MK (maksimumi një faqe)</w:t>
      </w:r>
    </w:p>
    <w:p w14:paraId="4B29133B" w14:textId="77777777" w:rsidR="00890C4F" w:rsidRPr="00D55169" w:rsidRDefault="00890C4F" w:rsidP="00890C4F">
      <w:pPr>
        <w:pStyle w:val="TEKSTI"/>
      </w:pPr>
    </w:p>
    <w:p w14:paraId="01D39CC6" w14:textId="77777777" w:rsidR="00890C4F" w:rsidRPr="00D55169" w:rsidRDefault="00890C4F" w:rsidP="00890C4F">
      <w:pPr>
        <w:pStyle w:val="TEKSTI"/>
      </w:pPr>
      <w:r w:rsidRPr="00D55169">
        <w:rPr>
          <w:b/>
          <w:bCs/>
          <w:u w:val="single"/>
        </w:rPr>
        <w:t>Shtojca 2</w:t>
      </w:r>
    </w:p>
    <w:p w14:paraId="2E31FF58" w14:textId="77777777" w:rsidR="00890C4F" w:rsidRPr="00D55169" w:rsidRDefault="00890C4F" w:rsidP="00890C4F">
      <w:pPr>
        <w:pStyle w:val="TEKSTI"/>
      </w:pPr>
      <w:r w:rsidRPr="00D55169">
        <w:t>Histori suksesi (Shënim. ky seksion mund të përdoret për raportin vjetor të asistencës financiare, i cili përgatitet nga Komisioni Evropian).</w:t>
      </w:r>
    </w:p>
    <w:p w14:paraId="4F1D9B47" w14:textId="77777777" w:rsidR="00890C4F" w:rsidRPr="00D55169" w:rsidRDefault="00890C4F" w:rsidP="00890C4F">
      <w:pPr>
        <w:pStyle w:val="TEKSTI"/>
      </w:pPr>
    </w:p>
    <w:p w14:paraId="3DDAC823" w14:textId="77777777" w:rsidR="00890C4F" w:rsidRPr="00D55169" w:rsidRDefault="00890C4F" w:rsidP="00890C4F">
      <w:pPr>
        <w:pStyle w:val="TEKSTI"/>
      </w:pPr>
      <w:r w:rsidRPr="00D55169">
        <w:rPr>
          <w:b/>
          <w:bCs/>
          <w:u w:val="single"/>
        </w:rPr>
        <w:t>Shtojca 3</w:t>
      </w:r>
    </w:p>
    <w:p w14:paraId="0D3CBC49" w14:textId="77777777" w:rsidR="00890C4F" w:rsidRPr="00D55169" w:rsidRDefault="00890C4F" w:rsidP="00890C4F">
      <w:pPr>
        <w:pStyle w:val="TEKSTI"/>
      </w:pPr>
      <w:r w:rsidRPr="00D55169">
        <w:t>Plani vjetor i prokurimit</w:t>
      </w:r>
    </w:p>
    <w:p w14:paraId="6E1000A0" w14:textId="77777777" w:rsidR="00890C4F" w:rsidRPr="00D55169" w:rsidRDefault="00890C4F" w:rsidP="00890C4F">
      <w:pPr>
        <w:pStyle w:val="TEKSTI"/>
      </w:pPr>
    </w:p>
    <w:p w14:paraId="76F4FE98" w14:textId="77777777" w:rsidR="00890C4F" w:rsidRPr="00D55169" w:rsidRDefault="00890C4F" w:rsidP="00890C4F">
      <w:pPr>
        <w:pStyle w:val="TEKSTI"/>
      </w:pPr>
      <w:r w:rsidRPr="00D55169">
        <w:t xml:space="preserve">Shtojca e mëposhtme duhet të sigurohet si për menaxhimin e drejtpërdrejtë, ashtu dhe për atë të tërthortë: </w:t>
      </w:r>
    </w:p>
    <w:p w14:paraId="2FD812D1" w14:textId="77777777" w:rsidR="00890C4F" w:rsidRPr="00D55169" w:rsidRDefault="00890C4F" w:rsidP="00890C4F">
      <w:pPr>
        <w:pStyle w:val="TEKSTI"/>
      </w:pPr>
      <w:r w:rsidRPr="00D55169">
        <w:rPr>
          <w:b/>
          <w:bCs/>
          <w:u w:val="single"/>
        </w:rPr>
        <w:t>Shtojca 4</w:t>
      </w:r>
    </w:p>
    <w:p w14:paraId="0F56B0AC" w14:textId="77777777" w:rsidR="00890C4F" w:rsidRPr="00D55169" w:rsidRDefault="00890C4F" w:rsidP="00890C4F">
      <w:pPr>
        <w:pStyle w:val="TEKSTI"/>
      </w:pPr>
      <w:r w:rsidRPr="00D55169">
        <w:t>Udhërrëfyesi i qasjes sektoriale – arritjet (duke theksuar nëse objektivat e planifikuara janë përmbushur ose jo).</w:t>
      </w:r>
    </w:p>
    <w:p w14:paraId="2469EE25" w14:textId="77777777" w:rsidR="00890C4F" w:rsidRDefault="00890C4F" w:rsidP="003137FA">
      <w:pPr>
        <w:pStyle w:val="TEKSTI"/>
        <w:ind w:firstLine="0"/>
        <w:jc w:val="center"/>
      </w:pPr>
    </w:p>
    <w:p w14:paraId="41075A9F" w14:textId="522C65D2" w:rsidR="00890C4F" w:rsidRDefault="00890C4F" w:rsidP="003137FA">
      <w:pPr>
        <w:pStyle w:val="TEKSTI"/>
        <w:ind w:firstLine="0"/>
        <w:jc w:val="center"/>
      </w:pPr>
      <w:r w:rsidRPr="002302F4">
        <w:rPr>
          <w:noProof/>
          <w:lang w:eastAsia="sq-AL"/>
        </w:rPr>
        <w:drawing>
          <wp:inline distT="0" distB="0" distL="0" distR="0" wp14:anchorId="0C4B095A" wp14:editId="0A99F745">
            <wp:extent cx="5759450" cy="341757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3775" t="27172" r="25948" b="19782"/>
                    <a:stretch/>
                  </pic:blipFill>
                  <pic:spPr bwMode="auto">
                    <a:xfrm>
                      <a:off x="0" y="0"/>
                      <a:ext cx="5759450" cy="3417570"/>
                    </a:xfrm>
                    <a:prstGeom prst="rect">
                      <a:avLst/>
                    </a:prstGeom>
                    <a:ln>
                      <a:noFill/>
                    </a:ln>
                    <a:extLst>
                      <a:ext uri="{53640926-AAD7-44D8-BBD7-CCE9431645EC}">
                        <a14:shadowObscured xmlns:a14="http://schemas.microsoft.com/office/drawing/2010/main"/>
                      </a:ext>
                    </a:extLst>
                  </pic:spPr>
                </pic:pic>
              </a:graphicData>
            </a:graphic>
          </wp:inline>
        </w:drawing>
      </w:r>
    </w:p>
    <w:p w14:paraId="2D08BF40" w14:textId="77777777" w:rsidR="00890C4F" w:rsidRDefault="00890C4F" w:rsidP="003137FA">
      <w:pPr>
        <w:pStyle w:val="TEKSTI"/>
        <w:ind w:firstLine="0"/>
        <w:jc w:val="center"/>
      </w:pPr>
    </w:p>
    <w:p w14:paraId="439DC1F5" w14:textId="1626A754" w:rsidR="00890C4F" w:rsidRDefault="00890C4F" w:rsidP="003137FA">
      <w:pPr>
        <w:pStyle w:val="TEKSTI"/>
        <w:ind w:firstLine="0"/>
        <w:jc w:val="center"/>
      </w:pPr>
      <w:r w:rsidRPr="00560A03">
        <w:rPr>
          <w:noProof/>
          <w:lang w:eastAsia="sq-AL"/>
        </w:rPr>
        <w:drawing>
          <wp:inline distT="0" distB="0" distL="0" distR="0" wp14:anchorId="63EDF464" wp14:editId="3AC586FB">
            <wp:extent cx="5680658" cy="3283889"/>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3909" t="30221" r="25594" b="17884"/>
                    <a:stretch/>
                  </pic:blipFill>
                  <pic:spPr bwMode="auto">
                    <a:xfrm>
                      <a:off x="0" y="0"/>
                      <a:ext cx="5692563" cy="3290771"/>
                    </a:xfrm>
                    <a:prstGeom prst="rect">
                      <a:avLst/>
                    </a:prstGeom>
                    <a:ln>
                      <a:noFill/>
                    </a:ln>
                    <a:extLst>
                      <a:ext uri="{53640926-AAD7-44D8-BBD7-CCE9431645EC}">
                        <a14:shadowObscured xmlns:a14="http://schemas.microsoft.com/office/drawing/2010/main"/>
                      </a:ext>
                    </a:extLst>
                  </pic:spPr>
                </pic:pic>
              </a:graphicData>
            </a:graphic>
          </wp:inline>
        </w:drawing>
      </w:r>
    </w:p>
    <w:p w14:paraId="3C1B49FD" w14:textId="77777777" w:rsidR="00890C4F" w:rsidRDefault="00890C4F" w:rsidP="003137FA">
      <w:pPr>
        <w:pStyle w:val="TEKSTI"/>
        <w:ind w:firstLine="0"/>
        <w:jc w:val="center"/>
      </w:pPr>
    </w:p>
    <w:p w14:paraId="50655BDF" w14:textId="77777777" w:rsidR="00890C4F" w:rsidRPr="000756BE" w:rsidRDefault="00890C4F" w:rsidP="00890C4F">
      <w:pPr>
        <w:pStyle w:val="TEKSTI"/>
      </w:pPr>
      <w:r w:rsidRPr="000756BE">
        <w:rPr>
          <w:i/>
          <w:iCs/>
        </w:rPr>
        <w:t>Nën menaxhim të tërthortë duhet të përfshihet edhe informacioni i mëposhtëm:</w:t>
      </w:r>
    </w:p>
    <w:p w14:paraId="5B826BD4" w14:textId="77777777" w:rsidR="00890C4F" w:rsidRPr="000756BE" w:rsidRDefault="00890C4F" w:rsidP="00890C4F">
      <w:pPr>
        <w:pStyle w:val="TEKSTI"/>
      </w:pPr>
      <w:r>
        <w:t xml:space="preserve">1. </w:t>
      </w:r>
      <w:r w:rsidRPr="000756BE">
        <w:t xml:space="preserve">Struktura operuese ekzistuese dhe ndryshimet që kanë lidhje me të, nëse ka. </w:t>
      </w:r>
    </w:p>
    <w:p w14:paraId="356F7A7C" w14:textId="77777777" w:rsidR="00890C4F" w:rsidRPr="000756BE" w:rsidRDefault="00890C4F" w:rsidP="00890C4F">
      <w:pPr>
        <w:pStyle w:val="TEKSTI"/>
      </w:pPr>
      <w:r>
        <w:t xml:space="preserve">2. </w:t>
      </w:r>
      <w:r w:rsidRPr="000756BE">
        <w:t xml:space="preserve">Çdo problem i rëndësishëm që haset në zbatimin e detyrave të besuara, p.sh. vonesat në kontraktim dhe masat pasuese të ndërmarra/planifikuara. </w:t>
      </w:r>
    </w:p>
    <w:p w14:paraId="10BAB20E" w14:textId="77777777" w:rsidR="00890C4F" w:rsidRPr="000756BE" w:rsidRDefault="00890C4F" w:rsidP="00890C4F">
      <w:pPr>
        <w:pStyle w:val="TEKSTI"/>
      </w:pPr>
      <w:r>
        <w:t xml:space="preserve">3. </w:t>
      </w:r>
      <w:r w:rsidRPr="000756BE">
        <w:t xml:space="preserve">Rekomandime për veprime të mëtejshme </w:t>
      </w:r>
    </w:p>
    <w:p w14:paraId="654D6FBE" w14:textId="77777777" w:rsidR="00890C4F" w:rsidRPr="000756BE" w:rsidRDefault="00890C4F" w:rsidP="00890C4F">
      <w:pPr>
        <w:pStyle w:val="TEKSTI"/>
      </w:pPr>
      <w:r>
        <w:t xml:space="preserve">4. </w:t>
      </w:r>
      <w:r w:rsidRPr="000756BE">
        <w:t xml:space="preserve">Auditimet e kryera - gjetjet kryesore dhe rekomandimet, si dhe masat korrigjuese të ndërmarra. </w:t>
      </w:r>
    </w:p>
    <w:p w14:paraId="7DF23843" w14:textId="77777777" w:rsidR="00890C4F" w:rsidRPr="000756BE" w:rsidRDefault="00890C4F" w:rsidP="003137FA">
      <w:pPr>
        <w:pStyle w:val="TEKSTI"/>
        <w:ind w:firstLine="0"/>
        <w:jc w:val="center"/>
      </w:pPr>
    </w:p>
    <w:sectPr w:rsidR="00890C4F" w:rsidRPr="000756BE" w:rsidSect="00EC60BC">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70225D" w14:textId="77777777" w:rsidR="007435D6" w:rsidRDefault="007435D6" w:rsidP="00420682">
      <w:pPr>
        <w:spacing w:after="0" w:line="240" w:lineRule="auto"/>
      </w:pPr>
      <w:r>
        <w:separator/>
      </w:r>
    </w:p>
  </w:endnote>
  <w:endnote w:type="continuationSeparator" w:id="0">
    <w:p w14:paraId="75D265B6" w14:textId="77777777" w:rsidR="007435D6" w:rsidRDefault="007435D6" w:rsidP="00420682">
      <w:pPr>
        <w:spacing w:after="0" w:line="240" w:lineRule="auto"/>
      </w:pPr>
      <w:r>
        <w:continuationSeparator/>
      </w:r>
    </w:p>
  </w:endnote>
  <w:endnote w:type="continuationNotice" w:id="1">
    <w:p w14:paraId="24D5570E" w14:textId="77777777" w:rsidR="007435D6" w:rsidRDefault="007435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1189F0" w14:textId="77777777" w:rsidR="007435D6" w:rsidRDefault="007435D6" w:rsidP="00420682">
      <w:pPr>
        <w:spacing w:after="0" w:line="240" w:lineRule="auto"/>
      </w:pPr>
      <w:r>
        <w:separator/>
      </w:r>
    </w:p>
  </w:footnote>
  <w:footnote w:type="continuationSeparator" w:id="0">
    <w:p w14:paraId="7C59D270" w14:textId="77777777" w:rsidR="007435D6" w:rsidRDefault="007435D6" w:rsidP="00420682">
      <w:pPr>
        <w:spacing w:after="0" w:line="240" w:lineRule="auto"/>
      </w:pPr>
      <w:r>
        <w:continuationSeparator/>
      </w:r>
    </w:p>
  </w:footnote>
  <w:footnote w:type="continuationNotice" w:id="1">
    <w:p w14:paraId="02EFB32E" w14:textId="77777777" w:rsidR="007435D6" w:rsidRDefault="007435D6">
      <w:pPr>
        <w:spacing w:after="0" w:line="240" w:lineRule="auto"/>
      </w:pPr>
    </w:p>
  </w:footnote>
  <w:footnote w:id="2">
    <w:p w14:paraId="0AB445B7" w14:textId="21B48671" w:rsidR="007435D6" w:rsidRPr="00D643B1" w:rsidRDefault="007435D6" w:rsidP="00D643B1">
      <w:pPr>
        <w:widowControl w:val="0"/>
        <w:overflowPunct w:val="0"/>
        <w:autoSpaceDE w:val="0"/>
        <w:autoSpaceDN w:val="0"/>
        <w:adjustRightInd w:val="0"/>
        <w:spacing w:after="0" w:line="210" w:lineRule="auto"/>
        <w:ind w:left="4" w:right="580"/>
        <w:rPr>
          <w:rFonts w:ascii="Garamond" w:hAnsi="Garamond"/>
          <w:sz w:val="24"/>
          <w:szCs w:val="24"/>
        </w:rPr>
      </w:pPr>
      <w:r w:rsidRPr="00D643B1">
        <w:rPr>
          <w:rStyle w:val="FootnoteReference"/>
          <w:rFonts w:ascii="Garamond" w:hAnsi="Garamond"/>
        </w:rPr>
        <w:footnoteRef/>
      </w:r>
      <w:r w:rsidRPr="00D643B1">
        <w:rPr>
          <w:rFonts w:ascii="Garamond" w:hAnsi="Garamond"/>
        </w:rPr>
        <w:t xml:space="preserve"> </w:t>
      </w:r>
      <w:r w:rsidRPr="00D643B1">
        <w:rPr>
          <w:rFonts w:ascii="Garamond" w:hAnsi="Garamond"/>
          <w:sz w:val="20"/>
          <w:szCs w:val="20"/>
        </w:rPr>
        <w:t>Rregullorja Nr. 231/2014 (BE) e Parlamentit Evropian dhe e Këshillit e datës 11 mars 2014 që krijon një Instrument për Asistencën e Para-Anëtarësimit (IPA II), OJ L 77, 15.03.2014, fq. 11.</w:t>
      </w:r>
    </w:p>
  </w:footnote>
  <w:footnote w:id="3">
    <w:p w14:paraId="01816B3D" w14:textId="77777777" w:rsidR="007435D6" w:rsidRPr="00AA43BC" w:rsidRDefault="007435D6" w:rsidP="000E796D">
      <w:pPr>
        <w:pStyle w:val="FootnoteText"/>
      </w:pPr>
      <w:r>
        <w:rPr>
          <w:rStyle w:val="FootnoteReference"/>
        </w:rPr>
        <w:footnoteRef/>
      </w:r>
      <w:r>
        <w:t xml:space="preserve"> Kjo është për programet e viteve 2018, 2019 dhe 2020.  </w:t>
      </w:r>
      <w:r w:rsidRPr="0057499A">
        <w:t>Në këtë dokument Republika e Shqipërisë përdoret si emri i vendit.</w:t>
      </w:r>
    </w:p>
  </w:footnote>
  <w:footnote w:id="4">
    <w:p w14:paraId="5CFBB390" w14:textId="77777777" w:rsidR="007435D6" w:rsidRPr="00E64CF2" w:rsidRDefault="007435D6" w:rsidP="000E796D">
      <w:pPr>
        <w:pStyle w:val="FootnoteText"/>
        <w:rPr>
          <w:rFonts w:ascii="Garamond" w:hAnsi="Garamond"/>
        </w:rPr>
      </w:pPr>
      <w:r w:rsidRPr="00E64CF2">
        <w:rPr>
          <w:rStyle w:val="FootnoteReference"/>
          <w:rFonts w:ascii="Garamond" w:hAnsi="Garamond"/>
        </w:rPr>
        <w:footnoteRef/>
      </w:r>
      <w:r w:rsidRPr="00E64CF2">
        <w:rPr>
          <w:rFonts w:ascii="Garamond" w:hAnsi="Garamond"/>
        </w:rPr>
        <w:t xml:space="preserve"> https://ec.europa.eu/neighbourhood-enlargement/sites/near/files/pdf/albania/ipa/2015/2014_-_2020_ipa_cbc_montenegro_albania_action.pdf</w:t>
      </w:r>
    </w:p>
  </w:footnote>
  <w:footnote w:id="5">
    <w:p w14:paraId="3F248231" w14:textId="77777777" w:rsidR="007435D6" w:rsidRPr="007C4BB4" w:rsidRDefault="007435D6" w:rsidP="000E796D">
      <w:pPr>
        <w:pStyle w:val="FootnoteText"/>
      </w:pPr>
      <w:r w:rsidRPr="00E64CF2">
        <w:rPr>
          <w:rStyle w:val="FootnoteReference"/>
          <w:rFonts w:ascii="Garamond" w:hAnsi="Garamond"/>
        </w:rPr>
        <w:footnoteRef/>
      </w:r>
      <w:r w:rsidRPr="00E64CF2">
        <w:rPr>
          <w:rFonts w:ascii="Garamond" w:hAnsi="Garamond"/>
        </w:rPr>
        <w:t xml:space="preserve"> https://ec.europa.eu/commission/sites/beta-political/files/communication-credible-enlargement-perspective-western-balkans_en.pdf</w:t>
      </w:r>
    </w:p>
  </w:footnote>
  <w:footnote w:id="6">
    <w:p w14:paraId="76A35FCC" w14:textId="77777777" w:rsidR="007435D6" w:rsidRPr="007E1F3D" w:rsidRDefault="007435D6" w:rsidP="000E796D">
      <w:pPr>
        <w:pStyle w:val="FootnoteText"/>
      </w:pPr>
      <w:r>
        <w:rPr>
          <w:rStyle w:val="FootnoteReference"/>
        </w:rPr>
        <w:footnoteRef/>
      </w:r>
      <w:r>
        <w:t xml:space="preserve"> </w:t>
      </w:r>
      <w:hyperlink r:id="rId1" w:history="1">
        <w:r>
          <w:rPr>
            <w:rStyle w:val="Hyperlink"/>
          </w:rPr>
          <w:t>https://eeas.europa.eu/headquarters/headquarters-homepage/8442/consolidated-list-sanctions_en</w:t>
        </w:r>
      </w:hyperlink>
    </w:p>
  </w:footnote>
  <w:footnote w:id="7">
    <w:p w14:paraId="749F18AE" w14:textId="77777777" w:rsidR="007435D6" w:rsidRPr="00A3470C" w:rsidRDefault="007435D6" w:rsidP="000E796D">
      <w:pPr>
        <w:pStyle w:val="FootnoteText"/>
        <w:rPr>
          <w:rFonts w:ascii="Garamond" w:hAnsi="Garamond"/>
        </w:rPr>
      </w:pPr>
      <w:r w:rsidRPr="00A3470C">
        <w:rPr>
          <w:rStyle w:val="FootnoteReference"/>
          <w:rFonts w:ascii="Garamond" w:hAnsi="Garamond"/>
        </w:rPr>
        <w:footnoteRef/>
      </w:r>
      <w:r w:rsidRPr="00A3470C">
        <w:rPr>
          <w:rFonts w:ascii="Garamond" w:hAnsi="Garamond"/>
        </w:rPr>
        <w:t xml:space="preserve"> https://ec.europa.eu/neighbourhood-enlargement/sites/near/files/pdf/albania/ipa/2015/2014_-_2020_ipa_cbc_montenegro_albania_action.pdf</w:t>
      </w:r>
    </w:p>
  </w:footnote>
  <w:footnote w:id="8">
    <w:p w14:paraId="1682C9EB" w14:textId="77777777" w:rsidR="007435D6" w:rsidRPr="00642693" w:rsidRDefault="007435D6" w:rsidP="000E796D">
      <w:pPr>
        <w:pStyle w:val="FootnoteText"/>
      </w:pPr>
      <w:r w:rsidRPr="00A3470C">
        <w:rPr>
          <w:rStyle w:val="FootnoteReference"/>
          <w:rFonts w:ascii="Garamond" w:hAnsi="Garamond"/>
        </w:rPr>
        <w:footnoteRef/>
      </w:r>
      <w:r w:rsidRPr="00A3470C">
        <w:rPr>
          <w:rFonts w:ascii="Garamond" w:hAnsi="Garamond"/>
        </w:rPr>
        <w:t xml:space="preserve"> http://ec.europa.eu/transparency/regdoc/rep/3/2014/EN/3-2014-9421-EN-F1-1-ANNEX-1.PDF</w:t>
      </w:r>
    </w:p>
  </w:footnote>
  <w:footnote w:id="9">
    <w:p w14:paraId="2FD344EF" w14:textId="548283AE" w:rsidR="007435D6" w:rsidRPr="00977D53" w:rsidRDefault="007435D6" w:rsidP="00977D53">
      <w:pPr>
        <w:pStyle w:val="FootnoteText"/>
        <w:jc w:val="both"/>
        <w:rPr>
          <w:rFonts w:ascii="Garamond" w:hAnsi="Garamond"/>
          <w:lang w:val="en-US"/>
        </w:rPr>
      </w:pPr>
      <w:r w:rsidRPr="00977D53">
        <w:rPr>
          <w:rStyle w:val="FootnoteReference"/>
          <w:rFonts w:ascii="Garamond" w:hAnsi="Garamond"/>
        </w:rPr>
        <w:footnoteRef/>
      </w:r>
      <w:r w:rsidRPr="00977D53">
        <w:rPr>
          <w:rFonts w:ascii="Garamond" w:hAnsi="Garamond"/>
        </w:rPr>
        <w:t xml:space="preserve"> Ky seksion jep një përmbledhje të të dhënave kryesore nga analiza e situatës, Analiza SËOT dhe PESTLE. Versioni i plotë i analizës është shtojcë në dokumentin e programit.</w:t>
      </w:r>
    </w:p>
  </w:footnote>
  <w:footnote w:id="10">
    <w:p w14:paraId="26648AEF" w14:textId="4CD68761" w:rsidR="007435D6" w:rsidRPr="00977D53" w:rsidRDefault="007435D6" w:rsidP="00977D53">
      <w:pPr>
        <w:pStyle w:val="FootnoteText"/>
        <w:jc w:val="both"/>
        <w:rPr>
          <w:rFonts w:ascii="Garamond" w:hAnsi="Garamond"/>
          <w:lang w:val="en-US"/>
        </w:rPr>
      </w:pPr>
      <w:r w:rsidRPr="00977D53">
        <w:rPr>
          <w:rStyle w:val="FootnoteReference"/>
          <w:rFonts w:ascii="Garamond" w:hAnsi="Garamond"/>
        </w:rPr>
        <w:footnoteRef/>
      </w:r>
      <w:r w:rsidRPr="00977D53">
        <w:rPr>
          <w:rFonts w:ascii="Garamond" w:hAnsi="Garamond"/>
        </w:rPr>
        <w:t xml:space="preserve"> Gucia është një bashki e re, e paraqitur si një ndarje administrative e Komunës së Plavës; ajo është në fazat e hershme të organizimit.</w:t>
      </w:r>
    </w:p>
  </w:footnote>
  <w:footnote w:id="11">
    <w:p w14:paraId="79AD7222" w14:textId="6236411F" w:rsidR="007435D6" w:rsidRPr="00977D53" w:rsidRDefault="007435D6" w:rsidP="00977D53">
      <w:pPr>
        <w:widowControl w:val="0"/>
        <w:tabs>
          <w:tab w:val="left" w:pos="339"/>
        </w:tabs>
        <w:spacing w:after="0" w:line="240" w:lineRule="auto"/>
        <w:ind w:right="440"/>
        <w:jc w:val="both"/>
        <w:rPr>
          <w:rFonts w:ascii="Garamond" w:hAnsi="Garamond"/>
          <w:sz w:val="20"/>
          <w:szCs w:val="20"/>
        </w:rPr>
      </w:pPr>
      <w:r w:rsidRPr="00977D53">
        <w:rPr>
          <w:rStyle w:val="FootnoteReference"/>
          <w:rFonts w:ascii="Garamond" w:hAnsi="Garamond"/>
          <w:sz w:val="20"/>
          <w:szCs w:val="20"/>
        </w:rPr>
        <w:footnoteRef/>
      </w:r>
      <w:r w:rsidRPr="00977D53">
        <w:rPr>
          <w:rFonts w:ascii="Garamond" w:hAnsi="Garamond"/>
          <w:sz w:val="20"/>
          <w:szCs w:val="20"/>
        </w:rPr>
        <w:t xml:space="preserve"> Petnjica është një bashki e re, e paraqitur si një ndarje administrative e Komunës së Berane-s; ajo është në fazat e hershme të organizimit; Edhe Gucia është një komunë e themeluar</w:t>
      </w:r>
      <w:r w:rsidRPr="00977D53">
        <w:rPr>
          <w:rFonts w:ascii="Garamond" w:hAnsi="Garamond"/>
          <w:spacing w:val="-22"/>
          <w:sz w:val="20"/>
          <w:szCs w:val="20"/>
        </w:rPr>
        <w:t xml:space="preserve"> </w:t>
      </w:r>
      <w:r w:rsidRPr="00977D53">
        <w:rPr>
          <w:rFonts w:ascii="Garamond" w:hAnsi="Garamond"/>
          <w:sz w:val="20"/>
          <w:szCs w:val="20"/>
        </w:rPr>
        <w:t>rishtazi.</w:t>
      </w:r>
    </w:p>
  </w:footnote>
  <w:footnote w:id="12">
    <w:p w14:paraId="1D290A91" w14:textId="566D3A98" w:rsidR="007435D6" w:rsidRPr="00977D53" w:rsidRDefault="007435D6" w:rsidP="00977D53">
      <w:pPr>
        <w:pStyle w:val="FootnoteText"/>
        <w:jc w:val="both"/>
        <w:rPr>
          <w:lang w:val="en-US"/>
        </w:rPr>
      </w:pPr>
      <w:r w:rsidRPr="00977D53">
        <w:rPr>
          <w:rStyle w:val="FootnoteReference"/>
          <w:rFonts w:ascii="Garamond" w:hAnsi="Garamond"/>
        </w:rPr>
        <w:footnoteRef/>
      </w:r>
      <w:r w:rsidRPr="00977D53">
        <w:rPr>
          <w:rFonts w:ascii="Garamond" w:hAnsi="Garamond"/>
        </w:rPr>
        <w:t xml:space="preserve"> Rrethi i Tropojës ka 1 Bashki, atë të Bajram Currit, dhe 7 komuna - Bujan, Bytyç, Fierzë, Lekbibaj, Llugaj, Margegaj dhe Tropoja</w:t>
      </w:r>
    </w:p>
  </w:footnote>
  <w:footnote w:id="13">
    <w:p w14:paraId="25591685" w14:textId="6A31775C" w:rsidR="007435D6" w:rsidRPr="001D74D3" w:rsidRDefault="007435D6" w:rsidP="001D74D3">
      <w:pPr>
        <w:widowControl w:val="0"/>
        <w:tabs>
          <w:tab w:val="left" w:pos="285"/>
        </w:tabs>
        <w:spacing w:before="70" w:after="0" w:line="245" w:lineRule="exact"/>
        <w:rPr>
          <w:rFonts w:ascii="Garamond" w:hAnsi="Garamond"/>
          <w:sz w:val="20"/>
          <w:szCs w:val="20"/>
        </w:rPr>
      </w:pPr>
      <w:r w:rsidRPr="001D74D3">
        <w:rPr>
          <w:rStyle w:val="FootnoteReference"/>
          <w:rFonts w:ascii="Garamond" w:hAnsi="Garamond"/>
          <w:sz w:val="20"/>
          <w:szCs w:val="20"/>
        </w:rPr>
        <w:footnoteRef/>
      </w:r>
      <w:r w:rsidRPr="001D74D3">
        <w:rPr>
          <w:rFonts w:ascii="Garamond" w:hAnsi="Garamond"/>
          <w:sz w:val="20"/>
          <w:szCs w:val="20"/>
        </w:rPr>
        <w:t xml:space="preserve"> INSTAT Census</w:t>
      </w:r>
      <w:r w:rsidRPr="001D74D3">
        <w:rPr>
          <w:rFonts w:ascii="Garamond" w:hAnsi="Garamond"/>
          <w:spacing w:val="-10"/>
          <w:sz w:val="20"/>
          <w:szCs w:val="20"/>
        </w:rPr>
        <w:t xml:space="preserve"> </w:t>
      </w:r>
      <w:r w:rsidRPr="001D74D3">
        <w:rPr>
          <w:rFonts w:ascii="Garamond" w:hAnsi="Garamond"/>
          <w:sz w:val="20"/>
          <w:szCs w:val="20"/>
        </w:rPr>
        <w:t>2011</w:t>
      </w:r>
    </w:p>
  </w:footnote>
  <w:footnote w:id="14">
    <w:p w14:paraId="6EE53328" w14:textId="5AA91B65" w:rsidR="007435D6" w:rsidRPr="001D74D3" w:rsidRDefault="007435D6" w:rsidP="001D74D3">
      <w:pPr>
        <w:widowControl w:val="0"/>
        <w:tabs>
          <w:tab w:val="left" w:pos="251"/>
        </w:tabs>
        <w:spacing w:after="0" w:line="243" w:lineRule="exact"/>
        <w:rPr>
          <w:rFonts w:ascii="Garamond" w:hAnsi="Garamond"/>
          <w:sz w:val="20"/>
          <w:szCs w:val="20"/>
        </w:rPr>
      </w:pPr>
      <w:r w:rsidRPr="001D74D3">
        <w:rPr>
          <w:rStyle w:val="FootnoteReference"/>
          <w:rFonts w:ascii="Garamond" w:hAnsi="Garamond"/>
          <w:sz w:val="20"/>
          <w:szCs w:val="20"/>
        </w:rPr>
        <w:footnoteRef/>
      </w:r>
      <w:r w:rsidRPr="001D74D3">
        <w:rPr>
          <w:rFonts w:ascii="Garamond" w:hAnsi="Garamond"/>
          <w:sz w:val="20"/>
          <w:szCs w:val="20"/>
        </w:rPr>
        <w:t xml:space="preserve"> Banka</w:t>
      </w:r>
      <w:r w:rsidRPr="001D74D3">
        <w:rPr>
          <w:rFonts w:ascii="Garamond" w:hAnsi="Garamond"/>
          <w:spacing w:val="-4"/>
          <w:sz w:val="20"/>
          <w:szCs w:val="20"/>
        </w:rPr>
        <w:t xml:space="preserve"> </w:t>
      </w:r>
      <w:r w:rsidRPr="001D74D3">
        <w:rPr>
          <w:rFonts w:ascii="Garamond" w:hAnsi="Garamond"/>
          <w:sz w:val="20"/>
          <w:szCs w:val="20"/>
        </w:rPr>
        <w:t>Botërore,</w:t>
      </w:r>
      <w:r w:rsidRPr="001D74D3">
        <w:rPr>
          <w:rFonts w:ascii="Garamond" w:hAnsi="Garamond"/>
          <w:spacing w:val="-6"/>
          <w:sz w:val="20"/>
          <w:szCs w:val="20"/>
        </w:rPr>
        <w:t xml:space="preserve"> </w:t>
      </w:r>
      <w:r w:rsidRPr="001D74D3">
        <w:rPr>
          <w:rFonts w:ascii="Garamond" w:hAnsi="Garamond"/>
          <w:sz w:val="20"/>
          <w:szCs w:val="20"/>
        </w:rPr>
        <w:t>fotografim</w:t>
      </w:r>
      <w:r w:rsidRPr="001D74D3">
        <w:rPr>
          <w:rFonts w:ascii="Garamond" w:hAnsi="Garamond"/>
          <w:spacing w:val="-5"/>
          <w:sz w:val="20"/>
          <w:szCs w:val="20"/>
        </w:rPr>
        <w:t xml:space="preserve"> </w:t>
      </w:r>
      <w:r w:rsidRPr="001D74D3">
        <w:rPr>
          <w:rFonts w:ascii="Garamond" w:hAnsi="Garamond"/>
          <w:sz w:val="20"/>
          <w:szCs w:val="20"/>
        </w:rPr>
        <w:t>i</w:t>
      </w:r>
      <w:r w:rsidRPr="001D74D3">
        <w:rPr>
          <w:rFonts w:ascii="Garamond" w:hAnsi="Garamond"/>
          <w:spacing w:val="-5"/>
          <w:sz w:val="20"/>
          <w:szCs w:val="20"/>
        </w:rPr>
        <w:t xml:space="preserve"> </w:t>
      </w:r>
      <w:r w:rsidRPr="001D74D3">
        <w:rPr>
          <w:rFonts w:ascii="Garamond" w:hAnsi="Garamond"/>
          <w:sz w:val="20"/>
          <w:szCs w:val="20"/>
        </w:rPr>
        <w:t>programit</w:t>
      </w:r>
      <w:r w:rsidRPr="001D74D3">
        <w:rPr>
          <w:rFonts w:ascii="Garamond" w:hAnsi="Garamond"/>
          <w:spacing w:val="-6"/>
          <w:sz w:val="20"/>
          <w:szCs w:val="20"/>
        </w:rPr>
        <w:t xml:space="preserve"> </w:t>
      </w:r>
      <w:r w:rsidRPr="001D74D3">
        <w:rPr>
          <w:rFonts w:ascii="Garamond" w:hAnsi="Garamond"/>
          <w:sz w:val="20"/>
          <w:szCs w:val="20"/>
        </w:rPr>
        <w:t>të</w:t>
      </w:r>
      <w:r w:rsidRPr="001D74D3">
        <w:rPr>
          <w:rFonts w:ascii="Garamond" w:hAnsi="Garamond"/>
          <w:spacing w:val="-6"/>
          <w:sz w:val="20"/>
          <w:szCs w:val="20"/>
        </w:rPr>
        <w:t xml:space="preserve"> </w:t>
      </w:r>
      <w:r>
        <w:rPr>
          <w:rFonts w:ascii="Garamond" w:hAnsi="Garamond"/>
          <w:sz w:val="20"/>
          <w:szCs w:val="20"/>
        </w:rPr>
        <w:t>Shtetit</w:t>
      </w:r>
    </w:p>
  </w:footnote>
  <w:footnote w:id="15">
    <w:p w14:paraId="1B93ADDA" w14:textId="0B81325B" w:rsidR="007435D6" w:rsidRPr="008F0849" w:rsidRDefault="007435D6" w:rsidP="008F0849">
      <w:pPr>
        <w:spacing w:line="245" w:lineRule="exact"/>
        <w:rPr>
          <w:rFonts w:ascii="Garamond" w:hAnsi="Garamond"/>
          <w:sz w:val="20"/>
          <w:szCs w:val="20"/>
        </w:rPr>
      </w:pPr>
      <w:r w:rsidRPr="008F0849">
        <w:rPr>
          <w:rStyle w:val="FootnoteReference"/>
          <w:rFonts w:ascii="Garamond" w:hAnsi="Garamond"/>
          <w:sz w:val="20"/>
          <w:szCs w:val="20"/>
        </w:rPr>
        <w:footnoteRef/>
      </w:r>
      <w:r w:rsidRPr="008F0849">
        <w:rPr>
          <w:rFonts w:ascii="Garamond" w:hAnsi="Garamond"/>
          <w:sz w:val="20"/>
          <w:szCs w:val="20"/>
        </w:rPr>
        <w:t xml:space="preserve"> INSTAT, Llogaritë Rajonale 2013</w:t>
      </w:r>
    </w:p>
    <w:p w14:paraId="22964B02" w14:textId="6F869B8D" w:rsidR="007435D6" w:rsidRPr="008F0849" w:rsidRDefault="007435D6">
      <w:pPr>
        <w:pStyle w:val="FootnoteText"/>
        <w:rPr>
          <w:lang w:val="en-US"/>
        </w:rPr>
      </w:pPr>
    </w:p>
  </w:footnote>
  <w:footnote w:id="16">
    <w:p w14:paraId="337363E9" w14:textId="130CBEB8" w:rsidR="007435D6" w:rsidRPr="00B6550F" w:rsidRDefault="007435D6" w:rsidP="00125348">
      <w:pPr>
        <w:widowControl w:val="0"/>
        <w:tabs>
          <w:tab w:val="left" w:pos="251"/>
        </w:tabs>
        <w:spacing w:before="70" w:after="0" w:line="240" w:lineRule="auto"/>
        <w:rPr>
          <w:rFonts w:ascii="Garamond" w:hAnsi="Garamond"/>
          <w:sz w:val="20"/>
          <w:szCs w:val="20"/>
          <w:lang w:val="en-GB"/>
        </w:rPr>
      </w:pPr>
      <w:r w:rsidRPr="00B6550F">
        <w:rPr>
          <w:rStyle w:val="FootnoteReference"/>
          <w:rFonts w:ascii="Garamond" w:hAnsi="Garamond"/>
          <w:sz w:val="20"/>
          <w:szCs w:val="20"/>
        </w:rPr>
        <w:footnoteRef/>
      </w:r>
      <w:r w:rsidRPr="00B6550F">
        <w:rPr>
          <w:rFonts w:ascii="Garamond" w:hAnsi="Garamond"/>
          <w:sz w:val="20"/>
          <w:szCs w:val="20"/>
        </w:rPr>
        <w:t xml:space="preserve"> INSTAT,</w:t>
      </w:r>
      <w:r w:rsidRPr="00B6550F">
        <w:rPr>
          <w:rFonts w:ascii="Garamond" w:hAnsi="Garamond"/>
          <w:spacing w:val="-8"/>
          <w:sz w:val="20"/>
          <w:szCs w:val="20"/>
        </w:rPr>
        <w:t xml:space="preserve"> </w:t>
      </w:r>
      <w:r w:rsidRPr="00B6550F">
        <w:rPr>
          <w:rFonts w:ascii="Garamond" w:hAnsi="Garamond"/>
          <w:sz w:val="20"/>
          <w:szCs w:val="20"/>
        </w:rPr>
        <w:t>Regjistri</w:t>
      </w:r>
      <w:r w:rsidRPr="00B6550F">
        <w:rPr>
          <w:rFonts w:ascii="Garamond" w:hAnsi="Garamond"/>
          <w:spacing w:val="-5"/>
          <w:sz w:val="20"/>
          <w:szCs w:val="20"/>
        </w:rPr>
        <w:t xml:space="preserve"> </w:t>
      </w:r>
      <w:r w:rsidRPr="00B6550F">
        <w:rPr>
          <w:rFonts w:ascii="Garamond" w:hAnsi="Garamond"/>
          <w:sz w:val="20"/>
          <w:szCs w:val="20"/>
        </w:rPr>
        <w:t>Statistikor</w:t>
      </w:r>
      <w:r w:rsidRPr="00B6550F">
        <w:rPr>
          <w:rFonts w:ascii="Garamond" w:hAnsi="Garamond"/>
          <w:spacing w:val="-6"/>
          <w:sz w:val="20"/>
          <w:szCs w:val="20"/>
        </w:rPr>
        <w:t xml:space="preserve"> </w:t>
      </w:r>
      <w:r w:rsidRPr="00B6550F">
        <w:rPr>
          <w:rFonts w:ascii="Garamond" w:hAnsi="Garamond"/>
          <w:sz w:val="20"/>
          <w:szCs w:val="20"/>
        </w:rPr>
        <w:t>i</w:t>
      </w:r>
      <w:r w:rsidRPr="00B6550F">
        <w:rPr>
          <w:rFonts w:ascii="Garamond" w:hAnsi="Garamond"/>
          <w:spacing w:val="-5"/>
          <w:sz w:val="20"/>
          <w:szCs w:val="20"/>
        </w:rPr>
        <w:t xml:space="preserve"> </w:t>
      </w:r>
      <w:r w:rsidRPr="00B6550F">
        <w:rPr>
          <w:rFonts w:ascii="Garamond" w:hAnsi="Garamond"/>
          <w:sz w:val="20"/>
          <w:szCs w:val="20"/>
        </w:rPr>
        <w:t>Biznesit</w:t>
      </w:r>
      <w:r w:rsidRPr="00B6550F">
        <w:rPr>
          <w:rFonts w:ascii="Garamond" w:hAnsi="Garamond"/>
          <w:spacing w:val="-6"/>
          <w:sz w:val="20"/>
          <w:szCs w:val="20"/>
        </w:rPr>
        <w:t xml:space="preserve"> </w:t>
      </w:r>
      <w:r w:rsidRPr="00B6550F">
        <w:rPr>
          <w:rFonts w:ascii="Garamond" w:hAnsi="Garamond"/>
          <w:sz w:val="20"/>
          <w:szCs w:val="20"/>
        </w:rPr>
        <w:t>të</w:t>
      </w:r>
      <w:r w:rsidRPr="00B6550F">
        <w:rPr>
          <w:rFonts w:ascii="Garamond" w:hAnsi="Garamond"/>
          <w:spacing w:val="-2"/>
          <w:sz w:val="20"/>
          <w:szCs w:val="20"/>
        </w:rPr>
        <w:t xml:space="preserve"> </w:t>
      </w:r>
      <w:r w:rsidRPr="00B6550F">
        <w:rPr>
          <w:rFonts w:ascii="Garamond" w:hAnsi="Garamond"/>
          <w:sz w:val="20"/>
          <w:szCs w:val="20"/>
        </w:rPr>
        <w:t>Ndërmarrjeve</w:t>
      </w:r>
      <w:r w:rsidRPr="00B6550F">
        <w:rPr>
          <w:rFonts w:ascii="Garamond" w:hAnsi="Garamond"/>
          <w:spacing w:val="-4"/>
          <w:sz w:val="20"/>
          <w:szCs w:val="20"/>
        </w:rPr>
        <w:t xml:space="preserve"> </w:t>
      </w:r>
      <w:r w:rsidRPr="00B6550F">
        <w:rPr>
          <w:rFonts w:ascii="Garamond" w:hAnsi="Garamond"/>
          <w:sz w:val="20"/>
          <w:szCs w:val="20"/>
        </w:rPr>
        <w:t>2012</w:t>
      </w:r>
    </w:p>
  </w:footnote>
  <w:footnote w:id="17">
    <w:p w14:paraId="62B7EF07" w14:textId="610C70B9" w:rsidR="007435D6" w:rsidRPr="00B6550F" w:rsidRDefault="007435D6">
      <w:pPr>
        <w:pStyle w:val="FootnoteText"/>
        <w:rPr>
          <w:rFonts w:ascii="Garamond" w:hAnsi="Garamond"/>
          <w:lang w:val="en-US"/>
        </w:rPr>
      </w:pPr>
      <w:r w:rsidRPr="00B6550F">
        <w:rPr>
          <w:rStyle w:val="FootnoteReference"/>
          <w:rFonts w:ascii="Garamond" w:hAnsi="Garamond"/>
        </w:rPr>
        <w:footnoteRef/>
      </w:r>
      <w:r w:rsidRPr="00B6550F">
        <w:rPr>
          <w:rFonts w:ascii="Garamond" w:hAnsi="Garamond"/>
        </w:rPr>
        <w:t xml:space="preserve"> Numri i ndërmarrjeve të reja të regjistruara për një vit të caktuar e shprehur në % mbi numrin e përgjithshëm të ndërmarrjeve</w:t>
      </w:r>
    </w:p>
  </w:footnote>
  <w:footnote w:id="18">
    <w:p w14:paraId="2ACAC049" w14:textId="3A0613B2" w:rsidR="007435D6" w:rsidRPr="00B6550F" w:rsidRDefault="007435D6">
      <w:pPr>
        <w:pStyle w:val="FootnoteText"/>
        <w:rPr>
          <w:lang w:val="en-US"/>
        </w:rPr>
      </w:pPr>
      <w:r w:rsidRPr="00B6550F">
        <w:rPr>
          <w:rStyle w:val="FootnoteReference"/>
          <w:rFonts w:ascii="Garamond" w:hAnsi="Garamond"/>
        </w:rPr>
        <w:footnoteRef/>
      </w:r>
      <w:r w:rsidRPr="00B6550F">
        <w:rPr>
          <w:rFonts w:ascii="Garamond" w:hAnsi="Garamond"/>
        </w:rPr>
        <w:t xml:space="preserve"> Industria</w:t>
      </w:r>
      <w:r w:rsidRPr="00B6550F">
        <w:rPr>
          <w:rFonts w:ascii="Garamond" w:hAnsi="Garamond"/>
          <w:spacing w:val="-3"/>
        </w:rPr>
        <w:t xml:space="preserve"> </w:t>
      </w:r>
      <w:r w:rsidRPr="00B6550F">
        <w:rPr>
          <w:rFonts w:ascii="Garamond" w:hAnsi="Garamond"/>
        </w:rPr>
        <w:t>dhe</w:t>
      </w:r>
      <w:r w:rsidRPr="00B6550F">
        <w:rPr>
          <w:rFonts w:ascii="Garamond" w:hAnsi="Garamond"/>
          <w:spacing w:val="-3"/>
        </w:rPr>
        <w:t xml:space="preserve"> </w:t>
      </w:r>
      <w:r w:rsidRPr="00B6550F">
        <w:rPr>
          <w:rFonts w:ascii="Garamond" w:hAnsi="Garamond"/>
        </w:rPr>
        <w:t>okupacioni</w:t>
      </w:r>
      <w:r w:rsidRPr="00B6550F">
        <w:rPr>
          <w:rFonts w:ascii="Garamond" w:hAnsi="Garamond"/>
          <w:spacing w:val="-4"/>
        </w:rPr>
        <w:t xml:space="preserve"> </w:t>
      </w:r>
      <w:r w:rsidRPr="00B6550F">
        <w:rPr>
          <w:rFonts w:ascii="Garamond" w:hAnsi="Garamond"/>
        </w:rPr>
        <w:t>i</w:t>
      </w:r>
      <w:r w:rsidRPr="00B6550F">
        <w:rPr>
          <w:rFonts w:ascii="Garamond" w:hAnsi="Garamond"/>
          <w:spacing w:val="-4"/>
        </w:rPr>
        <w:t xml:space="preserve"> </w:t>
      </w:r>
      <w:r w:rsidRPr="00B6550F">
        <w:rPr>
          <w:rFonts w:ascii="Garamond" w:hAnsi="Garamond"/>
        </w:rPr>
        <w:t>popullsisë</w:t>
      </w:r>
      <w:r w:rsidRPr="00B6550F">
        <w:rPr>
          <w:rFonts w:ascii="Garamond" w:hAnsi="Garamond"/>
          <w:spacing w:val="-3"/>
        </w:rPr>
        <w:t xml:space="preserve"> </w:t>
      </w:r>
      <w:r w:rsidRPr="00B6550F">
        <w:rPr>
          <w:rFonts w:ascii="Garamond" w:hAnsi="Garamond"/>
        </w:rPr>
        <w:t>në</w:t>
      </w:r>
      <w:r w:rsidRPr="00B6550F">
        <w:rPr>
          <w:rFonts w:ascii="Garamond" w:hAnsi="Garamond"/>
          <w:spacing w:val="-5"/>
        </w:rPr>
        <w:t xml:space="preserve"> </w:t>
      </w:r>
      <w:r w:rsidRPr="00B6550F">
        <w:rPr>
          <w:rFonts w:ascii="Garamond" w:hAnsi="Garamond"/>
        </w:rPr>
        <w:t>Malin</w:t>
      </w:r>
      <w:r w:rsidRPr="00B6550F">
        <w:rPr>
          <w:rFonts w:ascii="Garamond" w:hAnsi="Garamond"/>
          <w:spacing w:val="-5"/>
        </w:rPr>
        <w:t xml:space="preserve"> </w:t>
      </w:r>
      <w:r w:rsidRPr="00B6550F">
        <w:rPr>
          <w:rFonts w:ascii="Garamond" w:hAnsi="Garamond"/>
        </w:rPr>
        <w:t>e</w:t>
      </w:r>
      <w:r w:rsidRPr="00B6550F">
        <w:rPr>
          <w:rFonts w:ascii="Garamond" w:hAnsi="Garamond"/>
          <w:spacing w:val="-3"/>
        </w:rPr>
        <w:t xml:space="preserve"> </w:t>
      </w:r>
      <w:r w:rsidRPr="00B6550F">
        <w:rPr>
          <w:rFonts w:ascii="Garamond" w:hAnsi="Garamond"/>
        </w:rPr>
        <w:t>Zi-Census</w:t>
      </w:r>
      <w:r w:rsidRPr="00B6550F">
        <w:rPr>
          <w:rFonts w:ascii="Garamond" w:hAnsi="Garamond"/>
          <w:spacing w:val="-5"/>
        </w:rPr>
        <w:t xml:space="preserve"> </w:t>
      </w:r>
      <w:r w:rsidRPr="00B6550F">
        <w:rPr>
          <w:rFonts w:ascii="Garamond" w:hAnsi="Garamond"/>
        </w:rPr>
        <w:t>i</w:t>
      </w:r>
      <w:r w:rsidRPr="00B6550F">
        <w:rPr>
          <w:rFonts w:ascii="Garamond" w:hAnsi="Garamond"/>
          <w:spacing w:val="-4"/>
        </w:rPr>
        <w:t xml:space="preserve"> </w:t>
      </w:r>
      <w:r w:rsidRPr="00B6550F">
        <w:rPr>
          <w:rFonts w:ascii="Garamond" w:hAnsi="Garamond"/>
        </w:rPr>
        <w:t>vitit</w:t>
      </w:r>
      <w:r w:rsidRPr="00B6550F">
        <w:rPr>
          <w:rFonts w:ascii="Garamond" w:hAnsi="Garamond"/>
          <w:spacing w:val="-5"/>
        </w:rPr>
        <w:t xml:space="preserve"> </w:t>
      </w:r>
      <w:r w:rsidRPr="00B6550F">
        <w:rPr>
          <w:rFonts w:ascii="Garamond" w:hAnsi="Garamond"/>
        </w:rPr>
        <w:t>2011,</w:t>
      </w:r>
      <w:r w:rsidRPr="00B6550F">
        <w:rPr>
          <w:rFonts w:ascii="Garamond" w:hAnsi="Garamond"/>
          <w:spacing w:val="-5"/>
        </w:rPr>
        <w:t xml:space="preserve"> </w:t>
      </w:r>
      <w:r w:rsidRPr="00B6550F">
        <w:rPr>
          <w:rFonts w:ascii="Garamond" w:hAnsi="Garamond"/>
        </w:rPr>
        <w:t>publikimi</w:t>
      </w:r>
      <w:r w:rsidRPr="00B6550F">
        <w:rPr>
          <w:rFonts w:ascii="Garamond" w:hAnsi="Garamond"/>
          <w:spacing w:val="-4"/>
        </w:rPr>
        <w:t xml:space="preserve"> </w:t>
      </w:r>
      <w:r w:rsidRPr="00B6550F">
        <w:rPr>
          <w:rFonts w:ascii="Garamond" w:hAnsi="Garamond"/>
        </w:rPr>
        <w:t>197</w:t>
      </w:r>
      <w:r w:rsidRPr="00B6550F">
        <w:rPr>
          <w:rFonts w:ascii="Garamond" w:hAnsi="Garamond"/>
          <w:spacing w:val="-3"/>
        </w:rPr>
        <w:t xml:space="preserve"> </w:t>
      </w:r>
      <w:r w:rsidRPr="00B6550F">
        <w:rPr>
          <w:rFonts w:ascii="Garamond" w:hAnsi="Garamond"/>
        </w:rPr>
        <w:t>i</w:t>
      </w:r>
      <w:r w:rsidRPr="00B6550F">
        <w:rPr>
          <w:rFonts w:ascii="Garamond" w:hAnsi="Garamond"/>
          <w:spacing w:val="-4"/>
        </w:rPr>
        <w:t xml:space="preserve"> </w:t>
      </w:r>
      <w:r w:rsidRPr="00B6550F">
        <w:rPr>
          <w:rFonts w:ascii="Garamond" w:hAnsi="Garamond"/>
        </w:rPr>
        <w:t>MONSTAT</w:t>
      </w:r>
    </w:p>
  </w:footnote>
  <w:footnote w:id="19">
    <w:p w14:paraId="18F593BF" w14:textId="103F0E0F" w:rsidR="007435D6" w:rsidRPr="00A13DF7" w:rsidRDefault="007435D6">
      <w:pPr>
        <w:pStyle w:val="FootnoteText"/>
        <w:rPr>
          <w:rFonts w:ascii="Garamond" w:hAnsi="Garamond"/>
          <w:lang w:val="en-US"/>
        </w:rPr>
      </w:pPr>
      <w:r w:rsidRPr="00A13DF7">
        <w:rPr>
          <w:rStyle w:val="FootnoteReference"/>
          <w:rFonts w:ascii="Garamond" w:hAnsi="Garamond"/>
        </w:rPr>
        <w:footnoteRef/>
      </w:r>
      <w:r w:rsidRPr="00A13DF7">
        <w:rPr>
          <w:rFonts w:ascii="Garamond" w:hAnsi="Garamond"/>
        </w:rPr>
        <w:t xml:space="preserve"> Libri statistikor, Ministria e Bujqësisë</w:t>
      </w:r>
    </w:p>
  </w:footnote>
  <w:footnote w:id="20">
    <w:p w14:paraId="110D03E3" w14:textId="4D684075" w:rsidR="007435D6" w:rsidRPr="00A13DF7" w:rsidRDefault="007435D6" w:rsidP="00A13DF7">
      <w:pPr>
        <w:widowControl w:val="0"/>
        <w:tabs>
          <w:tab w:val="left" w:pos="326"/>
        </w:tabs>
        <w:spacing w:before="1" w:after="0" w:line="243" w:lineRule="exact"/>
        <w:rPr>
          <w:rFonts w:ascii="Garamond" w:hAnsi="Garamond"/>
          <w:sz w:val="20"/>
          <w:szCs w:val="20"/>
          <w:lang w:val="en-GB"/>
        </w:rPr>
      </w:pPr>
      <w:r w:rsidRPr="00A13DF7">
        <w:rPr>
          <w:rStyle w:val="FootnoteReference"/>
          <w:rFonts w:ascii="Garamond" w:hAnsi="Garamond"/>
          <w:sz w:val="20"/>
          <w:szCs w:val="20"/>
        </w:rPr>
        <w:footnoteRef/>
      </w:r>
      <w:r w:rsidRPr="00A13DF7">
        <w:rPr>
          <w:rFonts w:ascii="Garamond" w:hAnsi="Garamond"/>
          <w:sz w:val="20"/>
          <w:szCs w:val="20"/>
        </w:rPr>
        <w:t xml:space="preserve"> Këshilli</w:t>
      </w:r>
      <w:r w:rsidRPr="00A13DF7">
        <w:rPr>
          <w:rFonts w:ascii="Garamond" w:hAnsi="Garamond"/>
          <w:spacing w:val="-5"/>
          <w:sz w:val="20"/>
          <w:szCs w:val="20"/>
        </w:rPr>
        <w:t xml:space="preserve"> </w:t>
      </w:r>
      <w:r w:rsidRPr="00A13DF7">
        <w:rPr>
          <w:rFonts w:ascii="Garamond" w:hAnsi="Garamond"/>
          <w:sz w:val="20"/>
          <w:szCs w:val="20"/>
        </w:rPr>
        <w:t>i</w:t>
      </w:r>
      <w:r w:rsidRPr="00A13DF7">
        <w:rPr>
          <w:rFonts w:ascii="Garamond" w:hAnsi="Garamond"/>
          <w:spacing w:val="-4"/>
          <w:sz w:val="20"/>
          <w:szCs w:val="20"/>
        </w:rPr>
        <w:t xml:space="preserve"> </w:t>
      </w:r>
      <w:r w:rsidRPr="00A13DF7">
        <w:rPr>
          <w:rFonts w:ascii="Garamond" w:hAnsi="Garamond"/>
          <w:sz w:val="20"/>
          <w:szCs w:val="20"/>
        </w:rPr>
        <w:t>Udhëtimeve</w:t>
      </w:r>
      <w:r w:rsidRPr="00A13DF7">
        <w:rPr>
          <w:rFonts w:ascii="Garamond" w:hAnsi="Garamond"/>
          <w:spacing w:val="-5"/>
          <w:sz w:val="20"/>
          <w:szCs w:val="20"/>
        </w:rPr>
        <w:t xml:space="preserve"> </w:t>
      </w:r>
      <w:r w:rsidRPr="00A13DF7">
        <w:rPr>
          <w:rFonts w:ascii="Garamond" w:hAnsi="Garamond"/>
          <w:sz w:val="20"/>
          <w:szCs w:val="20"/>
        </w:rPr>
        <w:t>nëpër</w:t>
      </w:r>
      <w:r w:rsidRPr="00A13DF7">
        <w:rPr>
          <w:rFonts w:ascii="Garamond" w:hAnsi="Garamond"/>
          <w:spacing w:val="-5"/>
          <w:sz w:val="20"/>
          <w:szCs w:val="20"/>
        </w:rPr>
        <w:t xml:space="preserve"> </w:t>
      </w:r>
      <w:r w:rsidRPr="00A13DF7">
        <w:rPr>
          <w:rFonts w:ascii="Garamond" w:hAnsi="Garamond"/>
          <w:sz w:val="20"/>
          <w:szCs w:val="20"/>
        </w:rPr>
        <w:t>Botë</w:t>
      </w:r>
      <w:r w:rsidRPr="00A13DF7">
        <w:rPr>
          <w:rFonts w:ascii="Garamond" w:hAnsi="Garamond"/>
          <w:spacing w:val="-3"/>
          <w:sz w:val="20"/>
          <w:szCs w:val="20"/>
        </w:rPr>
        <w:t xml:space="preserve"> </w:t>
      </w:r>
      <w:r w:rsidRPr="00A13DF7">
        <w:rPr>
          <w:rFonts w:ascii="Garamond" w:hAnsi="Garamond"/>
          <w:sz w:val="20"/>
          <w:szCs w:val="20"/>
        </w:rPr>
        <w:t>dhe</w:t>
      </w:r>
      <w:r w:rsidRPr="00A13DF7">
        <w:rPr>
          <w:rFonts w:ascii="Garamond" w:hAnsi="Garamond"/>
          <w:spacing w:val="-5"/>
          <w:sz w:val="20"/>
          <w:szCs w:val="20"/>
        </w:rPr>
        <w:t xml:space="preserve"> </w:t>
      </w:r>
      <w:r w:rsidRPr="00A13DF7">
        <w:rPr>
          <w:rFonts w:ascii="Garamond" w:hAnsi="Garamond"/>
          <w:sz w:val="20"/>
          <w:szCs w:val="20"/>
        </w:rPr>
        <w:t>Turizmit</w:t>
      </w:r>
      <w:r w:rsidRPr="00A13DF7">
        <w:rPr>
          <w:rFonts w:ascii="Garamond" w:hAnsi="Garamond"/>
          <w:spacing w:val="-3"/>
          <w:sz w:val="20"/>
          <w:szCs w:val="20"/>
        </w:rPr>
        <w:t xml:space="preserve"> </w:t>
      </w:r>
      <w:r w:rsidRPr="00A13DF7">
        <w:rPr>
          <w:rFonts w:ascii="Garamond" w:hAnsi="Garamond"/>
          <w:sz w:val="20"/>
          <w:szCs w:val="20"/>
        </w:rPr>
        <w:t>-</w:t>
      </w:r>
      <w:r w:rsidRPr="00A13DF7">
        <w:rPr>
          <w:rFonts w:ascii="Garamond" w:hAnsi="Garamond"/>
          <w:spacing w:val="-5"/>
          <w:sz w:val="20"/>
          <w:szCs w:val="20"/>
        </w:rPr>
        <w:t xml:space="preserve"> </w:t>
      </w:r>
      <w:r w:rsidRPr="00A13DF7">
        <w:rPr>
          <w:rFonts w:ascii="Garamond" w:hAnsi="Garamond"/>
          <w:sz w:val="20"/>
          <w:szCs w:val="20"/>
        </w:rPr>
        <w:t>Mars</w:t>
      </w:r>
      <w:r w:rsidRPr="00A13DF7">
        <w:rPr>
          <w:rFonts w:ascii="Garamond" w:hAnsi="Garamond"/>
          <w:spacing w:val="-5"/>
          <w:sz w:val="20"/>
          <w:szCs w:val="20"/>
        </w:rPr>
        <w:t xml:space="preserve"> </w:t>
      </w:r>
      <w:r w:rsidRPr="00A13DF7">
        <w:rPr>
          <w:rFonts w:ascii="Garamond" w:hAnsi="Garamond"/>
          <w:sz w:val="20"/>
          <w:szCs w:val="20"/>
        </w:rPr>
        <w:t>2013</w:t>
      </w:r>
    </w:p>
  </w:footnote>
  <w:footnote w:id="21">
    <w:p w14:paraId="7E8493AB" w14:textId="54382DB6" w:rsidR="007435D6" w:rsidRPr="00A13DF7" w:rsidRDefault="007435D6" w:rsidP="00A13DF7">
      <w:pPr>
        <w:pStyle w:val="TEKSTI"/>
        <w:ind w:firstLine="0"/>
        <w:rPr>
          <w:sz w:val="20"/>
          <w:szCs w:val="20"/>
        </w:rPr>
      </w:pPr>
      <w:r w:rsidRPr="00A13DF7">
        <w:rPr>
          <w:rStyle w:val="FootnoteReference"/>
          <w:sz w:val="20"/>
          <w:szCs w:val="20"/>
        </w:rPr>
        <w:footnoteRef/>
      </w:r>
      <w:r w:rsidRPr="00A13DF7">
        <w:rPr>
          <w:sz w:val="20"/>
          <w:szCs w:val="20"/>
        </w:rPr>
        <w:t xml:space="preserve"> MONSTAT</w:t>
      </w:r>
      <w:r w:rsidRPr="00A13DF7">
        <w:rPr>
          <w:spacing w:val="-4"/>
          <w:sz w:val="20"/>
          <w:szCs w:val="20"/>
        </w:rPr>
        <w:t xml:space="preserve"> </w:t>
      </w:r>
      <w:r w:rsidRPr="00A13DF7">
        <w:rPr>
          <w:sz w:val="20"/>
          <w:szCs w:val="20"/>
        </w:rPr>
        <w:t>–</w:t>
      </w:r>
      <w:r w:rsidRPr="00A13DF7">
        <w:rPr>
          <w:spacing w:val="-4"/>
          <w:sz w:val="20"/>
          <w:szCs w:val="20"/>
        </w:rPr>
        <w:t xml:space="preserve"> </w:t>
      </w:r>
      <w:r w:rsidRPr="00A13DF7">
        <w:rPr>
          <w:sz w:val="20"/>
          <w:szCs w:val="20"/>
        </w:rPr>
        <w:t>Mbërritjet</w:t>
      </w:r>
      <w:r w:rsidRPr="00A13DF7">
        <w:rPr>
          <w:spacing w:val="-6"/>
          <w:sz w:val="20"/>
          <w:szCs w:val="20"/>
        </w:rPr>
        <w:t xml:space="preserve"> </w:t>
      </w:r>
      <w:r w:rsidRPr="00A13DF7">
        <w:rPr>
          <w:sz w:val="20"/>
          <w:szCs w:val="20"/>
        </w:rPr>
        <w:t>turistike</w:t>
      </w:r>
      <w:r w:rsidRPr="00A13DF7">
        <w:rPr>
          <w:spacing w:val="-4"/>
          <w:sz w:val="20"/>
          <w:szCs w:val="20"/>
        </w:rPr>
        <w:t xml:space="preserve"> </w:t>
      </w:r>
      <w:r w:rsidRPr="00A13DF7">
        <w:rPr>
          <w:sz w:val="20"/>
          <w:szCs w:val="20"/>
        </w:rPr>
        <w:t>dhe</w:t>
      </w:r>
      <w:r w:rsidRPr="00A13DF7">
        <w:rPr>
          <w:spacing w:val="-4"/>
          <w:sz w:val="20"/>
          <w:szCs w:val="20"/>
        </w:rPr>
        <w:t xml:space="preserve"> </w:t>
      </w:r>
      <w:r w:rsidRPr="00A13DF7">
        <w:rPr>
          <w:sz w:val="20"/>
          <w:szCs w:val="20"/>
        </w:rPr>
        <w:t>qëndrimet</w:t>
      </w:r>
      <w:r w:rsidRPr="00A13DF7">
        <w:rPr>
          <w:spacing w:val="-6"/>
          <w:sz w:val="20"/>
          <w:szCs w:val="20"/>
        </w:rPr>
        <w:t xml:space="preserve"> </w:t>
      </w:r>
      <w:r w:rsidRPr="00A13DF7">
        <w:rPr>
          <w:sz w:val="20"/>
          <w:szCs w:val="20"/>
        </w:rPr>
        <w:t>me</w:t>
      </w:r>
      <w:r w:rsidRPr="00A13DF7">
        <w:rPr>
          <w:spacing w:val="-4"/>
          <w:sz w:val="20"/>
          <w:szCs w:val="20"/>
        </w:rPr>
        <w:t xml:space="preserve"> </w:t>
      </w:r>
      <w:r w:rsidRPr="00A13DF7">
        <w:rPr>
          <w:sz w:val="20"/>
          <w:szCs w:val="20"/>
        </w:rPr>
        <w:t>fjetje</w:t>
      </w:r>
      <w:r w:rsidRPr="00A13DF7">
        <w:rPr>
          <w:spacing w:val="-4"/>
          <w:sz w:val="20"/>
          <w:szCs w:val="20"/>
        </w:rPr>
        <w:t xml:space="preserve"> </w:t>
      </w:r>
      <w:r w:rsidRPr="00A13DF7">
        <w:rPr>
          <w:sz w:val="20"/>
          <w:szCs w:val="20"/>
        </w:rPr>
        <w:t>sipas</w:t>
      </w:r>
      <w:r w:rsidRPr="00A13DF7">
        <w:rPr>
          <w:spacing w:val="-6"/>
          <w:sz w:val="20"/>
          <w:szCs w:val="20"/>
        </w:rPr>
        <w:t xml:space="preserve"> </w:t>
      </w:r>
      <w:r w:rsidRPr="00A13DF7">
        <w:rPr>
          <w:sz w:val="20"/>
          <w:szCs w:val="20"/>
        </w:rPr>
        <w:t>qyteteve</w:t>
      </w:r>
      <w:r w:rsidRPr="00A13DF7">
        <w:rPr>
          <w:spacing w:val="-3"/>
          <w:sz w:val="20"/>
          <w:szCs w:val="20"/>
        </w:rPr>
        <w:t xml:space="preserve"> </w:t>
      </w:r>
      <w:r w:rsidRPr="00A13DF7">
        <w:rPr>
          <w:sz w:val="20"/>
          <w:szCs w:val="20"/>
        </w:rPr>
        <w:t>2012</w:t>
      </w:r>
    </w:p>
  </w:footnote>
  <w:footnote w:id="22">
    <w:p w14:paraId="0F8DB855" w14:textId="1A256539" w:rsidR="007435D6" w:rsidRPr="00A13DF7" w:rsidRDefault="007435D6" w:rsidP="00A13DF7">
      <w:pPr>
        <w:pStyle w:val="TEKSTI"/>
        <w:ind w:firstLine="0"/>
        <w:rPr>
          <w:sz w:val="20"/>
        </w:rPr>
      </w:pPr>
      <w:r w:rsidRPr="00A13DF7">
        <w:rPr>
          <w:rStyle w:val="FootnoteReference"/>
          <w:sz w:val="20"/>
          <w:szCs w:val="20"/>
        </w:rPr>
        <w:footnoteRef/>
      </w:r>
      <w:r w:rsidRPr="00A13DF7">
        <w:rPr>
          <w:sz w:val="20"/>
          <w:szCs w:val="20"/>
        </w:rPr>
        <w:t xml:space="preserve"> Observatori i Transportit Jug-Lindor. Korridoret e rrugëve &amp; Lidhjet që përfshijnë: Shqipërinë, Bosnjen, Kroacinë, Kosovën, Ish Republikën Jugosllave të Maqedonisë, Serbinë, Malin e Zi</w:t>
      </w:r>
    </w:p>
  </w:footnote>
  <w:footnote w:id="23">
    <w:p w14:paraId="5DCF0C72" w14:textId="4DD657C8" w:rsidR="007435D6" w:rsidRPr="00A00F76" w:rsidRDefault="007435D6" w:rsidP="00A00F76">
      <w:pPr>
        <w:spacing w:after="0" w:line="240" w:lineRule="auto"/>
        <w:rPr>
          <w:rFonts w:ascii="Garamond" w:hAnsi="Garamond"/>
          <w:sz w:val="20"/>
          <w:szCs w:val="20"/>
        </w:rPr>
      </w:pPr>
      <w:r w:rsidRPr="00A00F76">
        <w:rPr>
          <w:rStyle w:val="FootnoteReference"/>
          <w:rFonts w:ascii="Garamond" w:hAnsi="Garamond"/>
          <w:sz w:val="20"/>
          <w:szCs w:val="20"/>
        </w:rPr>
        <w:footnoteRef/>
      </w:r>
      <w:r w:rsidRPr="00A00F76">
        <w:rPr>
          <w:rFonts w:ascii="Garamond" w:hAnsi="Garamond"/>
          <w:sz w:val="20"/>
          <w:szCs w:val="20"/>
        </w:rPr>
        <w:t xml:space="preserve"> Shqipëri, Census 2011</w:t>
      </w:r>
    </w:p>
  </w:footnote>
  <w:footnote w:id="24">
    <w:p w14:paraId="710A13A0" w14:textId="60CEC11A" w:rsidR="007435D6" w:rsidRPr="007847F1" w:rsidRDefault="007435D6" w:rsidP="007847F1">
      <w:pPr>
        <w:pStyle w:val="FootnoteText"/>
        <w:rPr>
          <w:lang w:val="en-US"/>
        </w:rPr>
      </w:pPr>
      <w:r w:rsidRPr="00A00F76">
        <w:rPr>
          <w:rStyle w:val="FootnoteReference"/>
          <w:rFonts w:ascii="Garamond" w:hAnsi="Garamond"/>
        </w:rPr>
        <w:footnoteRef/>
      </w:r>
      <w:r w:rsidRPr="00A00F76">
        <w:rPr>
          <w:rFonts w:ascii="Garamond" w:hAnsi="Garamond"/>
        </w:rPr>
        <w:t xml:space="preserve"> MONSTAT, Popullsia sipas njohurive kompjuterike për bashkitë në Mal të Zi 2011, Publikimi Nr. 156</w:t>
      </w:r>
    </w:p>
  </w:footnote>
  <w:footnote w:id="25">
    <w:p w14:paraId="1A892FF9" w14:textId="095978AD" w:rsidR="007435D6" w:rsidRPr="0076232C" w:rsidRDefault="007435D6">
      <w:pPr>
        <w:pStyle w:val="FootnoteText"/>
        <w:rPr>
          <w:lang w:val="en-US"/>
        </w:rPr>
      </w:pPr>
      <w:r>
        <w:rPr>
          <w:rStyle w:val="FootnoteReference"/>
        </w:rPr>
        <w:footnoteRef/>
      </w:r>
      <w:r>
        <w:t xml:space="preserve"> </w:t>
      </w:r>
      <w:r>
        <w:rPr>
          <w:sz w:val="16"/>
        </w:rPr>
        <w:t>MONSTAT. Banesat, lidhur me pajisjen me instalime, Publikimi Nr. 280</w:t>
      </w:r>
    </w:p>
  </w:footnote>
  <w:footnote w:id="26">
    <w:p w14:paraId="00A98657" w14:textId="035C1849" w:rsidR="007435D6" w:rsidRPr="0076232C" w:rsidRDefault="007435D6" w:rsidP="0076232C">
      <w:pPr>
        <w:spacing w:before="72" w:after="0" w:line="240" w:lineRule="auto"/>
        <w:ind w:right="4751"/>
        <w:rPr>
          <w:sz w:val="16"/>
        </w:rPr>
      </w:pPr>
      <w:r>
        <w:rPr>
          <w:rStyle w:val="FootnoteReference"/>
        </w:rPr>
        <w:footnoteRef/>
      </w:r>
      <w:r>
        <w:t xml:space="preserve"> </w:t>
      </w:r>
      <w:r>
        <w:rPr>
          <w:sz w:val="16"/>
        </w:rPr>
        <w:t>Census Mal i Zi, 2011</w:t>
      </w:r>
    </w:p>
  </w:footnote>
  <w:footnote w:id="27">
    <w:p w14:paraId="2389140F" w14:textId="5018208D" w:rsidR="007435D6" w:rsidRPr="0076232C" w:rsidRDefault="007435D6" w:rsidP="0076232C">
      <w:pPr>
        <w:pStyle w:val="FootnoteText"/>
        <w:rPr>
          <w:lang w:val="en-US"/>
        </w:rPr>
      </w:pPr>
      <w:r>
        <w:rPr>
          <w:rStyle w:val="FootnoteReference"/>
        </w:rPr>
        <w:footnoteRef/>
      </w:r>
      <w:r>
        <w:t xml:space="preserve"> </w:t>
      </w:r>
      <w:r>
        <w:rPr>
          <w:sz w:val="16"/>
        </w:rPr>
        <w:t>INSTAT, Buletini Statistikor Tremujor, Nr. 2, 2013</w:t>
      </w:r>
    </w:p>
  </w:footnote>
  <w:footnote w:id="28">
    <w:p w14:paraId="26D06AF4" w14:textId="12E6F31E" w:rsidR="007435D6" w:rsidRPr="00630347" w:rsidRDefault="007435D6" w:rsidP="00630347">
      <w:pPr>
        <w:spacing w:after="0" w:line="240" w:lineRule="auto"/>
        <w:rPr>
          <w:sz w:val="16"/>
        </w:rPr>
      </w:pPr>
      <w:r>
        <w:rPr>
          <w:rStyle w:val="FootnoteReference"/>
        </w:rPr>
        <w:footnoteRef/>
      </w:r>
      <w:r>
        <w:t xml:space="preserve"> </w:t>
      </w:r>
      <w:r>
        <w:rPr>
          <w:sz w:val="16"/>
        </w:rPr>
        <w:t>Norma e papunësisë përfaqëson përqindjen e personave të papunësuar në popullsinë e përgjithshme aktive.</w:t>
      </w:r>
    </w:p>
  </w:footnote>
  <w:footnote w:id="29">
    <w:p w14:paraId="3A15788C" w14:textId="0F70B205" w:rsidR="007435D6" w:rsidRPr="00630347" w:rsidRDefault="007435D6">
      <w:pPr>
        <w:pStyle w:val="FootnoteText"/>
        <w:rPr>
          <w:lang w:val="en-US"/>
        </w:rPr>
      </w:pPr>
      <w:r>
        <w:rPr>
          <w:rStyle w:val="FootnoteReference"/>
        </w:rPr>
        <w:footnoteRef/>
      </w:r>
      <w:r>
        <w:t xml:space="preserve"> </w:t>
      </w:r>
      <w:r>
        <w:rPr>
          <w:sz w:val="16"/>
        </w:rPr>
        <w:t>S &amp; Zh në 2011, Zyra Statistikore e Malit të Zi, publikimi Nr. 24</w:t>
      </w:r>
    </w:p>
  </w:footnote>
  <w:footnote w:id="30">
    <w:p w14:paraId="22D28E45" w14:textId="78D2C00F" w:rsidR="007435D6" w:rsidRPr="00630347" w:rsidRDefault="007435D6">
      <w:pPr>
        <w:pStyle w:val="FootnoteText"/>
        <w:rPr>
          <w:lang w:val="en-US"/>
        </w:rPr>
      </w:pPr>
      <w:r>
        <w:rPr>
          <w:rStyle w:val="FootnoteReference"/>
        </w:rPr>
        <w:footnoteRef/>
      </w:r>
      <w:r>
        <w:t xml:space="preserve"> </w:t>
      </w:r>
      <w:r>
        <w:rPr>
          <w:sz w:val="16"/>
        </w:rPr>
        <w:t>Shqipëri, Buxheti i Shtetit 2012</w:t>
      </w:r>
    </w:p>
  </w:footnote>
  <w:footnote w:id="31">
    <w:p w14:paraId="4ACE69AD" w14:textId="71ADEAF6" w:rsidR="007435D6" w:rsidRPr="0085462C" w:rsidRDefault="007435D6" w:rsidP="0085462C">
      <w:pPr>
        <w:widowControl w:val="0"/>
        <w:tabs>
          <w:tab w:val="left" w:pos="340"/>
        </w:tabs>
        <w:spacing w:before="72" w:after="0" w:line="255" w:lineRule="exact"/>
        <w:rPr>
          <w:sz w:val="16"/>
          <w:lang w:val="en-GB"/>
        </w:rPr>
      </w:pPr>
      <w:r>
        <w:rPr>
          <w:rStyle w:val="FootnoteReference"/>
        </w:rPr>
        <w:footnoteRef/>
      </w:r>
      <w:r>
        <w:t xml:space="preserve"> </w:t>
      </w:r>
      <w:r w:rsidRPr="0085462C">
        <w:rPr>
          <w:sz w:val="16"/>
        </w:rPr>
        <w:t>Raporti</w:t>
      </w:r>
      <w:r w:rsidRPr="0085462C">
        <w:rPr>
          <w:spacing w:val="-1"/>
          <w:sz w:val="16"/>
        </w:rPr>
        <w:t xml:space="preserve"> </w:t>
      </w:r>
      <w:r w:rsidRPr="0085462C">
        <w:rPr>
          <w:sz w:val="16"/>
        </w:rPr>
        <w:t>i</w:t>
      </w:r>
      <w:r w:rsidRPr="0085462C">
        <w:rPr>
          <w:spacing w:val="-3"/>
          <w:sz w:val="16"/>
        </w:rPr>
        <w:t xml:space="preserve"> </w:t>
      </w:r>
      <w:r w:rsidRPr="0085462C">
        <w:rPr>
          <w:sz w:val="16"/>
        </w:rPr>
        <w:t>Vlerësimit</w:t>
      </w:r>
      <w:r w:rsidRPr="0085462C">
        <w:rPr>
          <w:spacing w:val="-3"/>
          <w:sz w:val="16"/>
        </w:rPr>
        <w:t xml:space="preserve"> </w:t>
      </w:r>
      <w:r w:rsidRPr="0085462C">
        <w:rPr>
          <w:sz w:val="16"/>
        </w:rPr>
        <w:t>të</w:t>
      </w:r>
      <w:r w:rsidRPr="0085462C">
        <w:rPr>
          <w:spacing w:val="-3"/>
          <w:sz w:val="16"/>
        </w:rPr>
        <w:t xml:space="preserve"> </w:t>
      </w:r>
      <w:r w:rsidRPr="0085462C">
        <w:rPr>
          <w:sz w:val="16"/>
        </w:rPr>
        <w:t>Nevojave</w:t>
      </w:r>
      <w:r w:rsidRPr="0085462C">
        <w:rPr>
          <w:spacing w:val="-3"/>
          <w:sz w:val="16"/>
        </w:rPr>
        <w:t xml:space="preserve"> </w:t>
      </w:r>
      <w:r w:rsidRPr="0085462C">
        <w:rPr>
          <w:sz w:val="16"/>
        </w:rPr>
        <w:t>në</w:t>
      </w:r>
      <w:r w:rsidRPr="0085462C">
        <w:rPr>
          <w:spacing w:val="-1"/>
          <w:sz w:val="16"/>
        </w:rPr>
        <w:t xml:space="preserve"> </w:t>
      </w:r>
      <w:r w:rsidRPr="0085462C">
        <w:rPr>
          <w:sz w:val="16"/>
        </w:rPr>
        <w:t>Mal</w:t>
      </w:r>
      <w:r w:rsidRPr="0085462C">
        <w:rPr>
          <w:spacing w:val="-4"/>
          <w:sz w:val="16"/>
        </w:rPr>
        <w:t xml:space="preserve"> </w:t>
      </w:r>
      <w:r w:rsidRPr="0085462C">
        <w:rPr>
          <w:sz w:val="16"/>
        </w:rPr>
        <w:t>të</w:t>
      </w:r>
      <w:r w:rsidRPr="0085462C">
        <w:rPr>
          <w:spacing w:val="-3"/>
          <w:sz w:val="16"/>
        </w:rPr>
        <w:t xml:space="preserve"> </w:t>
      </w:r>
      <w:r w:rsidRPr="0085462C">
        <w:rPr>
          <w:sz w:val="16"/>
        </w:rPr>
        <w:t>Zi</w:t>
      </w:r>
      <w:r w:rsidRPr="0085462C">
        <w:rPr>
          <w:spacing w:val="-1"/>
          <w:sz w:val="16"/>
        </w:rPr>
        <w:t xml:space="preserve"> </w:t>
      </w:r>
      <w:r w:rsidRPr="0085462C">
        <w:rPr>
          <w:sz w:val="16"/>
        </w:rPr>
        <w:t>nga</w:t>
      </w:r>
      <w:r w:rsidRPr="0085462C">
        <w:rPr>
          <w:spacing w:val="-3"/>
          <w:sz w:val="16"/>
        </w:rPr>
        <w:t xml:space="preserve"> </w:t>
      </w:r>
      <w:r w:rsidRPr="0085462C">
        <w:rPr>
          <w:sz w:val="16"/>
        </w:rPr>
        <w:t>TACSO.</w:t>
      </w:r>
      <w:r w:rsidRPr="0085462C">
        <w:rPr>
          <w:spacing w:val="-1"/>
          <w:sz w:val="16"/>
        </w:rPr>
        <w:t xml:space="preserve"> </w:t>
      </w:r>
      <w:r w:rsidRPr="0085462C">
        <w:rPr>
          <w:sz w:val="16"/>
        </w:rPr>
        <w:t>Nuk</w:t>
      </w:r>
      <w:r w:rsidRPr="0085462C">
        <w:rPr>
          <w:spacing w:val="-4"/>
          <w:sz w:val="16"/>
        </w:rPr>
        <w:t xml:space="preserve"> </w:t>
      </w:r>
      <w:r w:rsidRPr="0085462C">
        <w:rPr>
          <w:sz w:val="16"/>
        </w:rPr>
        <w:t>dihet</w:t>
      </w:r>
      <w:r w:rsidRPr="0085462C">
        <w:rPr>
          <w:spacing w:val="-3"/>
          <w:sz w:val="16"/>
        </w:rPr>
        <w:t xml:space="preserve"> </w:t>
      </w:r>
      <w:r w:rsidRPr="0085462C">
        <w:rPr>
          <w:sz w:val="16"/>
        </w:rPr>
        <w:t>se</w:t>
      </w:r>
      <w:r w:rsidRPr="0085462C">
        <w:rPr>
          <w:spacing w:val="-3"/>
          <w:sz w:val="16"/>
        </w:rPr>
        <w:t xml:space="preserve"> </w:t>
      </w:r>
      <w:r w:rsidRPr="0085462C">
        <w:rPr>
          <w:sz w:val="16"/>
        </w:rPr>
        <w:t>sa</w:t>
      </w:r>
      <w:r w:rsidRPr="0085462C">
        <w:rPr>
          <w:spacing w:val="-1"/>
          <w:sz w:val="16"/>
        </w:rPr>
        <w:t xml:space="preserve"> </w:t>
      </w:r>
      <w:r w:rsidRPr="0085462C">
        <w:rPr>
          <w:sz w:val="16"/>
        </w:rPr>
        <w:t>prej</w:t>
      </w:r>
      <w:r w:rsidRPr="0085462C">
        <w:rPr>
          <w:spacing w:val="-2"/>
          <w:sz w:val="16"/>
        </w:rPr>
        <w:t xml:space="preserve"> </w:t>
      </w:r>
      <w:r w:rsidRPr="0085462C">
        <w:rPr>
          <w:sz w:val="16"/>
        </w:rPr>
        <w:t>tyre</w:t>
      </w:r>
      <w:r w:rsidRPr="0085462C">
        <w:rPr>
          <w:spacing w:val="-3"/>
          <w:sz w:val="16"/>
        </w:rPr>
        <w:t xml:space="preserve"> </w:t>
      </w:r>
      <w:r w:rsidRPr="0085462C">
        <w:rPr>
          <w:sz w:val="16"/>
        </w:rPr>
        <w:t>janë</w:t>
      </w:r>
      <w:r w:rsidRPr="0085462C">
        <w:rPr>
          <w:spacing w:val="-3"/>
          <w:sz w:val="16"/>
        </w:rPr>
        <w:t xml:space="preserve"> </w:t>
      </w:r>
      <w:r w:rsidRPr="0085462C">
        <w:rPr>
          <w:sz w:val="16"/>
        </w:rPr>
        <w:t>active.</w:t>
      </w:r>
    </w:p>
  </w:footnote>
  <w:footnote w:id="32">
    <w:p w14:paraId="30AA9A22" w14:textId="795DEE2E" w:rsidR="007435D6" w:rsidRPr="0085462C" w:rsidRDefault="007435D6">
      <w:pPr>
        <w:pStyle w:val="FootnoteText"/>
        <w:rPr>
          <w:lang w:val="en-US"/>
        </w:rPr>
      </w:pPr>
      <w:r>
        <w:rPr>
          <w:rStyle w:val="FootnoteReference"/>
        </w:rPr>
        <w:footnoteRef/>
      </w:r>
      <w:r>
        <w:t xml:space="preserve"> </w:t>
      </w:r>
      <w:r>
        <w:rPr>
          <w:sz w:val="16"/>
        </w:rPr>
        <w:t>Vlerësimet e fundit të shoqërisë civile dhe vëzhgimet intensive nga Zyra e Projektit TACSO në Shqipëri vlerësojnë se numri i përgjithshëm i OSHC-ve aktive nuk i kalon</w:t>
      </w:r>
      <w:r>
        <w:rPr>
          <w:spacing w:val="-11"/>
          <w:sz w:val="16"/>
        </w:rPr>
        <w:t xml:space="preserve"> </w:t>
      </w:r>
      <w:r>
        <w:rPr>
          <w:sz w:val="16"/>
        </w:rPr>
        <w:t>450</w:t>
      </w:r>
    </w:p>
  </w:footnote>
  <w:footnote w:id="33">
    <w:p w14:paraId="637805E5" w14:textId="3DD25D47" w:rsidR="007435D6" w:rsidRPr="00F17A01" w:rsidRDefault="007435D6" w:rsidP="00D77205">
      <w:pPr>
        <w:pStyle w:val="TEKSTI"/>
        <w:ind w:firstLine="0"/>
        <w:rPr>
          <w:sz w:val="20"/>
          <w:szCs w:val="20"/>
        </w:rPr>
      </w:pPr>
      <w:r w:rsidRPr="00F17A01">
        <w:rPr>
          <w:rStyle w:val="FootnoteReference"/>
          <w:sz w:val="20"/>
          <w:szCs w:val="20"/>
        </w:rPr>
        <w:footnoteRef/>
      </w:r>
      <w:r w:rsidRPr="00F17A01">
        <w:rPr>
          <w:sz w:val="20"/>
          <w:szCs w:val="20"/>
        </w:rPr>
        <w:t xml:space="preserve"> MONSTAT, Libri statistikor</w:t>
      </w:r>
      <w:r w:rsidRPr="00F17A01">
        <w:rPr>
          <w:spacing w:val="-17"/>
          <w:sz w:val="20"/>
          <w:szCs w:val="20"/>
        </w:rPr>
        <w:t xml:space="preserve"> </w:t>
      </w:r>
      <w:r w:rsidRPr="00F17A01">
        <w:rPr>
          <w:sz w:val="20"/>
          <w:szCs w:val="20"/>
        </w:rPr>
        <w:t>2012</w:t>
      </w:r>
    </w:p>
  </w:footnote>
  <w:footnote w:id="34">
    <w:p w14:paraId="4852C24F" w14:textId="77777777" w:rsidR="007435D6" w:rsidRPr="00F17A01" w:rsidRDefault="007435D6" w:rsidP="00D77205">
      <w:pPr>
        <w:pStyle w:val="TEKSTI"/>
        <w:ind w:firstLine="0"/>
        <w:rPr>
          <w:sz w:val="20"/>
          <w:szCs w:val="20"/>
        </w:rPr>
      </w:pPr>
      <w:r w:rsidRPr="00F17A01">
        <w:rPr>
          <w:rStyle w:val="FootnoteReference"/>
          <w:sz w:val="20"/>
          <w:szCs w:val="20"/>
        </w:rPr>
        <w:footnoteRef/>
      </w:r>
      <w:r w:rsidRPr="00F17A01">
        <w:rPr>
          <w:sz w:val="20"/>
          <w:szCs w:val="20"/>
        </w:rPr>
        <w:t xml:space="preserve"> Shqipëria,</w:t>
      </w:r>
      <w:r w:rsidRPr="00F17A01">
        <w:rPr>
          <w:spacing w:val="-6"/>
          <w:sz w:val="20"/>
          <w:szCs w:val="20"/>
        </w:rPr>
        <w:t xml:space="preserve"> </w:t>
      </w:r>
      <w:r w:rsidRPr="00F17A01">
        <w:rPr>
          <w:sz w:val="20"/>
          <w:szCs w:val="20"/>
        </w:rPr>
        <w:t>Ministria</w:t>
      </w:r>
      <w:r w:rsidRPr="00F17A01">
        <w:rPr>
          <w:spacing w:val="-4"/>
          <w:sz w:val="20"/>
          <w:szCs w:val="20"/>
        </w:rPr>
        <w:t xml:space="preserve"> </w:t>
      </w:r>
      <w:r w:rsidRPr="00F17A01">
        <w:rPr>
          <w:sz w:val="20"/>
          <w:szCs w:val="20"/>
        </w:rPr>
        <w:t>e</w:t>
      </w:r>
      <w:r w:rsidRPr="00F17A01">
        <w:rPr>
          <w:spacing w:val="-6"/>
          <w:sz w:val="20"/>
          <w:szCs w:val="20"/>
        </w:rPr>
        <w:t xml:space="preserve"> </w:t>
      </w:r>
      <w:r w:rsidRPr="00F17A01">
        <w:rPr>
          <w:sz w:val="20"/>
          <w:szCs w:val="20"/>
        </w:rPr>
        <w:t>Mjedisit,</w:t>
      </w:r>
      <w:r w:rsidRPr="00F17A01">
        <w:rPr>
          <w:spacing w:val="-6"/>
          <w:sz w:val="20"/>
          <w:szCs w:val="20"/>
        </w:rPr>
        <w:t xml:space="preserve"> </w:t>
      </w:r>
      <w:r w:rsidRPr="00F17A01">
        <w:rPr>
          <w:sz w:val="20"/>
          <w:szCs w:val="20"/>
        </w:rPr>
        <w:t>Rrjeti</w:t>
      </w:r>
      <w:r w:rsidRPr="00F17A01">
        <w:rPr>
          <w:spacing w:val="-5"/>
          <w:sz w:val="20"/>
          <w:szCs w:val="20"/>
        </w:rPr>
        <w:t xml:space="preserve"> </w:t>
      </w:r>
      <w:r w:rsidRPr="00F17A01">
        <w:rPr>
          <w:sz w:val="20"/>
          <w:szCs w:val="20"/>
        </w:rPr>
        <w:t>i</w:t>
      </w:r>
      <w:r w:rsidRPr="00F17A01">
        <w:rPr>
          <w:spacing w:val="-5"/>
          <w:sz w:val="20"/>
          <w:szCs w:val="20"/>
        </w:rPr>
        <w:t xml:space="preserve"> </w:t>
      </w:r>
      <w:r w:rsidRPr="00F17A01">
        <w:rPr>
          <w:sz w:val="20"/>
          <w:szCs w:val="20"/>
        </w:rPr>
        <w:t>zonave</w:t>
      </w:r>
      <w:r w:rsidRPr="00F17A01">
        <w:rPr>
          <w:spacing w:val="-4"/>
          <w:sz w:val="20"/>
          <w:szCs w:val="20"/>
        </w:rPr>
        <w:t xml:space="preserve"> </w:t>
      </w:r>
      <w:r w:rsidRPr="00F17A01">
        <w:rPr>
          <w:sz w:val="20"/>
          <w:szCs w:val="20"/>
        </w:rPr>
        <w:t>të</w:t>
      </w:r>
      <w:r w:rsidRPr="00F17A01">
        <w:rPr>
          <w:spacing w:val="-4"/>
          <w:sz w:val="20"/>
          <w:szCs w:val="20"/>
        </w:rPr>
        <w:t xml:space="preserve"> </w:t>
      </w:r>
      <w:r w:rsidRPr="00F17A01">
        <w:rPr>
          <w:sz w:val="20"/>
          <w:szCs w:val="20"/>
        </w:rPr>
        <w:t>mbrojtura</w:t>
      </w:r>
      <w:r w:rsidRPr="00F17A01">
        <w:rPr>
          <w:spacing w:val="-4"/>
          <w:sz w:val="20"/>
          <w:szCs w:val="20"/>
        </w:rPr>
        <w:t xml:space="preserve"> </w:t>
      </w:r>
      <w:r w:rsidRPr="00F17A01">
        <w:rPr>
          <w:sz w:val="20"/>
          <w:szCs w:val="20"/>
        </w:rPr>
        <w:t>në</w:t>
      </w:r>
      <w:r w:rsidRPr="00F17A01">
        <w:rPr>
          <w:spacing w:val="-4"/>
          <w:sz w:val="20"/>
          <w:szCs w:val="20"/>
        </w:rPr>
        <w:t xml:space="preserve"> </w:t>
      </w:r>
      <w:r w:rsidRPr="00F17A01">
        <w:rPr>
          <w:sz w:val="20"/>
          <w:szCs w:val="20"/>
        </w:rPr>
        <w:t>Shqipëri,</w:t>
      </w:r>
      <w:r w:rsidRPr="00F17A01">
        <w:rPr>
          <w:spacing w:val="-6"/>
          <w:sz w:val="20"/>
          <w:szCs w:val="20"/>
        </w:rPr>
        <w:t xml:space="preserve"> </w:t>
      </w:r>
      <w:r w:rsidRPr="00F17A01">
        <w:rPr>
          <w:sz w:val="20"/>
          <w:szCs w:val="20"/>
        </w:rPr>
        <w:t>Shtator</w:t>
      </w:r>
      <w:r w:rsidRPr="00F17A01">
        <w:rPr>
          <w:spacing w:val="-6"/>
          <w:sz w:val="20"/>
          <w:szCs w:val="20"/>
        </w:rPr>
        <w:t xml:space="preserve"> </w:t>
      </w:r>
      <w:r w:rsidRPr="00F17A01">
        <w:rPr>
          <w:sz w:val="20"/>
          <w:szCs w:val="20"/>
        </w:rPr>
        <w:t>2013</w:t>
      </w:r>
    </w:p>
    <w:p w14:paraId="66E621EB" w14:textId="6E7CE67C" w:rsidR="007435D6" w:rsidRPr="00F17A01" w:rsidRDefault="007435D6">
      <w:pPr>
        <w:pStyle w:val="FootnoteText"/>
        <w:rPr>
          <w:lang w:val="en-US"/>
        </w:rPr>
      </w:pPr>
    </w:p>
  </w:footnote>
  <w:footnote w:id="35">
    <w:p w14:paraId="4CE0645E" w14:textId="529FC62F" w:rsidR="007435D6" w:rsidRPr="00D26EA6" w:rsidRDefault="007435D6">
      <w:pPr>
        <w:pStyle w:val="FootnoteText"/>
        <w:rPr>
          <w:rFonts w:ascii="Garamond" w:hAnsi="Garamond"/>
          <w:lang w:val="en-US"/>
        </w:rPr>
      </w:pPr>
      <w:r w:rsidRPr="00D26EA6">
        <w:rPr>
          <w:rStyle w:val="FootnoteReference"/>
          <w:rFonts w:ascii="Garamond" w:hAnsi="Garamond"/>
        </w:rPr>
        <w:footnoteRef/>
      </w:r>
      <w:r w:rsidRPr="00D26EA6">
        <w:rPr>
          <w:rFonts w:ascii="Garamond" w:hAnsi="Garamond"/>
        </w:rPr>
        <w:t xml:space="preserve"> Kërkon një studim të rregullt dhe të thjeshtë duke përdorur një pyetësor standard me pyetje të  mbyllura</w:t>
      </w:r>
    </w:p>
  </w:footnote>
  <w:footnote w:id="36">
    <w:p w14:paraId="2EEDFD37" w14:textId="0C12C7A1" w:rsidR="007435D6" w:rsidRPr="000436FB" w:rsidRDefault="007435D6" w:rsidP="000436FB">
      <w:pPr>
        <w:pStyle w:val="FootnoteText"/>
        <w:jc w:val="both"/>
        <w:rPr>
          <w:rFonts w:ascii="Garamond" w:hAnsi="Garamond"/>
          <w:lang w:val="en-US"/>
        </w:rPr>
      </w:pPr>
      <w:r w:rsidRPr="000436FB">
        <w:rPr>
          <w:rStyle w:val="FootnoteReference"/>
          <w:rFonts w:ascii="Garamond" w:hAnsi="Garamond"/>
        </w:rPr>
        <w:footnoteRef/>
      </w:r>
      <w:r w:rsidRPr="000436FB">
        <w:rPr>
          <w:rFonts w:ascii="Garamond" w:hAnsi="Garamond"/>
        </w:rPr>
        <w:t xml:space="preserve"> Gucia është një bashki e re, e paraqitur si një ndarje administrative e Komunës së Plavës; ajo është në fazat e hershme të organizimit</w:t>
      </w:r>
    </w:p>
  </w:footnote>
  <w:footnote w:id="37">
    <w:p w14:paraId="360EBB45" w14:textId="17781FEF" w:rsidR="007435D6" w:rsidRPr="000436FB" w:rsidRDefault="007435D6" w:rsidP="000436FB">
      <w:pPr>
        <w:pStyle w:val="FootnoteText"/>
        <w:jc w:val="both"/>
        <w:rPr>
          <w:lang w:val="en-US"/>
        </w:rPr>
      </w:pPr>
      <w:r w:rsidRPr="000436FB">
        <w:rPr>
          <w:rStyle w:val="FootnoteReference"/>
          <w:rFonts w:ascii="Garamond" w:hAnsi="Garamond"/>
        </w:rPr>
        <w:footnoteRef/>
      </w:r>
      <w:r w:rsidRPr="000436FB">
        <w:rPr>
          <w:rFonts w:ascii="Garamond" w:hAnsi="Garamond"/>
        </w:rPr>
        <w:t>Petnjica është një bashki e re, e paraqitur si një ndarje administrative e Komunës së Berane-s; ajo është në fazat e hershme të organizimit; Edhe Gucia është një komunë e themeluar rishtazi.</w:t>
      </w:r>
    </w:p>
  </w:footnote>
  <w:footnote w:id="38">
    <w:p w14:paraId="00097C89" w14:textId="65148DCE" w:rsidR="007435D6" w:rsidRPr="00246ECB" w:rsidRDefault="007435D6">
      <w:pPr>
        <w:pStyle w:val="FootnoteText"/>
        <w:rPr>
          <w:lang w:val="en-US"/>
        </w:rPr>
      </w:pPr>
      <w:r>
        <w:rPr>
          <w:rStyle w:val="FootnoteReference"/>
        </w:rPr>
        <w:footnoteRef/>
      </w:r>
      <w:r>
        <w:t xml:space="preserve"> </w:t>
      </w:r>
      <w:r>
        <w:rPr>
          <w:rFonts w:ascii="Arial Narrow" w:hAnsi="Arial Narrow"/>
          <w:position w:val="6"/>
          <w:sz w:val="16"/>
        </w:rPr>
        <w:t>31</w:t>
      </w:r>
      <w:r>
        <w:rPr>
          <w:rFonts w:ascii="Arial Narrow" w:hAnsi="Arial Narrow"/>
          <w:sz w:val="16"/>
        </w:rPr>
        <w:t>Shqipëria ka 12 rajone të cilat përfshijnë 36 rrethe, 64 bashki dhe 309 komuna, të cilat përmbajnë një numër të përgjithshëm prej 74 qytetesh dhe 2980 fshatrash. Rajonet e kësaj zone të programit janë të ndarë në 7 rrethe të përbërë nga 11 bashki, 54 komuna, të cilat përmbajnë 16 qytete dhe 484 fshatra</w:t>
      </w:r>
    </w:p>
  </w:footnote>
  <w:footnote w:id="39">
    <w:p w14:paraId="5386B9D6" w14:textId="261D9FD8" w:rsidR="007435D6" w:rsidRPr="008D0448" w:rsidRDefault="007435D6">
      <w:pPr>
        <w:pStyle w:val="FootnoteText"/>
        <w:rPr>
          <w:rFonts w:ascii="Garamond" w:hAnsi="Garamond"/>
          <w:lang w:val="en-US"/>
        </w:rPr>
      </w:pPr>
      <w:r w:rsidRPr="008D0448">
        <w:rPr>
          <w:rStyle w:val="FootnoteReference"/>
          <w:rFonts w:ascii="Garamond" w:hAnsi="Garamond"/>
        </w:rPr>
        <w:footnoteRef/>
      </w:r>
      <w:r w:rsidRPr="008D0448">
        <w:rPr>
          <w:rFonts w:ascii="Garamond" w:hAnsi="Garamond"/>
        </w:rPr>
        <w:t xml:space="preserve"> Strategjia e zgjerimit të BE-së dhe Sfidat kryesore 2012-2013 (faqe 12</w:t>
      </w:r>
    </w:p>
  </w:footnote>
  <w:footnote w:id="40">
    <w:p w14:paraId="2F0BA1AF" w14:textId="77313931" w:rsidR="007435D6" w:rsidRPr="008D0448" w:rsidRDefault="007435D6" w:rsidP="008D0448">
      <w:pPr>
        <w:pStyle w:val="FootnoteText"/>
        <w:rPr>
          <w:rFonts w:ascii="Garamond" w:hAnsi="Garamond"/>
          <w:lang w:val="en-US"/>
        </w:rPr>
      </w:pPr>
      <w:r w:rsidRPr="008D0448">
        <w:rPr>
          <w:rStyle w:val="FootnoteReference"/>
          <w:rFonts w:ascii="Garamond" w:hAnsi="Garamond"/>
        </w:rPr>
        <w:footnoteRef/>
      </w:r>
      <w:r w:rsidRPr="008D0448">
        <w:rPr>
          <w:rFonts w:ascii="Garamond" w:hAnsi="Garamond"/>
        </w:rPr>
        <w:t xml:space="preserve"> Strategjia Kombëtare e Zhvillimit të Qëndrueshëm të Malit të Zi 2007</w:t>
      </w:r>
    </w:p>
  </w:footnote>
  <w:footnote w:id="41">
    <w:p w14:paraId="2436670F" w14:textId="55CBBFAD" w:rsidR="007435D6" w:rsidRPr="008D0448" w:rsidRDefault="007435D6" w:rsidP="008D0448">
      <w:pPr>
        <w:spacing w:before="70" w:after="0" w:line="240" w:lineRule="auto"/>
        <w:rPr>
          <w:rFonts w:ascii="Arial Narrow" w:hAnsi="Arial Narrow"/>
          <w:sz w:val="16"/>
        </w:rPr>
      </w:pPr>
      <w:r w:rsidRPr="008D0448">
        <w:rPr>
          <w:rStyle w:val="FootnoteReference"/>
          <w:rFonts w:ascii="Garamond" w:hAnsi="Garamond"/>
          <w:sz w:val="20"/>
          <w:szCs w:val="20"/>
        </w:rPr>
        <w:footnoteRef/>
      </w:r>
      <w:r w:rsidRPr="008D0448">
        <w:rPr>
          <w:rFonts w:ascii="Garamond" w:hAnsi="Garamond"/>
          <w:sz w:val="20"/>
          <w:szCs w:val="20"/>
        </w:rPr>
        <w:t xml:space="preserve"> Një vendim që pritej të merrej në Qershor të vitit 2014</w:t>
      </w:r>
    </w:p>
  </w:footnote>
  <w:footnote w:id="42">
    <w:p w14:paraId="32F64AC3" w14:textId="26FA3A0C" w:rsidR="007435D6" w:rsidRPr="008D0448" w:rsidRDefault="007435D6" w:rsidP="00071344">
      <w:pPr>
        <w:spacing w:after="0" w:line="240" w:lineRule="auto"/>
        <w:rPr>
          <w:rFonts w:ascii="Garamond" w:hAnsi="Garamond"/>
          <w:sz w:val="20"/>
          <w:szCs w:val="20"/>
        </w:rPr>
      </w:pPr>
      <w:r w:rsidRPr="008D0448">
        <w:rPr>
          <w:rStyle w:val="FootnoteReference"/>
          <w:rFonts w:ascii="Garamond" w:hAnsi="Garamond"/>
          <w:sz w:val="20"/>
          <w:szCs w:val="20"/>
        </w:rPr>
        <w:footnoteRef/>
      </w:r>
      <w:r w:rsidRPr="008D0448">
        <w:rPr>
          <w:rFonts w:ascii="Garamond" w:hAnsi="Garamond"/>
          <w:sz w:val="20"/>
          <w:szCs w:val="20"/>
        </w:rPr>
        <w:t>Draft Strategjia Kombëtare për Zhvillim dhe Integrim 2014-2020 (SKZhI)</w:t>
      </w:r>
    </w:p>
  </w:footnote>
  <w:footnote w:id="43">
    <w:p w14:paraId="3F02689F" w14:textId="34792783" w:rsidR="007435D6" w:rsidRPr="00071344" w:rsidRDefault="007435D6" w:rsidP="00071344">
      <w:pPr>
        <w:pStyle w:val="FootnoteText"/>
        <w:rPr>
          <w:lang w:val="en-US"/>
        </w:rPr>
      </w:pPr>
      <w:r>
        <w:rPr>
          <w:rStyle w:val="FootnoteReference"/>
        </w:rPr>
        <w:footnoteRef/>
      </w:r>
      <w:r>
        <w:t xml:space="preserve"> </w:t>
      </w:r>
      <w:r>
        <w:rPr>
          <w:rFonts w:ascii="Arial Narrow" w:hAnsi="Arial Narrow"/>
          <w:position w:val="6"/>
          <w:sz w:val="16"/>
        </w:rPr>
        <w:t>36</w:t>
      </w:r>
      <w:r>
        <w:rPr>
          <w:rFonts w:ascii="Arial Narrow" w:hAnsi="Arial Narrow"/>
          <w:sz w:val="16"/>
        </w:rPr>
        <w:t>MONSTAT, GDP e Malit të Zi, Publikimi Nr. 246, Shtator 2013</w:t>
      </w:r>
    </w:p>
  </w:footnote>
  <w:footnote w:id="44">
    <w:p w14:paraId="3452E8D6" w14:textId="73FA0BCB" w:rsidR="007435D6" w:rsidRPr="00071344" w:rsidRDefault="007435D6" w:rsidP="00071344">
      <w:pPr>
        <w:pStyle w:val="FootnoteText"/>
        <w:rPr>
          <w:lang w:val="en-US"/>
        </w:rPr>
      </w:pPr>
      <w:r>
        <w:rPr>
          <w:rStyle w:val="FootnoteReference"/>
        </w:rPr>
        <w:footnoteRef/>
      </w:r>
      <w:r>
        <w:t xml:space="preserve"> </w:t>
      </w:r>
      <w:r>
        <w:rPr>
          <w:rFonts w:ascii="Arial Narrow" w:hAnsi="Arial Narrow"/>
          <w:sz w:val="16"/>
        </w:rPr>
        <w:t>MONSTAT, GDP e Malit të Zi, Publikimi Nr. 246, Shtator 2013</w:t>
      </w:r>
    </w:p>
  </w:footnote>
  <w:footnote w:id="45">
    <w:p w14:paraId="4E8DB44F" w14:textId="6C49CF2F" w:rsidR="007435D6" w:rsidRDefault="007435D6" w:rsidP="00071344">
      <w:pPr>
        <w:spacing w:after="0" w:line="240" w:lineRule="auto"/>
        <w:ind w:right="5746"/>
        <w:jc w:val="both"/>
        <w:rPr>
          <w:rFonts w:ascii="Arial Narrow" w:hAnsi="Arial Narrow"/>
          <w:sz w:val="16"/>
        </w:rPr>
      </w:pPr>
      <w:r>
        <w:rPr>
          <w:rStyle w:val="FootnoteReference"/>
        </w:rPr>
        <w:footnoteRef/>
      </w:r>
      <w:r>
        <w:t xml:space="preserve"> </w:t>
      </w:r>
      <w:r>
        <w:rPr>
          <w:rFonts w:ascii="Arial Narrow" w:hAnsi="Arial Narrow"/>
          <w:sz w:val="16"/>
        </w:rPr>
        <w:t>MONSTAT, Sondazhi I Fuqisë Punëtore 2012</w:t>
      </w:r>
    </w:p>
    <w:p w14:paraId="00D4D146" w14:textId="18FB9521" w:rsidR="007435D6" w:rsidRPr="00071344" w:rsidRDefault="007435D6">
      <w:pPr>
        <w:pStyle w:val="FootnoteText"/>
        <w:rPr>
          <w:lang w:val="en-US"/>
        </w:rPr>
      </w:pPr>
    </w:p>
  </w:footnote>
  <w:footnote w:id="46">
    <w:p w14:paraId="59ACFFD2" w14:textId="6FFB0167" w:rsidR="007435D6" w:rsidRPr="003B22A7" w:rsidRDefault="007435D6" w:rsidP="003B22A7">
      <w:pPr>
        <w:spacing w:after="0" w:line="240" w:lineRule="auto"/>
        <w:rPr>
          <w:rFonts w:ascii="Garamond" w:hAnsi="Garamond"/>
          <w:sz w:val="20"/>
          <w:szCs w:val="20"/>
        </w:rPr>
      </w:pPr>
      <w:r w:rsidRPr="003B22A7">
        <w:rPr>
          <w:rStyle w:val="FootnoteReference"/>
          <w:rFonts w:ascii="Garamond" w:hAnsi="Garamond"/>
          <w:sz w:val="20"/>
          <w:szCs w:val="20"/>
        </w:rPr>
        <w:footnoteRef/>
      </w:r>
      <w:r w:rsidRPr="003B22A7">
        <w:rPr>
          <w:rFonts w:ascii="Garamond" w:hAnsi="Garamond"/>
          <w:sz w:val="20"/>
          <w:szCs w:val="20"/>
        </w:rPr>
        <w:t xml:space="preserve"> INSTAT, GDP tremujore 2012</w:t>
      </w:r>
    </w:p>
  </w:footnote>
  <w:footnote w:id="47">
    <w:p w14:paraId="59ED8091" w14:textId="0AA17196" w:rsidR="007435D6" w:rsidRPr="003B22A7" w:rsidRDefault="007435D6" w:rsidP="003B22A7">
      <w:pPr>
        <w:pStyle w:val="FootnoteText"/>
        <w:rPr>
          <w:rFonts w:ascii="Garamond" w:hAnsi="Garamond"/>
          <w:lang w:val="en-US"/>
        </w:rPr>
      </w:pPr>
      <w:r w:rsidRPr="003B22A7">
        <w:rPr>
          <w:rStyle w:val="FootnoteReference"/>
          <w:rFonts w:ascii="Garamond" w:hAnsi="Garamond"/>
        </w:rPr>
        <w:footnoteRef/>
      </w:r>
      <w:r w:rsidRPr="003B22A7">
        <w:rPr>
          <w:rFonts w:ascii="Garamond" w:hAnsi="Garamond"/>
        </w:rPr>
        <w:t xml:space="preserve"> Banka Botërore, Të dhënat e shtetit 2008 - 2012</w:t>
      </w:r>
    </w:p>
  </w:footnote>
  <w:footnote w:id="48">
    <w:p w14:paraId="1CFBF0EB" w14:textId="37AC61D3" w:rsidR="007435D6" w:rsidRPr="003B22A7" w:rsidRDefault="007435D6" w:rsidP="003B22A7">
      <w:pPr>
        <w:spacing w:after="0" w:line="240" w:lineRule="auto"/>
        <w:rPr>
          <w:rFonts w:ascii="Garamond" w:hAnsi="Garamond"/>
          <w:sz w:val="20"/>
          <w:szCs w:val="20"/>
        </w:rPr>
      </w:pPr>
      <w:r w:rsidRPr="003B22A7">
        <w:rPr>
          <w:rStyle w:val="FootnoteReference"/>
          <w:rFonts w:ascii="Garamond" w:hAnsi="Garamond"/>
          <w:sz w:val="20"/>
          <w:szCs w:val="20"/>
        </w:rPr>
        <w:footnoteRef/>
      </w:r>
      <w:r w:rsidRPr="003B22A7">
        <w:rPr>
          <w:rFonts w:ascii="Garamond" w:hAnsi="Garamond"/>
          <w:sz w:val="20"/>
          <w:szCs w:val="20"/>
        </w:rPr>
        <w:t xml:space="preserve"> Ministria e Financave, 2012</w:t>
      </w:r>
    </w:p>
    <w:p w14:paraId="2E22C5D5" w14:textId="7D380C53" w:rsidR="007435D6" w:rsidRPr="003B22A7" w:rsidRDefault="007435D6">
      <w:pPr>
        <w:pStyle w:val="FootnoteText"/>
        <w:rPr>
          <w:lang w:val="en-US"/>
        </w:rPr>
      </w:pPr>
    </w:p>
  </w:footnote>
  <w:footnote w:id="49">
    <w:p w14:paraId="1B13F36F" w14:textId="5DAE6CE1" w:rsidR="007435D6" w:rsidRPr="000757EE" w:rsidRDefault="007435D6">
      <w:pPr>
        <w:pStyle w:val="FootnoteText"/>
        <w:rPr>
          <w:rFonts w:ascii="Garamond" w:hAnsi="Garamond"/>
          <w:lang w:val="en-US"/>
        </w:rPr>
      </w:pPr>
      <w:r w:rsidRPr="000757EE">
        <w:rPr>
          <w:rStyle w:val="FootnoteReference"/>
          <w:rFonts w:ascii="Garamond" w:hAnsi="Garamond"/>
        </w:rPr>
        <w:footnoteRef/>
      </w:r>
      <w:r w:rsidRPr="000757EE">
        <w:rPr>
          <w:rFonts w:ascii="Garamond" w:hAnsi="Garamond"/>
        </w:rPr>
        <w:t xml:space="preserve"> Strategjia Kombëtare e Zhvillimit të Qëndrueshëm të Malit të Zi</w:t>
      </w:r>
    </w:p>
  </w:footnote>
  <w:footnote w:id="50">
    <w:p w14:paraId="0A484B05" w14:textId="28762CD8" w:rsidR="007435D6" w:rsidRPr="000757EE" w:rsidRDefault="007435D6">
      <w:pPr>
        <w:pStyle w:val="FootnoteText"/>
        <w:rPr>
          <w:lang w:val="en-US"/>
        </w:rPr>
      </w:pPr>
      <w:r w:rsidRPr="000757EE">
        <w:rPr>
          <w:rStyle w:val="FootnoteReference"/>
          <w:rFonts w:ascii="Garamond" w:hAnsi="Garamond"/>
        </w:rPr>
        <w:footnoteRef/>
      </w:r>
      <w:r w:rsidRPr="000757EE">
        <w:rPr>
          <w:rFonts w:ascii="Garamond" w:hAnsi="Garamond"/>
        </w:rPr>
        <w:t xml:space="preserve"> INSTAT, Llogaritë Rajonale 2013</w:t>
      </w:r>
    </w:p>
  </w:footnote>
  <w:footnote w:id="51">
    <w:p w14:paraId="7A958575" w14:textId="692B2457" w:rsidR="007435D6" w:rsidRPr="0076721A" w:rsidRDefault="007435D6" w:rsidP="0076721A">
      <w:pPr>
        <w:spacing w:after="0" w:line="240" w:lineRule="auto"/>
        <w:ind w:left="142"/>
        <w:rPr>
          <w:rFonts w:ascii="Garamond" w:hAnsi="Garamond"/>
          <w:sz w:val="20"/>
          <w:szCs w:val="20"/>
        </w:rPr>
      </w:pPr>
      <w:r w:rsidRPr="0076721A">
        <w:rPr>
          <w:rStyle w:val="FootnoteReference"/>
          <w:rFonts w:ascii="Garamond" w:hAnsi="Garamond"/>
          <w:sz w:val="20"/>
          <w:szCs w:val="20"/>
        </w:rPr>
        <w:footnoteRef/>
      </w:r>
      <w:r w:rsidRPr="0076721A">
        <w:rPr>
          <w:rFonts w:ascii="Garamond" w:hAnsi="Garamond"/>
          <w:sz w:val="20"/>
          <w:szCs w:val="20"/>
        </w:rPr>
        <w:t xml:space="preserve"> INSTAT, Llogaritë Rajonale 2013</w:t>
      </w:r>
    </w:p>
  </w:footnote>
  <w:footnote w:id="52">
    <w:p w14:paraId="2B676A95" w14:textId="46696173" w:rsidR="007435D6" w:rsidRPr="0076721A" w:rsidRDefault="007435D6" w:rsidP="0076721A">
      <w:pPr>
        <w:spacing w:after="0" w:line="240" w:lineRule="auto"/>
        <w:ind w:left="142"/>
        <w:rPr>
          <w:rFonts w:ascii="Garamond" w:hAnsi="Garamond"/>
          <w:sz w:val="20"/>
          <w:szCs w:val="20"/>
        </w:rPr>
      </w:pPr>
      <w:r w:rsidRPr="0076721A">
        <w:rPr>
          <w:rStyle w:val="FootnoteReference"/>
          <w:rFonts w:ascii="Garamond" w:hAnsi="Garamond"/>
          <w:sz w:val="20"/>
          <w:szCs w:val="20"/>
        </w:rPr>
        <w:footnoteRef/>
      </w:r>
      <w:r w:rsidRPr="0076721A">
        <w:rPr>
          <w:rFonts w:ascii="Garamond" w:hAnsi="Garamond"/>
          <w:sz w:val="20"/>
          <w:szCs w:val="20"/>
        </w:rPr>
        <w:t xml:space="preserve"> MONSTAT,</w:t>
      </w:r>
      <w:r w:rsidRPr="0076721A">
        <w:rPr>
          <w:rFonts w:ascii="Garamond" w:hAnsi="Garamond"/>
          <w:spacing w:val="-6"/>
          <w:sz w:val="20"/>
          <w:szCs w:val="20"/>
        </w:rPr>
        <w:t xml:space="preserve"> </w:t>
      </w:r>
      <w:r w:rsidRPr="0076721A">
        <w:rPr>
          <w:rFonts w:ascii="Garamond" w:hAnsi="Garamond"/>
          <w:sz w:val="20"/>
          <w:szCs w:val="20"/>
        </w:rPr>
        <w:t>Regjistri</w:t>
      </w:r>
      <w:r w:rsidRPr="0076721A">
        <w:rPr>
          <w:rFonts w:ascii="Garamond" w:hAnsi="Garamond"/>
          <w:spacing w:val="-5"/>
          <w:sz w:val="20"/>
          <w:szCs w:val="20"/>
        </w:rPr>
        <w:t xml:space="preserve"> </w:t>
      </w:r>
      <w:r w:rsidRPr="0076721A">
        <w:rPr>
          <w:rFonts w:ascii="Garamond" w:hAnsi="Garamond"/>
          <w:sz w:val="20"/>
          <w:szCs w:val="20"/>
        </w:rPr>
        <w:t>i</w:t>
      </w:r>
      <w:r w:rsidRPr="0076721A">
        <w:rPr>
          <w:rFonts w:ascii="Garamond" w:hAnsi="Garamond"/>
          <w:spacing w:val="-5"/>
          <w:sz w:val="20"/>
          <w:szCs w:val="20"/>
        </w:rPr>
        <w:t xml:space="preserve"> </w:t>
      </w:r>
      <w:r w:rsidRPr="0076721A">
        <w:rPr>
          <w:rFonts w:ascii="Garamond" w:hAnsi="Garamond"/>
          <w:sz w:val="20"/>
          <w:szCs w:val="20"/>
        </w:rPr>
        <w:t>Bizneseve,</w:t>
      </w:r>
      <w:r w:rsidRPr="0076721A">
        <w:rPr>
          <w:rFonts w:ascii="Garamond" w:hAnsi="Garamond"/>
          <w:spacing w:val="-6"/>
          <w:sz w:val="20"/>
          <w:szCs w:val="20"/>
        </w:rPr>
        <w:t xml:space="preserve"> </w:t>
      </w:r>
      <w:r w:rsidRPr="0076721A">
        <w:rPr>
          <w:rFonts w:ascii="Garamond" w:hAnsi="Garamond"/>
          <w:sz w:val="20"/>
          <w:szCs w:val="20"/>
        </w:rPr>
        <w:t>Numri</w:t>
      </w:r>
      <w:r w:rsidRPr="0076721A">
        <w:rPr>
          <w:rFonts w:ascii="Garamond" w:hAnsi="Garamond"/>
          <w:spacing w:val="-8"/>
          <w:sz w:val="20"/>
          <w:szCs w:val="20"/>
        </w:rPr>
        <w:t xml:space="preserve"> </w:t>
      </w:r>
      <w:r w:rsidRPr="0076721A">
        <w:rPr>
          <w:rFonts w:ascii="Garamond" w:hAnsi="Garamond"/>
          <w:sz w:val="20"/>
          <w:szCs w:val="20"/>
        </w:rPr>
        <w:t>dhe</w:t>
      </w:r>
      <w:r w:rsidRPr="0076721A">
        <w:rPr>
          <w:rFonts w:ascii="Garamond" w:hAnsi="Garamond"/>
          <w:spacing w:val="-4"/>
          <w:sz w:val="20"/>
          <w:szCs w:val="20"/>
        </w:rPr>
        <w:t xml:space="preserve"> </w:t>
      </w:r>
      <w:r w:rsidRPr="0076721A">
        <w:rPr>
          <w:rFonts w:ascii="Garamond" w:hAnsi="Garamond"/>
          <w:sz w:val="20"/>
          <w:szCs w:val="20"/>
        </w:rPr>
        <w:t>struktura</w:t>
      </w:r>
      <w:r w:rsidRPr="0076721A">
        <w:rPr>
          <w:rFonts w:ascii="Garamond" w:hAnsi="Garamond"/>
          <w:spacing w:val="-4"/>
          <w:sz w:val="20"/>
          <w:szCs w:val="20"/>
        </w:rPr>
        <w:t xml:space="preserve"> </w:t>
      </w:r>
      <w:r w:rsidRPr="0076721A">
        <w:rPr>
          <w:rFonts w:ascii="Garamond" w:hAnsi="Garamond"/>
          <w:sz w:val="20"/>
          <w:szCs w:val="20"/>
        </w:rPr>
        <w:t>e</w:t>
      </w:r>
      <w:r w:rsidRPr="0076721A">
        <w:rPr>
          <w:rFonts w:ascii="Garamond" w:hAnsi="Garamond"/>
          <w:spacing w:val="-4"/>
          <w:sz w:val="20"/>
          <w:szCs w:val="20"/>
        </w:rPr>
        <w:t xml:space="preserve"> </w:t>
      </w:r>
      <w:r w:rsidRPr="0076721A">
        <w:rPr>
          <w:rFonts w:ascii="Garamond" w:hAnsi="Garamond"/>
          <w:sz w:val="20"/>
          <w:szCs w:val="20"/>
        </w:rPr>
        <w:t>subjekteve</w:t>
      </w:r>
      <w:r w:rsidRPr="0076721A">
        <w:rPr>
          <w:rFonts w:ascii="Garamond" w:hAnsi="Garamond"/>
          <w:spacing w:val="-4"/>
          <w:sz w:val="20"/>
          <w:szCs w:val="20"/>
        </w:rPr>
        <w:t xml:space="preserve"> </w:t>
      </w:r>
      <w:r w:rsidRPr="0076721A">
        <w:rPr>
          <w:rFonts w:ascii="Garamond" w:hAnsi="Garamond"/>
          <w:sz w:val="20"/>
          <w:szCs w:val="20"/>
        </w:rPr>
        <w:t>të</w:t>
      </w:r>
      <w:r w:rsidRPr="0076721A">
        <w:rPr>
          <w:rFonts w:ascii="Garamond" w:hAnsi="Garamond"/>
          <w:spacing w:val="-4"/>
          <w:sz w:val="20"/>
          <w:szCs w:val="20"/>
        </w:rPr>
        <w:t xml:space="preserve"> </w:t>
      </w:r>
      <w:r w:rsidRPr="0076721A">
        <w:rPr>
          <w:rFonts w:ascii="Garamond" w:hAnsi="Garamond"/>
          <w:sz w:val="20"/>
          <w:szCs w:val="20"/>
        </w:rPr>
        <w:t>biznesit</w:t>
      </w:r>
      <w:r w:rsidRPr="0076721A">
        <w:rPr>
          <w:rFonts w:ascii="Garamond" w:hAnsi="Garamond"/>
          <w:spacing w:val="-6"/>
          <w:sz w:val="20"/>
          <w:szCs w:val="20"/>
        </w:rPr>
        <w:t xml:space="preserve"> </w:t>
      </w:r>
      <w:r w:rsidRPr="0076721A">
        <w:rPr>
          <w:rFonts w:ascii="Garamond" w:hAnsi="Garamond"/>
          <w:sz w:val="20"/>
          <w:szCs w:val="20"/>
        </w:rPr>
        <w:t>2011</w:t>
      </w:r>
    </w:p>
  </w:footnote>
  <w:footnote w:id="53">
    <w:p w14:paraId="596942AB" w14:textId="2D46F47C" w:rsidR="007435D6" w:rsidRPr="00B70CFB" w:rsidRDefault="007435D6" w:rsidP="00B70CFB">
      <w:pPr>
        <w:pStyle w:val="FootnoteText"/>
        <w:rPr>
          <w:rFonts w:ascii="Garamond" w:hAnsi="Garamond"/>
          <w:lang w:val="en-US"/>
        </w:rPr>
      </w:pPr>
      <w:r w:rsidRPr="00B70CFB">
        <w:rPr>
          <w:rStyle w:val="FootnoteReference"/>
          <w:rFonts w:ascii="Garamond" w:hAnsi="Garamond"/>
        </w:rPr>
        <w:footnoteRef/>
      </w:r>
      <w:r w:rsidRPr="00B70CFB">
        <w:rPr>
          <w:rFonts w:ascii="Garamond" w:hAnsi="Garamond"/>
        </w:rPr>
        <w:t xml:space="preserve"> INSTAT, Regjistri Statistikor i Biznesit të Ndërmarrjeve</w:t>
      </w:r>
      <w:r w:rsidRPr="00B70CFB">
        <w:rPr>
          <w:rFonts w:ascii="Garamond" w:hAnsi="Garamond"/>
          <w:spacing w:val="-13"/>
        </w:rPr>
        <w:t xml:space="preserve"> </w:t>
      </w:r>
      <w:r w:rsidRPr="00B70CFB">
        <w:rPr>
          <w:rFonts w:ascii="Garamond" w:hAnsi="Garamond"/>
        </w:rPr>
        <w:t>2012</w:t>
      </w:r>
    </w:p>
  </w:footnote>
  <w:footnote w:id="54">
    <w:p w14:paraId="203B3794" w14:textId="1AA4E719" w:rsidR="007435D6" w:rsidRPr="00B70CFB" w:rsidRDefault="007435D6" w:rsidP="00B70CFB">
      <w:pPr>
        <w:spacing w:after="0" w:line="240" w:lineRule="auto"/>
        <w:rPr>
          <w:rFonts w:ascii="Arial Narrow" w:hAnsi="Arial Narrow"/>
          <w:sz w:val="16"/>
        </w:rPr>
      </w:pPr>
      <w:r w:rsidRPr="00B70CFB">
        <w:rPr>
          <w:rStyle w:val="FootnoteReference"/>
          <w:rFonts w:ascii="Garamond" w:hAnsi="Garamond"/>
          <w:sz w:val="20"/>
          <w:szCs w:val="20"/>
        </w:rPr>
        <w:footnoteRef/>
      </w:r>
      <w:r w:rsidRPr="00B70CFB">
        <w:rPr>
          <w:rFonts w:ascii="Garamond" w:hAnsi="Garamond"/>
          <w:sz w:val="20"/>
          <w:szCs w:val="20"/>
        </w:rPr>
        <w:t xml:space="preserve"> Numri i ndërmarrjeve të reja të regjistruara për një vit të caktuar e shprehur në % mbi numrin e përgjithshëm të ndërmarrjeve.</w:t>
      </w:r>
    </w:p>
  </w:footnote>
  <w:footnote w:id="55">
    <w:p w14:paraId="14ECC257" w14:textId="11ABF6EA" w:rsidR="007435D6" w:rsidRPr="00731115" w:rsidRDefault="007435D6" w:rsidP="00731115">
      <w:pPr>
        <w:spacing w:after="0" w:line="240" w:lineRule="auto"/>
        <w:rPr>
          <w:rFonts w:ascii="Garamond" w:hAnsi="Garamond"/>
          <w:sz w:val="20"/>
          <w:szCs w:val="20"/>
        </w:rPr>
      </w:pPr>
      <w:r w:rsidRPr="00731115">
        <w:rPr>
          <w:rStyle w:val="FootnoteReference"/>
          <w:rFonts w:ascii="Garamond" w:hAnsi="Garamond"/>
          <w:sz w:val="20"/>
          <w:szCs w:val="20"/>
        </w:rPr>
        <w:footnoteRef/>
      </w:r>
      <w:r w:rsidRPr="00731115">
        <w:rPr>
          <w:rFonts w:ascii="Garamond" w:hAnsi="Garamond"/>
          <w:sz w:val="20"/>
          <w:szCs w:val="20"/>
        </w:rPr>
        <w:t xml:space="preserve"> Census i Malit të Zi 2011</w:t>
      </w:r>
    </w:p>
  </w:footnote>
  <w:footnote w:id="56">
    <w:p w14:paraId="7B9A474C" w14:textId="1923F620" w:rsidR="007435D6" w:rsidRPr="00731115" w:rsidRDefault="007435D6" w:rsidP="00731115">
      <w:pPr>
        <w:spacing w:after="0" w:line="240" w:lineRule="auto"/>
        <w:rPr>
          <w:rFonts w:ascii="Garamond" w:hAnsi="Garamond"/>
          <w:sz w:val="20"/>
          <w:szCs w:val="20"/>
        </w:rPr>
      </w:pPr>
      <w:r w:rsidRPr="00731115">
        <w:rPr>
          <w:rStyle w:val="FootnoteReference"/>
          <w:rFonts w:ascii="Garamond" w:hAnsi="Garamond"/>
          <w:sz w:val="20"/>
          <w:szCs w:val="20"/>
        </w:rPr>
        <w:footnoteRef/>
      </w:r>
      <w:r w:rsidRPr="00731115">
        <w:rPr>
          <w:rFonts w:ascii="Garamond" w:hAnsi="Garamond"/>
          <w:sz w:val="20"/>
          <w:szCs w:val="20"/>
        </w:rPr>
        <w:t xml:space="preserve"> INSTAT, Buletini Tremujor i Statistikave, Nr. 2, 2013</w:t>
      </w:r>
    </w:p>
  </w:footnote>
  <w:footnote w:id="57">
    <w:p w14:paraId="6935150D" w14:textId="3ECF772F" w:rsidR="007435D6" w:rsidRPr="00731115" w:rsidRDefault="007435D6" w:rsidP="00731115">
      <w:pPr>
        <w:pStyle w:val="FootnoteText"/>
        <w:rPr>
          <w:rFonts w:ascii="Garamond" w:hAnsi="Garamond"/>
          <w:lang w:val="en-US"/>
        </w:rPr>
      </w:pPr>
      <w:r w:rsidRPr="00731115">
        <w:rPr>
          <w:rStyle w:val="FootnoteReference"/>
          <w:rFonts w:ascii="Garamond" w:hAnsi="Garamond"/>
        </w:rPr>
        <w:footnoteRef/>
      </w:r>
      <w:r w:rsidRPr="00731115">
        <w:rPr>
          <w:rFonts w:ascii="Garamond" w:hAnsi="Garamond"/>
        </w:rPr>
        <w:t xml:space="preserve"> Shkalla e punësimit përfaqëson përqindjen e personave të punësuar në raport me popullsinë e përgjithshme aktive të moshës 15 vjeç e lart.</w:t>
      </w:r>
    </w:p>
  </w:footnote>
  <w:footnote w:id="58">
    <w:p w14:paraId="5EE32D80" w14:textId="1F22C072" w:rsidR="007435D6" w:rsidRPr="00731115" w:rsidRDefault="007435D6" w:rsidP="00731115">
      <w:pPr>
        <w:spacing w:after="0" w:line="240" w:lineRule="auto"/>
        <w:rPr>
          <w:rFonts w:ascii="Arial Narrow" w:hAnsi="Arial Narrow"/>
          <w:sz w:val="16"/>
        </w:rPr>
      </w:pPr>
      <w:r w:rsidRPr="00731115">
        <w:rPr>
          <w:rStyle w:val="FootnoteReference"/>
          <w:rFonts w:ascii="Garamond" w:hAnsi="Garamond"/>
          <w:sz w:val="20"/>
          <w:szCs w:val="20"/>
        </w:rPr>
        <w:footnoteRef/>
      </w:r>
      <w:r w:rsidRPr="00731115">
        <w:rPr>
          <w:rFonts w:ascii="Garamond" w:hAnsi="Garamond"/>
          <w:sz w:val="20"/>
          <w:szCs w:val="20"/>
        </w:rPr>
        <w:t xml:space="preserve"> Norma e papunësisë përfaqëson përqindjen e personave të pa-punësuar nw raport me po</w:t>
      </w:r>
      <w:r>
        <w:rPr>
          <w:rFonts w:ascii="Garamond" w:hAnsi="Garamond"/>
          <w:sz w:val="20"/>
          <w:szCs w:val="20"/>
        </w:rPr>
        <w:t xml:space="preserve">pullsinë e </w:t>
      </w:r>
      <w:r w:rsidRPr="00731115">
        <w:rPr>
          <w:rFonts w:ascii="Garamond" w:hAnsi="Garamond"/>
          <w:sz w:val="20"/>
          <w:szCs w:val="20"/>
        </w:rPr>
        <w:t>përgjithshme aktive.</w:t>
      </w:r>
    </w:p>
  </w:footnote>
  <w:footnote w:id="59">
    <w:p w14:paraId="0FE2A8DE" w14:textId="52F65575" w:rsidR="007435D6" w:rsidRPr="00174CD5" w:rsidRDefault="007435D6">
      <w:pPr>
        <w:pStyle w:val="FootnoteText"/>
        <w:rPr>
          <w:rFonts w:ascii="Garamond" w:hAnsi="Garamond"/>
          <w:lang w:val="en-US"/>
        </w:rPr>
      </w:pPr>
      <w:r w:rsidRPr="00174CD5">
        <w:rPr>
          <w:rStyle w:val="FootnoteReference"/>
          <w:rFonts w:ascii="Garamond" w:hAnsi="Garamond"/>
        </w:rPr>
        <w:footnoteRef/>
      </w:r>
      <w:r w:rsidRPr="00174CD5">
        <w:rPr>
          <w:rFonts w:ascii="Garamond" w:hAnsi="Garamond"/>
        </w:rPr>
        <w:t xml:space="preserve"> Industria dhe punësimi i popullsisë në Mal të Zi -Census 2011 MONSTAT, publikimi nr. 197</w:t>
      </w:r>
    </w:p>
  </w:footnote>
  <w:footnote w:id="60">
    <w:p w14:paraId="795CC48F" w14:textId="5F2E7709" w:rsidR="007435D6" w:rsidRPr="00174CD5" w:rsidRDefault="007435D6">
      <w:pPr>
        <w:pStyle w:val="FootnoteText"/>
        <w:rPr>
          <w:lang w:val="en-US"/>
        </w:rPr>
      </w:pPr>
      <w:r w:rsidRPr="00174CD5">
        <w:rPr>
          <w:rStyle w:val="FootnoteReference"/>
          <w:rFonts w:ascii="Garamond" w:hAnsi="Garamond"/>
        </w:rPr>
        <w:footnoteRef/>
      </w:r>
      <w:r w:rsidRPr="00174CD5">
        <w:rPr>
          <w:rFonts w:ascii="Garamond" w:hAnsi="Garamond"/>
        </w:rPr>
        <w:t xml:space="preserve"> Libri statistikor, Ministria e Bujqësisë</w:t>
      </w:r>
    </w:p>
  </w:footnote>
  <w:footnote w:id="61">
    <w:p w14:paraId="3C485F2F" w14:textId="08B740EB" w:rsidR="007435D6" w:rsidRPr="004657E5" w:rsidRDefault="007435D6">
      <w:pPr>
        <w:pStyle w:val="FootnoteText"/>
        <w:rPr>
          <w:rFonts w:ascii="Garamond" w:hAnsi="Garamond"/>
          <w:lang w:val="en-US"/>
        </w:rPr>
      </w:pPr>
      <w:r w:rsidRPr="004657E5">
        <w:rPr>
          <w:rStyle w:val="FootnoteReference"/>
          <w:rFonts w:ascii="Garamond" w:hAnsi="Garamond"/>
        </w:rPr>
        <w:footnoteRef/>
      </w:r>
      <w:r w:rsidRPr="004657E5">
        <w:rPr>
          <w:rFonts w:ascii="Garamond" w:hAnsi="Garamond"/>
        </w:rPr>
        <w:t xml:space="preserve"> Këshilli i Udhëtimeve nëpër Botë dhe Turizmit - Mars 2013</w:t>
      </w:r>
    </w:p>
  </w:footnote>
  <w:footnote w:id="62">
    <w:p w14:paraId="2708BDD6" w14:textId="66B8E537" w:rsidR="007435D6" w:rsidRPr="004657E5" w:rsidRDefault="007435D6">
      <w:pPr>
        <w:pStyle w:val="FootnoteText"/>
        <w:rPr>
          <w:rFonts w:ascii="Garamond" w:hAnsi="Garamond"/>
          <w:lang w:val="en-US"/>
        </w:rPr>
      </w:pPr>
      <w:r w:rsidRPr="004657E5">
        <w:rPr>
          <w:rStyle w:val="FootnoteReference"/>
          <w:rFonts w:ascii="Garamond" w:hAnsi="Garamond"/>
        </w:rPr>
        <w:footnoteRef/>
      </w:r>
      <w:r w:rsidRPr="004657E5">
        <w:rPr>
          <w:rFonts w:ascii="Garamond" w:hAnsi="Garamond"/>
        </w:rPr>
        <w:t xml:space="preserve"> Mali i Zi, Strategjia për Zhvillimin e Turizmit deri në 2020</w:t>
      </w:r>
    </w:p>
  </w:footnote>
  <w:footnote w:id="63">
    <w:p w14:paraId="069FE5B5" w14:textId="040ABF7A" w:rsidR="007435D6" w:rsidRPr="004657E5" w:rsidRDefault="007435D6">
      <w:pPr>
        <w:pStyle w:val="FootnoteText"/>
        <w:rPr>
          <w:lang w:val="en-US"/>
        </w:rPr>
      </w:pPr>
      <w:r w:rsidRPr="004657E5">
        <w:rPr>
          <w:rStyle w:val="FootnoteReference"/>
          <w:rFonts w:ascii="Garamond" w:hAnsi="Garamond"/>
        </w:rPr>
        <w:footnoteRef/>
      </w:r>
      <w:r w:rsidRPr="004657E5">
        <w:rPr>
          <w:rFonts w:ascii="Garamond" w:hAnsi="Garamond"/>
        </w:rPr>
        <w:t xml:space="preserve"> MONSTAT – Mbërritjet Turistike dhe Qëndrimet me fjetje sipas Qyteteve 2012</w:t>
      </w:r>
    </w:p>
  </w:footnote>
  <w:footnote w:id="64">
    <w:p w14:paraId="4932404F" w14:textId="69776BA7" w:rsidR="007435D6" w:rsidRPr="00770BDD" w:rsidRDefault="007435D6" w:rsidP="00770BDD">
      <w:pPr>
        <w:spacing w:after="0" w:line="240" w:lineRule="auto"/>
        <w:ind w:left="142"/>
        <w:rPr>
          <w:rFonts w:ascii="Arial Narrow"/>
          <w:sz w:val="16"/>
        </w:rPr>
      </w:pPr>
      <w:r>
        <w:rPr>
          <w:rStyle w:val="FootnoteReference"/>
        </w:rPr>
        <w:footnoteRef/>
      </w:r>
      <w:r>
        <w:t xml:space="preserve"> </w:t>
      </w:r>
      <w:r>
        <w:rPr>
          <w:rFonts w:ascii="Arial Narrow"/>
          <w:sz w:val="16"/>
        </w:rPr>
        <w:t>Monstat Census 2011</w:t>
      </w:r>
    </w:p>
  </w:footnote>
  <w:footnote w:id="65">
    <w:p w14:paraId="2F479D0D" w14:textId="401205B7" w:rsidR="007435D6" w:rsidRPr="00820927" w:rsidRDefault="007435D6" w:rsidP="00770BDD">
      <w:pPr>
        <w:spacing w:after="0" w:line="240" w:lineRule="auto"/>
        <w:rPr>
          <w:rFonts w:ascii="Garamond" w:hAnsi="Garamond"/>
          <w:sz w:val="20"/>
          <w:szCs w:val="20"/>
        </w:rPr>
      </w:pPr>
      <w:r w:rsidRPr="00820927">
        <w:rPr>
          <w:rStyle w:val="FootnoteReference"/>
          <w:rFonts w:ascii="Garamond" w:hAnsi="Garamond"/>
          <w:sz w:val="20"/>
          <w:szCs w:val="20"/>
        </w:rPr>
        <w:footnoteRef/>
      </w:r>
      <w:r w:rsidRPr="00820927">
        <w:rPr>
          <w:rFonts w:ascii="Garamond" w:hAnsi="Garamond"/>
          <w:sz w:val="20"/>
          <w:szCs w:val="20"/>
        </w:rPr>
        <w:t xml:space="preserve"> INSTAT Census 2011</w:t>
      </w:r>
    </w:p>
  </w:footnote>
  <w:footnote w:id="66">
    <w:p w14:paraId="480D2A9F" w14:textId="6783629D" w:rsidR="007435D6" w:rsidRPr="00820927" w:rsidRDefault="007435D6">
      <w:pPr>
        <w:pStyle w:val="FootnoteText"/>
        <w:rPr>
          <w:rFonts w:ascii="Garamond" w:hAnsi="Garamond"/>
          <w:lang w:val="en-US"/>
        </w:rPr>
      </w:pPr>
      <w:r w:rsidRPr="00820927">
        <w:rPr>
          <w:rStyle w:val="FootnoteReference"/>
          <w:rFonts w:ascii="Garamond" w:hAnsi="Garamond"/>
        </w:rPr>
        <w:footnoteRef/>
      </w:r>
      <w:r w:rsidRPr="00820927">
        <w:rPr>
          <w:rFonts w:ascii="Garamond" w:hAnsi="Garamond"/>
        </w:rPr>
        <w:t xml:space="preserve"> Mal i Zi, Census 2011 60</w:t>
      </w:r>
    </w:p>
  </w:footnote>
  <w:footnote w:id="67">
    <w:p w14:paraId="1FF78733" w14:textId="39131280" w:rsidR="007435D6" w:rsidRPr="00820927" w:rsidRDefault="007435D6" w:rsidP="00820927">
      <w:pPr>
        <w:spacing w:after="0" w:line="240" w:lineRule="auto"/>
        <w:rPr>
          <w:rFonts w:ascii="Garamond" w:hAnsi="Garamond"/>
          <w:sz w:val="20"/>
          <w:szCs w:val="20"/>
        </w:rPr>
      </w:pPr>
      <w:r w:rsidRPr="00820927">
        <w:rPr>
          <w:rStyle w:val="FootnoteReference"/>
          <w:rFonts w:ascii="Garamond" w:hAnsi="Garamond"/>
          <w:sz w:val="20"/>
          <w:szCs w:val="20"/>
        </w:rPr>
        <w:footnoteRef/>
      </w:r>
      <w:r w:rsidRPr="00820927">
        <w:rPr>
          <w:rFonts w:ascii="Garamond" w:hAnsi="Garamond"/>
          <w:sz w:val="20"/>
          <w:szCs w:val="20"/>
        </w:rPr>
        <w:t xml:space="preserve"> Shqipëri, Census 2011</w:t>
      </w:r>
    </w:p>
  </w:footnote>
  <w:footnote w:id="68">
    <w:p w14:paraId="68413BE6" w14:textId="5B2A5FD9" w:rsidR="007435D6" w:rsidRPr="00875701" w:rsidRDefault="007435D6" w:rsidP="00875701">
      <w:pPr>
        <w:pStyle w:val="TEKSTI"/>
        <w:ind w:firstLine="0"/>
        <w:rPr>
          <w:sz w:val="20"/>
        </w:rPr>
      </w:pPr>
      <w:r>
        <w:rPr>
          <w:rStyle w:val="FootnoteReference"/>
        </w:rPr>
        <w:footnoteRef/>
      </w:r>
      <w:r>
        <w:t xml:space="preserve"> </w:t>
      </w:r>
      <w:r w:rsidRPr="00DF760F">
        <w:rPr>
          <w:sz w:val="20"/>
        </w:rPr>
        <w:t>MONSTAT, Census 2011</w:t>
      </w:r>
    </w:p>
  </w:footnote>
  <w:footnote w:id="69">
    <w:p w14:paraId="31E461A3" w14:textId="7561BD69" w:rsidR="007435D6" w:rsidRPr="00875701" w:rsidRDefault="007435D6" w:rsidP="00875701">
      <w:pPr>
        <w:pStyle w:val="TEKSTI"/>
        <w:ind w:firstLine="0"/>
        <w:rPr>
          <w:sz w:val="20"/>
        </w:rPr>
      </w:pPr>
      <w:r>
        <w:rPr>
          <w:rStyle w:val="FootnoteReference"/>
        </w:rPr>
        <w:footnoteRef/>
      </w:r>
      <w:r>
        <w:t xml:space="preserve"> </w:t>
      </w:r>
      <w:r w:rsidRPr="00DF760F">
        <w:rPr>
          <w:sz w:val="20"/>
        </w:rPr>
        <w:t>INSTAT, Census 2011</w:t>
      </w:r>
    </w:p>
  </w:footnote>
  <w:footnote w:id="70">
    <w:p w14:paraId="3554033B" w14:textId="5F5C5B70" w:rsidR="007435D6" w:rsidRPr="00875701" w:rsidRDefault="007435D6">
      <w:pPr>
        <w:pStyle w:val="FootnoteText"/>
        <w:rPr>
          <w:lang w:val="en-US"/>
        </w:rPr>
      </w:pPr>
      <w:r>
        <w:rPr>
          <w:rStyle w:val="FootnoteReference"/>
        </w:rPr>
        <w:footnoteRef/>
      </w:r>
      <w:r>
        <w:t xml:space="preserve"> </w:t>
      </w:r>
      <w:r w:rsidRPr="00DF760F">
        <w:rPr>
          <w:rFonts w:ascii="Garamond" w:hAnsi="Garamond"/>
        </w:rPr>
        <w:t>MONSTAT, Analiza e varfërisë në Mal të Zi, në vitin 2011, Publikimi Nr. 329</w:t>
      </w:r>
    </w:p>
  </w:footnote>
  <w:footnote w:id="71">
    <w:p w14:paraId="02EFC47E" w14:textId="7EE7FF9E" w:rsidR="007435D6" w:rsidRPr="00875701" w:rsidRDefault="007435D6" w:rsidP="00875701">
      <w:pPr>
        <w:pStyle w:val="TEKSTI"/>
        <w:ind w:firstLine="0"/>
        <w:rPr>
          <w:sz w:val="20"/>
        </w:rPr>
      </w:pPr>
      <w:r>
        <w:rPr>
          <w:rStyle w:val="FootnoteReference"/>
        </w:rPr>
        <w:footnoteRef/>
      </w:r>
      <w:r>
        <w:t xml:space="preserve"> </w:t>
      </w:r>
      <w:r w:rsidRPr="00DF760F">
        <w:rPr>
          <w:sz w:val="20"/>
        </w:rPr>
        <w:t>Banka Botërore, fotografim i programit të vendit</w:t>
      </w:r>
    </w:p>
  </w:footnote>
  <w:footnote w:id="72">
    <w:p w14:paraId="771722FE" w14:textId="44D00ED7" w:rsidR="007435D6" w:rsidRPr="00875701" w:rsidRDefault="007435D6">
      <w:pPr>
        <w:pStyle w:val="FootnoteText"/>
        <w:rPr>
          <w:lang w:val="en-US"/>
        </w:rPr>
      </w:pPr>
      <w:r>
        <w:rPr>
          <w:rStyle w:val="FootnoteReference"/>
        </w:rPr>
        <w:footnoteRef/>
      </w:r>
      <w:r>
        <w:t xml:space="preserve"> </w:t>
      </w:r>
      <w:r w:rsidRPr="00DF760F">
        <w:rPr>
          <w:rFonts w:ascii="Garamond" w:hAnsi="Garamond"/>
        </w:rPr>
        <w:t>Shqipëria, trended e varfërisë, Shtator 2013, INSTAT-Banka Botërore</w:t>
      </w:r>
    </w:p>
  </w:footnote>
  <w:footnote w:id="73">
    <w:p w14:paraId="627D6161" w14:textId="2D21D93C" w:rsidR="007435D6" w:rsidRPr="00E744CD" w:rsidRDefault="007435D6" w:rsidP="00E744CD">
      <w:pPr>
        <w:pStyle w:val="TEKSTI"/>
        <w:ind w:firstLine="0"/>
        <w:rPr>
          <w:sz w:val="20"/>
        </w:rPr>
      </w:pPr>
      <w:r>
        <w:rPr>
          <w:rStyle w:val="FootnoteReference"/>
        </w:rPr>
        <w:footnoteRef/>
      </w:r>
      <w:r>
        <w:t xml:space="preserve"> </w:t>
      </w:r>
      <w:r w:rsidRPr="002B5267">
        <w:rPr>
          <w:sz w:val="20"/>
        </w:rPr>
        <w:t xml:space="preserve">MONSTAT, Libri statistikor 2012 </w:t>
      </w:r>
    </w:p>
  </w:footnote>
  <w:footnote w:id="74">
    <w:p w14:paraId="66E22871" w14:textId="070C5704" w:rsidR="007435D6" w:rsidRPr="002B5267" w:rsidRDefault="007435D6" w:rsidP="00E744CD">
      <w:pPr>
        <w:pStyle w:val="TEKSTI"/>
        <w:ind w:firstLine="0"/>
        <w:rPr>
          <w:sz w:val="20"/>
        </w:rPr>
      </w:pPr>
      <w:r>
        <w:rPr>
          <w:rStyle w:val="FootnoteReference"/>
        </w:rPr>
        <w:footnoteRef/>
      </w:r>
      <w:r>
        <w:t xml:space="preserve"> </w:t>
      </w:r>
      <w:r w:rsidRPr="002B5267">
        <w:rPr>
          <w:sz w:val="20"/>
        </w:rPr>
        <w:t>MONSTAT, Deklaratat e Arsimit të Lartë 2012</w:t>
      </w:r>
    </w:p>
    <w:p w14:paraId="253896D5" w14:textId="09697107" w:rsidR="007435D6" w:rsidRPr="00E744CD" w:rsidRDefault="007435D6">
      <w:pPr>
        <w:pStyle w:val="FootnoteText"/>
        <w:rPr>
          <w:lang w:val="en-US"/>
        </w:rPr>
      </w:pPr>
    </w:p>
  </w:footnote>
  <w:footnote w:id="75">
    <w:p w14:paraId="442A22BF" w14:textId="3A3D579D" w:rsidR="007435D6" w:rsidRPr="007E6F63" w:rsidRDefault="007435D6">
      <w:pPr>
        <w:pStyle w:val="FootnoteText"/>
        <w:rPr>
          <w:rFonts w:ascii="Garamond" w:hAnsi="Garamond"/>
          <w:lang w:val="en-US"/>
        </w:rPr>
      </w:pPr>
      <w:r w:rsidRPr="007E6F63">
        <w:rPr>
          <w:rStyle w:val="FootnoteReference"/>
          <w:rFonts w:ascii="Garamond" w:hAnsi="Garamond"/>
        </w:rPr>
        <w:footnoteRef/>
      </w:r>
      <w:r w:rsidRPr="007E6F63">
        <w:rPr>
          <w:rFonts w:ascii="Garamond" w:hAnsi="Garamond"/>
        </w:rPr>
        <w:t xml:space="preserve"> K&amp;Zh në 2011, Zyra Statistikore e Malit të Zi, publikimi Nr.</w:t>
      </w:r>
      <w:r w:rsidRPr="007E6F63">
        <w:rPr>
          <w:rFonts w:ascii="Garamond" w:hAnsi="Garamond"/>
          <w:spacing w:val="-16"/>
        </w:rPr>
        <w:t xml:space="preserve"> </w:t>
      </w:r>
      <w:r w:rsidRPr="007E6F63">
        <w:rPr>
          <w:rFonts w:ascii="Garamond" w:hAnsi="Garamond"/>
        </w:rPr>
        <w:t>24</w:t>
      </w:r>
    </w:p>
  </w:footnote>
  <w:footnote w:id="76">
    <w:p w14:paraId="788FCC93" w14:textId="3ACDBF29" w:rsidR="007435D6" w:rsidRPr="007E6F63" w:rsidRDefault="007435D6">
      <w:pPr>
        <w:pStyle w:val="FootnoteText"/>
        <w:rPr>
          <w:rFonts w:ascii="Garamond" w:hAnsi="Garamond"/>
          <w:lang w:val="en-US"/>
        </w:rPr>
      </w:pPr>
      <w:r w:rsidRPr="007E6F63">
        <w:rPr>
          <w:rStyle w:val="FootnoteReference"/>
          <w:rFonts w:ascii="Garamond" w:hAnsi="Garamond"/>
        </w:rPr>
        <w:footnoteRef/>
      </w:r>
      <w:r w:rsidRPr="007E6F63">
        <w:rPr>
          <w:rFonts w:ascii="Garamond" w:hAnsi="Garamond"/>
        </w:rPr>
        <w:t xml:space="preserve"> INSTAT, Studentët e regjistruar për secilin universitet 2012</w:t>
      </w:r>
    </w:p>
  </w:footnote>
  <w:footnote w:id="77">
    <w:p w14:paraId="452116DF" w14:textId="52B22FAD" w:rsidR="007435D6" w:rsidRPr="007E6F63" w:rsidRDefault="007435D6">
      <w:pPr>
        <w:pStyle w:val="FootnoteText"/>
        <w:rPr>
          <w:rFonts w:ascii="Garamond" w:hAnsi="Garamond"/>
          <w:lang w:val="en-US"/>
        </w:rPr>
      </w:pPr>
      <w:r w:rsidRPr="007E6F63">
        <w:rPr>
          <w:rStyle w:val="FootnoteReference"/>
          <w:rFonts w:ascii="Garamond" w:hAnsi="Garamond"/>
        </w:rPr>
        <w:footnoteRef/>
      </w:r>
      <w:r w:rsidRPr="007E6F63">
        <w:rPr>
          <w:rFonts w:ascii="Garamond" w:hAnsi="Garamond"/>
        </w:rPr>
        <w:t xml:space="preserve"> Ajo ka një lidhje direkte me Universitetin e Podgoricës</w:t>
      </w:r>
    </w:p>
  </w:footnote>
  <w:footnote w:id="78">
    <w:p w14:paraId="7B904AF9" w14:textId="33CFA4AF" w:rsidR="007435D6" w:rsidRPr="007E6F63" w:rsidRDefault="007435D6" w:rsidP="007E6F63">
      <w:pPr>
        <w:pStyle w:val="TEKSTI"/>
        <w:ind w:firstLine="0"/>
        <w:rPr>
          <w:sz w:val="20"/>
          <w:szCs w:val="20"/>
        </w:rPr>
      </w:pPr>
      <w:r w:rsidRPr="007E6F63">
        <w:rPr>
          <w:rStyle w:val="FootnoteReference"/>
          <w:sz w:val="20"/>
          <w:szCs w:val="20"/>
        </w:rPr>
        <w:footnoteRef/>
      </w:r>
      <w:r w:rsidRPr="007E6F63">
        <w:rPr>
          <w:sz w:val="20"/>
          <w:szCs w:val="20"/>
        </w:rPr>
        <w:t xml:space="preserve"> Shqipëri, Buxheti i Shtetit</w:t>
      </w:r>
      <w:r w:rsidRPr="007E6F63">
        <w:rPr>
          <w:spacing w:val="-13"/>
          <w:sz w:val="20"/>
          <w:szCs w:val="20"/>
        </w:rPr>
        <w:t xml:space="preserve"> </w:t>
      </w:r>
      <w:r w:rsidRPr="007E6F63">
        <w:rPr>
          <w:sz w:val="20"/>
          <w:szCs w:val="20"/>
        </w:rPr>
        <w:t>2012</w:t>
      </w:r>
    </w:p>
    <w:p w14:paraId="1CC3562D" w14:textId="49C2449E" w:rsidR="007435D6" w:rsidRPr="007E6F63" w:rsidRDefault="007435D6">
      <w:pPr>
        <w:pStyle w:val="FootnoteText"/>
        <w:rPr>
          <w:lang w:val="en-US"/>
        </w:rPr>
      </w:pPr>
    </w:p>
  </w:footnote>
  <w:footnote w:id="79">
    <w:p w14:paraId="37B44B2C" w14:textId="7A4C77C4" w:rsidR="007435D6" w:rsidRPr="004252F4" w:rsidRDefault="007435D6">
      <w:pPr>
        <w:pStyle w:val="FootnoteText"/>
        <w:rPr>
          <w:rFonts w:ascii="Garamond" w:hAnsi="Garamond"/>
          <w:lang w:val="en-US"/>
        </w:rPr>
      </w:pPr>
      <w:r w:rsidRPr="004252F4">
        <w:rPr>
          <w:rStyle w:val="FootnoteReference"/>
          <w:rFonts w:ascii="Garamond" w:hAnsi="Garamond"/>
        </w:rPr>
        <w:footnoteRef/>
      </w:r>
      <w:r w:rsidRPr="004252F4">
        <w:rPr>
          <w:rFonts w:ascii="Garamond" w:hAnsi="Garamond"/>
        </w:rPr>
        <w:t xml:space="preserve"> Instituti i Shëndetit Publik i Malit të Zi 2011</w:t>
      </w:r>
    </w:p>
  </w:footnote>
  <w:footnote w:id="80">
    <w:p w14:paraId="59194D7C" w14:textId="7E66FEF8" w:rsidR="007435D6" w:rsidRPr="004252F4" w:rsidRDefault="007435D6" w:rsidP="004252F4">
      <w:pPr>
        <w:pStyle w:val="TEKSTI"/>
        <w:ind w:firstLine="0"/>
        <w:rPr>
          <w:sz w:val="20"/>
          <w:szCs w:val="20"/>
        </w:rPr>
      </w:pPr>
      <w:r w:rsidRPr="004252F4">
        <w:rPr>
          <w:rStyle w:val="FootnoteReference"/>
          <w:sz w:val="20"/>
          <w:szCs w:val="20"/>
        </w:rPr>
        <w:footnoteRef/>
      </w:r>
      <w:r w:rsidRPr="004252F4">
        <w:rPr>
          <w:sz w:val="20"/>
          <w:szCs w:val="20"/>
        </w:rPr>
        <w:t xml:space="preserve"> Rajonet Shkodër dhe Lezhë, Buletini Statistikor 2012</w:t>
      </w:r>
    </w:p>
  </w:footnote>
  <w:footnote w:id="81">
    <w:p w14:paraId="4D72951B" w14:textId="4B99A32A" w:rsidR="007435D6" w:rsidRPr="007C447F" w:rsidRDefault="007435D6">
      <w:pPr>
        <w:pStyle w:val="FootnoteText"/>
        <w:rPr>
          <w:rFonts w:ascii="Garamond" w:hAnsi="Garamond"/>
          <w:lang w:val="en-US"/>
        </w:rPr>
      </w:pPr>
      <w:r w:rsidRPr="007C447F">
        <w:rPr>
          <w:rStyle w:val="FootnoteReference"/>
          <w:rFonts w:ascii="Garamond" w:hAnsi="Garamond"/>
        </w:rPr>
        <w:footnoteRef/>
      </w:r>
      <w:r w:rsidRPr="007C447F">
        <w:rPr>
          <w:rFonts w:ascii="Garamond" w:hAnsi="Garamond"/>
        </w:rPr>
        <w:t xml:space="preserve"> Raporti i vlerësimit të nevojave për Malin e Zi nga TACSO. Nuk dihet se sa prej tyre janë aktive</w:t>
      </w:r>
    </w:p>
  </w:footnote>
  <w:footnote w:id="82">
    <w:p w14:paraId="32378678" w14:textId="125B4131" w:rsidR="007435D6" w:rsidRPr="009D1AC4" w:rsidRDefault="007435D6" w:rsidP="009D1AC4">
      <w:pPr>
        <w:pStyle w:val="TEKSTI"/>
        <w:ind w:firstLine="0"/>
        <w:rPr>
          <w:sz w:val="20"/>
          <w:szCs w:val="20"/>
        </w:rPr>
      </w:pPr>
      <w:r w:rsidRPr="007C447F">
        <w:rPr>
          <w:rStyle w:val="FootnoteReference"/>
          <w:sz w:val="20"/>
          <w:szCs w:val="20"/>
        </w:rPr>
        <w:footnoteRef/>
      </w:r>
      <w:r w:rsidRPr="007C447F">
        <w:rPr>
          <w:sz w:val="20"/>
          <w:szCs w:val="20"/>
        </w:rPr>
        <w:t xml:space="preserve"> Vlerësimet e fundit të shoqërisë civile dhe vëzhgimet intensive nga Zyra e Projektit TACSO në Shqipëri vlerësojnë se numri i përgjithshëm i</w:t>
      </w:r>
      <w:r>
        <w:rPr>
          <w:sz w:val="20"/>
          <w:szCs w:val="20"/>
        </w:rPr>
        <w:t xml:space="preserve"> OSHC-ve aktive nuk i kalon 450</w:t>
      </w:r>
    </w:p>
  </w:footnote>
  <w:footnote w:id="83">
    <w:p w14:paraId="76A3C0AF" w14:textId="77777777" w:rsidR="007435D6" w:rsidRPr="009D1AC4" w:rsidRDefault="007435D6" w:rsidP="009D1AC4">
      <w:pPr>
        <w:pStyle w:val="TEKSTI"/>
        <w:ind w:firstLine="0"/>
        <w:rPr>
          <w:sz w:val="20"/>
        </w:rPr>
      </w:pPr>
      <w:r>
        <w:rPr>
          <w:rStyle w:val="FootnoteReference"/>
        </w:rPr>
        <w:footnoteRef/>
      </w:r>
      <w:r>
        <w:t xml:space="preserve"> </w:t>
      </w:r>
      <w:r w:rsidRPr="009D1AC4">
        <w:rPr>
          <w:sz w:val="20"/>
        </w:rPr>
        <w:t>Observatori i Transportit Jug-Lindor. Korridoret e rrugëve &amp; Lidhjet përfshijnë: Shqipërinë, Bosnjen, Kroacinë, Kosovën, Ish Republikën Jugosllave të Maqedonisë, Serbinë, Malin e Zi</w:t>
      </w:r>
    </w:p>
    <w:p w14:paraId="2EEB5341" w14:textId="4D2FB528" w:rsidR="007435D6" w:rsidRPr="009D1AC4" w:rsidRDefault="007435D6">
      <w:pPr>
        <w:pStyle w:val="FootnoteText"/>
        <w:rPr>
          <w:lang w:val="en-US"/>
        </w:rPr>
      </w:pPr>
    </w:p>
  </w:footnote>
  <w:footnote w:id="84">
    <w:p w14:paraId="6D5E8F56" w14:textId="455AEA3F" w:rsidR="007435D6" w:rsidRPr="009D1AC4" w:rsidRDefault="007435D6" w:rsidP="009D1AC4">
      <w:pPr>
        <w:pStyle w:val="TEKSTI"/>
        <w:ind w:firstLine="0"/>
        <w:rPr>
          <w:sz w:val="20"/>
        </w:rPr>
      </w:pPr>
      <w:r>
        <w:rPr>
          <w:rStyle w:val="FootnoteReference"/>
        </w:rPr>
        <w:footnoteRef/>
      </w:r>
      <w:r>
        <w:t xml:space="preserve"> </w:t>
      </w:r>
      <w:r w:rsidRPr="009D1AC4">
        <w:rPr>
          <w:sz w:val="20"/>
        </w:rPr>
        <w:t xml:space="preserve">Agjencia për Komunikimet Elektronike dhe Shërbimet Postare, Raporti Vjetor 2011 </w:t>
      </w:r>
    </w:p>
  </w:footnote>
  <w:footnote w:id="85">
    <w:p w14:paraId="4DED8A1A" w14:textId="184BD901" w:rsidR="007435D6" w:rsidRPr="009D1AC4" w:rsidRDefault="007435D6">
      <w:pPr>
        <w:pStyle w:val="FootnoteText"/>
        <w:rPr>
          <w:lang w:val="en-US"/>
        </w:rPr>
      </w:pPr>
      <w:r>
        <w:rPr>
          <w:rStyle w:val="FootnoteReference"/>
        </w:rPr>
        <w:footnoteRef/>
      </w:r>
      <w:r>
        <w:t xml:space="preserve"> </w:t>
      </w:r>
      <w:r w:rsidRPr="009D1AC4">
        <w:t>Shqipëria, Census 2011</w:t>
      </w:r>
    </w:p>
  </w:footnote>
  <w:footnote w:id="86">
    <w:p w14:paraId="727F2509" w14:textId="09A2B984" w:rsidR="007435D6" w:rsidRPr="009D1AC4" w:rsidRDefault="007435D6">
      <w:pPr>
        <w:pStyle w:val="FootnoteText"/>
        <w:rPr>
          <w:rFonts w:ascii="Garamond" w:hAnsi="Garamond"/>
          <w:lang w:val="en-US"/>
        </w:rPr>
      </w:pPr>
      <w:r w:rsidRPr="009D1AC4">
        <w:rPr>
          <w:rStyle w:val="FootnoteReference"/>
          <w:rFonts w:ascii="Garamond" w:hAnsi="Garamond"/>
        </w:rPr>
        <w:footnoteRef/>
      </w:r>
      <w:r w:rsidRPr="009D1AC4">
        <w:rPr>
          <w:rFonts w:ascii="Garamond" w:hAnsi="Garamond"/>
        </w:rPr>
        <w:t xml:space="preserve"> MONSTAT, Popullsia sipas njohjes kompjuterike për bashkitë në Mal të Zi në vitin 2011, publikimi Nr. 156</w:t>
      </w:r>
    </w:p>
  </w:footnote>
  <w:footnote w:id="87">
    <w:p w14:paraId="11F6AE6C" w14:textId="721D858F" w:rsidR="007435D6" w:rsidRPr="00B87E5D" w:rsidRDefault="007435D6">
      <w:pPr>
        <w:pStyle w:val="FootnoteText"/>
        <w:rPr>
          <w:lang w:val="en-US"/>
        </w:rPr>
      </w:pPr>
      <w:r>
        <w:rPr>
          <w:rStyle w:val="FootnoteReference"/>
        </w:rPr>
        <w:footnoteRef/>
      </w:r>
      <w:r>
        <w:t xml:space="preserve"> </w:t>
      </w:r>
      <w:r w:rsidRPr="00B87E5D">
        <w:t>ERE – Raporti Vjetor 2012</w:t>
      </w:r>
    </w:p>
  </w:footnote>
  <w:footnote w:id="88">
    <w:p w14:paraId="6188C7EA" w14:textId="59F79FEC" w:rsidR="007435D6" w:rsidRPr="00B87E5D" w:rsidRDefault="007435D6">
      <w:pPr>
        <w:pStyle w:val="FootnoteText"/>
        <w:rPr>
          <w:lang w:val="en-US"/>
        </w:rPr>
      </w:pPr>
      <w:r>
        <w:rPr>
          <w:rStyle w:val="FootnoteReference"/>
        </w:rPr>
        <w:footnoteRef/>
      </w:r>
      <w:r>
        <w:t xml:space="preserve"> </w:t>
      </w:r>
      <w:r w:rsidRPr="00B87E5D">
        <w:t>MONSTAT. Banesat sipas pajisjes me instalime, Publikimi Nr. 280</w:t>
      </w:r>
    </w:p>
  </w:footnote>
  <w:footnote w:id="89">
    <w:p w14:paraId="5D644ADE" w14:textId="4866226A" w:rsidR="007435D6" w:rsidRPr="00B87E5D" w:rsidRDefault="007435D6" w:rsidP="00B87E5D">
      <w:pPr>
        <w:pStyle w:val="TEKSTI"/>
        <w:ind w:firstLine="0"/>
        <w:rPr>
          <w:sz w:val="20"/>
        </w:rPr>
      </w:pPr>
      <w:r>
        <w:rPr>
          <w:rStyle w:val="FootnoteReference"/>
        </w:rPr>
        <w:footnoteRef/>
      </w:r>
      <w:r>
        <w:t xml:space="preserve"> </w:t>
      </w:r>
      <w:r w:rsidRPr="00B87E5D">
        <w:rPr>
          <w:sz w:val="20"/>
        </w:rPr>
        <w:t>Census</w:t>
      </w:r>
      <w:r w:rsidRPr="00B87E5D">
        <w:rPr>
          <w:spacing w:val="-7"/>
          <w:sz w:val="20"/>
        </w:rPr>
        <w:t xml:space="preserve"> </w:t>
      </w:r>
      <w:r w:rsidRPr="00B87E5D">
        <w:rPr>
          <w:sz w:val="20"/>
        </w:rPr>
        <w:t>2011,</w:t>
      </w:r>
      <w:r w:rsidRPr="00B87E5D">
        <w:rPr>
          <w:spacing w:val="-7"/>
          <w:sz w:val="20"/>
        </w:rPr>
        <w:t xml:space="preserve"> </w:t>
      </w:r>
      <w:r w:rsidRPr="00B87E5D">
        <w:rPr>
          <w:sz w:val="20"/>
        </w:rPr>
        <w:t>INSTAT</w:t>
      </w:r>
      <w:r w:rsidRPr="00B87E5D">
        <w:rPr>
          <w:spacing w:val="-5"/>
          <w:sz w:val="20"/>
        </w:rPr>
        <w:t xml:space="preserve"> </w:t>
      </w:r>
      <w:r w:rsidRPr="00B87E5D">
        <w:rPr>
          <w:sz w:val="20"/>
        </w:rPr>
        <w:t>Treguesit</w:t>
      </w:r>
      <w:r w:rsidRPr="00B87E5D">
        <w:rPr>
          <w:spacing w:val="-7"/>
          <w:sz w:val="20"/>
        </w:rPr>
        <w:t xml:space="preserve"> </w:t>
      </w:r>
      <w:r w:rsidRPr="00B87E5D">
        <w:rPr>
          <w:sz w:val="20"/>
        </w:rPr>
        <w:t>e</w:t>
      </w:r>
      <w:r w:rsidRPr="00B87E5D">
        <w:rPr>
          <w:spacing w:val="-5"/>
          <w:sz w:val="20"/>
        </w:rPr>
        <w:t xml:space="preserve"> </w:t>
      </w:r>
      <w:r w:rsidRPr="00B87E5D">
        <w:rPr>
          <w:sz w:val="20"/>
        </w:rPr>
        <w:t>ndërtesave</w:t>
      </w:r>
      <w:r w:rsidRPr="00B87E5D">
        <w:rPr>
          <w:spacing w:val="-5"/>
          <w:sz w:val="20"/>
        </w:rPr>
        <w:t xml:space="preserve"> </w:t>
      </w:r>
      <w:r w:rsidRPr="00B87E5D">
        <w:rPr>
          <w:sz w:val="20"/>
        </w:rPr>
        <w:t>dhe</w:t>
      </w:r>
      <w:r w:rsidRPr="00B87E5D">
        <w:rPr>
          <w:spacing w:val="-5"/>
          <w:sz w:val="20"/>
        </w:rPr>
        <w:t xml:space="preserve"> </w:t>
      </w:r>
      <w:r w:rsidRPr="00B87E5D">
        <w:rPr>
          <w:sz w:val="20"/>
        </w:rPr>
        <w:t>banesave</w:t>
      </w:r>
      <w:r w:rsidRPr="00B87E5D">
        <w:rPr>
          <w:spacing w:val="-5"/>
          <w:sz w:val="20"/>
        </w:rPr>
        <w:t xml:space="preserve"> </w:t>
      </w:r>
      <w:r w:rsidRPr="00B87E5D">
        <w:rPr>
          <w:sz w:val="20"/>
        </w:rPr>
        <w:t>sipas</w:t>
      </w:r>
      <w:r w:rsidRPr="00B87E5D">
        <w:rPr>
          <w:spacing w:val="-7"/>
          <w:sz w:val="20"/>
        </w:rPr>
        <w:t xml:space="preserve"> </w:t>
      </w:r>
      <w:r w:rsidRPr="00B87E5D">
        <w:rPr>
          <w:sz w:val="20"/>
        </w:rPr>
        <w:t>prefekturave</w:t>
      </w:r>
    </w:p>
  </w:footnote>
  <w:footnote w:id="90">
    <w:p w14:paraId="60418FF3" w14:textId="23773DA0" w:rsidR="007435D6" w:rsidRPr="006441F6" w:rsidRDefault="007435D6">
      <w:pPr>
        <w:pStyle w:val="FootnoteText"/>
        <w:rPr>
          <w:rFonts w:ascii="Garamond" w:hAnsi="Garamond"/>
          <w:lang w:val="en-US"/>
        </w:rPr>
      </w:pPr>
      <w:r w:rsidRPr="006441F6">
        <w:rPr>
          <w:rStyle w:val="FootnoteReference"/>
          <w:rFonts w:ascii="Garamond" w:hAnsi="Garamond"/>
        </w:rPr>
        <w:footnoteRef/>
      </w:r>
      <w:r w:rsidRPr="006441F6">
        <w:rPr>
          <w:rFonts w:ascii="Garamond" w:hAnsi="Garamond"/>
        </w:rPr>
        <w:t xml:space="preserve"> MONSTAT, Libri statistikor</w:t>
      </w:r>
      <w:r w:rsidRPr="006441F6">
        <w:rPr>
          <w:rFonts w:ascii="Garamond" w:hAnsi="Garamond"/>
          <w:spacing w:val="-18"/>
        </w:rPr>
        <w:t xml:space="preserve"> </w:t>
      </w:r>
      <w:r w:rsidRPr="006441F6">
        <w:rPr>
          <w:rFonts w:ascii="Garamond" w:hAnsi="Garamond"/>
        </w:rPr>
        <w:t>2012</w:t>
      </w:r>
    </w:p>
  </w:footnote>
  <w:footnote w:id="91">
    <w:p w14:paraId="1CFC1565" w14:textId="1FA3D8C5" w:rsidR="007435D6" w:rsidRPr="006441F6" w:rsidRDefault="007435D6" w:rsidP="006441F6">
      <w:pPr>
        <w:widowControl w:val="0"/>
        <w:tabs>
          <w:tab w:val="left" w:pos="326"/>
        </w:tabs>
        <w:spacing w:after="0" w:line="243" w:lineRule="exact"/>
        <w:rPr>
          <w:rFonts w:ascii="Arial Narrow" w:hAnsi="Arial Narrow"/>
          <w:sz w:val="16"/>
        </w:rPr>
      </w:pPr>
      <w:r w:rsidRPr="006441F6">
        <w:rPr>
          <w:rStyle w:val="FootnoteReference"/>
          <w:rFonts w:ascii="Garamond" w:hAnsi="Garamond"/>
          <w:sz w:val="20"/>
          <w:szCs w:val="20"/>
        </w:rPr>
        <w:footnoteRef/>
      </w:r>
      <w:r w:rsidRPr="006441F6">
        <w:rPr>
          <w:rFonts w:ascii="Garamond" w:hAnsi="Garamond"/>
          <w:sz w:val="20"/>
          <w:szCs w:val="20"/>
        </w:rPr>
        <w:t>Shqipëria,</w:t>
      </w:r>
      <w:r w:rsidRPr="006441F6">
        <w:rPr>
          <w:rFonts w:ascii="Garamond" w:hAnsi="Garamond"/>
          <w:spacing w:val="-6"/>
          <w:sz w:val="20"/>
          <w:szCs w:val="20"/>
        </w:rPr>
        <w:t xml:space="preserve"> </w:t>
      </w:r>
      <w:r w:rsidRPr="006441F6">
        <w:rPr>
          <w:rFonts w:ascii="Garamond" w:hAnsi="Garamond"/>
          <w:sz w:val="20"/>
          <w:szCs w:val="20"/>
        </w:rPr>
        <w:t>Ministria</w:t>
      </w:r>
      <w:r w:rsidRPr="006441F6">
        <w:rPr>
          <w:rFonts w:ascii="Garamond" w:hAnsi="Garamond"/>
          <w:spacing w:val="-4"/>
          <w:sz w:val="20"/>
          <w:szCs w:val="20"/>
        </w:rPr>
        <w:t xml:space="preserve"> </w:t>
      </w:r>
      <w:r w:rsidRPr="006441F6">
        <w:rPr>
          <w:rFonts w:ascii="Garamond" w:hAnsi="Garamond"/>
          <w:sz w:val="20"/>
          <w:szCs w:val="20"/>
        </w:rPr>
        <w:t>e</w:t>
      </w:r>
      <w:r w:rsidRPr="006441F6">
        <w:rPr>
          <w:rFonts w:ascii="Garamond" w:hAnsi="Garamond"/>
          <w:spacing w:val="-6"/>
          <w:sz w:val="20"/>
          <w:szCs w:val="20"/>
        </w:rPr>
        <w:t xml:space="preserve"> </w:t>
      </w:r>
      <w:r w:rsidRPr="006441F6">
        <w:rPr>
          <w:rFonts w:ascii="Garamond" w:hAnsi="Garamond"/>
          <w:sz w:val="20"/>
          <w:szCs w:val="20"/>
        </w:rPr>
        <w:t>Mjedisit,</w:t>
      </w:r>
      <w:r w:rsidRPr="006441F6">
        <w:rPr>
          <w:rFonts w:ascii="Garamond" w:hAnsi="Garamond"/>
          <w:spacing w:val="-6"/>
          <w:sz w:val="20"/>
          <w:szCs w:val="20"/>
        </w:rPr>
        <w:t xml:space="preserve"> </w:t>
      </w:r>
      <w:r w:rsidRPr="006441F6">
        <w:rPr>
          <w:rFonts w:ascii="Garamond" w:hAnsi="Garamond"/>
          <w:sz w:val="20"/>
          <w:szCs w:val="20"/>
        </w:rPr>
        <w:t>Rrjeti</w:t>
      </w:r>
      <w:r w:rsidRPr="006441F6">
        <w:rPr>
          <w:rFonts w:ascii="Garamond" w:hAnsi="Garamond"/>
          <w:spacing w:val="-5"/>
          <w:sz w:val="20"/>
          <w:szCs w:val="20"/>
        </w:rPr>
        <w:t xml:space="preserve"> </w:t>
      </w:r>
      <w:r w:rsidRPr="006441F6">
        <w:rPr>
          <w:rFonts w:ascii="Garamond" w:hAnsi="Garamond"/>
          <w:sz w:val="20"/>
          <w:szCs w:val="20"/>
        </w:rPr>
        <w:t>i</w:t>
      </w:r>
      <w:r w:rsidRPr="006441F6">
        <w:rPr>
          <w:rFonts w:ascii="Garamond" w:hAnsi="Garamond"/>
          <w:spacing w:val="-5"/>
          <w:sz w:val="20"/>
          <w:szCs w:val="20"/>
        </w:rPr>
        <w:t xml:space="preserve"> </w:t>
      </w:r>
      <w:r w:rsidRPr="006441F6">
        <w:rPr>
          <w:rFonts w:ascii="Garamond" w:hAnsi="Garamond"/>
          <w:sz w:val="20"/>
          <w:szCs w:val="20"/>
        </w:rPr>
        <w:t>zonave</w:t>
      </w:r>
      <w:r w:rsidRPr="006441F6">
        <w:rPr>
          <w:rFonts w:ascii="Garamond" w:hAnsi="Garamond"/>
          <w:spacing w:val="-4"/>
          <w:sz w:val="20"/>
          <w:szCs w:val="20"/>
        </w:rPr>
        <w:t xml:space="preserve"> </w:t>
      </w:r>
      <w:r w:rsidRPr="006441F6">
        <w:rPr>
          <w:rFonts w:ascii="Garamond" w:hAnsi="Garamond"/>
          <w:sz w:val="20"/>
          <w:szCs w:val="20"/>
        </w:rPr>
        <w:t>të</w:t>
      </w:r>
      <w:r w:rsidRPr="006441F6">
        <w:rPr>
          <w:rFonts w:ascii="Garamond" w:hAnsi="Garamond"/>
          <w:spacing w:val="-4"/>
          <w:sz w:val="20"/>
          <w:szCs w:val="20"/>
        </w:rPr>
        <w:t xml:space="preserve"> </w:t>
      </w:r>
      <w:r w:rsidRPr="006441F6">
        <w:rPr>
          <w:rFonts w:ascii="Garamond" w:hAnsi="Garamond"/>
          <w:sz w:val="20"/>
          <w:szCs w:val="20"/>
        </w:rPr>
        <w:t>mbrojtura</w:t>
      </w:r>
      <w:r w:rsidRPr="006441F6">
        <w:rPr>
          <w:rFonts w:ascii="Garamond" w:hAnsi="Garamond"/>
          <w:spacing w:val="-4"/>
          <w:sz w:val="20"/>
          <w:szCs w:val="20"/>
        </w:rPr>
        <w:t xml:space="preserve"> </w:t>
      </w:r>
      <w:r w:rsidRPr="006441F6">
        <w:rPr>
          <w:rFonts w:ascii="Garamond" w:hAnsi="Garamond"/>
          <w:sz w:val="20"/>
          <w:szCs w:val="20"/>
        </w:rPr>
        <w:t>në</w:t>
      </w:r>
      <w:r w:rsidRPr="006441F6">
        <w:rPr>
          <w:rFonts w:ascii="Garamond" w:hAnsi="Garamond"/>
          <w:spacing w:val="-4"/>
          <w:sz w:val="20"/>
          <w:szCs w:val="20"/>
        </w:rPr>
        <w:t xml:space="preserve"> </w:t>
      </w:r>
      <w:r w:rsidRPr="006441F6">
        <w:rPr>
          <w:rFonts w:ascii="Garamond" w:hAnsi="Garamond"/>
          <w:sz w:val="20"/>
          <w:szCs w:val="20"/>
        </w:rPr>
        <w:t>Shqipëri,</w:t>
      </w:r>
      <w:r w:rsidRPr="006441F6">
        <w:rPr>
          <w:rFonts w:ascii="Garamond" w:hAnsi="Garamond"/>
          <w:spacing w:val="-6"/>
          <w:sz w:val="20"/>
          <w:szCs w:val="20"/>
        </w:rPr>
        <w:t xml:space="preserve"> </w:t>
      </w:r>
      <w:r w:rsidRPr="006441F6">
        <w:rPr>
          <w:rFonts w:ascii="Garamond" w:hAnsi="Garamond"/>
          <w:sz w:val="20"/>
          <w:szCs w:val="20"/>
        </w:rPr>
        <w:t>Shtator</w:t>
      </w:r>
      <w:r w:rsidRPr="006441F6">
        <w:rPr>
          <w:rFonts w:ascii="Garamond" w:hAnsi="Garamond"/>
          <w:spacing w:val="-6"/>
          <w:sz w:val="20"/>
          <w:szCs w:val="20"/>
        </w:rPr>
        <w:t xml:space="preserve"> </w:t>
      </w:r>
      <w:r w:rsidRPr="006441F6">
        <w:rPr>
          <w:rFonts w:ascii="Garamond" w:hAnsi="Garamond"/>
          <w:sz w:val="20"/>
          <w:szCs w:val="20"/>
        </w:rPr>
        <w:t>2013</w:t>
      </w:r>
    </w:p>
  </w:footnote>
  <w:footnote w:id="92">
    <w:p w14:paraId="1412EF46" w14:textId="77777777" w:rsidR="007435D6" w:rsidRPr="00645562" w:rsidRDefault="007435D6" w:rsidP="00D8448F">
      <w:pPr>
        <w:pStyle w:val="FootnoteText"/>
        <w:rPr>
          <w:rFonts w:ascii="Garamond" w:hAnsi="Garamond"/>
          <w:lang w:val="en-US"/>
        </w:rPr>
      </w:pPr>
      <w:r>
        <w:rPr>
          <w:rStyle w:val="FootnoteReference"/>
        </w:rPr>
        <w:footnoteRef/>
      </w:r>
      <w:r>
        <w:t xml:space="preserve"> </w:t>
      </w:r>
      <w:r w:rsidRPr="00645562">
        <w:rPr>
          <w:rFonts w:ascii="Garamond" w:hAnsi="Garamond"/>
        </w:rPr>
        <w:t>Eliminimi i ofertave të pa-suksesshme pesë vjet pas mbylljes së procedurës së prokurimit.</w:t>
      </w:r>
    </w:p>
  </w:footnote>
  <w:footnote w:id="93">
    <w:p w14:paraId="3571FE49" w14:textId="77777777" w:rsidR="007435D6" w:rsidRPr="00FA5664" w:rsidRDefault="007435D6" w:rsidP="00D8448F">
      <w:pPr>
        <w:pStyle w:val="FootnoteText"/>
        <w:rPr>
          <w:lang w:val="en-US"/>
        </w:rPr>
      </w:pPr>
      <w:r>
        <w:rPr>
          <w:rStyle w:val="FootnoteReference"/>
        </w:rPr>
        <w:footnoteRef/>
      </w:r>
      <w:r w:rsidRPr="00645562">
        <w:rPr>
          <w:rFonts w:ascii="Garamond" w:hAnsi="Garamond"/>
        </w:rPr>
        <w:t xml:space="preserve"> Eliminimi i aplikimeve të pasuksesshme tre vjet pas përfundimit të procedurës së grantit</w:t>
      </w:r>
    </w:p>
  </w:footnote>
  <w:footnote w:id="94">
    <w:p w14:paraId="713516A6" w14:textId="77777777" w:rsidR="007435D6" w:rsidRPr="001F66F5" w:rsidRDefault="007435D6" w:rsidP="00D8448F">
      <w:pPr>
        <w:widowControl w:val="0"/>
        <w:autoSpaceDE w:val="0"/>
        <w:autoSpaceDN w:val="0"/>
        <w:adjustRightInd w:val="0"/>
        <w:spacing w:after="0" w:line="240" w:lineRule="auto"/>
        <w:rPr>
          <w:rFonts w:ascii="Garamond" w:hAnsi="Garamond"/>
          <w:sz w:val="20"/>
          <w:szCs w:val="20"/>
          <w:lang w:val="en-US"/>
        </w:rPr>
      </w:pPr>
      <w:r w:rsidRPr="001F66F5">
        <w:rPr>
          <w:rStyle w:val="FootnoteReference"/>
          <w:rFonts w:ascii="Garamond" w:hAnsi="Garamond"/>
          <w:sz w:val="20"/>
          <w:szCs w:val="20"/>
        </w:rPr>
        <w:footnoteRef/>
      </w:r>
      <w:r w:rsidRPr="001F66F5">
        <w:rPr>
          <w:rFonts w:ascii="Garamond" w:hAnsi="Garamond"/>
          <w:sz w:val="20"/>
          <w:szCs w:val="20"/>
        </w:rPr>
        <w:t xml:space="preserve"> </w:t>
      </w:r>
      <w:r w:rsidRPr="001F66F5">
        <w:rPr>
          <w:rFonts w:ascii="Garamond" w:hAnsi="Garamond" w:cs="Arial"/>
          <w:sz w:val="20"/>
          <w:szCs w:val="20"/>
        </w:rPr>
        <w:t>Për kontratat e shërbimit këto hapa përfshijnë kontrollet paraprake në lidhje me miratimin e listës së përzgjedhur.</w:t>
      </w:r>
    </w:p>
  </w:footnote>
  <w:footnote w:id="95">
    <w:p w14:paraId="01869BB6" w14:textId="77777777" w:rsidR="007435D6" w:rsidRPr="00435DCD" w:rsidRDefault="007435D6" w:rsidP="00B47ADB">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435DCD">
        <w:rPr>
          <w:rStyle w:val="FootnoteReference"/>
          <w:rFonts w:ascii="Garamond" w:hAnsi="Garamond"/>
          <w:sz w:val="20"/>
          <w:szCs w:val="20"/>
        </w:rPr>
        <w:footnoteRef/>
      </w:r>
      <w:r w:rsidRPr="00435DCD">
        <w:rPr>
          <w:rFonts w:ascii="Garamond" w:hAnsi="Garamond"/>
          <w:sz w:val="20"/>
          <w:szCs w:val="20"/>
        </w:rPr>
        <w:t xml:space="preserve"> </w:t>
      </w:r>
      <w:r w:rsidRPr="00435DCD">
        <w:rPr>
          <w:rFonts w:ascii="Garamond" w:hAnsi="Garamond" w:cs="Calibri"/>
          <w:sz w:val="20"/>
          <w:szCs w:val="20"/>
        </w:rPr>
        <w:t xml:space="preserve">Sipas sektorëve në Dokumentet tregues të Strategjisë. </w:t>
      </w:r>
    </w:p>
    <w:p w14:paraId="24104D51" w14:textId="77777777" w:rsidR="007435D6" w:rsidRDefault="007435D6" w:rsidP="00435DCD">
      <w:pPr>
        <w:pStyle w:val="FootnoteText"/>
      </w:pPr>
    </w:p>
  </w:footnote>
  <w:footnote w:id="96">
    <w:p w14:paraId="70F1DED4" w14:textId="3AA7A151" w:rsidR="007435D6" w:rsidRPr="002302F4" w:rsidRDefault="007435D6" w:rsidP="002302F4">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2302F4">
        <w:rPr>
          <w:rStyle w:val="FootnoteReference"/>
          <w:rFonts w:ascii="Garamond" w:hAnsi="Garamond"/>
          <w:sz w:val="20"/>
          <w:szCs w:val="20"/>
        </w:rPr>
        <w:footnoteRef/>
      </w:r>
      <w:r w:rsidRPr="002302F4">
        <w:rPr>
          <w:rFonts w:ascii="Garamond" w:hAnsi="Garamond"/>
          <w:sz w:val="20"/>
          <w:szCs w:val="20"/>
        </w:rPr>
        <w:t xml:space="preserve"> </w:t>
      </w:r>
      <w:r w:rsidRPr="002302F4">
        <w:rPr>
          <w:rFonts w:ascii="Garamond" w:hAnsi="Garamond" w:cs="Calibri"/>
          <w:sz w:val="20"/>
          <w:szCs w:val="20"/>
        </w:rPr>
        <w:t xml:space="preserve">Për Bashkëpunimin Ndërkufitar kërkohet raportim specifik. </w:t>
      </w:r>
    </w:p>
  </w:footnote>
  <w:footnote w:id="97">
    <w:p w14:paraId="2EFC9CFE" w14:textId="77777777" w:rsidR="007435D6" w:rsidRPr="00435DCD" w:rsidRDefault="007435D6" w:rsidP="00525CC4">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435DCD">
        <w:rPr>
          <w:rStyle w:val="FootnoteReference"/>
          <w:rFonts w:ascii="Garamond" w:hAnsi="Garamond"/>
          <w:sz w:val="20"/>
          <w:szCs w:val="20"/>
        </w:rPr>
        <w:footnoteRef/>
      </w:r>
      <w:r w:rsidRPr="00435DCD">
        <w:rPr>
          <w:rFonts w:ascii="Garamond" w:hAnsi="Garamond"/>
          <w:sz w:val="20"/>
          <w:szCs w:val="20"/>
        </w:rPr>
        <w:t xml:space="preserve"> </w:t>
      </w:r>
      <w:r w:rsidRPr="00435DCD">
        <w:rPr>
          <w:rFonts w:ascii="Garamond" w:hAnsi="Garamond" w:cs="Calibri"/>
          <w:sz w:val="20"/>
          <w:szCs w:val="20"/>
        </w:rPr>
        <w:t xml:space="preserve">Sipas sektorëve në Dokumentet tregues të Strategjisë. </w:t>
      </w:r>
    </w:p>
    <w:p w14:paraId="2C1F8076" w14:textId="77777777" w:rsidR="007435D6" w:rsidRDefault="007435D6" w:rsidP="00525CC4">
      <w:pPr>
        <w:pStyle w:val="FootnoteText"/>
      </w:pPr>
    </w:p>
  </w:footnote>
  <w:footnote w:id="98">
    <w:p w14:paraId="4F8FF915" w14:textId="77777777" w:rsidR="007435D6" w:rsidRPr="002302F4" w:rsidRDefault="007435D6" w:rsidP="00525CC4">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2302F4">
        <w:rPr>
          <w:rStyle w:val="FootnoteReference"/>
          <w:rFonts w:ascii="Garamond" w:hAnsi="Garamond"/>
          <w:sz w:val="20"/>
          <w:szCs w:val="20"/>
        </w:rPr>
        <w:footnoteRef/>
      </w:r>
      <w:r w:rsidRPr="002302F4">
        <w:rPr>
          <w:rFonts w:ascii="Garamond" w:hAnsi="Garamond"/>
          <w:sz w:val="20"/>
          <w:szCs w:val="20"/>
        </w:rPr>
        <w:t xml:space="preserve"> </w:t>
      </w:r>
      <w:r w:rsidRPr="002302F4">
        <w:rPr>
          <w:rFonts w:ascii="Garamond" w:hAnsi="Garamond" w:cs="Calibri"/>
          <w:sz w:val="20"/>
          <w:szCs w:val="20"/>
        </w:rPr>
        <w:t xml:space="preserve">Për Bashkëpunimin Ndërkufitar kërkohet raportim specifik. </w:t>
      </w:r>
    </w:p>
  </w:footnote>
  <w:footnote w:id="99">
    <w:p w14:paraId="11D3D8E5" w14:textId="50172EC4" w:rsidR="007435D6" w:rsidRPr="00890C4F" w:rsidRDefault="007435D6" w:rsidP="00890C4F">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435DCD">
        <w:rPr>
          <w:rStyle w:val="FootnoteReference"/>
          <w:rFonts w:ascii="Garamond" w:hAnsi="Garamond"/>
          <w:sz w:val="20"/>
          <w:szCs w:val="20"/>
        </w:rPr>
        <w:footnoteRef/>
      </w:r>
      <w:r w:rsidRPr="00435DCD">
        <w:rPr>
          <w:rFonts w:ascii="Garamond" w:hAnsi="Garamond"/>
          <w:sz w:val="20"/>
          <w:szCs w:val="20"/>
        </w:rPr>
        <w:t xml:space="preserve"> </w:t>
      </w:r>
      <w:r w:rsidRPr="00435DCD">
        <w:rPr>
          <w:rFonts w:ascii="Garamond" w:hAnsi="Garamond" w:cs="Calibri"/>
          <w:sz w:val="20"/>
          <w:szCs w:val="20"/>
        </w:rPr>
        <w:t xml:space="preserve">Sipas sektorëve në Dokumentet tregues të Strategjisë. </w:t>
      </w:r>
    </w:p>
  </w:footnote>
  <w:footnote w:id="100">
    <w:p w14:paraId="07348B95" w14:textId="77777777" w:rsidR="007435D6" w:rsidRPr="002302F4" w:rsidRDefault="007435D6" w:rsidP="00890C4F">
      <w:pPr>
        <w:widowControl w:val="0"/>
        <w:overflowPunct w:val="0"/>
        <w:autoSpaceDE w:val="0"/>
        <w:autoSpaceDN w:val="0"/>
        <w:adjustRightInd w:val="0"/>
        <w:spacing w:after="0" w:line="240" w:lineRule="auto"/>
        <w:jc w:val="both"/>
        <w:rPr>
          <w:rFonts w:ascii="Garamond" w:hAnsi="Garamond" w:cs="Calibri"/>
          <w:sz w:val="20"/>
          <w:szCs w:val="20"/>
          <w:vertAlign w:val="superscript"/>
        </w:rPr>
      </w:pPr>
      <w:r w:rsidRPr="002302F4">
        <w:rPr>
          <w:rStyle w:val="FootnoteReference"/>
          <w:rFonts w:ascii="Garamond" w:hAnsi="Garamond"/>
          <w:sz w:val="20"/>
          <w:szCs w:val="20"/>
        </w:rPr>
        <w:footnoteRef/>
      </w:r>
      <w:r w:rsidRPr="002302F4">
        <w:rPr>
          <w:rFonts w:ascii="Garamond" w:hAnsi="Garamond"/>
          <w:sz w:val="20"/>
          <w:szCs w:val="20"/>
        </w:rPr>
        <w:t xml:space="preserve"> </w:t>
      </w:r>
      <w:r w:rsidRPr="002302F4">
        <w:rPr>
          <w:rFonts w:ascii="Garamond" w:hAnsi="Garamond" w:cs="Calibri"/>
          <w:sz w:val="20"/>
          <w:szCs w:val="20"/>
        </w:rPr>
        <w:t xml:space="preserve">Për Bashkëpunimin Ndërkufitar kërkohet raportim specifik.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411"/>
    <w:multiLevelType w:val="hybridMultilevel"/>
    <w:tmpl w:val="4B322516"/>
    <w:lvl w:ilvl="0" w:tplc="262A65C0">
      <w:numFmt w:val="bullet"/>
      <w:lvlText w:val="•"/>
      <w:lvlJc w:val="left"/>
      <w:pPr>
        <w:ind w:left="100" w:hanging="123"/>
      </w:pPr>
      <w:rPr>
        <w:rFonts w:ascii="Calibri" w:eastAsia="Calibri" w:hAnsi="Calibri" w:cs="Calibri" w:hint="default"/>
        <w:w w:val="100"/>
        <w:sz w:val="17"/>
        <w:szCs w:val="17"/>
      </w:rPr>
    </w:lvl>
    <w:lvl w:ilvl="1" w:tplc="CBBEDE88">
      <w:numFmt w:val="bullet"/>
      <w:lvlText w:val="•"/>
      <w:lvlJc w:val="left"/>
      <w:pPr>
        <w:ind w:left="318" w:hanging="123"/>
      </w:pPr>
      <w:rPr>
        <w:rFonts w:hint="default"/>
      </w:rPr>
    </w:lvl>
    <w:lvl w:ilvl="2" w:tplc="A6E2DE9C">
      <w:numFmt w:val="bullet"/>
      <w:lvlText w:val="•"/>
      <w:lvlJc w:val="left"/>
      <w:pPr>
        <w:ind w:left="537" w:hanging="123"/>
      </w:pPr>
      <w:rPr>
        <w:rFonts w:hint="default"/>
      </w:rPr>
    </w:lvl>
    <w:lvl w:ilvl="3" w:tplc="99EEE9FE">
      <w:numFmt w:val="bullet"/>
      <w:lvlText w:val="•"/>
      <w:lvlJc w:val="left"/>
      <w:pPr>
        <w:ind w:left="756" w:hanging="123"/>
      </w:pPr>
      <w:rPr>
        <w:rFonts w:hint="default"/>
      </w:rPr>
    </w:lvl>
    <w:lvl w:ilvl="4" w:tplc="66288346">
      <w:numFmt w:val="bullet"/>
      <w:lvlText w:val="•"/>
      <w:lvlJc w:val="left"/>
      <w:pPr>
        <w:ind w:left="975" w:hanging="123"/>
      </w:pPr>
      <w:rPr>
        <w:rFonts w:hint="default"/>
      </w:rPr>
    </w:lvl>
    <w:lvl w:ilvl="5" w:tplc="740EC33C">
      <w:numFmt w:val="bullet"/>
      <w:lvlText w:val="•"/>
      <w:lvlJc w:val="left"/>
      <w:pPr>
        <w:ind w:left="1193" w:hanging="123"/>
      </w:pPr>
      <w:rPr>
        <w:rFonts w:hint="default"/>
      </w:rPr>
    </w:lvl>
    <w:lvl w:ilvl="6" w:tplc="594C5288">
      <w:numFmt w:val="bullet"/>
      <w:lvlText w:val="•"/>
      <w:lvlJc w:val="left"/>
      <w:pPr>
        <w:ind w:left="1412" w:hanging="123"/>
      </w:pPr>
      <w:rPr>
        <w:rFonts w:hint="default"/>
      </w:rPr>
    </w:lvl>
    <w:lvl w:ilvl="7" w:tplc="91C83A7A">
      <w:numFmt w:val="bullet"/>
      <w:lvlText w:val="•"/>
      <w:lvlJc w:val="left"/>
      <w:pPr>
        <w:ind w:left="1631" w:hanging="123"/>
      </w:pPr>
      <w:rPr>
        <w:rFonts w:hint="default"/>
      </w:rPr>
    </w:lvl>
    <w:lvl w:ilvl="8" w:tplc="D7EAD80A">
      <w:numFmt w:val="bullet"/>
      <w:lvlText w:val="•"/>
      <w:lvlJc w:val="left"/>
      <w:pPr>
        <w:ind w:left="1850" w:hanging="123"/>
      </w:pPr>
      <w:rPr>
        <w:rFonts w:hint="default"/>
      </w:rPr>
    </w:lvl>
  </w:abstractNum>
  <w:abstractNum w:abstractNumId="1">
    <w:nsid w:val="03DC4E6F"/>
    <w:multiLevelType w:val="hybridMultilevel"/>
    <w:tmpl w:val="5BAC6A1A"/>
    <w:lvl w:ilvl="0" w:tplc="C18CD14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98AA3562">
      <w:numFmt w:val="bullet"/>
      <w:lvlText w:val="•"/>
      <w:lvlJc w:val="left"/>
      <w:pPr>
        <w:ind w:left="380" w:hanging="111"/>
      </w:pPr>
      <w:rPr>
        <w:rFonts w:hint="default"/>
      </w:rPr>
    </w:lvl>
    <w:lvl w:ilvl="2" w:tplc="3F586FF6">
      <w:numFmt w:val="bullet"/>
      <w:lvlText w:val="•"/>
      <w:lvlJc w:val="left"/>
      <w:pPr>
        <w:ind w:left="581" w:hanging="111"/>
      </w:pPr>
      <w:rPr>
        <w:rFonts w:hint="default"/>
      </w:rPr>
    </w:lvl>
    <w:lvl w:ilvl="3" w:tplc="B8D66CF6">
      <w:numFmt w:val="bullet"/>
      <w:lvlText w:val="•"/>
      <w:lvlJc w:val="left"/>
      <w:pPr>
        <w:ind w:left="782" w:hanging="111"/>
      </w:pPr>
      <w:rPr>
        <w:rFonts w:hint="default"/>
      </w:rPr>
    </w:lvl>
    <w:lvl w:ilvl="4" w:tplc="7C4C09CC">
      <w:numFmt w:val="bullet"/>
      <w:lvlText w:val="•"/>
      <w:lvlJc w:val="left"/>
      <w:pPr>
        <w:ind w:left="982" w:hanging="111"/>
      </w:pPr>
      <w:rPr>
        <w:rFonts w:hint="default"/>
      </w:rPr>
    </w:lvl>
    <w:lvl w:ilvl="5" w:tplc="1E7E10E8">
      <w:numFmt w:val="bullet"/>
      <w:lvlText w:val="•"/>
      <w:lvlJc w:val="left"/>
      <w:pPr>
        <w:ind w:left="1183" w:hanging="111"/>
      </w:pPr>
      <w:rPr>
        <w:rFonts w:hint="default"/>
      </w:rPr>
    </w:lvl>
    <w:lvl w:ilvl="6" w:tplc="FCDC2978">
      <w:numFmt w:val="bullet"/>
      <w:lvlText w:val="•"/>
      <w:lvlJc w:val="left"/>
      <w:pPr>
        <w:ind w:left="1384" w:hanging="111"/>
      </w:pPr>
      <w:rPr>
        <w:rFonts w:hint="default"/>
      </w:rPr>
    </w:lvl>
    <w:lvl w:ilvl="7" w:tplc="42D085AA">
      <w:numFmt w:val="bullet"/>
      <w:lvlText w:val="•"/>
      <w:lvlJc w:val="left"/>
      <w:pPr>
        <w:ind w:left="1584" w:hanging="111"/>
      </w:pPr>
      <w:rPr>
        <w:rFonts w:hint="default"/>
      </w:rPr>
    </w:lvl>
    <w:lvl w:ilvl="8" w:tplc="384894E0">
      <w:numFmt w:val="bullet"/>
      <w:lvlText w:val="•"/>
      <w:lvlJc w:val="left"/>
      <w:pPr>
        <w:ind w:left="1785" w:hanging="111"/>
      </w:pPr>
      <w:rPr>
        <w:rFonts w:hint="default"/>
      </w:rPr>
    </w:lvl>
  </w:abstractNum>
  <w:abstractNum w:abstractNumId="2">
    <w:nsid w:val="04A307C3"/>
    <w:multiLevelType w:val="hybridMultilevel"/>
    <w:tmpl w:val="CE52A37C"/>
    <w:lvl w:ilvl="0" w:tplc="7040B12C">
      <w:numFmt w:val="bullet"/>
      <w:lvlText w:val="•"/>
      <w:lvlJc w:val="left"/>
      <w:pPr>
        <w:ind w:left="170" w:hanging="111"/>
      </w:pPr>
      <w:rPr>
        <w:rFonts w:hint="default"/>
        <w:w w:val="100"/>
      </w:rPr>
    </w:lvl>
    <w:lvl w:ilvl="1" w:tplc="7A9ADA5A">
      <w:numFmt w:val="bullet"/>
      <w:lvlText w:val="•"/>
      <w:lvlJc w:val="left"/>
      <w:pPr>
        <w:ind w:left="346" w:hanging="111"/>
      </w:pPr>
      <w:rPr>
        <w:rFonts w:hint="default"/>
      </w:rPr>
    </w:lvl>
    <w:lvl w:ilvl="2" w:tplc="40485C6C">
      <w:numFmt w:val="bullet"/>
      <w:lvlText w:val="•"/>
      <w:lvlJc w:val="left"/>
      <w:pPr>
        <w:ind w:left="512" w:hanging="111"/>
      </w:pPr>
      <w:rPr>
        <w:rFonts w:hint="default"/>
      </w:rPr>
    </w:lvl>
    <w:lvl w:ilvl="3" w:tplc="36F0E738">
      <w:numFmt w:val="bullet"/>
      <w:lvlText w:val="•"/>
      <w:lvlJc w:val="left"/>
      <w:pPr>
        <w:ind w:left="678" w:hanging="111"/>
      </w:pPr>
      <w:rPr>
        <w:rFonts w:hint="default"/>
      </w:rPr>
    </w:lvl>
    <w:lvl w:ilvl="4" w:tplc="E8708FDE">
      <w:numFmt w:val="bullet"/>
      <w:lvlText w:val="•"/>
      <w:lvlJc w:val="left"/>
      <w:pPr>
        <w:ind w:left="844" w:hanging="111"/>
      </w:pPr>
      <w:rPr>
        <w:rFonts w:hint="default"/>
      </w:rPr>
    </w:lvl>
    <w:lvl w:ilvl="5" w:tplc="E15E937E">
      <w:numFmt w:val="bullet"/>
      <w:lvlText w:val="•"/>
      <w:lvlJc w:val="left"/>
      <w:pPr>
        <w:ind w:left="1010" w:hanging="111"/>
      </w:pPr>
      <w:rPr>
        <w:rFonts w:hint="default"/>
      </w:rPr>
    </w:lvl>
    <w:lvl w:ilvl="6" w:tplc="B8460EAC">
      <w:numFmt w:val="bullet"/>
      <w:lvlText w:val="•"/>
      <w:lvlJc w:val="left"/>
      <w:pPr>
        <w:ind w:left="1176" w:hanging="111"/>
      </w:pPr>
      <w:rPr>
        <w:rFonts w:hint="default"/>
      </w:rPr>
    </w:lvl>
    <w:lvl w:ilvl="7" w:tplc="4E0EBF78">
      <w:numFmt w:val="bullet"/>
      <w:lvlText w:val="•"/>
      <w:lvlJc w:val="left"/>
      <w:pPr>
        <w:ind w:left="1342" w:hanging="111"/>
      </w:pPr>
      <w:rPr>
        <w:rFonts w:hint="default"/>
      </w:rPr>
    </w:lvl>
    <w:lvl w:ilvl="8" w:tplc="07686316">
      <w:numFmt w:val="bullet"/>
      <w:lvlText w:val="•"/>
      <w:lvlJc w:val="left"/>
      <w:pPr>
        <w:ind w:left="1509" w:hanging="111"/>
      </w:pPr>
      <w:rPr>
        <w:rFonts w:hint="default"/>
      </w:rPr>
    </w:lvl>
  </w:abstractNum>
  <w:abstractNum w:abstractNumId="3">
    <w:nsid w:val="05BB7780"/>
    <w:multiLevelType w:val="hybridMultilevel"/>
    <w:tmpl w:val="958A4FE4"/>
    <w:lvl w:ilvl="0" w:tplc="6F5CAE2E">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A5682320">
      <w:numFmt w:val="bullet"/>
      <w:lvlText w:val="•"/>
      <w:lvlJc w:val="left"/>
      <w:pPr>
        <w:ind w:left="380" w:hanging="111"/>
      </w:pPr>
      <w:rPr>
        <w:rFonts w:hint="default"/>
      </w:rPr>
    </w:lvl>
    <w:lvl w:ilvl="2" w:tplc="FABCBCBC">
      <w:numFmt w:val="bullet"/>
      <w:lvlText w:val="•"/>
      <w:lvlJc w:val="left"/>
      <w:pPr>
        <w:ind w:left="581" w:hanging="111"/>
      </w:pPr>
      <w:rPr>
        <w:rFonts w:hint="default"/>
      </w:rPr>
    </w:lvl>
    <w:lvl w:ilvl="3" w:tplc="FA120C76">
      <w:numFmt w:val="bullet"/>
      <w:lvlText w:val="•"/>
      <w:lvlJc w:val="left"/>
      <w:pPr>
        <w:ind w:left="782" w:hanging="111"/>
      </w:pPr>
      <w:rPr>
        <w:rFonts w:hint="default"/>
      </w:rPr>
    </w:lvl>
    <w:lvl w:ilvl="4" w:tplc="7CEE15FE">
      <w:numFmt w:val="bullet"/>
      <w:lvlText w:val="•"/>
      <w:lvlJc w:val="left"/>
      <w:pPr>
        <w:ind w:left="982" w:hanging="111"/>
      </w:pPr>
      <w:rPr>
        <w:rFonts w:hint="default"/>
      </w:rPr>
    </w:lvl>
    <w:lvl w:ilvl="5" w:tplc="075A55FC">
      <w:numFmt w:val="bullet"/>
      <w:lvlText w:val="•"/>
      <w:lvlJc w:val="left"/>
      <w:pPr>
        <w:ind w:left="1183" w:hanging="111"/>
      </w:pPr>
      <w:rPr>
        <w:rFonts w:hint="default"/>
      </w:rPr>
    </w:lvl>
    <w:lvl w:ilvl="6" w:tplc="2CBA21C8">
      <w:numFmt w:val="bullet"/>
      <w:lvlText w:val="•"/>
      <w:lvlJc w:val="left"/>
      <w:pPr>
        <w:ind w:left="1384" w:hanging="111"/>
      </w:pPr>
      <w:rPr>
        <w:rFonts w:hint="default"/>
      </w:rPr>
    </w:lvl>
    <w:lvl w:ilvl="7" w:tplc="3A9C011A">
      <w:numFmt w:val="bullet"/>
      <w:lvlText w:val="•"/>
      <w:lvlJc w:val="left"/>
      <w:pPr>
        <w:ind w:left="1584" w:hanging="111"/>
      </w:pPr>
      <w:rPr>
        <w:rFonts w:hint="default"/>
      </w:rPr>
    </w:lvl>
    <w:lvl w:ilvl="8" w:tplc="9F923A90">
      <w:numFmt w:val="bullet"/>
      <w:lvlText w:val="•"/>
      <w:lvlJc w:val="left"/>
      <w:pPr>
        <w:ind w:left="1785" w:hanging="111"/>
      </w:pPr>
      <w:rPr>
        <w:rFonts w:hint="default"/>
      </w:rPr>
    </w:lvl>
  </w:abstractNum>
  <w:abstractNum w:abstractNumId="4">
    <w:nsid w:val="089B530D"/>
    <w:multiLevelType w:val="hybridMultilevel"/>
    <w:tmpl w:val="C9E0357E"/>
    <w:lvl w:ilvl="0" w:tplc="6A628F3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4224E95E">
      <w:numFmt w:val="bullet"/>
      <w:lvlText w:val="•"/>
      <w:lvlJc w:val="left"/>
      <w:pPr>
        <w:ind w:left="380" w:hanging="111"/>
      </w:pPr>
      <w:rPr>
        <w:rFonts w:hint="default"/>
      </w:rPr>
    </w:lvl>
    <w:lvl w:ilvl="2" w:tplc="6B0E881C">
      <w:numFmt w:val="bullet"/>
      <w:lvlText w:val="•"/>
      <w:lvlJc w:val="left"/>
      <w:pPr>
        <w:ind w:left="581" w:hanging="111"/>
      </w:pPr>
      <w:rPr>
        <w:rFonts w:hint="default"/>
      </w:rPr>
    </w:lvl>
    <w:lvl w:ilvl="3" w:tplc="37A29164">
      <w:numFmt w:val="bullet"/>
      <w:lvlText w:val="•"/>
      <w:lvlJc w:val="left"/>
      <w:pPr>
        <w:ind w:left="782" w:hanging="111"/>
      </w:pPr>
      <w:rPr>
        <w:rFonts w:hint="default"/>
      </w:rPr>
    </w:lvl>
    <w:lvl w:ilvl="4" w:tplc="2BF4B656">
      <w:numFmt w:val="bullet"/>
      <w:lvlText w:val="•"/>
      <w:lvlJc w:val="left"/>
      <w:pPr>
        <w:ind w:left="982" w:hanging="111"/>
      </w:pPr>
      <w:rPr>
        <w:rFonts w:hint="default"/>
      </w:rPr>
    </w:lvl>
    <w:lvl w:ilvl="5" w:tplc="9B208A4C">
      <w:numFmt w:val="bullet"/>
      <w:lvlText w:val="•"/>
      <w:lvlJc w:val="left"/>
      <w:pPr>
        <w:ind w:left="1183" w:hanging="111"/>
      </w:pPr>
      <w:rPr>
        <w:rFonts w:hint="default"/>
      </w:rPr>
    </w:lvl>
    <w:lvl w:ilvl="6" w:tplc="1DF25310">
      <w:numFmt w:val="bullet"/>
      <w:lvlText w:val="•"/>
      <w:lvlJc w:val="left"/>
      <w:pPr>
        <w:ind w:left="1384" w:hanging="111"/>
      </w:pPr>
      <w:rPr>
        <w:rFonts w:hint="default"/>
      </w:rPr>
    </w:lvl>
    <w:lvl w:ilvl="7" w:tplc="247E81C6">
      <w:numFmt w:val="bullet"/>
      <w:lvlText w:val="•"/>
      <w:lvlJc w:val="left"/>
      <w:pPr>
        <w:ind w:left="1584" w:hanging="111"/>
      </w:pPr>
      <w:rPr>
        <w:rFonts w:hint="default"/>
      </w:rPr>
    </w:lvl>
    <w:lvl w:ilvl="8" w:tplc="02142BAC">
      <w:numFmt w:val="bullet"/>
      <w:lvlText w:val="•"/>
      <w:lvlJc w:val="left"/>
      <w:pPr>
        <w:ind w:left="1785" w:hanging="111"/>
      </w:pPr>
      <w:rPr>
        <w:rFonts w:hint="default"/>
      </w:rPr>
    </w:lvl>
  </w:abstractNum>
  <w:abstractNum w:abstractNumId="5">
    <w:nsid w:val="09C907D5"/>
    <w:multiLevelType w:val="hybridMultilevel"/>
    <w:tmpl w:val="4DD68CAE"/>
    <w:lvl w:ilvl="0" w:tplc="51EE9080">
      <w:numFmt w:val="bullet"/>
      <w:lvlText w:val=""/>
      <w:lvlJc w:val="left"/>
      <w:pPr>
        <w:ind w:left="439" w:hanging="246"/>
      </w:pPr>
      <w:rPr>
        <w:rFonts w:ascii="Wingdings" w:eastAsia="Wingdings" w:hAnsi="Wingdings" w:cs="Wingdings" w:hint="default"/>
        <w:w w:val="99"/>
        <w:sz w:val="20"/>
        <w:szCs w:val="20"/>
      </w:rPr>
    </w:lvl>
    <w:lvl w:ilvl="1" w:tplc="06E6101A">
      <w:numFmt w:val="bullet"/>
      <w:lvlText w:val="•"/>
      <w:lvlJc w:val="left"/>
      <w:pPr>
        <w:ind w:left="930" w:hanging="246"/>
      </w:pPr>
      <w:rPr>
        <w:rFonts w:hint="default"/>
      </w:rPr>
    </w:lvl>
    <w:lvl w:ilvl="2" w:tplc="1F3484C0">
      <w:numFmt w:val="bullet"/>
      <w:lvlText w:val="•"/>
      <w:lvlJc w:val="left"/>
      <w:pPr>
        <w:ind w:left="1421" w:hanging="246"/>
      </w:pPr>
      <w:rPr>
        <w:rFonts w:hint="default"/>
      </w:rPr>
    </w:lvl>
    <w:lvl w:ilvl="3" w:tplc="62EC7A7A">
      <w:numFmt w:val="bullet"/>
      <w:lvlText w:val="•"/>
      <w:lvlJc w:val="left"/>
      <w:pPr>
        <w:ind w:left="1912" w:hanging="246"/>
      </w:pPr>
      <w:rPr>
        <w:rFonts w:hint="default"/>
      </w:rPr>
    </w:lvl>
    <w:lvl w:ilvl="4" w:tplc="232EE3FE">
      <w:numFmt w:val="bullet"/>
      <w:lvlText w:val="•"/>
      <w:lvlJc w:val="left"/>
      <w:pPr>
        <w:ind w:left="2402" w:hanging="246"/>
      </w:pPr>
      <w:rPr>
        <w:rFonts w:hint="default"/>
      </w:rPr>
    </w:lvl>
    <w:lvl w:ilvl="5" w:tplc="4C18CB92">
      <w:numFmt w:val="bullet"/>
      <w:lvlText w:val="•"/>
      <w:lvlJc w:val="left"/>
      <w:pPr>
        <w:ind w:left="2893" w:hanging="246"/>
      </w:pPr>
      <w:rPr>
        <w:rFonts w:hint="default"/>
      </w:rPr>
    </w:lvl>
    <w:lvl w:ilvl="6" w:tplc="15BC2666">
      <w:numFmt w:val="bullet"/>
      <w:lvlText w:val="•"/>
      <w:lvlJc w:val="left"/>
      <w:pPr>
        <w:ind w:left="3384" w:hanging="246"/>
      </w:pPr>
      <w:rPr>
        <w:rFonts w:hint="default"/>
      </w:rPr>
    </w:lvl>
    <w:lvl w:ilvl="7" w:tplc="8E40D1C6">
      <w:numFmt w:val="bullet"/>
      <w:lvlText w:val="•"/>
      <w:lvlJc w:val="left"/>
      <w:pPr>
        <w:ind w:left="3875" w:hanging="246"/>
      </w:pPr>
      <w:rPr>
        <w:rFonts w:hint="default"/>
      </w:rPr>
    </w:lvl>
    <w:lvl w:ilvl="8" w:tplc="42F03D5C">
      <w:numFmt w:val="bullet"/>
      <w:lvlText w:val="•"/>
      <w:lvlJc w:val="left"/>
      <w:pPr>
        <w:ind w:left="4365" w:hanging="246"/>
      </w:pPr>
      <w:rPr>
        <w:rFonts w:hint="default"/>
      </w:rPr>
    </w:lvl>
  </w:abstractNum>
  <w:abstractNum w:abstractNumId="6">
    <w:nsid w:val="0A6C042A"/>
    <w:multiLevelType w:val="hybridMultilevel"/>
    <w:tmpl w:val="C6F8C64C"/>
    <w:lvl w:ilvl="0" w:tplc="D81C3C9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5B7C1D0A">
      <w:numFmt w:val="bullet"/>
      <w:lvlText w:val="•"/>
      <w:lvlJc w:val="left"/>
      <w:pPr>
        <w:ind w:left="352" w:hanging="111"/>
      </w:pPr>
      <w:rPr>
        <w:rFonts w:hint="default"/>
      </w:rPr>
    </w:lvl>
    <w:lvl w:ilvl="2" w:tplc="81F4DD90">
      <w:numFmt w:val="bullet"/>
      <w:lvlText w:val="•"/>
      <w:lvlJc w:val="left"/>
      <w:pPr>
        <w:ind w:left="524" w:hanging="111"/>
      </w:pPr>
      <w:rPr>
        <w:rFonts w:hint="default"/>
      </w:rPr>
    </w:lvl>
    <w:lvl w:ilvl="3" w:tplc="8E085652">
      <w:numFmt w:val="bullet"/>
      <w:lvlText w:val="•"/>
      <w:lvlJc w:val="left"/>
      <w:pPr>
        <w:ind w:left="697" w:hanging="111"/>
      </w:pPr>
      <w:rPr>
        <w:rFonts w:hint="default"/>
      </w:rPr>
    </w:lvl>
    <w:lvl w:ilvl="4" w:tplc="EFF0878E">
      <w:numFmt w:val="bullet"/>
      <w:lvlText w:val="•"/>
      <w:lvlJc w:val="left"/>
      <w:pPr>
        <w:ind w:left="869" w:hanging="111"/>
      </w:pPr>
      <w:rPr>
        <w:rFonts w:hint="default"/>
      </w:rPr>
    </w:lvl>
    <w:lvl w:ilvl="5" w:tplc="F95E567E">
      <w:numFmt w:val="bullet"/>
      <w:lvlText w:val="•"/>
      <w:lvlJc w:val="left"/>
      <w:pPr>
        <w:ind w:left="1041" w:hanging="111"/>
      </w:pPr>
      <w:rPr>
        <w:rFonts w:hint="default"/>
      </w:rPr>
    </w:lvl>
    <w:lvl w:ilvl="6" w:tplc="7A521D08">
      <w:numFmt w:val="bullet"/>
      <w:lvlText w:val="•"/>
      <w:lvlJc w:val="left"/>
      <w:pPr>
        <w:ind w:left="1214" w:hanging="111"/>
      </w:pPr>
      <w:rPr>
        <w:rFonts w:hint="default"/>
      </w:rPr>
    </w:lvl>
    <w:lvl w:ilvl="7" w:tplc="FDD8E506">
      <w:numFmt w:val="bullet"/>
      <w:lvlText w:val="•"/>
      <w:lvlJc w:val="left"/>
      <w:pPr>
        <w:ind w:left="1386" w:hanging="111"/>
      </w:pPr>
      <w:rPr>
        <w:rFonts w:hint="default"/>
      </w:rPr>
    </w:lvl>
    <w:lvl w:ilvl="8" w:tplc="A5B4897E">
      <w:numFmt w:val="bullet"/>
      <w:lvlText w:val="•"/>
      <w:lvlJc w:val="left"/>
      <w:pPr>
        <w:ind w:left="1559" w:hanging="111"/>
      </w:pPr>
      <w:rPr>
        <w:rFonts w:hint="default"/>
      </w:rPr>
    </w:lvl>
  </w:abstractNum>
  <w:abstractNum w:abstractNumId="7">
    <w:nsid w:val="0C584A6C"/>
    <w:multiLevelType w:val="hybridMultilevel"/>
    <w:tmpl w:val="9758A15A"/>
    <w:lvl w:ilvl="0" w:tplc="9EFE1B3E">
      <w:numFmt w:val="bullet"/>
      <w:lvlText w:val="*"/>
      <w:lvlJc w:val="left"/>
      <w:pPr>
        <w:ind w:left="345" w:hanging="125"/>
      </w:pPr>
      <w:rPr>
        <w:rFonts w:ascii="Cambria" w:eastAsia="Cambria" w:hAnsi="Cambria" w:cs="Cambria" w:hint="default"/>
        <w:w w:val="100"/>
        <w:position w:val="6"/>
        <w:sz w:val="16"/>
        <w:szCs w:val="16"/>
      </w:rPr>
    </w:lvl>
    <w:lvl w:ilvl="1" w:tplc="5B52DB9E">
      <w:numFmt w:val="bullet"/>
      <w:lvlText w:val="•"/>
      <w:lvlJc w:val="left"/>
      <w:pPr>
        <w:ind w:left="1286" w:hanging="125"/>
      </w:pPr>
      <w:rPr>
        <w:rFonts w:hint="default"/>
      </w:rPr>
    </w:lvl>
    <w:lvl w:ilvl="2" w:tplc="BB22888C">
      <w:numFmt w:val="bullet"/>
      <w:lvlText w:val="•"/>
      <w:lvlJc w:val="left"/>
      <w:pPr>
        <w:ind w:left="2232" w:hanging="125"/>
      </w:pPr>
      <w:rPr>
        <w:rFonts w:hint="default"/>
      </w:rPr>
    </w:lvl>
    <w:lvl w:ilvl="3" w:tplc="E3607D0C">
      <w:numFmt w:val="bullet"/>
      <w:lvlText w:val="•"/>
      <w:lvlJc w:val="left"/>
      <w:pPr>
        <w:ind w:left="3178" w:hanging="125"/>
      </w:pPr>
      <w:rPr>
        <w:rFonts w:hint="default"/>
      </w:rPr>
    </w:lvl>
    <w:lvl w:ilvl="4" w:tplc="D9120C6A">
      <w:numFmt w:val="bullet"/>
      <w:lvlText w:val="•"/>
      <w:lvlJc w:val="left"/>
      <w:pPr>
        <w:ind w:left="4124" w:hanging="125"/>
      </w:pPr>
      <w:rPr>
        <w:rFonts w:hint="default"/>
      </w:rPr>
    </w:lvl>
    <w:lvl w:ilvl="5" w:tplc="7E503736">
      <w:numFmt w:val="bullet"/>
      <w:lvlText w:val="•"/>
      <w:lvlJc w:val="left"/>
      <w:pPr>
        <w:ind w:left="5070" w:hanging="125"/>
      </w:pPr>
      <w:rPr>
        <w:rFonts w:hint="default"/>
      </w:rPr>
    </w:lvl>
    <w:lvl w:ilvl="6" w:tplc="5E44BE88">
      <w:numFmt w:val="bullet"/>
      <w:lvlText w:val="•"/>
      <w:lvlJc w:val="left"/>
      <w:pPr>
        <w:ind w:left="6016" w:hanging="125"/>
      </w:pPr>
      <w:rPr>
        <w:rFonts w:hint="default"/>
      </w:rPr>
    </w:lvl>
    <w:lvl w:ilvl="7" w:tplc="1FDA6528">
      <w:numFmt w:val="bullet"/>
      <w:lvlText w:val="•"/>
      <w:lvlJc w:val="left"/>
      <w:pPr>
        <w:ind w:left="6962" w:hanging="125"/>
      </w:pPr>
      <w:rPr>
        <w:rFonts w:hint="default"/>
      </w:rPr>
    </w:lvl>
    <w:lvl w:ilvl="8" w:tplc="2A8477AE">
      <w:numFmt w:val="bullet"/>
      <w:lvlText w:val="•"/>
      <w:lvlJc w:val="left"/>
      <w:pPr>
        <w:ind w:left="7908" w:hanging="125"/>
      </w:pPr>
      <w:rPr>
        <w:rFonts w:hint="default"/>
      </w:rPr>
    </w:lvl>
  </w:abstractNum>
  <w:abstractNum w:abstractNumId="8">
    <w:nsid w:val="0EB43758"/>
    <w:multiLevelType w:val="hybridMultilevel"/>
    <w:tmpl w:val="CD6A1276"/>
    <w:lvl w:ilvl="0" w:tplc="A5785FC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44165E2E">
      <w:numFmt w:val="bullet"/>
      <w:lvlText w:val="•"/>
      <w:lvlJc w:val="left"/>
      <w:pPr>
        <w:ind w:left="390" w:hanging="111"/>
      </w:pPr>
      <w:rPr>
        <w:rFonts w:hint="default"/>
      </w:rPr>
    </w:lvl>
    <w:lvl w:ilvl="2" w:tplc="82A8DA7A">
      <w:numFmt w:val="bullet"/>
      <w:lvlText w:val="•"/>
      <w:lvlJc w:val="left"/>
      <w:pPr>
        <w:ind w:left="601" w:hanging="111"/>
      </w:pPr>
      <w:rPr>
        <w:rFonts w:hint="default"/>
      </w:rPr>
    </w:lvl>
    <w:lvl w:ilvl="3" w:tplc="F6F22596">
      <w:numFmt w:val="bullet"/>
      <w:lvlText w:val="•"/>
      <w:lvlJc w:val="left"/>
      <w:pPr>
        <w:ind w:left="812" w:hanging="111"/>
      </w:pPr>
      <w:rPr>
        <w:rFonts w:hint="default"/>
      </w:rPr>
    </w:lvl>
    <w:lvl w:ilvl="4" w:tplc="42D2DEB6">
      <w:numFmt w:val="bullet"/>
      <w:lvlText w:val="•"/>
      <w:lvlJc w:val="left"/>
      <w:pPr>
        <w:ind w:left="1023" w:hanging="111"/>
      </w:pPr>
      <w:rPr>
        <w:rFonts w:hint="default"/>
      </w:rPr>
    </w:lvl>
    <w:lvl w:ilvl="5" w:tplc="93F8F3F4">
      <w:numFmt w:val="bullet"/>
      <w:lvlText w:val="•"/>
      <w:lvlJc w:val="left"/>
      <w:pPr>
        <w:ind w:left="1233" w:hanging="111"/>
      </w:pPr>
      <w:rPr>
        <w:rFonts w:hint="default"/>
      </w:rPr>
    </w:lvl>
    <w:lvl w:ilvl="6" w:tplc="8998F050">
      <w:numFmt w:val="bullet"/>
      <w:lvlText w:val="•"/>
      <w:lvlJc w:val="left"/>
      <w:pPr>
        <w:ind w:left="1444" w:hanging="111"/>
      </w:pPr>
      <w:rPr>
        <w:rFonts w:hint="default"/>
      </w:rPr>
    </w:lvl>
    <w:lvl w:ilvl="7" w:tplc="AFD610D2">
      <w:numFmt w:val="bullet"/>
      <w:lvlText w:val="•"/>
      <w:lvlJc w:val="left"/>
      <w:pPr>
        <w:ind w:left="1655" w:hanging="111"/>
      </w:pPr>
      <w:rPr>
        <w:rFonts w:hint="default"/>
      </w:rPr>
    </w:lvl>
    <w:lvl w:ilvl="8" w:tplc="C00414A6">
      <w:numFmt w:val="bullet"/>
      <w:lvlText w:val="•"/>
      <w:lvlJc w:val="left"/>
      <w:pPr>
        <w:ind w:left="1866" w:hanging="111"/>
      </w:pPr>
      <w:rPr>
        <w:rFonts w:hint="default"/>
      </w:rPr>
    </w:lvl>
  </w:abstractNum>
  <w:abstractNum w:abstractNumId="9">
    <w:nsid w:val="12586CCF"/>
    <w:multiLevelType w:val="hybridMultilevel"/>
    <w:tmpl w:val="44027CDE"/>
    <w:lvl w:ilvl="0" w:tplc="EB8AA6C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51409722">
      <w:numFmt w:val="bullet"/>
      <w:lvlText w:val="•"/>
      <w:lvlJc w:val="left"/>
      <w:pPr>
        <w:ind w:left="380" w:hanging="111"/>
      </w:pPr>
      <w:rPr>
        <w:rFonts w:hint="default"/>
      </w:rPr>
    </w:lvl>
    <w:lvl w:ilvl="2" w:tplc="9086D438">
      <w:numFmt w:val="bullet"/>
      <w:lvlText w:val="•"/>
      <w:lvlJc w:val="left"/>
      <w:pPr>
        <w:ind w:left="581" w:hanging="111"/>
      </w:pPr>
      <w:rPr>
        <w:rFonts w:hint="default"/>
      </w:rPr>
    </w:lvl>
    <w:lvl w:ilvl="3" w:tplc="25D0E018">
      <w:numFmt w:val="bullet"/>
      <w:lvlText w:val="•"/>
      <w:lvlJc w:val="left"/>
      <w:pPr>
        <w:ind w:left="782" w:hanging="111"/>
      </w:pPr>
      <w:rPr>
        <w:rFonts w:hint="default"/>
      </w:rPr>
    </w:lvl>
    <w:lvl w:ilvl="4" w:tplc="8DEE8212">
      <w:numFmt w:val="bullet"/>
      <w:lvlText w:val="•"/>
      <w:lvlJc w:val="left"/>
      <w:pPr>
        <w:ind w:left="982" w:hanging="111"/>
      </w:pPr>
      <w:rPr>
        <w:rFonts w:hint="default"/>
      </w:rPr>
    </w:lvl>
    <w:lvl w:ilvl="5" w:tplc="6EFC29A6">
      <w:numFmt w:val="bullet"/>
      <w:lvlText w:val="•"/>
      <w:lvlJc w:val="left"/>
      <w:pPr>
        <w:ind w:left="1183" w:hanging="111"/>
      </w:pPr>
      <w:rPr>
        <w:rFonts w:hint="default"/>
      </w:rPr>
    </w:lvl>
    <w:lvl w:ilvl="6" w:tplc="48A6582E">
      <w:numFmt w:val="bullet"/>
      <w:lvlText w:val="•"/>
      <w:lvlJc w:val="left"/>
      <w:pPr>
        <w:ind w:left="1384" w:hanging="111"/>
      </w:pPr>
      <w:rPr>
        <w:rFonts w:hint="default"/>
      </w:rPr>
    </w:lvl>
    <w:lvl w:ilvl="7" w:tplc="5EF093DE">
      <w:numFmt w:val="bullet"/>
      <w:lvlText w:val="•"/>
      <w:lvlJc w:val="left"/>
      <w:pPr>
        <w:ind w:left="1584" w:hanging="111"/>
      </w:pPr>
      <w:rPr>
        <w:rFonts w:hint="default"/>
      </w:rPr>
    </w:lvl>
    <w:lvl w:ilvl="8" w:tplc="1670047C">
      <w:numFmt w:val="bullet"/>
      <w:lvlText w:val="•"/>
      <w:lvlJc w:val="left"/>
      <w:pPr>
        <w:ind w:left="1785" w:hanging="111"/>
      </w:pPr>
      <w:rPr>
        <w:rFonts w:hint="default"/>
      </w:rPr>
    </w:lvl>
  </w:abstractNum>
  <w:abstractNum w:abstractNumId="10">
    <w:nsid w:val="14C031CF"/>
    <w:multiLevelType w:val="hybridMultilevel"/>
    <w:tmpl w:val="25663266"/>
    <w:lvl w:ilvl="0" w:tplc="FFE21314">
      <w:numFmt w:val="bullet"/>
      <w:lvlText w:val=""/>
      <w:lvlJc w:val="left"/>
      <w:pPr>
        <w:ind w:left="160" w:hanging="142"/>
      </w:pPr>
      <w:rPr>
        <w:rFonts w:ascii="Wingdings" w:eastAsia="Wingdings" w:hAnsi="Wingdings" w:cs="Wingdings" w:hint="default"/>
        <w:w w:val="99"/>
        <w:sz w:val="20"/>
        <w:szCs w:val="20"/>
      </w:rPr>
    </w:lvl>
    <w:lvl w:ilvl="1" w:tplc="27A6739C">
      <w:numFmt w:val="bullet"/>
      <w:lvlText w:val="•"/>
      <w:lvlJc w:val="left"/>
      <w:pPr>
        <w:ind w:left="397" w:hanging="142"/>
      </w:pPr>
      <w:rPr>
        <w:rFonts w:hint="default"/>
      </w:rPr>
    </w:lvl>
    <w:lvl w:ilvl="2" w:tplc="8F58C2B0">
      <w:numFmt w:val="bullet"/>
      <w:lvlText w:val="•"/>
      <w:lvlJc w:val="left"/>
      <w:pPr>
        <w:ind w:left="634" w:hanging="142"/>
      </w:pPr>
      <w:rPr>
        <w:rFonts w:hint="default"/>
      </w:rPr>
    </w:lvl>
    <w:lvl w:ilvl="3" w:tplc="6054F590">
      <w:numFmt w:val="bullet"/>
      <w:lvlText w:val="•"/>
      <w:lvlJc w:val="left"/>
      <w:pPr>
        <w:ind w:left="871" w:hanging="142"/>
      </w:pPr>
      <w:rPr>
        <w:rFonts w:hint="default"/>
      </w:rPr>
    </w:lvl>
    <w:lvl w:ilvl="4" w:tplc="5E8CBB6E">
      <w:numFmt w:val="bullet"/>
      <w:lvlText w:val="•"/>
      <w:lvlJc w:val="left"/>
      <w:pPr>
        <w:ind w:left="1109" w:hanging="142"/>
      </w:pPr>
      <w:rPr>
        <w:rFonts w:hint="default"/>
      </w:rPr>
    </w:lvl>
    <w:lvl w:ilvl="5" w:tplc="0F04496E">
      <w:numFmt w:val="bullet"/>
      <w:lvlText w:val="•"/>
      <w:lvlJc w:val="left"/>
      <w:pPr>
        <w:ind w:left="1346" w:hanging="142"/>
      </w:pPr>
      <w:rPr>
        <w:rFonts w:hint="default"/>
      </w:rPr>
    </w:lvl>
    <w:lvl w:ilvl="6" w:tplc="6ADA8F2C">
      <w:numFmt w:val="bullet"/>
      <w:lvlText w:val="•"/>
      <w:lvlJc w:val="left"/>
      <w:pPr>
        <w:ind w:left="1583" w:hanging="142"/>
      </w:pPr>
      <w:rPr>
        <w:rFonts w:hint="default"/>
      </w:rPr>
    </w:lvl>
    <w:lvl w:ilvl="7" w:tplc="F140ADF0">
      <w:numFmt w:val="bullet"/>
      <w:lvlText w:val="•"/>
      <w:lvlJc w:val="left"/>
      <w:pPr>
        <w:ind w:left="1820" w:hanging="142"/>
      </w:pPr>
      <w:rPr>
        <w:rFonts w:hint="default"/>
      </w:rPr>
    </w:lvl>
    <w:lvl w:ilvl="8" w:tplc="6D9218EC">
      <w:numFmt w:val="bullet"/>
      <w:lvlText w:val="•"/>
      <w:lvlJc w:val="left"/>
      <w:pPr>
        <w:ind w:left="2057" w:hanging="142"/>
      </w:pPr>
      <w:rPr>
        <w:rFonts w:hint="default"/>
      </w:rPr>
    </w:lvl>
  </w:abstractNum>
  <w:abstractNum w:abstractNumId="11">
    <w:nsid w:val="15A177CC"/>
    <w:multiLevelType w:val="hybridMultilevel"/>
    <w:tmpl w:val="5ADC2CD0"/>
    <w:lvl w:ilvl="0" w:tplc="A56CC4D8">
      <w:numFmt w:val="bullet"/>
      <w:lvlText w:val="-"/>
      <w:lvlJc w:val="left"/>
      <w:pPr>
        <w:ind w:left="266" w:hanging="164"/>
      </w:pPr>
      <w:rPr>
        <w:rFonts w:ascii="Calibri" w:eastAsia="Calibri" w:hAnsi="Calibri" w:cs="Calibri" w:hint="default"/>
        <w:w w:val="99"/>
        <w:sz w:val="20"/>
        <w:szCs w:val="20"/>
      </w:rPr>
    </w:lvl>
    <w:lvl w:ilvl="1" w:tplc="4DAAC8B2">
      <w:numFmt w:val="bullet"/>
      <w:lvlText w:val="•"/>
      <w:lvlJc w:val="left"/>
      <w:pPr>
        <w:ind w:left="422" w:hanging="164"/>
      </w:pPr>
      <w:rPr>
        <w:rFonts w:hint="default"/>
      </w:rPr>
    </w:lvl>
    <w:lvl w:ilvl="2" w:tplc="FB2EB572">
      <w:numFmt w:val="bullet"/>
      <w:lvlText w:val="•"/>
      <w:lvlJc w:val="left"/>
      <w:pPr>
        <w:ind w:left="584" w:hanging="164"/>
      </w:pPr>
      <w:rPr>
        <w:rFonts w:hint="default"/>
      </w:rPr>
    </w:lvl>
    <w:lvl w:ilvl="3" w:tplc="6A1AE7FC">
      <w:numFmt w:val="bullet"/>
      <w:lvlText w:val="•"/>
      <w:lvlJc w:val="left"/>
      <w:pPr>
        <w:ind w:left="746" w:hanging="164"/>
      </w:pPr>
      <w:rPr>
        <w:rFonts w:hint="default"/>
      </w:rPr>
    </w:lvl>
    <w:lvl w:ilvl="4" w:tplc="43CEAA5E">
      <w:numFmt w:val="bullet"/>
      <w:lvlText w:val="•"/>
      <w:lvlJc w:val="left"/>
      <w:pPr>
        <w:ind w:left="908" w:hanging="164"/>
      </w:pPr>
      <w:rPr>
        <w:rFonts w:hint="default"/>
      </w:rPr>
    </w:lvl>
    <w:lvl w:ilvl="5" w:tplc="74B84392">
      <w:numFmt w:val="bullet"/>
      <w:lvlText w:val="•"/>
      <w:lvlJc w:val="left"/>
      <w:pPr>
        <w:ind w:left="1071" w:hanging="164"/>
      </w:pPr>
      <w:rPr>
        <w:rFonts w:hint="default"/>
      </w:rPr>
    </w:lvl>
    <w:lvl w:ilvl="6" w:tplc="8BA49E12">
      <w:numFmt w:val="bullet"/>
      <w:lvlText w:val="•"/>
      <w:lvlJc w:val="left"/>
      <w:pPr>
        <w:ind w:left="1233" w:hanging="164"/>
      </w:pPr>
      <w:rPr>
        <w:rFonts w:hint="default"/>
      </w:rPr>
    </w:lvl>
    <w:lvl w:ilvl="7" w:tplc="982C7F48">
      <w:numFmt w:val="bullet"/>
      <w:lvlText w:val="•"/>
      <w:lvlJc w:val="left"/>
      <w:pPr>
        <w:ind w:left="1395" w:hanging="164"/>
      </w:pPr>
      <w:rPr>
        <w:rFonts w:hint="default"/>
      </w:rPr>
    </w:lvl>
    <w:lvl w:ilvl="8" w:tplc="7ED2A926">
      <w:numFmt w:val="bullet"/>
      <w:lvlText w:val="•"/>
      <w:lvlJc w:val="left"/>
      <w:pPr>
        <w:ind w:left="1557" w:hanging="164"/>
      </w:pPr>
      <w:rPr>
        <w:rFonts w:hint="default"/>
      </w:rPr>
    </w:lvl>
  </w:abstractNum>
  <w:abstractNum w:abstractNumId="12">
    <w:nsid w:val="181502D3"/>
    <w:multiLevelType w:val="hybridMultilevel"/>
    <w:tmpl w:val="0348569E"/>
    <w:lvl w:ilvl="0" w:tplc="5810C606">
      <w:numFmt w:val="bullet"/>
      <w:lvlText w:val="-"/>
      <w:lvlJc w:val="left"/>
      <w:pPr>
        <w:ind w:left="247" w:hanging="130"/>
      </w:pPr>
      <w:rPr>
        <w:rFonts w:ascii="Calibri" w:eastAsia="Calibri" w:hAnsi="Calibri" w:cs="Calibri" w:hint="default"/>
        <w:w w:val="99"/>
        <w:sz w:val="20"/>
        <w:szCs w:val="20"/>
      </w:rPr>
    </w:lvl>
    <w:lvl w:ilvl="1" w:tplc="634003D4">
      <w:numFmt w:val="bullet"/>
      <w:lvlText w:val="•"/>
      <w:lvlJc w:val="left"/>
      <w:pPr>
        <w:ind w:left="416" w:hanging="130"/>
      </w:pPr>
      <w:rPr>
        <w:rFonts w:hint="default"/>
      </w:rPr>
    </w:lvl>
    <w:lvl w:ilvl="2" w:tplc="59186184">
      <w:numFmt w:val="bullet"/>
      <w:lvlText w:val="•"/>
      <w:lvlJc w:val="left"/>
      <w:pPr>
        <w:ind w:left="592" w:hanging="130"/>
      </w:pPr>
      <w:rPr>
        <w:rFonts w:hint="default"/>
      </w:rPr>
    </w:lvl>
    <w:lvl w:ilvl="3" w:tplc="6F6A98DA">
      <w:numFmt w:val="bullet"/>
      <w:lvlText w:val="•"/>
      <w:lvlJc w:val="left"/>
      <w:pPr>
        <w:ind w:left="768" w:hanging="130"/>
      </w:pPr>
      <w:rPr>
        <w:rFonts w:hint="default"/>
      </w:rPr>
    </w:lvl>
    <w:lvl w:ilvl="4" w:tplc="8A68371C">
      <w:numFmt w:val="bullet"/>
      <w:lvlText w:val="•"/>
      <w:lvlJc w:val="left"/>
      <w:pPr>
        <w:ind w:left="944" w:hanging="130"/>
      </w:pPr>
      <w:rPr>
        <w:rFonts w:hint="default"/>
      </w:rPr>
    </w:lvl>
    <w:lvl w:ilvl="5" w:tplc="76DC6F38">
      <w:numFmt w:val="bullet"/>
      <w:lvlText w:val="•"/>
      <w:lvlJc w:val="left"/>
      <w:pPr>
        <w:ind w:left="1121" w:hanging="130"/>
      </w:pPr>
      <w:rPr>
        <w:rFonts w:hint="default"/>
      </w:rPr>
    </w:lvl>
    <w:lvl w:ilvl="6" w:tplc="520633F8">
      <w:numFmt w:val="bullet"/>
      <w:lvlText w:val="•"/>
      <w:lvlJc w:val="left"/>
      <w:pPr>
        <w:ind w:left="1297" w:hanging="130"/>
      </w:pPr>
      <w:rPr>
        <w:rFonts w:hint="default"/>
      </w:rPr>
    </w:lvl>
    <w:lvl w:ilvl="7" w:tplc="3F88B074">
      <w:numFmt w:val="bullet"/>
      <w:lvlText w:val="•"/>
      <w:lvlJc w:val="left"/>
      <w:pPr>
        <w:ind w:left="1473" w:hanging="130"/>
      </w:pPr>
      <w:rPr>
        <w:rFonts w:hint="default"/>
      </w:rPr>
    </w:lvl>
    <w:lvl w:ilvl="8" w:tplc="DA58DC96">
      <w:numFmt w:val="bullet"/>
      <w:lvlText w:val="•"/>
      <w:lvlJc w:val="left"/>
      <w:pPr>
        <w:ind w:left="1649" w:hanging="130"/>
      </w:pPr>
      <w:rPr>
        <w:rFonts w:hint="default"/>
      </w:rPr>
    </w:lvl>
  </w:abstractNum>
  <w:abstractNum w:abstractNumId="13">
    <w:nsid w:val="1978549D"/>
    <w:multiLevelType w:val="hybridMultilevel"/>
    <w:tmpl w:val="8EFAA284"/>
    <w:lvl w:ilvl="0" w:tplc="22F6A8DA">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1DC21F9E">
      <w:numFmt w:val="bullet"/>
      <w:lvlText w:val="•"/>
      <w:lvlJc w:val="left"/>
      <w:pPr>
        <w:ind w:left="400" w:hanging="111"/>
      </w:pPr>
      <w:rPr>
        <w:rFonts w:hint="default"/>
      </w:rPr>
    </w:lvl>
    <w:lvl w:ilvl="2" w:tplc="63C61D7A">
      <w:numFmt w:val="bullet"/>
      <w:lvlText w:val="•"/>
      <w:lvlJc w:val="left"/>
      <w:pPr>
        <w:ind w:left="620" w:hanging="111"/>
      </w:pPr>
      <w:rPr>
        <w:rFonts w:hint="default"/>
      </w:rPr>
    </w:lvl>
    <w:lvl w:ilvl="3" w:tplc="4800B1BA">
      <w:numFmt w:val="bullet"/>
      <w:lvlText w:val="•"/>
      <w:lvlJc w:val="left"/>
      <w:pPr>
        <w:ind w:left="841" w:hanging="111"/>
      </w:pPr>
      <w:rPr>
        <w:rFonts w:hint="default"/>
      </w:rPr>
    </w:lvl>
    <w:lvl w:ilvl="4" w:tplc="BB380B40">
      <w:numFmt w:val="bullet"/>
      <w:lvlText w:val="•"/>
      <w:lvlJc w:val="left"/>
      <w:pPr>
        <w:ind w:left="1061" w:hanging="111"/>
      </w:pPr>
      <w:rPr>
        <w:rFonts w:hint="default"/>
      </w:rPr>
    </w:lvl>
    <w:lvl w:ilvl="5" w:tplc="F39E85F8">
      <w:numFmt w:val="bullet"/>
      <w:lvlText w:val="•"/>
      <w:lvlJc w:val="left"/>
      <w:pPr>
        <w:ind w:left="1281" w:hanging="111"/>
      </w:pPr>
      <w:rPr>
        <w:rFonts w:hint="default"/>
      </w:rPr>
    </w:lvl>
    <w:lvl w:ilvl="6" w:tplc="E71A58C8">
      <w:numFmt w:val="bullet"/>
      <w:lvlText w:val="•"/>
      <w:lvlJc w:val="left"/>
      <w:pPr>
        <w:ind w:left="1502" w:hanging="111"/>
      </w:pPr>
      <w:rPr>
        <w:rFonts w:hint="default"/>
      </w:rPr>
    </w:lvl>
    <w:lvl w:ilvl="7" w:tplc="7E9CB7AA">
      <w:numFmt w:val="bullet"/>
      <w:lvlText w:val="•"/>
      <w:lvlJc w:val="left"/>
      <w:pPr>
        <w:ind w:left="1722" w:hanging="111"/>
      </w:pPr>
      <w:rPr>
        <w:rFonts w:hint="default"/>
      </w:rPr>
    </w:lvl>
    <w:lvl w:ilvl="8" w:tplc="8AD0EB34">
      <w:numFmt w:val="bullet"/>
      <w:lvlText w:val="•"/>
      <w:lvlJc w:val="left"/>
      <w:pPr>
        <w:ind w:left="1942" w:hanging="111"/>
      </w:pPr>
      <w:rPr>
        <w:rFonts w:hint="default"/>
      </w:rPr>
    </w:lvl>
  </w:abstractNum>
  <w:abstractNum w:abstractNumId="14">
    <w:nsid w:val="22A41356"/>
    <w:multiLevelType w:val="hybridMultilevel"/>
    <w:tmpl w:val="F9F01C9C"/>
    <w:lvl w:ilvl="0" w:tplc="D44E3BC2">
      <w:numFmt w:val="bullet"/>
      <w:lvlText w:val=""/>
      <w:lvlJc w:val="left"/>
      <w:pPr>
        <w:ind w:left="377" w:hanging="207"/>
      </w:pPr>
      <w:rPr>
        <w:rFonts w:ascii="Wingdings" w:eastAsia="Wingdings" w:hAnsi="Wingdings" w:cs="Wingdings" w:hint="default"/>
        <w:w w:val="99"/>
        <w:sz w:val="20"/>
        <w:szCs w:val="20"/>
      </w:rPr>
    </w:lvl>
    <w:lvl w:ilvl="1" w:tplc="FC9EC002">
      <w:numFmt w:val="bullet"/>
      <w:lvlText w:val="•"/>
      <w:lvlJc w:val="left"/>
      <w:pPr>
        <w:ind w:left="873" w:hanging="207"/>
      </w:pPr>
      <w:rPr>
        <w:rFonts w:hint="default"/>
      </w:rPr>
    </w:lvl>
    <w:lvl w:ilvl="2" w:tplc="9D704686">
      <w:numFmt w:val="bullet"/>
      <w:lvlText w:val="•"/>
      <w:lvlJc w:val="left"/>
      <w:pPr>
        <w:ind w:left="1367" w:hanging="207"/>
      </w:pPr>
      <w:rPr>
        <w:rFonts w:hint="default"/>
      </w:rPr>
    </w:lvl>
    <w:lvl w:ilvl="3" w:tplc="FA960A00">
      <w:numFmt w:val="bullet"/>
      <w:lvlText w:val="•"/>
      <w:lvlJc w:val="left"/>
      <w:pPr>
        <w:ind w:left="1861" w:hanging="207"/>
      </w:pPr>
      <w:rPr>
        <w:rFonts w:hint="default"/>
      </w:rPr>
    </w:lvl>
    <w:lvl w:ilvl="4" w:tplc="25720CD8">
      <w:numFmt w:val="bullet"/>
      <w:lvlText w:val="•"/>
      <w:lvlJc w:val="left"/>
      <w:pPr>
        <w:ind w:left="2354" w:hanging="207"/>
      </w:pPr>
      <w:rPr>
        <w:rFonts w:hint="default"/>
      </w:rPr>
    </w:lvl>
    <w:lvl w:ilvl="5" w:tplc="2670FA36">
      <w:numFmt w:val="bullet"/>
      <w:lvlText w:val="•"/>
      <w:lvlJc w:val="left"/>
      <w:pPr>
        <w:ind w:left="2848" w:hanging="207"/>
      </w:pPr>
      <w:rPr>
        <w:rFonts w:hint="default"/>
      </w:rPr>
    </w:lvl>
    <w:lvl w:ilvl="6" w:tplc="ADE48E88">
      <w:numFmt w:val="bullet"/>
      <w:lvlText w:val="•"/>
      <w:lvlJc w:val="left"/>
      <w:pPr>
        <w:ind w:left="3342" w:hanging="207"/>
      </w:pPr>
      <w:rPr>
        <w:rFonts w:hint="default"/>
      </w:rPr>
    </w:lvl>
    <w:lvl w:ilvl="7" w:tplc="6AAA6650">
      <w:numFmt w:val="bullet"/>
      <w:lvlText w:val="•"/>
      <w:lvlJc w:val="left"/>
      <w:pPr>
        <w:ind w:left="3836" w:hanging="207"/>
      </w:pPr>
      <w:rPr>
        <w:rFonts w:hint="default"/>
      </w:rPr>
    </w:lvl>
    <w:lvl w:ilvl="8" w:tplc="9E7C8BBE">
      <w:numFmt w:val="bullet"/>
      <w:lvlText w:val="•"/>
      <w:lvlJc w:val="left"/>
      <w:pPr>
        <w:ind w:left="4329" w:hanging="207"/>
      </w:pPr>
      <w:rPr>
        <w:rFonts w:hint="default"/>
      </w:rPr>
    </w:lvl>
  </w:abstractNum>
  <w:abstractNum w:abstractNumId="15">
    <w:nsid w:val="315B1A41"/>
    <w:multiLevelType w:val="hybridMultilevel"/>
    <w:tmpl w:val="EA184596"/>
    <w:lvl w:ilvl="0" w:tplc="13109A44">
      <w:numFmt w:val="bullet"/>
      <w:lvlText w:val="-"/>
      <w:lvlJc w:val="left"/>
      <w:pPr>
        <w:ind w:left="96" w:hanging="87"/>
      </w:pPr>
      <w:rPr>
        <w:rFonts w:ascii="Calibri" w:eastAsia="Calibri" w:hAnsi="Calibri" w:cs="Calibri" w:hint="default"/>
        <w:w w:val="100"/>
        <w:sz w:val="16"/>
        <w:szCs w:val="16"/>
      </w:rPr>
    </w:lvl>
    <w:lvl w:ilvl="1" w:tplc="B1AA48B8">
      <w:numFmt w:val="bullet"/>
      <w:lvlText w:val="•"/>
      <w:lvlJc w:val="left"/>
      <w:pPr>
        <w:ind w:left="711" w:hanging="87"/>
      </w:pPr>
      <w:rPr>
        <w:rFonts w:hint="default"/>
      </w:rPr>
    </w:lvl>
    <w:lvl w:ilvl="2" w:tplc="38B85750">
      <w:numFmt w:val="bullet"/>
      <w:lvlText w:val="•"/>
      <w:lvlJc w:val="left"/>
      <w:pPr>
        <w:ind w:left="1323" w:hanging="87"/>
      </w:pPr>
      <w:rPr>
        <w:rFonts w:hint="default"/>
      </w:rPr>
    </w:lvl>
    <w:lvl w:ilvl="3" w:tplc="14CE8E6E">
      <w:numFmt w:val="bullet"/>
      <w:lvlText w:val="•"/>
      <w:lvlJc w:val="left"/>
      <w:pPr>
        <w:ind w:left="1935" w:hanging="87"/>
      </w:pPr>
      <w:rPr>
        <w:rFonts w:hint="default"/>
      </w:rPr>
    </w:lvl>
    <w:lvl w:ilvl="4" w:tplc="91B2C4CE">
      <w:numFmt w:val="bullet"/>
      <w:lvlText w:val="•"/>
      <w:lvlJc w:val="left"/>
      <w:pPr>
        <w:ind w:left="2546" w:hanging="87"/>
      </w:pPr>
      <w:rPr>
        <w:rFonts w:hint="default"/>
      </w:rPr>
    </w:lvl>
    <w:lvl w:ilvl="5" w:tplc="C8922584">
      <w:numFmt w:val="bullet"/>
      <w:lvlText w:val="•"/>
      <w:lvlJc w:val="left"/>
      <w:pPr>
        <w:ind w:left="3158" w:hanging="87"/>
      </w:pPr>
      <w:rPr>
        <w:rFonts w:hint="default"/>
      </w:rPr>
    </w:lvl>
    <w:lvl w:ilvl="6" w:tplc="80442C76">
      <w:numFmt w:val="bullet"/>
      <w:lvlText w:val="•"/>
      <w:lvlJc w:val="left"/>
      <w:pPr>
        <w:ind w:left="3770" w:hanging="87"/>
      </w:pPr>
      <w:rPr>
        <w:rFonts w:hint="default"/>
      </w:rPr>
    </w:lvl>
    <w:lvl w:ilvl="7" w:tplc="282C9C08">
      <w:numFmt w:val="bullet"/>
      <w:lvlText w:val="•"/>
      <w:lvlJc w:val="left"/>
      <w:pPr>
        <w:ind w:left="4381" w:hanging="87"/>
      </w:pPr>
      <w:rPr>
        <w:rFonts w:hint="default"/>
      </w:rPr>
    </w:lvl>
    <w:lvl w:ilvl="8" w:tplc="7A1E5D7A">
      <w:numFmt w:val="bullet"/>
      <w:lvlText w:val="•"/>
      <w:lvlJc w:val="left"/>
      <w:pPr>
        <w:ind w:left="4993" w:hanging="87"/>
      </w:pPr>
      <w:rPr>
        <w:rFonts w:hint="default"/>
      </w:rPr>
    </w:lvl>
  </w:abstractNum>
  <w:abstractNum w:abstractNumId="16">
    <w:nsid w:val="332A178E"/>
    <w:multiLevelType w:val="hybridMultilevel"/>
    <w:tmpl w:val="8AAC4EB0"/>
    <w:lvl w:ilvl="0" w:tplc="498E1A2A">
      <w:numFmt w:val="bullet"/>
      <w:lvlText w:val="•"/>
      <w:lvlJc w:val="left"/>
      <w:pPr>
        <w:ind w:left="171" w:hanging="111"/>
      </w:pPr>
      <w:rPr>
        <w:rFonts w:ascii="Times New Roman" w:eastAsia="Times New Roman" w:hAnsi="Times New Roman" w:cs="Times New Roman" w:hint="default"/>
        <w:color w:val="000080"/>
        <w:w w:val="100"/>
        <w:sz w:val="17"/>
        <w:szCs w:val="17"/>
      </w:rPr>
    </w:lvl>
    <w:lvl w:ilvl="1" w:tplc="0A0CF022">
      <w:numFmt w:val="bullet"/>
      <w:lvlText w:val="•"/>
      <w:lvlJc w:val="left"/>
      <w:pPr>
        <w:ind w:left="390" w:hanging="111"/>
      </w:pPr>
      <w:rPr>
        <w:rFonts w:hint="default"/>
      </w:rPr>
    </w:lvl>
    <w:lvl w:ilvl="2" w:tplc="045482A2">
      <w:numFmt w:val="bullet"/>
      <w:lvlText w:val="•"/>
      <w:lvlJc w:val="left"/>
      <w:pPr>
        <w:ind w:left="601" w:hanging="111"/>
      </w:pPr>
      <w:rPr>
        <w:rFonts w:hint="default"/>
      </w:rPr>
    </w:lvl>
    <w:lvl w:ilvl="3" w:tplc="1E4A6326">
      <w:numFmt w:val="bullet"/>
      <w:lvlText w:val="•"/>
      <w:lvlJc w:val="left"/>
      <w:pPr>
        <w:ind w:left="812" w:hanging="111"/>
      </w:pPr>
      <w:rPr>
        <w:rFonts w:hint="default"/>
      </w:rPr>
    </w:lvl>
    <w:lvl w:ilvl="4" w:tplc="05969CF2">
      <w:numFmt w:val="bullet"/>
      <w:lvlText w:val="•"/>
      <w:lvlJc w:val="left"/>
      <w:pPr>
        <w:ind w:left="1023" w:hanging="111"/>
      </w:pPr>
      <w:rPr>
        <w:rFonts w:hint="default"/>
      </w:rPr>
    </w:lvl>
    <w:lvl w:ilvl="5" w:tplc="79FE92C2">
      <w:numFmt w:val="bullet"/>
      <w:lvlText w:val="•"/>
      <w:lvlJc w:val="left"/>
      <w:pPr>
        <w:ind w:left="1233" w:hanging="111"/>
      </w:pPr>
      <w:rPr>
        <w:rFonts w:hint="default"/>
      </w:rPr>
    </w:lvl>
    <w:lvl w:ilvl="6" w:tplc="B37C52AA">
      <w:numFmt w:val="bullet"/>
      <w:lvlText w:val="•"/>
      <w:lvlJc w:val="left"/>
      <w:pPr>
        <w:ind w:left="1444" w:hanging="111"/>
      </w:pPr>
      <w:rPr>
        <w:rFonts w:hint="default"/>
      </w:rPr>
    </w:lvl>
    <w:lvl w:ilvl="7" w:tplc="A7F4CE06">
      <w:numFmt w:val="bullet"/>
      <w:lvlText w:val="•"/>
      <w:lvlJc w:val="left"/>
      <w:pPr>
        <w:ind w:left="1655" w:hanging="111"/>
      </w:pPr>
      <w:rPr>
        <w:rFonts w:hint="default"/>
      </w:rPr>
    </w:lvl>
    <w:lvl w:ilvl="8" w:tplc="42087ECA">
      <w:numFmt w:val="bullet"/>
      <w:lvlText w:val="•"/>
      <w:lvlJc w:val="left"/>
      <w:pPr>
        <w:ind w:left="1866" w:hanging="111"/>
      </w:pPr>
      <w:rPr>
        <w:rFonts w:hint="default"/>
      </w:rPr>
    </w:lvl>
  </w:abstractNum>
  <w:abstractNum w:abstractNumId="17">
    <w:nsid w:val="338A7403"/>
    <w:multiLevelType w:val="hybridMultilevel"/>
    <w:tmpl w:val="B54EF12A"/>
    <w:lvl w:ilvl="0" w:tplc="70B2DA54">
      <w:numFmt w:val="bullet"/>
      <w:lvlText w:val=""/>
      <w:lvlJc w:val="left"/>
      <w:pPr>
        <w:ind w:left="160" w:hanging="142"/>
      </w:pPr>
      <w:rPr>
        <w:rFonts w:ascii="Wingdings" w:eastAsia="Wingdings" w:hAnsi="Wingdings" w:cs="Wingdings" w:hint="default"/>
        <w:w w:val="99"/>
        <w:sz w:val="20"/>
        <w:szCs w:val="20"/>
      </w:rPr>
    </w:lvl>
    <w:lvl w:ilvl="1" w:tplc="606C825E">
      <w:numFmt w:val="bullet"/>
      <w:lvlText w:val="•"/>
      <w:lvlJc w:val="left"/>
      <w:pPr>
        <w:ind w:left="397" w:hanging="142"/>
      </w:pPr>
      <w:rPr>
        <w:rFonts w:hint="default"/>
      </w:rPr>
    </w:lvl>
    <w:lvl w:ilvl="2" w:tplc="B68A660C">
      <w:numFmt w:val="bullet"/>
      <w:lvlText w:val="•"/>
      <w:lvlJc w:val="left"/>
      <w:pPr>
        <w:ind w:left="634" w:hanging="142"/>
      </w:pPr>
      <w:rPr>
        <w:rFonts w:hint="default"/>
      </w:rPr>
    </w:lvl>
    <w:lvl w:ilvl="3" w:tplc="52DAE8E8">
      <w:numFmt w:val="bullet"/>
      <w:lvlText w:val="•"/>
      <w:lvlJc w:val="left"/>
      <w:pPr>
        <w:ind w:left="871" w:hanging="142"/>
      </w:pPr>
      <w:rPr>
        <w:rFonts w:hint="default"/>
      </w:rPr>
    </w:lvl>
    <w:lvl w:ilvl="4" w:tplc="A9768ACA">
      <w:numFmt w:val="bullet"/>
      <w:lvlText w:val="•"/>
      <w:lvlJc w:val="left"/>
      <w:pPr>
        <w:ind w:left="1109" w:hanging="142"/>
      </w:pPr>
      <w:rPr>
        <w:rFonts w:hint="default"/>
      </w:rPr>
    </w:lvl>
    <w:lvl w:ilvl="5" w:tplc="D6D2CB80">
      <w:numFmt w:val="bullet"/>
      <w:lvlText w:val="•"/>
      <w:lvlJc w:val="left"/>
      <w:pPr>
        <w:ind w:left="1346" w:hanging="142"/>
      </w:pPr>
      <w:rPr>
        <w:rFonts w:hint="default"/>
      </w:rPr>
    </w:lvl>
    <w:lvl w:ilvl="6" w:tplc="981A9E60">
      <w:numFmt w:val="bullet"/>
      <w:lvlText w:val="•"/>
      <w:lvlJc w:val="left"/>
      <w:pPr>
        <w:ind w:left="1583" w:hanging="142"/>
      </w:pPr>
      <w:rPr>
        <w:rFonts w:hint="default"/>
      </w:rPr>
    </w:lvl>
    <w:lvl w:ilvl="7" w:tplc="2FE0F1D8">
      <w:numFmt w:val="bullet"/>
      <w:lvlText w:val="•"/>
      <w:lvlJc w:val="left"/>
      <w:pPr>
        <w:ind w:left="1820" w:hanging="142"/>
      </w:pPr>
      <w:rPr>
        <w:rFonts w:hint="default"/>
      </w:rPr>
    </w:lvl>
    <w:lvl w:ilvl="8" w:tplc="9AF67CC4">
      <w:numFmt w:val="bullet"/>
      <w:lvlText w:val="•"/>
      <w:lvlJc w:val="left"/>
      <w:pPr>
        <w:ind w:left="2058" w:hanging="142"/>
      </w:pPr>
      <w:rPr>
        <w:rFonts w:hint="default"/>
      </w:rPr>
    </w:lvl>
  </w:abstractNum>
  <w:abstractNum w:abstractNumId="18">
    <w:nsid w:val="34AE3112"/>
    <w:multiLevelType w:val="hybridMultilevel"/>
    <w:tmpl w:val="0566571A"/>
    <w:lvl w:ilvl="0" w:tplc="FAD088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355C5566"/>
    <w:multiLevelType w:val="hybridMultilevel"/>
    <w:tmpl w:val="C9043296"/>
    <w:lvl w:ilvl="0" w:tplc="8C1C9BF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7CF353A"/>
    <w:multiLevelType w:val="hybridMultilevel"/>
    <w:tmpl w:val="6B00490E"/>
    <w:lvl w:ilvl="0" w:tplc="30AA7920">
      <w:numFmt w:val="bullet"/>
      <w:lvlText w:val="•"/>
      <w:lvlJc w:val="left"/>
      <w:pPr>
        <w:ind w:left="170" w:hanging="111"/>
      </w:pPr>
      <w:rPr>
        <w:rFonts w:ascii="Times New Roman" w:eastAsia="Times New Roman" w:hAnsi="Times New Roman" w:cs="Times New Roman" w:hint="default"/>
        <w:color w:val="000080"/>
        <w:w w:val="100"/>
        <w:sz w:val="17"/>
        <w:szCs w:val="17"/>
      </w:rPr>
    </w:lvl>
    <w:lvl w:ilvl="1" w:tplc="4CE432CA">
      <w:numFmt w:val="bullet"/>
      <w:lvlText w:val="•"/>
      <w:lvlJc w:val="left"/>
      <w:pPr>
        <w:ind w:left="390" w:hanging="111"/>
      </w:pPr>
      <w:rPr>
        <w:rFonts w:hint="default"/>
      </w:rPr>
    </w:lvl>
    <w:lvl w:ilvl="2" w:tplc="BA7E0074">
      <w:numFmt w:val="bullet"/>
      <w:lvlText w:val="•"/>
      <w:lvlJc w:val="left"/>
      <w:pPr>
        <w:ind w:left="601" w:hanging="111"/>
      </w:pPr>
      <w:rPr>
        <w:rFonts w:hint="default"/>
      </w:rPr>
    </w:lvl>
    <w:lvl w:ilvl="3" w:tplc="9F0E4A26">
      <w:numFmt w:val="bullet"/>
      <w:lvlText w:val="•"/>
      <w:lvlJc w:val="left"/>
      <w:pPr>
        <w:ind w:left="812" w:hanging="111"/>
      </w:pPr>
      <w:rPr>
        <w:rFonts w:hint="default"/>
      </w:rPr>
    </w:lvl>
    <w:lvl w:ilvl="4" w:tplc="FC9CA706">
      <w:numFmt w:val="bullet"/>
      <w:lvlText w:val="•"/>
      <w:lvlJc w:val="left"/>
      <w:pPr>
        <w:ind w:left="1023" w:hanging="111"/>
      </w:pPr>
      <w:rPr>
        <w:rFonts w:hint="default"/>
      </w:rPr>
    </w:lvl>
    <w:lvl w:ilvl="5" w:tplc="18140BD0">
      <w:numFmt w:val="bullet"/>
      <w:lvlText w:val="•"/>
      <w:lvlJc w:val="left"/>
      <w:pPr>
        <w:ind w:left="1234" w:hanging="111"/>
      </w:pPr>
      <w:rPr>
        <w:rFonts w:hint="default"/>
      </w:rPr>
    </w:lvl>
    <w:lvl w:ilvl="6" w:tplc="81FC2602">
      <w:numFmt w:val="bullet"/>
      <w:lvlText w:val="•"/>
      <w:lvlJc w:val="left"/>
      <w:pPr>
        <w:ind w:left="1445" w:hanging="111"/>
      </w:pPr>
      <w:rPr>
        <w:rFonts w:hint="default"/>
      </w:rPr>
    </w:lvl>
    <w:lvl w:ilvl="7" w:tplc="9A485F94">
      <w:numFmt w:val="bullet"/>
      <w:lvlText w:val="•"/>
      <w:lvlJc w:val="left"/>
      <w:pPr>
        <w:ind w:left="1656" w:hanging="111"/>
      </w:pPr>
      <w:rPr>
        <w:rFonts w:hint="default"/>
      </w:rPr>
    </w:lvl>
    <w:lvl w:ilvl="8" w:tplc="14903D02">
      <w:numFmt w:val="bullet"/>
      <w:lvlText w:val="•"/>
      <w:lvlJc w:val="left"/>
      <w:pPr>
        <w:ind w:left="1867" w:hanging="111"/>
      </w:pPr>
      <w:rPr>
        <w:rFonts w:hint="default"/>
      </w:rPr>
    </w:lvl>
  </w:abstractNum>
  <w:abstractNum w:abstractNumId="21">
    <w:nsid w:val="39C7393F"/>
    <w:multiLevelType w:val="hybridMultilevel"/>
    <w:tmpl w:val="D2AE1C36"/>
    <w:lvl w:ilvl="0" w:tplc="AE8CB828">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7E3E830E">
      <w:numFmt w:val="bullet"/>
      <w:lvlText w:val="•"/>
      <w:lvlJc w:val="left"/>
      <w:pPr>
        <w:ind w:left="390" w:hanging="111"/>
      </w:pPr>
      <w:rPr>
        <w:rFonts w:hint="default"/>
      </w:rPr>
    </w:lvl>
    <w:lvl w:ilvl="2" w:tplc="55C4D86C">
      <w:numFmt w:val="bullet"/>
      <w:lvlText w:val="•"/>
      <w:lvlJc w:val="left"/>
      <w:pPr>
        <w:ind w:left="601" w:hanging="111"/>
      </w:pPr>
      <w:rPr>
        <w:rFonts w:hint="default"/>
      </w:rPr>
    </w:lvl>
    <w:lvl w:ilvl="3" w:tplc="32EA90C0">
      <w:numFmt w:val="bullet"/>
      <w:lvlText w:val="•"/>
      <w:lvlJc w:val="left"/>
      <w:pPr>
        <w:ind w:left="812" w:hanging="111"/>
      </w:pPr>
      <w:rPr>
        <w:rFonts w:hint="default"/>
      </w:rPr>
    </w:lvl>
    <w:lvl w:ilvl="4" w:tplc="BCE06334">
      <w:numFmt w:val="bullet"/>
      <w:lvlText w:val="•"/>
      <w:lvlJc w:val="left"/>
      <w:pPr>
        <w:ind w:left="1023" w:hanging="111"/>
      </w:pPr>
      <w:rPr>
        <w:rFonts w:hint="default"/>
      </w:rPr>
    </w:lvl>
    <w:lvl w:ilvl="5" w:tplc="2F3C7400">
      <w:numFmt w:val="bullet"/>
      <w:lvlText w:val="•"/>
      <w:lvlJc w:val="left"/>
      <w:pPr>
        <w:ind w:left="1234" w:hanging="111"/>
      </w:pPr>
      <w:rPr>
        <w:rFonts w:hint="default"/>
      </w:rPr>
    </w:lvl>
    <w:lvl w:ilvl="6" w:tplc="9098976C">
      <w:numFmt w:val="bullet"/>
      <w:lvlText w:val="•"/>
      <w:lvlJc w:val="left"/>
      <w:pPr>
        <w:ind w:left="1445" w:hanging="111"/>
      </w:pPr>
      <w:rPr>
        <w:rFonts w:hint="default"/>
      </w:rPr>
    </w:lvl>
    <w:lvl w:ilvl="7" w:tplc="B3AC7306">
      <w:numFmt w:val="bullet"/>
      <w:lvlText w:val="•"/>
      <w:lvlJc w:val="left"/>
      <w:pPr>
        <w:ind w:left="1656" w:hanging="111"/>
      </w:pPr>
      <w:rPr>
        <w:rFonts w:hint="default"/>
      </w:rPr>
    </w:lvl>
    <w:lvl w:ilvl="8" w:tplc="4BC6673A">
      <w:numFmt w:val="bullet"/>
      <w:lvlText w:val="•"/>
      <w:lvlJc w:val="left"/>
      <w:pPr>
        <w:ind w:left="1867" w:hanging="111"/>
      </w:pPr>
      <w:rPr>
        <w:rFonts w:hint="default"/>
      </w:rPr>
    </w:lvl>
  </w:abstractNum>
  <w:abstractNum w:abstractNumId="22">
    <w:nsid w:val="3A836D27"/>
    <w:multiLevelType w:val="hybridMultilevel"/>
    <w:tmpl w:val="5D96AB48"/>
    <w:lvl w:ilvl="0" w:tplc="7C2402B6">
      <w:numFmt w:val="bullet"/>
      <w:lvlText w:val="•"/>
      <w:lvlJc w:val="left"/>
      <w:pPr>
        <w:ind w:left="172" w:hanging="111"/>
      </w:pPr>
      <w:rPr>
        <w:rFonts w:hint="default"/>
        <w:w w:val="100"/>
      </w:rPr>
    </w:lvl>
    <w:lvl w:ilvl="1" w:tplc="7528109C">
      <w:numFmt w:val="bullet"/>
      <w:lvlText w:val="•"/>
      <w:lvlJc w:val="left"/>
      <w:pPr>
        <w:ind w:left="390" w:hanging="111"/>
      </w:pPr>
      <w:rPr>
        <w:rFonts w:hint="default"/>
      </w:rPr>
    </w:lvl>
    <w:lvl w:ilvl="2" w:tplc="7F8CBE32">
      <w:numFmt w:val="bullet"/>
      <w:lvlText w:val="•"/>
      <w:lvlJc w:val="left"/>
      <w:pPr>
        <w:ind w:left="601" w:hanging="111"/>
      </w:pPr>
      <w:rPr>
        <w:rFonts w:hint="default"/>
      </w:rPr>
    </w:lvl>
    <w:lvl w:ilvl="3" w:tplc="0E0893A8">
      <w:numFmt w:val="bullet"/>
      <w:lvlText w:val="•"/>
      <w:lvlJc w:val="left"/>
      <w:pPr>
        <w:ind w:left="812" w:hanging="111"/>
      </w:pPr>
      <w:rPr>
        <w:rFonts w:hint="default"/>
      </w:rPr>
    </w:lvl>
    <w:lvl w:ilvl="4" w:tplc="05B44118">
      <w:numFmt w:val="bullet"/>
      <w:lvlText w:val="•"/>
      <w:lvlJc w:val="left"/>
      <w:pPr>
        <w:ind w:left="1023" w:hanging="111"/>
      </w:pPr>
      <w:rPr>
        <w:rFonts w:hint="default"/>
      </w:rPr>
    </w:lvl>
    <w:lvl w:ilvl="5" w:tplc="B456BEA6">
      <w:numFmt w:val="bullet"/>
      <w:lvlText w:val="•"/>
      <w:lvlJc w:val="left"/>
      <w:pPr>
        <w:ind w:left="1233" w:hanging="111"/>
      </w:pPr>
      <w:rPr>
        <w:rFonts w:hint="default"/>
      </w:rPr>
    </w:lvl>
    <w:lvl w:ilvl="6" w:tplc="59662C10">
      <w:numFmt w:val="bullet"/>
      <w:lvlText w:val="•"/>
      <w:lvlJc w:val="left"/>
      <w:pPr>
        <w:ind w:left="1444" w:hanging="111"/>
      </w:pPr>
      <w:rPr>
        <w:rFonts w:hint="default"/>
      </w:rPr>
    </w:lvl>
    <w:lvl w:ilvl="7" w:tplc="DE18DF0C">
      <w:numFmt w:val="bullet"/>
      <w:lvlText w:val="•"/>
      <w:lvlJc w:val="left"/>
      <w:pPr>
        <w:ind w:left="1655" w:hanging="111"/>
      </w:pPr>
      <w:rPr>
        <w:rFonts w:hint="default"/>
      </w:rPr>
    </w:lvl>
    <w:lvl w:ilvl="8" w:tplc="772C3E8A">
      <w:numFmt w:val="bullet"/>
      <w:lvlText w:val="•"/>
      <w:lvlJc w:val="left"/>
      <w:pPr>
        <w:ind w:left="1866" w:hanging="111"/>
      </w:pPr>
      <w:rPr>
        <w:rFonts w:hint="default"/>
      </w:rPr>
    </w:lvl>
  </w:abstractNum>
  <w:abstractNum w:abstractNumId="23">
    <w:nsid w:val="3BE62D8A"/>
    <w:multiLevelType w:val="hybridMultilevel"/>
    <w:tmpl w:val="A9629CDE"/>
    <w:lvl w:ilvl="0" w:tplc="882EC630">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CF186CD2">
      <w:numFmt w:val="bullet"/>
      <w:lvlText w:val="•"/>
      <w:lvlJc w:val="left"/>
      <w:pPr>
        <w:ind w:left="390" w:hanging="111"/>
      </w:pPr>
      <w:rPr>
        <w:rFonts w:hint="default"/>
      </w:rPr>
    </w:lvl>
    <w:lvl w:ilvl="2" w:tplc="1618FE84">
      <w:numFmt w:val="bullet"/>
      <w:lvlText w:val="•"/>
      <w:lvlJc w:val="left"/>
      <w:pPr>
        <w:ind w:left="601" w:hanging="111"/>
      </w:pPr>
      <w:rPr>
        <w:rFonts w:hint="default"/>
      </w:rPr>
    </w:lvl>
    <w:lvl w:ilvl="3" w:tplc="9C6ED664">
      <w:numFmt w:val="bullet"/>
      <w:lvlText w:val="•"/>
      <w:lvlJc w:val="left"/>
      <w:pPr>
        <w:ind w:left="812" w:hanging="111"/>
      </w:pPr>
      <w:rPr>
        <w:rFonts w:hint="default"/>
      </w:rPr>
    </w:lvl>
    <w:lvl w:ilvl="4" w:tplc="42AAE218">
      <w:numFmt w:val="bullet"/>
      <w:lvlText w:val="•"/>
      <w:lvlJc w:val="left"/>
      <w:pPr>
        <w:ind w:left="1023" w:hanging="111"/>
      </w:pPr>
      <w:rPr>
        <w:rFonts w:hint="default"/>
      </w:rPr>
    </w:lvl>
    <w:lvl w:ilvl="5" w:tplc="2D9064C8">
      <w:numFmt w:val="bullet"/>
      <w:lvlText w:val="•"/>
      <w:lvlJc w:val="left"/>
      <w:pPr>
        <w:ind w:left="1233" w:hanging="111"/>
      </w:pPr>
      <w:rPr>
        <w:rFonts w:hint="default"/>
      </w:rPr>
    </w:lvl>
    <w:lvl w:ilvl="6" w:tplc="E17607F8">
      <w:numFmt w:val="bullet"/>
      <w:lvlText w:val="•"/>
      <w:lvlJc w:val="left"/>
      <w:pPr>
        <w:ind w:left="1444" w:hanging="111"/>
      </w:pPr>
      <w:rPr>
        <w:rFonts w:hint="default"/>
      </w:rPr>
    </w:lvl>
    <w:lvl w:ilvl="7" w:tplc="1F36D1C8">
      <w:numFmt w:val="bullet"/>
      <w:lvlText w:val="•"/>
      <w:lvlJc w:val="left"/>
      <w:pPr>
        <w:ind w:left="1655" w:hanging="111"/>
      </w:pPr>
      <w:rPr>
        <w:rFonts w:hint="default"/>
      </w:rPr>
    </w:lvl>
    <w:lvl w:ilvl="8" w:tplc="665A0B46">
      <w:numFmt w:val="bullet"/>
      <w:lvlText w:val="•"/>
      <w:lvlJc w:val="left"/>
      <w:pPr>
        <w:ind w:left="1866" w:hanging="111"/>
      </w:pPr>
      <w:rPr>
        <w:rFonts w:hint="default"/>
      </w:rPr>
    </w:lvl>
  </w:abstractNum>
  <w:abstractNum w:abstractNumId="24">
    <w:nsid w:val="3CD74B8C"/>
    <w:multiLevelType w:val="hybridMultilevel"/>
    <w:tmpl w:val="07CED2C8"/>
    <w:lvl w:ilvl="0" w:tplc="D84A4FEE">
      <w:numFmt w:val="bullet"/>
      <w:lvlText w:val="-"/>
      <w:lvlJc w:val="left"/>
      <w:pPr>
        <w:ind w:left="266" w:hanging="164"/>
      </w:pPr>
      <w:rPr>
        <w:rFonts w:ascii="Calibri" w:eastAsia="Calibri" w:hAnsi="Calibri" w:cs="Calibri" w:hint="default"/>
        <w:w w:val="99"/>
        <w:sz w:val="20"/>
        <w:szCs w:val="20"/>
      </w:rPr>
    </w:lvl>
    <w:lvl w:ilvl="1" w:tplc="F4B6916C">
      <w:numFmt w:val="bullet"/>
      <w:lvlText w:val="•"/>
      <w:lvlJc w:val="left"/>
      <w:pPr>
        <w:ind w:left="434" w:hanging="164"/>
      </w:pPr>
      <w:rPr>
        <w:rFonts w:hint="default"/>
      </w:rPr>
    </w:lvl>
    <w:lvl w:ilvl="2" w:tplc="772C6C9C">
      <w:numFmt w:val="bullet"/>
      <w:lvlText w:val="•"/>
      <w:lvlJc w:val="left"/>
      <w:pPr>
        <w:ind w:left="608" w:hanging="164"/>
      </w:pPr>
      <w:rPr>
        <w:rFonts w:hint="default"/>
      </w:rPr>
    </w:lvl>
    <w:lvl w:ilvl="3" w:tplc="08AAB07E">
      <w:numFmt w:val="bullet"/>
      <w:lvlText w:val="•"/>
      <w:lvlJc w:val="left"/>
      <w:pPr>
        <w:ind w:left="782" w:hanging="164"/>
      </w:pPr>
      <w:rPr>
        <w:rFonts w:hint="default"/>
      </w:rPr>
    </w:lvl>
    <w:lvl w:ilvl="4" w:tplc="85EAD87E">
      <w:numFmt w:val="bullet"/>
      <w:lvlText w:val="•"/>
      <w:lvlJc w:val="left"/>
      <w:pPr>
        <w:ind w:left="956" w:hanging="164"/>
      </w:pPr>
      <w:rPr>
        <w:rFonts w:hint="default"/>
      </w:rPr>
    </w:lvl>
    <w:lvl w:ilvl="5" w:tplc="D760FD00">
      <w:numFmt w:val="bullet"/>
      <w:lvlText w:val="•"/>
      <w:lvlJc w:val="left"/>
      <w:pPr>
        <w:ind w:left="1131" w:hanging="164"/>
      </w:pPr>
      <w:rPr>
        <w:rFonts w:hint="default"/>
      </w:rPr>
    </w:lvl>
    <w:lvl w:ilvl="6" w:tplc="9E8AB330">
      <w:numFmt w:val="bullet"/>
      <w:lvlText w:val="•"/>
      <w:lvlJc w:val="left"/>
      <w:pPr>
        <w:ind w:left="1305" w:hanging="164"/>
      </w:pPr>
      <w:rPr>
        <w:rFonts w:hint="default"/>
      </w:rPr>
    </w:lvl>
    <w:lvl w:ilvl="7" w:tplc="AD2E282E">
      <w:numFmt w:val="bullet"/>
      <w:lvlText w:val="•"/>
      <w:lvlJc w:val="left"/>
      <w:pPr>
        <w:ind w:left="1479" w:hanging="164"/>
      </w:pPr>
      <w:rPr>
        <w:rFonts w:hint="default"/>
      </w:rPr>
    </w:lvl>
    <w:lvl w:ilvl="8" w:tplc="CB6A5292">
      <w:numFmt w:val="bullet"/>
      <w:lvlText w:val="•"/>
      <w:lvlJc w:val="left"/>
      <w:pPr>
        <w:ind w:left="1653" w:hanging="164"/>
      </w:pPr>
      <w:rPr>
        <w:rFonts w:hint="default"/>
      </w:rPr>
    </w:lvl>
  </w:abstractNum>
  <w:abstractNum w:abstractNumId="25">
    <w:nsid w:val="3D966883"/>
    <w:multiLevelType w:val="hybridMultilevel"/>
    <w:tmpl w:val="6C3C9990"/>
    <w:lvl w:ilvl="0" w:tplc="B3541FBA">
      <w:numFmt w:val="bullet"/>
      <w:lvlText w:val=""/>
      <w:lvlJc w:val="left"/>
      <w:pPr>
        <w:ind w:left="160" w:hanging="143"/>
      </w:pPr>
      <w:rPr>
        <w:rFonts w:ascii="Wingdings" w:eastAsia="Wingdings" w:hAnsi="Wingdings" w:cs="Wingdings" w:hint="default"/>
        <w:w w:val="99"/>
        <w:sz w:val="20"/>
        <w:szCs w:val="20"/>
      </w:rPr>
    </w:lvl>
    <w:lvl w:ilvl="1" w:tplc="87786F9C">
      <w:numFmt w:val="bullet"/>
      <w:lvlText w:val="•"/>
      <w:lvlJc w:val="left"/>
      <w:pPr>
        <w:ind w:left="414" w:hanging="143"/>
      </w:pPr>
      <w:rPr>
        <w:rFonts w:hint="default"/>
      </w:rPr>
    </w:lvl>
    <w:lvl w:ilvl="2" w:tplc="4080E5D6">
      <w:numFmt w:val="bullet"/>
      <w:lvlText w:val="•"/>
      <w:lvlJc w:val="left"/>
      <w:pPr>
        <w:ind w:left="669" w:hanging="143"/>
      </w:pPr>
      <w:rPr>
        <w:rFonts w:hint="default"/>
      </w:rPr>
    </w:lvl>
    <w:lvl w:ilvl="3" w:tplc="C5469794">
      <w:numFmt w:val="bullet"/>
      <w:lvlText w:val="•"/>
      <w:lvlJc w:val="left"/>
      <w:pPr>
        <w:ind w:left="924" w:hanging="143"/>
      </w:pPr>
      <w:rPr>
        <w:rFonts w:hint="default"/>
      </w:rPr>
    </w:lvl>
    <w:lvl w:ilvl="4" w:tplc="9B7EC2DA">
      <w:numFmt w:val="bullet"/>
      <w:lvlText w:val="•"/>
      <w:lvlJc w:val="left"/>
      <w:pPr>
        <w:ind w:left="1179" w:hanging="143"/>
      </w:pPr>
      <w:rPr>
        <w:rFonts w:hint="default"/>
      </w:rPr>
    </w:lvl>
    <w:lvl w:ilvl="5" w:tplc="963CF67C">
      <w:numFmt w:val="bullet"/>
      <w:lvlText w:val="•"/>
      <w:lvlJc w:val="left"/>
      <w:pPr>
        <w:ind w:left="1434" w:hanging="143"/>
      </w:pPr>
      <w:rPr>
        <w:rFonts w:hint="default"/>
      </w:rPr>
    </w:lvl>
    <w:lvl w:ilvl="6" w:tplc="9F0041E4">
      <w:numFmt w:val="bullet"/>
      <w:lvlText w:val="•"/>
      <w:lvlJc w:val="left"/>
      <w:pPr>
        <w:ind w:left="1689" w:hanging="143"/>
      </w:pPr>
      <w:rPr>
        <w:rFonts w:hint="default"/>
      </w:rPr>
    </w:lvl>
    <w:lvl w:ilvl="7" w:tplc="214CE108">
      <w:numFmt w:val="bullet"/>
      <w:lvlText w:val="•"/>
      <w:lvlJc w:val="left"/>
      <w:pPr>
        <w:ind w:left="1944" w:hanging="143"/>
      </w:pPr>
      <w:rPr>
        <w:rFonts w:hint="default"/>
      </w:rPr>
    </w:lvl>
    <w:lvl w:ilvl="8" w:tplc="84C29008">
      <w:numFmt w:val="bullet"/>
      <w:lvlText w:val="•"/>
      <w:lvlJc w:val="left"/>
      <w:pPr>
        <w:ind w:left="2199" w:hanging="143"/>
      </w:pPr>
      <w:rPr>
        <w:rFonts w:hint="default"/>
      </w:rPr>
    </w:lvl>
  </w:abstractNum>
  <w:abstractNum w:abstractNumId="26">
    <w:nsid w:val="3F1130E2"/>
    <w:multiLevelType w:val="hybridMultilevel"/>
    <w:tmpl w:val="F3FE02C6"/>
    <w:lvl w:ilvl="0" w:tplc="D408EF24">
      <w:numFmt w:val="bullet"/>
      <w:lvlText w:val=""/>
      <w:lvlJc w:val="left"/>
      <w:pPr>
        <w:ind w:left="160" w:hanging="143"/>
      </w:pPr>
      <w:rPr>
        <w:rFonts w:ascii="Wingdings" w:eastAsia="Wingdings" w:hAnsi="Wingdings" w:cs="Wingdings" w:hint="default"/>
        <w:w w:val="99"/>
        <w:sz w:val="20"/>
        <w:szCs w:val="20"/>
      </w:rPr>
    </w:lvl>
    <w:lvl w:ilvl="1" w:tplc="F48070B4">
      <w:numFmt w:val="bullet"/>
      <w:lvlText w:val="•"/>
      <w:lvlJc w:val="left"/>
      <w:pPr>
        <w:ind w:left="414" w:hanging="143"/>
      </w:pPr>
      <w:rPr>
        <w:rFonts w:hint="default"/>
      </w:rPr>
    </w:lvl>
    <w:lvl w:ilvl="2" w:tplc="215AFC0C">
      <w:numFmt w:val="bullet"/>
      <w:lvlText w:val="•"/>
      <w:lvlJc w:val="left"/>
      <w:pPr>
        <w:ind w:left="669" w:hanging="143"/>
      </w:pPr>
      <w:rPr>
        <w:rFonts w:hint="default"/>
      </w:rPr>
    </w:lvl>
    <w:lvl w:ilvl="3" w:tplc="DBB65AAC">
      <w:numFmt w:val="bullet"/>
      <w:lvlText w:val="•"/>
      <w:lvlJc w:val="left"/>
      <w:pPr>
        <w:ind w:left="924" w:hanging="143"/>
      </w:pPr>
      <w:rPr>
        <w:rFonts w:hint="default"/>
      </w:rPr>
    </w:lvl>
    <w:lvl w:ilvl="4" w:tplc="096CDFD4">
      <w:numFmt w:val="bullet"/>
      <w:lvlText w:val="•"/>
      <w:lvlJc w:val="left"/>
      <w:pPr>
        <w:ind w:left="1179" w:hanging="143"/>
      </w:pPr>
      <w:rPr>
        <w:rFonts w:hint="default"/>
      </w:rPr>
    </w:lvl>
    <w:lvl w:ilvl="5" w:tplc="5EEC139C">
      <w:numFmt w:val="bullet"/>
      <w:lvlText w:val="•"/>
      <w:lvlJc w:val="left"/>
      <w:pPr>
        <w:ind w:left="1434" w:hanging="143"/>
      </w:pPr>
      <w:rPr>
        <w:rFonts w:hint="default"/>
      </w:rPr>
    </w:lvl>
    <w:lvl w:ilvl="6" w:tplc="A6DCF11C">
      <w:numFmt w:val="bullet"/>
      <w:lvlText w:val="•"/>
      <w:lvlJc w:val="left"/>
      <w:pPr>
        <w:ind w:left="1689" w:hanging="143"/>
      </w:pPr>
      <w:rPr>
        <w:rFonts w:hint="default"/>
      </w:rPr>
    </w:lvl>
    <w:lvl w:ilvl="7" w:tplc="82C663FC">
      <w:numFmt w:val="bullet"/>
      <w:lvlText w:val="•"/>
      <w:lvlJc w:val="left"/>
      <w:pPr>
        <w:ind w:left="1944" w:hanging="143"/>
      </w:pPr>
      <w:rPr>
        <w:rFonts w:hint="default"/>
      </w:rPr>
    </w:lvl>
    <w:lvl w:ilvl="8" w:tplc="0EBA4056">
      <w:numFmt w:val="bullet"/>
      <w:lvlText w:val="•"/>
      <w:lvlJc w:val="left"/>
      <w:pPr>
        <w:ind w:left="2199" w:hanging="143"/>
      </w:pPr>
      <w:rPr>
        <w:rFonts w:hint="default"/>
      </w:rPr>
    </w:lvl>
  </w:abstractNum>
  <w:abstractNum w:abstractNumId="27">
    <w:nsid w:val="448C63CA"/>
    <w:multiLevelType w:val="hybridMultilevel"/>
    <w:tmpl w:val="1536F5BE"/>
    <w:lvl w:ilvl="0" w:tplc="0000547E">
      <w:numFmt w:val="bullet"/>
      <w:lvlText w:val=""/>
      <w:lvlJc w:val="left"/>
      <w:pPr>
        <w:ind w:left="377" w:hanging="207"/>
      </w:pPr>
      <w:rPr>
        <w:rFonts w:ascii="Wingdings" w:eastAsia="Wingdings" w:hAnsi="Wingdings" w:cs="Wingdings" w:hint="default"/>
        <w:w w:val="99"/>
        <w:sz w:val="20"/>
        <w:szCs w:val="20"/>
      </w:rPr>
    </w:lvl>
    <w:lvl w:ilvl="1" w:tplc="FA14709C">
      <w:numFmt w:val="bullet"/>
      <w:lvlText w:val="•"/>
      <w:lvlJc w:val="left"/>
      <w:pPr>
        <w:ind w:left="873" w:hanging="207"/>
      </w:pPr>
      <w:rPr>
        <w:rFonts w:hint="default"/>
      </w:rPr>
    </w:lvl>
    <w:lvl w:ilvl="2" w:tplc="89B8D8AE">
      <w:numFmt w:val="bullet"/>
      <w:lvlText w:val="•"/>
      <w:lvlJc w:val="left"/>
      <w:pPr>
        <w:ind w:left="1367" w:hanging="207"/>
      </w:pPr>
      <w:rPr>
        <w:rFonts w:hint="default"/>
      </w:rPr>
    </w:lvl>
    <w:lvl w:ilvl="3" w:tplc="17D4898C">
      <w:numFmt w:val="bullet"/>
      <w:lvlText w:val="•"/>
      <w:lvlJc w:val="left"/>
      <w:pPr>
        <w:ind w:left="1861" w:hanging="207"/>
      </w:pPr>
      <w:rPr>
        <w:rFonts w:hint="default"/>
      </w:rPr>
    </w:lvl>
    <w:lvl w:ilvl="4" w:tplc="321CBB20">
      <w:numFmt w:val="bullet"/>
      <w:lvlText w:val="•"/>
      <w:lvlJc w:val="left"/>
      <w:pPr>
        <w:ind w:left="2354" w:hanging="207"/>
      </w:pPr>
      <w:rPr>
        <w:rFonts w:hint="default"/>
      </w:rPr>
    </w:lvl>
    <w:lvl w:ilvl="5" w:tplc="5AA8750E">
      <w:numFmt w:val="bullet"/>
      <w:lvlText w:val="•"/>
      <w:lvlJc w:val="left"/>
      <w:pPr>
        <w:ind w:left="2848" w:hanging="207"/>
      </w:pPr>
      <w:rPr>
        <w:rFonts w:hint="default"/>
      </w:rPr>
    </w:lvl>
    <w:lvl w:ilvl="6" w:tplc="FB1ADA88">
      <w:numFmt w:val="bullet"/>
      <w:lvlText w:val="•"/>
      <w:lvlJc w:val="left"/>
      <w:pPr>
        <w:ind w:left="3342" w:hanging="207"/>
      </w:pPr>
      <w:rPr>
        <w:rFonts w:hint="default"/>
      </w:rPr>
    </w:lvl>
    <w:lvl w:ilvl="7" w:tplc="1E6680C2">
      <w:numFmt w:val="bullet"/>
      <w:lvlText w:val="•"/>
      <w:lvlJc w:val="left"/>
      <w:pPr>
        <w:ind w:left="3836" w:hanging="207"/>
      </w:pPr>
      <w:rPr>
        <w:rFonts w:hint="default"/>
      </w:rPr>
    </w:lvl>
    <w:lvl w:ilvl="8" w:tplc="F4D8A5EE">
      <w:numFmt w:val="bullet"/>
      <w:lvlText w:val="•"/>
      <w:lvlJc w:val="left"/>
      <w:pPr>
        <w:ind w:left="4329" w:hanging="207"/>
      </w:pPr>
      <w:rPr>
        <w:rFonts w:hint="default"/>
      </w:rPr>
    </w:lvl>
  </w:abstractNum>
  <w:abstractNum w:abstractNumId="28">
    <w:nsid w:val="44C16D07"/>
    <w:multiLevelType w:val="hybridMultilevel"/>
    <w:tmpl w:val="08F06062"/>
    <w:lvl w:ilvl="0" w:tplc="E4B0C22A">
      <w:numFmt w:val="bullet"/>
      <w:lvlText w:val="•"/>
      <w:lvlJc w:val="left"/>
      <w:pPr>
        <w:ind w:left="172" w:hanging="123"/>
      </w:pPr>
      <w:rPr>
        <w:rFonts w:ascii="Calibri" w:eastAsia="Calibri" w:hAnsi="Calibri" w:cs="Calibri" w:hint="default"/>
        <w:w w:val="100"/>
        <w:sz w:val="17"/>
        <w:szCs w:val="17"/>
      </w:rPr>
    </w:lvl>
    <w:lvl w:ilvl="1" w:tplc="6B3435E8">
      <w:numFmt w:val="bullet"/>
      <w:lvlText w:val="•"/>
      <w:lvlJc w:val="left"/>
      <w:pPr>
        <w:ind w:left="380" w:hanging="123"/>
      </w:pPr>
      <w:rPr>
        <w:rFonts w:hint="default"/>
      </w:rPr>
    </w:lvl>
    <w:lvl w:ilvl="2" w:tplc="8E527D94">
      <w:numFmt w:val="bullet"/>
      <w:lvlText w:val="•"/>
      <w:lvlJc w:val="left"/>
      <w:pPr>
        <w:ind w:left="581" w:hanging="123"/>
      </w:pPr>
      <w:rPr>
        <w:rFonts w:hint="default"/>
      </w:rPr>
    </w:lvl>
    <w:lvl w:ilvl="3" w:tplc="FBF8F07E">
      <w:numFmt w:val="bullet"/>
      <w:lvlText w:val="•"/>
      <w:lvlJc w:val="left"/>
      <w:pPr>
        <w:ind w:left="782" w:hanging="123"/>
      </w:pPr>
      <w:rPr>
        <w:rFonts w:hint="default"/>
      </w:rPr>
    </w:lvl>
    <w:lvl w:ilvl="4" w:tplc="C652C218">
      <w:numFmt w:val="bullet"/>
      <w:lvlText w:val="•"/>
      <w:lvlJc w:val="left"/>
      <w:pPr>
        <w:ind w:left="982" w:hanging="123"/>
      </w:pPr>
      <w:rPr>
        <w:rFonts w:hint="default"/>
      </w:rPr>
    </w:lvl>
    <w:lvl w:ilvl="5" w:tplc="BAB89640">
      <w:numFmt w:val="bullet"/>
      <w:lvlText w:val="•"/>
      <w:lvlJc w:val="left"/>
      <w:pPr>
        <w:ind w:left="1183" w:hanging="123"/>
      </w:pPr>
      <w:rPr>
        <w:rFonts w:hint="default"/>
      </w:rPr>
    </w:lvl>
    <w:lvl w:ilvl="6" w:tplc="A11E7746">
      <w:numFmt w:val="bullet"/>
      <w:lvlText w:val="•"/>
      <w:lvlJc w:val="left"/>
      <w:pPr>
        <w:ind w:left="1384" w:hanging="123"/>
      </w:pPr>
      <w:rPr>
        <w:rFonts w:hint="default"/>
      </w:rPr>
    </w:lvl>
    <w:lvl w:ilvl="7" w:tplc="37A2A384">
      <w:numFmt w:val="bullet"/>
      <w:lvlText w:val="•"/>
      <w:lvlJc w:val="left"/>
      <w:pPr>
        <w:ind w:left="1584" w:hanging="123"/>
      </w:pPr>
      <w:rPr>
        <w:rFonts w:hint="default"/>
      </w:rPr>
    </w:lvl>
    <w:lvl w:ilvl="8" w:tplc="8AF2FE44">
      <w:numFmt w:val="bullet"/>
      <w:lvlText w:val="•"/>
      <w:lvlJc w:val="left"/>
      <w:pPr>
        <w:ind w:left="1785" w:hanging="123"/>
      </w:pPr>
      <w:rPr>
        <w:rFonts w:hint="default"/>
      </w:rPr>
    </w:lvl>
  </w:abstractNum>
  <w:abstractNum w:abstractNumId="29">
    <w:nsid w:val="486F7FBF"/>
    <w:multiLevelType w:val="hybridMultilevel"/>
    <w:tmpl w:val="4A2E5876"/>
    <w:lvl w:ilvl="0" w:tplc="3C68C336">
      <w:numFmt w:val="bullet"/>
      <w:lvlText w:val=""/>
      <w:lvlJc w:val="left"/>
      <w:pPr>
        <w:ind w:left="160" w:hanging="142"/>
      </w:pPr>
      <w:rPr>
        <w:rFonts w:ascii="Wingdings" w:eastAsia="Wingdings" w:hAnsi="Wingdings" w:cs="Wingdings" w:hint="default"/>
        <w:w w:val="99"/>
        <w:sz w:val="20"/>
        <w:szCs w:val="20"/>
      </w:rPr>
    </w:lvl>
    <w:lvl w:ilvl="1" w:tplc="84F29A5E">
      <w:numFmt w:val="bullet"/>
      <w:lvlText w:val="•"/>
      <w:lvlJc w:val="left"/>
      <w:pPr>
        <w:ind w:left="396" w:hanging="142"/>
      </w:pPr>
      <w:rPr>
        <w:rFonts w:hint="default"/>
      </w:rPr>
    </w:lvl>
    <w:lvl w:ilvl="2" w:tplc="708E8E06">
      <w:numFmt w:val="bullet"/>
      <w:lvlText w:val="•"/>
      <w:lvlJc w:val="left"/>
      <w:pPr>
        <w:ind w:left="632" w:hanging="142"/>
      </w:pPr>
      <w:rPr>
        <w:rFonts w:hint="default"/>
      </w:rPr>
    </w:lvl>
    <w:lvl w:ilvl="3" w:tplc="E322268C">
      <w:numFmt w:val="bullet"/>
      <w:lvlText w:val="•"/>
      <w:lvlJc w:val="left"/>
      <w:pPr>
        <w:ind w:left="868" w:hanging="142"/>
      </w:pPr>
      <w:rPr>
        <w:rFonts w:hint="default"/>
      </w:rPr>
    </w:lvl>
    <w:lvl w:ilvl="4" w:tplc="1E064E94">
      <w:numFmt w:val="bullet"/>
      <w:lvlText w:val="•"/>
      <w:lvlJc w:val="left"/>
      <w:pPr>
        <w:ind w:left="1104" w:hanging="142"/>
      </w:pPr>
      <w:rPr>
        <w:rFonts w:hint="default"/>
      </w:rPr>
    </w:lvl>
    <w:lvl w:ilvl="5" w:tplc="E70EA5AA">
      <w:numFmt w:val="bullet"/>
      <w:lvlText w:val="•"/>
      <w:lvlJc w:val="left"/>
      <w:pPr>
        <w:ind w:left="1340" w:hanging="142"/>
      </w:pPr>
      <w:rPr>
        <w:rFonts w:hint="default"/>
      </w:rPr>
    </w:lvl>
    <w:lvl w:ilvl="6" w:tplc="F07EDBD8">
      <w:numFmt w:val="bullet"/>
      <w:lvlText w:val="•"/>
      <w:lvlJc w:val="left"/>
      <w:pPr>
        <w:ind w:left="1576" w:hanging="142"/>
      </w:pPr>
      <w:rPr>
        <w:rFonts w:hint="default"/>
      </w:rPr>
    </w:lvl>
    <w:lvl w:ilvl="7" w:tplc="6D84E1B4">
      <w:numFmt w:val="bullet"/>
      <w:lvlText w:val="•"/>
      <w:lvlJc w:val="left"/>
      <w:pPr>
        <w:ind w:left="1812" w:hanging="142"/>
      </w:pPr>
      <w:rPr>
        <w:rFonts w:hint="default"/>
      </w:rPr>
    </w:lvl>
    <w:lvl w:ilvl="8" w:tplc="30A2FBE2">
      <w:numFmt w:val="bullet"/>
      <w:lvlText w:val="•"/>
      <w:lvlJc w:val="left"/>
      <w:pPr>
        <w:ind w:left="2048" w:hanging="142"/>
      </w:pPr>
      <w:rPr>
        <w:rFonts w:hint="default"/>
      </w:rPr>
    </w:lvl>
  </w:abstractNum>
  <w:abstractNum w:abstractNumId="30">
    <w:nsid w:val="489F47AB"/>
    <w:multiLevelType w:val="hybridMultilevel"/>
    <w:tmpl w:val="43E64512"/>
    <w:lvl w:ilvl="0" w:tplc="321CCCA8">
      <w:numFmt w:val="bullet"/>
      <w:lvlText w:val="-"/>
      <w:lvlJc w:val="left"/>
      <w:pPr>
        <w:ind w:left="129" w:hanging="87"/>
      </w:pPr>
      <w:rPr>
        <w:rFonts w:ascii="Calibri" w:eastAsia="Calibri" w:hAnsi="Calibri" w:cs="Calibri" w:hint="default"/>
        <w:w w:val="100"/>
        <w:sz w:val="16"/>
        <w:szCs w:val="16"/>
      </w:rPr>
    </w:lvl>
    <w:lvl w:ilvl="1" w:tplc="000AD094">
      <w:numFmt w:val="bullet"/>
      <w:lvlText w:val="•"/>
      <w:lvlJc w:val="left"/>
      <w:pPr>
        <w:ind w:left="729" w:hanging="87"/>
      </w:pPr>
      <w:rPr>
        <w:rFonts w:hint="default"/>
      </w:rPr>
    </w:lvl>
    <w:lvl w:ilvl="2" w:tplc="77241A72">
      <w:numFmt w:val="bullet"/>
      <w:lvlText w:val="•"/>
      <w:lvlJc w:val="left"/>
      <w:pPr>
        <w:ind w:left="1339" w:hanging="87"/>
      </w:pPr>
      <w:rPr>
        <w:rFonts w:hint="default"/>
      </w:rPr>
    </w:lvl>
    <w:lvl w:ilvl="3" w:tplc="EC144CE8">
      <w:numFmt w:val="bullet"/>
      <w:lvlText w:val="•"/>
      <w:lvlJc w:val="left"/>
      <w:pPr>
        <w:ind w:left="1949" w:hanging="87"/>
      </w:pPr>
      <w:rPr>
        <w:rFonts w:hint="default"/>
      </w:rPr>
    </w:lvl>
    <w:lvl w:ilvl="4" w:tplc="EC6A3984">
      <w:numFmt w:val="bullet"/>
      <w:lvlText w:val="•"/>
      <w:lvlJc w:val="left"/>
      <w:pPr>
        <w:ind w:left="2558" w:hanging="87"/>
      </w:pPr>
      <w:rPr>
        <w:rFonts w:hint="default"/>
      </w:rPr>
    </w:lvl>
    <w:lvl w:ilvl="5" w:tplc="FA94C96A">
      <w:numFmt w:val="bullet"/>
      <w:lvlText w:val="•"/>
      <w:lvlJc w:val="left"/>
      <w:pPr>
        <w:ind w:left="3168" w:hanging="87"/>
      </w:pPr>
      <w:rPr>
        <w:rFonts w:hint="default"/>
      </w:rPr>
    </w:lvl>
    <w:lvl w:ilvl="6" w:tplc="5B7C0FBA">
      <w:numFmt w:val="bullet"/>
      <w:lvlText w:val="•"/>
      <w:lvlJc w:val="left"/>
      <w:pPr>
        <w:ind w:left="3778" w:hanging="87"/>
      </w:pPr>
      <w:rPr>
        <w:rFonts w:hint="default"/>
      </w:rPr>
    </w:lvl>
    <w:lvl w:ilvl="7" w:tplc="9DBEE910">
      <w:numFmt w:val="bullet"/>
      <w:lvlText w:val="•"/>
      <w:lvlJc w:val="left"/>
      <w:pPr>
        <w:ind w:left="4387" w:hanging="87"/>
      </w:pPr>
      <w:rPr>
        <w:rFonts w:hint="default"/>
      </w:rPr>
    </w:lvl>
    <w:lvl w:ilvl="8" w:tplc="8DD250BA">
      <w:numFmt w:val="bullet"/>
      <w:lvlText w:val="•"/>
      <w:lvlJc w:val="left"/>
      <w:pPr>
        <w:ind w:left="4997" w:hanging="87"/>
      </w:pPr>
      <w:rPr>
        <w:rFonts w:hint="default"/>
      </w:rPr>
    </w:lvl>
  </w:abstractNum>
  <w:abstractNum w:abstractNumId="31">
    <w:nsid w:val="4AA8600D"/>
    <w:multiLevelType w:val="hybridMultilevel"/>
    <w:tmpl w:val="16F2B568"/>
    <w:lvl w:ilvl="0" w:tplc="FF227B4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7A14E17C">
      <w:numFmt w:val="bullet"/>
      <w:lvlText w:val="•"/>
      <w:lvlJc w:val="left"/>
      <w:pPr>
        <w:ind w:left="371" w:hanging="111"/>
      </w:pPr>
      <w:rPr>
        <w:rFonts w:hint="default"/>
      </w:rPr>
    </w:lvl>
    <w:lvl w:ilvl="2" w:tplc="CFEC4E68">
      <w:numFmt w:val="bullet"/>
      <w:lvlText w:val="•"/>
      <w:lvlJc w:val="left"/>
      <w:pPr>
        <w:ind w:left="563" w:hanging="111"/>
      </w:pPr>
      <w:rPr>
        <w:rFonts w:hint="default"/>
      </w:rPr>
    </w:lvl>
    <w:lvl w:ilvl="3" w:tplc="75D62ADA">
      <w:numFmt w:val="bullet"/>
      <w:lvlText w:val="•"/>
      <w:lvlJc w:val="left"/>
      <w:pPr>
        <w:ind w:left="754" w:hanging="111"/>
      </w:pPr>
      <w:rPr>
        <w:rFonts w:hint="default"/>
      </w:rPr>
    </w:lvl>
    <w:lvl w:ilvl="4" w:tplc="35824618">
      <w:numFmt w:val="bullet"/>
      <w:lvlText w:val="•"/>
      <w:lvlJc w:val="left"/>
      <w:pPr>
        <w:ind w:left="946" w:hanging="111"/>
      </w:pPr>
      <w:rPr>
        <w:rFonts w:hint="default"/>
      </w:rPr>
    </w:lvl>
    <w:lvl w:ilvl="5" w:tplc="67A809C6">
      <w:numFmt w:val="bullet"/>
      <w:lvlText w:val="•"/>
      <w:lvlJc w:val="left"/>
      <w:pPr>
        <w:ind w:left="1137" w:hanging="111"/>
      </w:pPr>
      <w:rPr>
        <w:rFonts w:hint="default"/>
      </w:rPr>
    </w:lvl>
    <w:lvl w:ilvl="6" w:tplc="4E7412E4">
      <w:numFmt w:val="bullet"/>
      <w:lvlText w:val="•"/>
      <w:lvlJc w:val="left"/>
      <w:pPr>
        <w:ind w:left="1329" w:hanging="111"/>
      </w:pPr>
      <w:rPr>
        <w:rFonts w:hint="default"/>
      </w:rPr>
    </w:lvl>
    <w:lvl w:ilvl="7" w:tplc="3ACAD43C">
      <w:numFmt w:val="bullet"/>
      <w:lvlText w:val="•"/>
      <w:lvlJc w:val="left"/>
      <w:pPr>
        <w:ind w:left="1521" w:hanging="111"/>
      </w:pPr>
      <w:rPr>
        <w:rFonts w:hint="default"/>
      </w:rPr>
    </w:lvl>
    <w:lvl w:ilvl="8" w:tplc="997CC42E">
      <w:numFmt w:val="bullet"/>
      <w:lvlText w:val="•"/>
      <w:lvlJc w:val="left"/>
      <w:pPr>
        <w:ind w:left="1712" w:hanging="111"/>
      </w:pPr>
      <w:rPr>
        <w:rFonts w:hint="default"/>
      </w:rPr>
    </w:lvl>
  </w:abstractNum>
  <w:abstractNum w:abstractNumId="32">
    <w:nsid w:val="4B791EEF"/>
    <w:multiLevelType w:val="hybridMultilevel"/>
    <w:tmpl w:val="EEE6AD9A"/>
    <w:lvl w:ilvl="0" w:tplc="5F5257E2">
      <w:numFmt w:val="bullet"/>
      <w:lvlText w:val="•"/>
      <w:lvlJc w:val="left"/>
      <w:pPr>
        <w:ind w:left="171" w:hanging="111"/>
      </w:pPr>
      <w:rPr>
        <w:rFonts w:hint="default"/>
        <w:w w:val="100"/>
      </w:rPr>
    </w:lvl>
    <w:lvl w:ilvl="1" w:tplc="F402B3BE">
      <w:numFmt w:val="bullet"/>
      <w:lvlText w:val="•"/>
      <w:lvlJc w:val="left"/>
      <w:pPr>
        <w:ind w:left="380" w:hanging="111"/>
      </w:pPr>
      <w:rPr>
        <w:rFonts w:hint="default"/>
      </w:rPr>
    </w:lvl>
    <w:lvl w:ilvl="2" w:tplc="31086B5C">
      <w:numFmt w:val="bullet"/>
      <w:lvlText w:val="•"/>
      <w:lvlJc w:val="left"/>
      <w:pPr>
        <w:ind w:left="580" w:hanging="111"/>
      </w:pPr>
      <w:rPr>
        <w:rFonts w:hint="default"/>
      </w:rPr>
    </w:lvl>
    <w:lvl w:ilvl="3" w:tplc="1C3A4ED6">
      <w:numFmt w:val="bullet"/>
      <w:lvlText w:val="•"/>
      <w:lvlJc w:val="left"/>
      <w:pPr>
        <w:ind w:left="781" w:hanging="111"/>
      </w:pPr>
      <w:rPr>
        <w:rFonts w:hint="default"/>
      </w:rPr>
    </w:lvl>
    <w:lvl w:ilvl="4" w:tplc="DFC8BE02">
      <w:numFmt w:val="bullet"/>
      <w:lvlText w:val="•"/>
      <w:lvlJc w:val="left"/>
      <w:pPr>
        <w:ind w:left="981" w:hanging="111"/>
      </w:pPr>
      <w:rPr>
        <w:rFonts w:hint="default"/>
      </w:rPr>
    </w:lvl>
    <w:lvl w:ilvl="5" w:tplc="ED1E2748">
      <w:numFmt w:val="bullet"/>
      <w:lvlText w:val="•"/>
      <w:lvlJc w:val="left"/>
      <w:pPr>
        <w:ind w:left="1182" w:hanging="111"/>
      </w:pPr>
      <w:rPr>
        <w:rFonts w:hint="default"/>
      </w:rPr>
    </w:lvl>
    <w:lvl w:ilvl="6" w:tplc="782A5948">
      <w:numFmt w:val="bullet"/>
      <w:lvlText w:val="•"/>
      <w:lvlJc w:val="left"/>
      <w:pPr>
        <w:ind w:left="1382" w:hanging="111"/>
      </w:pPr>
      <w:rPr>
        <w:rFonts w:hint="default"/>
      </w:rPr>
    </w:lvl>
    <w:lvl w:ilvl="7" w:tplc="B362284A">
      <w:numFmt w:val="bullet"/>
      <w:lvlText w:val="•"/>
      <w:lvlJc w:val="left"/>
      <w:pPr>
        <w:ind w:left="1583" w:hanging="111"/>
      </w:pPr>
      <w:rPr>
        <w:rFonts w:hint="default"/>
      </w:rPr>
    </w:lvl>
    <w:lvl w:ilvl="8" w:tplc="203ACA98">
      <w:numFmt w:val="bullet"/>
      <w:lvlText w:val="•"/>
      <w:lvlJc w:val="left"/>
      <w:pPr>
        <w:ind w:left="1783" w:hanging="111"/>
      </w:pPr>
      <w:rPr>
        <w:rFonts w:hint="default"/>
      </w:rPr>
    </w:lvl>
  </w:abstractNum>
  <w:abstractNum w:abstractNumId="33">
    <w:nsid w:val="4F437913"/>
    <w:multiLevelType w:val="hybridMultilevel"/>
    <w:tmpl w:val="230833F6"/>
    <w:lvl w:ilvl="0" w:tplc="BB5E95D2">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45148008">
      <w:numFmt w:val="bullet"/>
      <w:lvlText w:val="•"/>
      <w:lvlJc w:val="left"/>
      <w:pPr>
        <w:ind w:left="390" w:hanging="111"/>
      </w:pPr>
      <w:rPr>
        <w:rFonts w:hint="default"/>
      </w:rPr>
    </w:lvl>
    <w:lvl w:ilvl="2" w:tplc="262A826C">
      <w:numFmt w:val="bullet"/>
      <w:lvlText w:val="•"/>
      <w:lvlJc w:val="left"/>
      <w:pPr>
        <w:ind w:left="601" w:hanging="111"/>
      </w:pPr>
      <w:rPr>
        <w:rFonts w:hint="default"/>
      </w:rPr>
    </w:lvl>
    <w:lvl w:ilvl="3" w:tplc="EBE09C48">
      <w:numFmt w:val="bullet"/>
      <w:lvlText w:val="•"/>
      <w:lvlJc w:val="left"/>
      <w:pPr>
        <w:ind w:left="812" w:hanging="111"/>
      </w:pPr>
      <w:rPr>
        <w:rFonts w:hint="default"/>
      </w:rPr>
    </w:lvl>
    <w:lvl w:ilvl="4" w:tplc="E6AE4B92">
      <w:numFmt w:val="bullet"/>
      <w:lvlText w:val="•"/>
      <w:lvlJc w:val="left"/>
      <w:pPr>
        <w:ind w:left="1023" w:hanging="111"/>
      </w:pPr>
      <w:rPr>
        <w:rFonts w:hint="default"/>
      </w:rPr>
    </w:lvl>
    <w:lvl w:ilvl="5" w:tplc="A334823E">
      <w:numFmt w:val="bullet"/>
      <w:lvlText w:val="•"/>
      <w:lvlJc w:val="left"/>
      <w:pPr>
        <w:ind w:left="1233" w:hanging="111"/>
      </w:pPr>
      <w:rPr>
        <w:rFonts w:hint="default"/>
      </w:rPr>
    </w:lvl>
    <w:lvl w:ilvl="6" w:tplc="2BC21454">
      <w:numFmt w:val="bullet"/>
      <w:lvlText w:val="•"/>
      <w:lvlJc w:val="left"/>
      <w:pPr>
        <w:ind w:left="1444" w:hanging="111"/>
      </w:pPr>
      <w:rPr>
        <w:rFonts w:hint="default"/>
      </w:rPr>
    </w:lvl>
    <w:lvl w:ilvl="7" w:tplc="5AE0A4E8">
      <w:numFmt w:val="bullet"/>
      <w:lvlText w:val="•"/>
      <w:lvlJc w:val="left"/>
      <w:pPr>
        <w:ind w:left="1655" w:hanging="111"/>
      </w:pPr>
      <w:rPr>
        <w:rFonts w:hint="default"/>
      </w:rPr>
    </w:lvl>
    <w:lvl w:ilvl="8" w:tplc="F222A69A">
      <w:numFmt w:val="bullet"/>
      <w:lvlText w:val="•"/>
      <w:lvlJc w:val="left"/>
      <w:pPr>
        <w:ind w:left="1866" w:hanging="111"/>
      </w:pPr>
      <w:rPr>
        <w:rFonts w:hint="default"/>
      </w:rPr>
    </w:lvl>
  </w:abstractNum>
  <w:abstractNum w:abstractNumId="34">
    <w:nsid w:val="50785B47"/>
    <w:multiLevelType w:val="hybridMultilevel"/>
    <w:tmpl w:val="0C52F076"/>
    <w:lvl w:ilvl="0" w:tplc="7C94A85C">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4636D13C">
      <w:numFmt w:val="bullet"/>
      <w:lvlText w:val="•"/>
      <w:lvlJc w:val="left"/>
      <w:pPr>
        <w:ind w:left="390" w:hanging="111"/>
      </w:pPr>
      <w:rPr>
        <w:rFonts w:hint="default"/>
      </w:rPr>
    </w:lvl>
    <w:lvl w:ilvl="2" w:tplc="769EFE5C">
      <w:numFmt w:val="bullet"/>
      <w:lvlText w:val="•"/>
      <w:lvlJc w:val="left"/>
      <w:pPr>
        <w:ind w:left="601" w:hanging="111"/>
      </w:pPr>
      <w:rPr>
        <w:rFonts w:hint="default"/>
      </w:rPr>
    </w:lvl>
    <w:lvl w:ilvl="3" w:tplc="CBA0563A">
      <w:numFmt w:val="bullet"/>
      <w:lvlText w:val="•"/>
      <w:lvlJc w:val="left"/>
      <w:pPr>
        <w:ind w:left="812" w:hanging="111"/>
      </w:pPr>
      <w:rPr>
        <w:rFonts w:hint="default"/>
      </w:rPr>
    </w:lvl>
    <w:lvl w:ilvl="4" w:tplc="488EBC48">
      <w:numFmt w:val="bullet"/>
      <w:lvlText w:val="•"/>
      <w:lvlJc w:val="left"/>
      <w:pPr>
        <w:ind w:left="1023" w:hanging="111"/>
      </w:pPr>
      <w:rPr>
        <w:rFonts w:hint="default"/>
      </w:rPr>
    </w:lvl>
    <w:lvl w:ilvl="5" w:tplc="CE6C7D06">
      <w:numFmt w:val="bullet"/>
      <w:lvlText w:val="•"/>
      <w:lvlJc w:val="left"/>
      <w:pPr>
        <w:ind w:left="1233" w:hanging="111"/>
      </w:pPr>
      <w:rPr>
        <w:rFonts w:hint="default"/>
      </w:rPr>
    </w:lvl>
    <w:lvl w:ilvl="6" w:tplc="BB260F18">
      <w:numFmt w:val="bullet"/>
      <w:lvlText w:val="•"/>
      <w:lvlJc w:val="left"/>
      <w:pPr>
        <w:ind w:left="1444" w:hanging="111"/>
      </w:pPr>
      <w:rPr>
        <w:rFonts w:hint="default"/>
      </w:rPr>
    </w:lvl>
    <w:lvl w:ilvl="7" w:tplc="7A4AFDA8">
      <w:numFmt w:val="bullet"/>
      <w:lvlText w:val="•"/>
      <w:lvlJc w:val="left"/>
      <w:pPr>
        <w:ind w:left="1655" w:hanging="111"/>
      </w:pPr>
      <w:rPr>
        <w:rFonts w:hint="default"/>
      </w:rPr>
    </w:lvl>
    <w:lvl w:ilvl="8" w:tplc="DB1ECCF0">
      <w:numFmt w:val="bullet"/>
      <w:lvlText w:val="•"/>
      <w:lvlJc w:val="left"/>
      <w:pPr>
        <w:ind w:left="1866" w:hanging="111"/>
      </w:pPr>
      <w:rPr>
        <w:rFonts w:hint="default"/>
      </w:rPr>
    </w:lvl>
  </w:abstractNum>
  <w:abstractNum w:abstractNumId="35">
    <w:nsid w:val="50D54A67"/>
    <w:multiLevelType w:val="hybridMultilevel"/>
    <w:tmpl w:val="234A2FE8"/>
    <w:lvl w:ilvl="0" w:tplc="567096D4">
      <w:numFmt w:val="bullet"/>
      <w:lvlText w:val="-"/>
      <w:lvlJc w:val="left"/>
      <w:pPr>
        <w:ind w:left="96" w:hanging="87"/>
      </w:pPr>
      <w:rPr>
        <w:rFonts w:ascii="Calibri" w:eastAsia="Calibri" w:hAnsi="Calibri" w:cs="Calibri" w:hint="default"/>
        <w:w w:val="100"/>
        <w:sz w:val="16"/>
        <w:szCs w:val="16"/>
      </w:rPr>
    </w:lvl>
    <w:lvl w:ilvl="1" w:tplc="D3A6089C">
      <w:numFmt w:val="bullet"/>
      <w:lvlText w:val="•"/>
      <w:lvlJc w:val="left"/>
      <w:pPr>
        <w:ind w:left="711" w:hanging="87"/>
      </w:pPr>
      <w:rPr>
        <w:rFonts w:hint="default"/>
      </w:rPr>
    </w:lvl>
    <w:lvl w:ilvl="2" w:tplc="8F10E0A6">
      <w:numFmt w:val="bullet"/>
      <w:lvlText w:val="•"/>
      <w:lvlJc w:val="left"/>
      <w:pPr>
        <w:ind w:left="1323" w:hanging="87"/>
      </w:pPr>
      <w:rPr>
        <w:rFonts w:hint="default"/>
      </w:rPr>
    </w:lvl>
    <w:lvl w:ilvl="3" w:tplc="BF3292F4">
      <w:numFmt w:val="bullet"/>
      <w:lvlText w:val="•"/>
      <w:lvlJc w:val="left"/>
      <w:pPr>
        <w:ind w:left="1935" w:hanging="87"/>
      </w:pPr>
      <w:rPr>
        <w:rFonts w:hint="default"/>
      </w:rPr>
    </w:lvl>
    <w:lvl w:ilvl="4" w:tplc="38D83E22">
      <w:numFmt w:val="bullet"/>
      <w:lvlText w:val="•"/>
      <w:lvlJc w:val="left"/>
      <w:pPr>
        <w:ind w:left="2546" w:hanging="87"/>
      </w:pPr>
      <w:rPr>
        <w:rFonts w:hint="default"/>
      </w:rPr>
    </w:lvl>
    <w:lvl w:ilvl="5" w:tplc="E8D00A9C">
      <w:numFmt w:val="bullet"/>
      <w:lvlText w:val="•"/>
      <w:lvlJc w:val="left"/>
      <w:pPr>
        <w:ind w:left="3158" w:hanging="87"/>
      </w:pPr>
      <w:rPr>
        <w:rFonts w:hint="default"/>
      </w:rPr>
    </w:lvl>
    <w:lvl w:ilvl="6" w:tplc="67D013F0">
      <w:numFmt w:val="bullet"/>
      <w:lvlText w:val="•"/>
      <w:lvlJc w:val="left"/>
      <w:pPr>
        <w:ind w:left="3770" w:hanging="87"/>
      </w:pPr>
      <w:rPr>
        <w:rFonts w:hint="default"/>
      </w:rPr>
    </w:lvl>
    <w:lvl w:ilvl="7" w:tplc="3DD8FAC4">
      <w:numFmt w:val="bullet"/>
      <w:lvlText w:val="•"/>
      <w:lvlJc w:val="left"/>
      <w:pPr>
        <w:ind w:left="4381" w:hanging="87"/>
      </w:pPr>
      <w:rPr>
        <w:rFonts w:hint="default"/>
      </w:rPr>
    </w:lvl>
    <w:lvl w:ilvl="8" w:tplc="C0D654BE">
      <w:numFmt w:val="bullet"/>
      <w:lvlText w:val="•"/>
      <w:lvlJc w:val="left"/>
      <w:pPr>
        <w:ind w:left="4993" w:hanging="87"/>
      </w:pPr>
      <w:rPr>
        <w:rFonts w:hint="default"/>
      </w:rPr>
    </w:lvl>
  </w:abstractNum>
  <w:abstractNum w:abstractNumId="36">
    <w:nsid w:val="54EE0554"/>
    <w:multiLevelType w:val="hybridMultilevel"/>
    <w:tmpl w:val="124895D2"/>
    <w:lvl w:ilvl="0" w:tplc="25E41A58">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E2B4C600">
      <w:numFmt w:val="bullet"/>
      <w:lvlText w:val="•"/>
      <w:lvlJc w:val="left"/>
      <w:pPr>
        <w:ind w:left="380" w:hanging="111"/>
      </w:pPr>
      <w:rPr>
        <w:rFonts w:hint="default"/>
      </w:rPr>
    </w:lvl>
    <w:lvl w:ilvl="2" w:tplc="65DE8786">
      <w:numFmt w:val="bullet"/>
      <w:lvlText w:val="•"/>
      <w:lvlJc w:val="left"/>
      <w:pPr>
        <w:ind w:left="581" w:hanging="111"/>
      </w:pPr>
      <w:rPr>
        <w:rFonts w:hint="default"/>
      </w:rPr>
    </w:lvl>
    <w:lvl w:ilvl="3" w:tplc="9880FA30">
      <w:numFmt w:val="bullet"/>
      <w:lvlText w:val="•"/>
      <w:lvlJc w:val="left"/>
      <w:pPr>
        <w:ind w:left="782" w:hanging="111"/>
      </w:pPr>
      <w:rPr>
        <w:rFonts w:hint="default"/>
      </w:rPr>
    </w:lvl>
    <w:lvl w:ilvl="4" w:tplc="86D40CF2">
      <w:numFmt w:val="bullet"/>
      <w:lvlText w:val="•"/>
      <w:lvlJc w:val="left"/>
      <w:pPr>
        <w:ind w:left="982" w:hanging="111"/>
      </w:pPr>
      <w:rPr>
        <w:rFonts w:hint="default"/>
      </w:rPr>
    </w:lvl>
    <w:lvl w:ilvl="5" w:tplc="F08A60CC">
      <w:numFmt w:val="bullet"/>
      <w:lvlText w:val="•"/>
      <w:lvlJc w:val="left"/>
      <w:pPr>
        <w:ind w:left="1183" w:hanging="111"/>
      </w:pPr>
      <w:rPr>
        <w:rFonts w:hint="default"/>
      </w:rPr>
    </w:lvl>
    <w:lvl w:ilvl="6" w:tplc="CF70A310">
      <w:numFmt w:val="bullet"/>
      <w:lvlText w:val="•"/>
      <w:lvlJc w:val="left"/>
      <w:pPr>
        <w:ind w:left="1384" w:hanging="111"/>
      </w:pPr>
      <w:rPr>
        <w:rFonts w:hint="default"/>
      </w:rPr>
    </w:lvl>
    <w:lvl w:ilvl="7" w:tplc="13865E26">
      <w:numFmt w:val="bullet"/>
      <w:lvlText w:val="•"/>
      <w:lvlJc w:val="left"/>
      <w:pPr>
        <w:ind w:left="1584" w:hanging="111"/>
      </w:pPr>
      <w:rPr>
        <w:rFonts w:hint="default"/>
      </w:rPr>
    </w:lvl>
    <w:lvl w:ilvl="8" w:tplc="2B548A30">
      <w:numFmt w:val="bullet"/>
      <w:lvlText w:val="•"/>
      <w:lvlJc w:val="left"/>
      <w:pPr>
        <w:ind w:left="1785" w:hanging="111"/>
      </w:pPr>
      <w:rPr>
        <w:rFonts w:hint="default"/>
      </w:rPr>
    </w:lvl>
  </w:abstractNum>
  <w:abstractNum w:abstractNumId="37">
    <w:nsid w:val="584E694F"/>
    <w:multiLevelType w:val="hybridMultilevel"/>
    <w:tmpl w:val="9B907D18"/>
    <w:lvl w:ilvl="0" w:tplc="7512C0C4">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967A6D58">
      <w:numFmt w:val="bullet"/>
      <w:lvlText w:val="•"/>
      <w:lvlJc w:val="left"/>
      <w:pPr>
        <w:ind w:left="371" w:hanging="111"/>
      </w:pPr>
      <w:rPr>
        <w:rFonts w:hint="default"/>
      </w:rPr>
    </w:lvl>
    <w:lvl w:ilvl="2" w:tplc="2AC647F6">
      <w:numFmt w:val="bullet"/>
      <w:lvlText w:val="•"/>
      <w:lvlJc w:val="left"/>
      <w:pPr>
        <w:ind w:left="563" w:hanging="111"/>
      </w:pPr>
      <w:rPr>
        <w:rFonts w:hint="default"/>
      </w:rPr>
    </w:lvl>
    <w:lvl w:ilvl="3" w:tplc="31D66252">
      <w:numFmt w:val="bullet"/>
      <w:lvlText w:val="•"/>
      <w:lvlJc w:val="left"/>
      <w:pPr>
        <w:ind w:left="754" w:hanging="111"/>
      </w:pPr>
      <w:rPr>
        <w:rFonts w:hint="default"/>
      </w:rPr>
    </w:lvl>
    <w:lvl w:ilvl="4" w:tplc="68701572">
      <w:numFmt w:val="bullet"/>
      <w:lvlText w:val="•"/>
      <w:lvlJc w:val="left"/>
      <w:pPr>
        <w:ind w:left="946" w:hanging="111"/>
      </w:pPr>
      <w:rPr>
        <w:rFonts w:hint="default"/>
      </w:rPr>
    </w:lvl>
    <w:lvl w:ilvl="5" w:tplc="212E4FFC">
      <w:numFmt w:val="bullet"/>
      <w:lvlText w:val="•"/>
      <w:lvlJc w:val="left"/>
      <w:pPr>
        <w:ind w:left="1137" w:hanging="111"/>
      </w:pPr>
      <w:rPr>
        <w:rFonts w:hint="default"/>
      </w:rPr>
    </w:lvl>
    <w:lvl w:ilvl="6" w:tplc="0602B64C">
      <w:numFmt w:val="bullet"/>
      <w:lvlText w:val="•"/>
      <w:lvlJc w:val="left"/>
      <w:pPr>
        <w:ind w:left="1329" w:hanging="111"/>
      </w:pPr>
      <w:rPr>
        <w:rFonts w:hint="default"/>
      </w:rPr>
    </w:lvl>
    <w:lvl w:ilvl="7" w:tplc="08AC1BD0">
      <w:numFmt w:val="bullet"/>
      <w:lvlText w:val="•"/>
      <w:lvlJc w:val="left"/>
      <w:pPr>
        <w:ind w:left="1521" w:hanging="111"/>
      </w:pPr>
      <w:rPr>
        <w:rFonts w:hint="default"/>
      </w:rPr>
    </w:lvl>
    <w:lvl w:ilvl="8" w:tplc="419C673A">
      <w:numFmt w:val="bullet"/>
      <w:lvlText w:val="•"/>
      <w:lvlJc w:val="left"/>
      <w:pPr>
        <w:ind w:left="1712" w:hanging="111"/>
      </w:pPr>
      <w:rPr>
        <w:rFonts w:hint="default"/>
      </w:rPr>
    </w:lvl>
  </w:abstractNum>
  <w:abstractNum w:abstractNumId="38">
    <w:nsid w:val="5CBB2919"/>
    <w:multiLevelType w:val="hybridMultilevel"/>
    <w:tmpl w:val="A95CD51E"/>
    <w:lvl w:ilvl="0" w:tplc="6B84480A">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1DE67AE6">
      <w:numFmt w:val="bullet"/>
      <w:lvlText w:val="•"/>
      <w:lvlJc w:val="left"/>
      <w:pPr>
        <w:ind w:left="390" w:hanging="111"/>
      </w:pPr>
      <w:rPr>
        <w:rFonts w:hint="default"/>
      </w:rPr>
    </w:lvl>
    <w:lvl w:ilvl="2" w:tplc="2DEE4CF4">
      <w:numFmt w:val="bullet"/>
      <w:lvlText w:val="•"/>
      <w:lvlJc w:val="left"/>
      <w:pPr>
        <w:ind w:left="601" w:hanging="111"/>
      </w:pPr>
      <w:rPr>
        <w:rFonts w:hint="default"/>
      </w:rPr>
    </w:lvl>
    <w:lvl w:ilvl="3" w:tplc="AE069EEA">
      <w:numFmt w:val="bullet"/>
      <w:lvlText w:val="•"/>
      <w:lvlJc w:val="left"/>
      <w:pPr>
        <w:ind w:left="812" w:hanging="111"/>
      </w:pPr>
      <w:rPr>
        <w:rFonts w:hint="default"/>
      </w:rPr>
    </w:lvl>
    <w:lvl w:ilvl="4" w:tplc="EC3EBB8C">
      <w:numFmt w:val="bullet"/>
      <w:lvlText w:val="•"/>
      <w:lvlJc w:val="left"/>
      <w:pPr>
        <w:ind w:left="1023" w:hanging="111"/>
      </w:pPr>
      <w:rPr>
        <w:rFonts w:hint="default"/>
      </w:rPr>
    </w:lvl>
    <w:lvl w:ilvl="5" w:tplc="88A243F8">
      <w:numFmt w:val="bullet"/>
      <w:lvlText w:val="•"/>
      <w:lvlJc w:val="left"/>
      <w:pPr>
        <w:ind w:left="1233" w:hanging="111"/>
      </w:pPr>
      <w:rPr>
        <w:rFonts w:hint="default"/>
      </w:rPr>
    </w:lvl>
    <w:lvl w:ilvl="6" w:tplc="E47638A8">
      <w:numFmt w:val="bullet"/>
      <w:lvlText w:val="•"/>
      <w:lvlJc w:val="left"/>
      <w:pPr>
        <w:ind w:left="1444" w:hanging="111"/>
      </w:pPr>
      <w:rPr>
        <w:rFonts w:hint="default"/>
      </w:rPr>
    </w:lvl>
    <w:lvl w:ilvl="7" w:tplc="0D7EF4BE">
      <w:numFmt w:val="bullet"/>
      <w:lvlText w:val="•"/>
      <w:lvlJc w:val="left"/>
      <w:pPr>
        <w:ind w:left="1655" w:hanging="111"/>
      </w:pPr>
      <w:rPr>
        <w:rFonts w:hint="default"/>
      </w:rPr>
    </w:lvl>
    <w:lvl w:ilvl="8" w:tplc="E210274A">
      <w:numFmt w:val="bullet"/>
      <w:lvlText w:val="•"/>
      <w:lvlJc w:val="left"/>
      <w:pPr>
        <w:ind w:left="1866" w:hanging="111"/>
      </w:pPr>
      <w:rPr>
        <w:rFonts w:hint="default"/>
      </w:rPr>
    </w:lvl>
  </w:abstractNum>
  <w:abstractNum w:abstractNumId="39">
    <w:nsid w:val="5D584F34"/>
    <w:multiLevelType w:val="hybridMultilevel"/>
    <w:tmpl w:val="93B85E80"/>
    <w:lvl w:ilvl="0" w:tplc="EE6A0E10">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DC74D260">
      <w:numFmt w:val="bullet"/>
      <w:lvlText w:val="•"/>
      <w:lvlJc w:val="left"/>
      <w:pPr>
        <w:ind w:left="390" w:hanging="111"/>
      </w:pPr>
      <w:rPr>
        <w:rFonts w:hint="default"/>
      </w:rPr>
    </w:lvl>
    <w:lvl w:ilvl="2" w:tplc="5AB410B4">
      <w:numFmt w:val="bullet"/>
      <w:lvlText w:val="•"/>
      <w:lvlJc w:val="left"/>
      <w:pPr>
        <w:ind w:left="601" w:hanging="111"/>
      </w:pPr>
      <w:rPr>
        <w:rFonts w:hint="default"/>
      </w:rPr>
    </w:lvl>
    <w:lvl w:ilvl="3" w:tplc="0CBCD198">
      <w:numFmt w:val="bullet"/>
      <w:lvlText w:val="•"/>
      <w:lvlJc w:val="left"/>
      <w:pPr>
        <w:ind w:left="812" w:hanging="111"/>
      </w:pPr>
      <w:rPr>
        <w:rFonts w:hint="default"/>
      </w:rPr>
    </w:lvl>
    <w:lvl w:ilvl="4" w:tplc="2CFC065A">
      <w:numFmt w:val="bullet"/>
      <w:lvlText w:val="•"/>
      <w:lvlJc w:val="left"/>
      <w:pPr>
        <w:ind w:left="1023" w:hanging="111"/>
      </w:pPr>
      <w:rPr>
        <w:rFonts w:hint="default"/>
      </w:rPr>
    </w:lvl>
    <w:lvl w:ilvl="5" w:tplc="F9444F98">
      <w:numFmt w:val="bullet"/>
      <w:lvlText w:val="•"/>
      <w:lvlJc w:val="left"/>
      <w:pPr>
        <w:ind w:left="1233" w:hanging="111"/>
      </w:pPr>
      <w:rPr>
        <w:rFonts w:hint="default"/>
      </w:rPr>
    </w:lvl>
    <w:lvl w:ilvl="6" w:tplc="F87C547C">
      <w:numFmt w:val="bullet"/>
      <w:lvlText w:val="•"/>
      <w:lvlJc w:val="left"/>
      <w:pPr>
        <w:ind w:left="1444" w:hanging="111"/>
      </w:pPr>
      <w:rPr>
        <w:rFonts w:hint="default"/>
      </w:rPr>
    </w:lvl>
    <w:lvl w:ilvl="7" w:tplc="B274A15A">
      <w:numFmt w:val="bullet"/>
      <w:lvlText w:val="•"/>
      <w:lvlJc w:val="left"/>
      <w:pPr>
        <w:ind w:left="1655" w:hanging="111"/>
      </w:pPr>
      <w:rPr>
        <w:rFonts w:hint="default"/>
      </w:rPr>
    </w:lvl>
    <w:lvl w:ilvl="8" w:tplc="971EC19A">
      <w:numFmt w:val="bullet"/>
      <w:lvlText w:val="•"/>
      <w:lvlJc w:val="left"/>
      <w:pPr>
        <w:ind w:left="1866" w:hanging="111"/>
      </w:pPr>
      <w:rPr>
        <w:rFonts w:hint="default"/>
      </w:rPr>
    </w:lvl>
  </w:abstractNum>
  <w:abstractNum w:abstractNumId="40">
    <w:nsid w:val="5FD82C73"/>
    <w:multiLevelType w:val="hybridMultilevel"/>
    <w:tmpl w:val="C3B6B5C2"/>
    <w:lvl w:ilvl="0" w:tplc="560A14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0F555BD"/>
    <w:multiLevelType w:val="hybridMultilevel"/>
    <w:tmpl w:val="E60627E4"/>
    <w:lvl w:ilvl="0" w:tplc="CE1C86E0">
      <w:numFmt w:val="bullet"/>
      <w:lvlText w:val="•"/>
      <w:lvlJc w:val="left"/>
      <w:pPr>
        <w:ind w:left="171" w:hanging="111"/>
      </w:pPr>
      <w:rPr>
        <w:rFonts w:ascii="Times New Roman" w:eastAsia="Times New Roman" w:hAnsi="Times New Roman" w:cs="Times New Roman" w:hint="default"/>
        <w:color w:val="000080"/>
        <w:w w:val="100"/>
        <w:sz w:val="17"/>
        <w:szCs w:val="17"/>
      </w:rPr>
    </w:lvl>
    <w:lvl w:ilvl="1" w:tplc="A17467A2">
      <w:numFmt w:val="bullet"/>
      <w:lvlText w:val="•"/>
      <w:lvlJc w:val="left"/>
      <w:pPr>
        <w:ind w:left="390" w:hanging="111"/>
      </w:pPr>
      <w:rPr>
        <w:rFonts w:hint="default"/>
      </w:rPr>
    </w:lvl>
    <w:lvl w:ilvl="2" w:tplc="51F46DCA">
      <w:numFmt w:val="bullet"/>
      <w:lvlText w:val="•"/>
      <w:lvlJc w:val="left"/>
      <w:pPr>
        <w:ind w:left="601" w:hanging="111"/>
      </w:pPr>
      <w:rPr>
        <w:rFonts w:hint="default"/>
      </w:rPr>
    </w:lvl>
    <w:lvl w:ilvl="3" w:tplc="6164D7F4">
      <w:numFmt w:val="bullet"/>
      <w:lvlText w:val="•"/>
      <w:lvlJc w:val="left"/>
      <w:pPr>
        <w:ind w:left="812" w:hanging="111"/>
      </w:pPr>
      <w:rPr>
        <w:rFonts w:hint="default"/>
      </w:rPr>
    </w:lvl>
    <w:lvl w:ilvl="4" w:tplc="46849C58">
      <w:numFmt w:val="bullet"/>
      <w:lvlText w:val="•"/>
      <w:lvlJc w:val="left"/>
      <w:pPr>
        <w:ind w:left="1023" w:hanging="111"/>
      </w:pPr>
      <w:rPr>
        <w:rFonts w:hint="default"/>
      </w:rPr>
    </w:lvl>
    <w:lvl w:ilvl="5" w:tplc="7E7CCE48">
      <w:numFmt w:val="bullet"/>
      <w:lvlText w:val="•"/>
      <w:lvlJc w:val="left"/>
      <w:pPr>
        <w:ind w:left="1233" w:hanging="111"/>
      </w:pPr>
      <w:rPr>
        <w:rFonts w:hint="default"/>
      </w:rPr>
    </w:lvl>
    <w:lvl w:ilvl="6" w:tplc="3448FDE8">
      <w:numFmt w:val="bullet"/>
      <w:lvlText w:val="•"/>
      <w:lvlJc w:val="left"/>
      <w:pPr>
        <w:ind w:left="1444" w:hanging="111"/>
      </w:pPr>
      <w:rPr>
        <w:rFonts w:hint="default"/>
      </w:rPr>
    </w:lvl>
    <w:lvl w:ilvl="7" w:tplc="347CF006">
      <w:numFmt w:val="bullet"/>
      <w:lvlText w:val="•"/>
      <w:lvlJc w:val="left"/>
      <w:pPr>
        <w:ind w:left="1655" w:hanging="111"/>
      </w:pPr>
      <w:rPr>
        <w:rFonts w:hint="default"/>
      </w:rPr>
    </w:lvl>
    <w:lvl w:ilvl="8" w:tplc="D04ED49E">
      <w:numFmt w:val="bullet"/>
      <w:lvlText w:val="•"/>
      <w:lvlJc w:val="left"/>
      <w:pPr>
        <w:ind w:left="1866" w:hanging="111"/>
      </w:pPr>
      <w:rPr>
        <w:rFonts w:hint="default"/>
      </w:rPr>
    </w:lvl>
  </w:abstractNum>
  <w:abstractNum w:abstractNumId="42">
    <w:nsid w:val="64C93177"/>
    <w:multiLevelType w:val="hybridMultilevel"/>
    <w:tmpl w:val="B75E0A7C"/>
    <w:lvl w:ilvl="0" w:tplc="A1386FBA">
      <w:numFmt w:val="bullet"/>
      <w:lvlText w:val="•"/>
      <w:lvlJc w:val="left"/>
      <w:pPr>
        <w:ind w:left="171" w:hanging="111"/>
      </w:pPr>
      <w:rPr>
        <w:rFonts w:ascii="Times New Roman" w:eastAsia="Times New Roman" w:hAnsi="Times New Roman" w:cs="Times New Roman" w:hint="default"/>
        <w:color w:val="000080"/>
        <w:w w:val="99"/>
        <w:sz w:val="20"/>
        <w:szCs w:val="20"/>
      </w:rPr>
    </w:lvl>
    <w:lvl w:ilvl="1" w:tplc="9816142A">
      <w:numFmt w:val="bullet"/>
      <w:lvlText w:val="•"/>
      <w:lvlJc w:val="left"/>
      <w:pPr>
        <w:ind w:left="380" w:hanging="111"/>
      </w:pPr>
      <w:rPr>
        <w:rFonts w:hint="default"/>
      </w:rPr>
    </w:lvl>
    <w:lvl w:ilvl="2" w:tplc="13B0C7E4">
      <w:numFmt w:val="bullet"/>
      <w:lvlText w:val="•"/>
      <w:lvlJc w:val="left"/>
      <w:pPr>
        <w:ind w:left="580" w:hanging="111"/>
      </w:pPr>
      <w:rPr>
        <w:rFonts w:hint="default"/>
      </w:rPr>
    </w:lvl>
    <w:lvl w:ilvl="3" w:tplc="137E1D56">
      <w:numFmt w:val="bullet"/>
      <w:lvlText w:val="•"/>
      <w:lvlJc w:val="left"/>
      <w:pPr>
        <w:ind w:left="781" w:hanging="111"/>
      </w:pPr>
      <w:rPr>
        <w:rFonts w:hint="default"/>
      </w:rPr>
    </w:lvl>
    <w:lvl w:ilvl="4" w:tplc="AC98E0FE">
      <w:numFmt w:val="bullet"/>
      <w:lvlText w:val="•"/>
      <w:lvlJc w:val="left"/>
      <w:pPr>
        <w:ind w:left="981" w:hanging="111"/>
      </w:pPr>
      <w:rPr>
        <w:rFonts w:hint="default"/>
      </w:rPr>
    </w:lvl>
    <w:lvl w:ilvl="5" w:tplc="1B5AA05E">
      <w:numFmt w:val="bullet"/>
      <w:lvlText w:val="•"/>
      <w:lvlJc w:val="left"/>
      <w:pPr>
        <w:ind w:left="1182" w:hanging="111"/>
      </w:pPr>
      <w:rPr>
        <w:rFonts w:hint="default"/>
      </w:rPr>
    </w:lvl>
    <w:lvl w:ilvl="6" w:tplc="C072507E">
      <w:numFmt w:val="bullet"/>
      <w:lvlText w:val="•"/>
      <w:lvlJc w:val="left"/>
      <w:pPr>
        <w:ind w:left="1382" w:hanging="111"/>
      </w:pPr>
      <w:rPr>
        <w:rFonts w:hint="default"/>
      </w:rPr>
    </w:lvl>
    <w:lvl w:ilvl="7" w:tplc="5890E54E">
      <w:numFmt w:val="bullet"/>
      <w:lvlText w:val="•"/>
      <w:lvlJc w:val="left"/>
      <w:pPr>
        <w:ind w:left="1583" w:hanging="111"/>
      </w:pPr>
      <w:rPr>
        <w:rFonts w:hint="default"/>
      </w:rPr>
    </w:lvl>
    <w:lvl w:ilvl="8" w:tplc="A1884B12">
      <w:numFmt w:val="bullet"/>
      <w:lvlText w:val="•"/>
      <w:lvlJc w:val="left"/>
      <w:pPr>
        <w:ind w:left="1783" w:hanging="111"/>
      </w:pPr>
      <w:rPr>
        <w:rFonts w:hint="default"/>
      </w:rPr>
    </w:lvl>
  </w:abstractNum>
  <w:abstractNum w:abstractNumId="43">
    <w:nsid w:val="65860466"/>
    <w:multiLevelType w:val="hybridMultilevel"/>
    <w:tmpl w:val="EBC6C430"/>
    <w:lvl w:ilvl="0" w:tplc="D8D630FC">
      <w:numFmt w:val="bullet"/>
      <w:lvlText w:val="-"/>
      <w:lvlJc w:val="left"/>
      <w:pPr>
        <w:ind w:left="244" w:hanging="130"/>
      </w:pPr>
      <w:rPr>
        <w:rFonts w:ascii="Calibri" w:eastAsia="Calibri" w:hAnsi="Calibri" w:cs="Calibri" w:hint="default"/>
        <w:w w:val="99"/>
        <w:sz w:val="20"/>
        <w:szCs w:val="20"/>
      </w:rPr>
    </w:lvl>
    <w:lvl w:ilvl="1" w:tplc="9C282C62">
      <w:numFmt w:val="bullet"/>
      <w:lvlText w:val="•"/>
      <w:lvlJc w:val="left"/>
      <w:pPr>
        <w:ind w:left="429" w:hanging="130"/>
      </w:pPr>
      <w:rPr>
        <w:rFonts w:hint="default"/>
      </w:rPr>
    </w:lvl>
    <w:lvl w:ilvl="2" w:tplc="22D6F03E">
      <w:numFmt w:val="bullet"/>
      <w:lvlText w:val="•"/>
      <w:lvlJc w:val="left"/>
      <w:pPr>
        <w:ind w:left="619" w:hanging="130"/>
      </w:pPr>
      <w:rPr>
        <w:rFonts w:hint="default"/>
      </w:rPr>
    </w:lvl>
    <w:lvl w:ilvl="3" w:tplc="21E0F0C0">
      <w:numFmt w:val="bullet"/>
      <w:lvlText w:val="•"/>
      <w:lvlJc w:val="left"/>
      <w:pPr>
        <w:ind w:left="809" w:hanging="130"/>
      </w:pPr>
      <w:rPr>
        <w:rFonts w:hint="default"/>
      </w:rPr>
    </w:lvl>
    <w:lvl w:ilvl="4" w:tplc="A5C04578">
      <w:numFmt w:val="bullet"/>
      <w:lvlText w:val="•"/>
      <w:lvlJc w:val="left"/>
      <w:pPr>
        <w:ind w:left="999" w:hanging="130"/>
      </w:pPr>
      <w:rPr>
        <w:rFonts w:hint="default"/>
      </w:rPr>
    </w:lvl>
    <w:lvl w:ilvl="5" w:tplc="926E10C8">
      <w:numFmt w:val="bullet"/>
      <w:lvlText w:val="•"/>
      <w:lvlJc w:val="left"/>
      <w:pPr>
        <w:ind w:left="1189" w:hanging="130"/>
      </w:pPr>
      <w:rPr>
        <w:rFonts w:hint="default"/>
      </w:rPr>
    </w:lvl>
    <w:lvl w:ilvl="6" w:tplc="046C161C">
      <w:numFmt w:val="bullet"/>
      <w:lvlText w:val="•"/>
      <w:lvlJc w:val="left"/>
      <w:pPr>
        <w:ind w:left="1379" w:hanging="130"/>
      </w:pPr>
      <w:rPr>
        <w:rFonts w:hint="default"/>
      </w:rPr>
    </w:lvl>
    <w:lvl w:ilvl="7" w:tplc="8E7A5C9A">
      <w:numFmt w:val="bullet"/>
      <w:lvlText w:val="•"/>
      <w:lvlJc w:val="left"/>
      <w:pPr>
        <w:ind w:left="1569" w:hanging="130"/>
      </w:pPr>
      <w:rPr>
        <w:rFonts w:hint="default"/>
      </w:rPr>
    </w:lvl>
    <w:lvl w:ilvl="8" w:tplc="DB06FDCE">
      <w:numFmt w:val="bullet"/>
      <w:lvlText w:val="•"/>
      <w:lvlJc w:val="left"/>
      <w:pPr>
        <w:ind w:left="1759" w:hanging="130"/>
      </w:pPr>
      <w:rPr>
        <w:rFonts w:hint="default"/>
      </w:rPr>
    </w:lvl>
  </w:abstractNum>
  <w:abstractNum w:abstractNumId="44">
    <w:nsid w:val="68000604"/>
    <w:multiLevelType w:val="hybridMultilevel"/>
    <w:tmpl w:val="F1E814D2"/>
    <w:lvl w:ilvl="0" w:tplc="365CED46">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257C77B8">
      <w:numFmt w:val="bullet"/>
      <w:lvlText w:val="•"/>
      <w:lvlJc w:val="left"/>
      <w:pPr>
        <w:ind w:left="352" w:hanging="111"/>
      </w:pPr>
      <w:rPr>
        <w:rFonts w:hint="default"/>
      </w:rPr>
    </w:lvl>
    <w:lvl w:ilvl="2" w:tplc="6AC47DC2">
      <w:numFmt w:val="bullet"/>
      <w:lvlText w:val="•"/>
      <w:lvlJc w:val="left"/>
      <w:pPr>
        <w:ind w:left="524" w:hanging="111"/>
      </w:pPr>
      <w:rPr>
        <w:rFonts w:hint="default"/>
      </w:rPr>
    </w:lvl>
    <w:lvl w:ilvl="3" w:tplc="F3722676">
      <w:numFmt w:val="bullet"/>
      <w:lvlText w:val="•"/>
      <w:lvlJc w:val="left"/>
      <w:pPr>
        <w:ind w:left="697" w:hanging="111"/>
      </w:pPr>
      <w:rPr>
        <w:rFonts w:hint="default"/>
      </w:rPr>
    </w:lvl>
    <w:lvl w:ilvl="4" w:tplc="DCA2EF64">
      <w:numFmt w:val="bullet"/>
      <w:lvlText w:val="•"/>
      <w:lvlJc w:val="left"/>
      <w:pPr>
        <w:ind w:left="869" w:hanging="111"/>
      </w:pPr>
      <w:rPr>
        <w:rFonts w:hint="default"/>
      </w:rPr>
    </w:lvl>
    <w:lvl w:ilvl="5" w:tplc="8098E042">
      <w:numFmt w:val="bullet"/>
      <w:lvlText w:val="•"/>
      <w:lvlJc w:val="left"/>
      <w:pPr>
        <w:ind w:left="1041" w:hanging="111"/>
      </w:pPr>
      <w:rPr>
        <w:rFonts w:hint="default"/>
      </w:rPr>
    </w:lvl>
    <w:lvl w:ilvl="6" w:tplc="F29C1248">
      <w:numFmt w:val="bullet"/>
      <w:lvlText w:val="•"/>
      <w:lvlJc w:val="left"/>
      <w:pPr>
        <w:ind w:left="1214" w:hanging="111"/>
      </w:pPr>
      <w:rPr>
        <w:rFonts w:hint="default"/>
      </w:rPr>
    </w:lvl>
    <w:lvl w:ilvl="7" w:tplc="A1F25094">
      <w:numFmt w:val="bullet"/>
      <w:lvlText w:val="•"/>
      <w:lvlJc w:val="left"/>
      <w:pPr>
        <w:ind w:left="1386" w:hanging="111"/>
      </w:pPr>
      <w:rPr>
        <w:rFonts w:hint="default"/>
      </w:rPr>
    </w:lvl>
    <w:lvl w:ilvl="8" w:tplc="A4365BB2">
      <w:numFmt w:val="bullet"/>
      <w:lvlText w:val="•"/>
      <w:lvlJc w:val="left"/>
      <w:pPr>
        <w:ind w:left="1559" w:hanging="111"/>
      </w:pPr>
      <w:rPr>
        <w:rFonts w:hint="default"/>
      </w:rPr>
    </w:lvl>
  </w:abstractNum>
  <w:abstractNum w:abstractNumId="45">
    <w:nsid w:val="6A213FAE"/>
    <w:multiLevelType w:val="hybridMultilevel"/>
    <w:tmpl w:val="6458E360"/>
    <w:lvl w:ilvl="0" w:tplc="738EA74E">
      <w:numFmt w:val="bullet"/>
      <w:lvlText w:val=""/>
      <w:lvlJc w:val="left"/>
      <w:pPr>
        <w:ind w:left="160" w:hanging="142"/>
      </w:pPr>
      <w:rPr>
        <w:rFonts w:ascii="Wingdings" w:eastAsia="Wingdings" w:hAnsi="Wingdings" w:cs="Wingdings" w:hint="default"/>
        <w:w w:val="99"/>
        <w:sz w:val="20"/>
        <w:szCs w:val="20"/>
      </w:rPr>
    </w:lvl>
    <w:lvl w:ilvl="1" w:tplc="C9AC56A8">
      <w:numFmt w:val="bullet"/>
      <w:lvlText w:val="•"/>
      <w:lvlJc w:val="left"/>
      <w:pPr>
        <w:ind w:left="397" w:hanging="142"/>
      </w:pPr>
      <w:rPr>
        <w:rFonts w:hint="default"/>
      </w:rPr>
    </w:lvl>
    <w:lvl w:ilvl="2" w:tplc="CFEAC2CA">
      <w:numFmt w:val="bullet"/>
      <w:lvlText w:val="•"/>
      <w:lvlJc w:val="left"/>
      <w:pPr>
        <w:ind w:left="634" w:hanging="142"/>
      </w:pPr>
      <w:rPr>
        <w:rFonts w:hint="default"/>
      </w:rPr>
    </w:lvl>
    <w:lvl w:ilvl="3" w:tplc="4954680A">
      <w:numFmt w:val="bullet"/>
      <w:lvlText w:val="•"/>
      <w:lvlJc w:val="left"/>
      <w:pPr>
        <w:ind w:left="871" w:hanging="142"/>
      </w:pPr>
      <w:rPr>
        <w:rFonts w:hint="default"/>
      </w:rPr>
    </w:lvl>
    <w:lvl w:ilvl="4" w:tplc="BF1287FA">
      <w:numFmt w:val="bullet"/>
      <w:lvlText w:val="•"/>
      <w:lvlJc w:val="left"/>
      <w:pPr>
        <w:ind w:left="1109" w:hanging="142"/>
      </w:pPr>
      <w:rPr>
        <w:rFonts w:hint="default"/>
      </w:rPr>
    </w:lvl>
    <w:lvl w:ilvl="5" w:tplc="E8606066">
      <w:numFmt w:val="bullet"/>
      <w:lvlText w:val="•"/>
      <w:lvlJc w:val="left"/>
      <w:pPr>
        <w:ind w:left="1346" w:hanging="142"/>
      </w:pPr>
      <w:rPr>
        <w:rFonts w:hint="default"/>
      </w:rPr>
    </w:lvl>
    <w:lvl w:ilvl="6" w:tplc="9892A29A">
      <w:numFmt w:val="bullet"/>
      <w:lvlText w:val="•"/>
      <w:lvlJc w:val="left"/>
      <w:pPr>
        <w:ind w:left="1583" w:hanging="142"/>
      </w:pPr>
      <w:rPr>
        <w:rFonts w:hint="default"/>
      </w:rPr>
    </w:lvl>
    <w:lvl w:ilvl="7" w:tplc="5596BCF8">
      <w:numFmt w:val="bullet"/>
      <w:lvlText w:val="•"/>
      <w:lvlJc w:val="left"/>
      <w:pPr>
        <w:ind w:left="1820" w:hanging="142"/>
      </w:pPr>
      <w:rPr>
        <w:rFonts w:hint="default"/>
      </w:rPr>
    </w:lvl>
    <w:lvl w:ilvl="8" w:tplc="00A4F8A4">
      <w:numFmt w:val="bullet"/>
      <w:lvlText w:val="•"/>
      <w:lvlJc w:val="left"/>
      <w:pPr>
        <w:ind w:left="2057" w:hanging="142"/>
      </w:pPr>
      <w:rPr>
        <w:rFonts w:hint="default"/>
      </w:rPr>
    </w:lvl>
  </w:abstractNum>
  <w:abstractNum w:abstractNumId="46">
    <w:nsid w:val="6C414ACC"/>
    <w:multiLevelType w:val="hybridMultilevel"/>
    <w:tmpl w:val="51E0800A"/>
    <w:lvl w:ilvl="0" w:tplc="594E73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284726A"/>
    <w:multiLevelType w:val="hybridMultilevel"/>
    <w:tmpl w:val="5DA0402E"/>
    <w:lvl w:ilvl="0" w:tplc="8BA24A98">
      <w:numFmt w:val="bullet"/>
      <w:lvlText w:val=""/>
      <w:lvlJc w:val="left"/>
      <w:pPr>
        <w:ind w:left="160" w:hanging="142"/>
      </w:pPr>
      <w:rPr>
        <w:rFonts w:ascii="Wingdings" w:eastAsia="Wingdings" w:hAnsi="Wingdings" w:cs="Wingdings" w:hint="default"/>
        <w:w w:val="99"/>
        <w:sz w:val="20"/>
        <w:szCs w:val="20"/>
      </w:rPr>
    </w:lvl>
    <w:lvl w:ilvl="1" w:tplc="16DE8B80">
      <w:numFmt w:val="bullet"/>
      <w:lvlText w:val="•"/>
      <w:lvlJc w:val="left"/>
      <w:pPr>
        <w:ind w:left="397" w:hanging="142"/>
      </w:pPr>
      <w:rPr>
        <w:rFonts w:hint="default"/>
      </w:rPr>
    </w:lvl>
    <w:lvl w:ilvl="2" w:tplc="1C52CE44">
      <w:numFmt w:val="bullet"/>
      <w:lvlText w:val="•"/>
      <w:lvlJc w:val="left"/>
      <w:pPr>
        <w:ind w:left="634" w:hanging="142"/>
      </w:pPr>
      <w:rPr>
        <w:rFonts w:hint="default"/>
      </w:rPr>
    </w:lvl>
    <w:lvl w:ilvl="3" w:tplc="9BD017F0">
      <w:numFmt w:val="bullet"/>
      <w:lvlText w:val="•"/>
      <w:lvlJc w:val="left"/>
      <w:pPr>
        <w:ind w:left="871" w:hanging="142"/>
      </w:pPr>
      <w:rPr>
        <w:rFonts w:hint="default"/>
      </w:rPr>
    </w:lvl>
    <w:lvl w:ilvl="4" w:tplc="A2089784">
      <w:numFmt w:val="bullet"/>
      <w:lvlText w:val="•"/>
      <w:lvlJc w:val="left"/>
      <w:pPr>
        <w:ind w:left="1109" w:hanging="142"/>
      </w:pPr>
      <w:rPr>
        <w:rFonts w:hint="default"/>
      </w:rPr>
    </w:lvl>
    <w:lvl w:ilvl="5" w:tplc="33C09496">
      <w:numFmt w:val="bullet"/>
      <w:lvlText w:val="•"/>
      <w:lvlJc w:val="left"/>
      <w:pPr>
        <w:ind w:left="1346" w:hanging="142"/>
      </w:pPr>
      <w:rPr>
        <w:rFonts w:hint="default"/>
      </w:rPr>
    </w:lvl>
    <w:lvl w:ilvl="6" w:tplc="E85E0740">
      <w:numFmt w:val="bullet"/>
      <w:lvlText w:val="•"/>
      <w:lvlJc w:val="left"/>
      <w:pPr>
        <w:ind w:left="1583" w:hanging="142"/>
      </w:pPr>
      <w:rPr>
        <w:rFonts w:hint="default"/>
      </w:rPr>
    </w:lvl>
    <w:lvl w:ilvl="7" w:tplc="8864F138">
      <w:numFmt w:val="bullet"/>
      <w:lvlText w:val="•"/>
      <w:lvlJc w:val="left"/>
      <w:pPr>
        <w:ind w:left="1820" w:hanging="142"/>
      </w:pPr>
      <w:rPr>
        <w:rFonts w:hint="default"/>
      </w:rPr>
    </w:lvl>
    <w:lvl w:ilvl="8" w:tplc="888250BE">
      <w:numFmt w:val="bullet"/>
      <w:lvlText w:val="•"/>
      <w:lvlJc w:val="left"/>
      <w:pPr>
        <w:ind w:left="2057" w:hanging="142"/>
      </w:pPr>
      <w:rPr>
        <w:rFonts w:hint="default"/>
      </w:rPr>
    </w:lvl>
  </w:abstractNum>
  <w:abstractNum w:abstractNumId="48">
    <w:nsid w:val="774E4633"/>
    <w:multiLevelType w:val="hybridMultilevel"/>
    <w:tmpl w:val="90AC9D1E"/>
    <w:lvl w:ilvl="0" w:tplc="F64097BA">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2ADEF046">
      <w:numFmt w:val="bullet"/>
      <w:lvlText w:val="•"/>
      <w:lvlJc w:val="left"/>
      <w:pPr>
        <w:ind w:left="333" w:hanging="111"/>
      </w:pPr>
      <w:rPr>
        <w:rFonts w:hint="default"/>
      </w:rPr>
    </w:lvl>
    <w:lvl w:ilvl="2" w:tplc="315E69A0">
      <w:numFmt w:val="bullet"/>
      <w:lvlText w:val="•"/>
      <w:lvlJc w:val="left"/>
      <w:pPr>
        <w:ind w:left="486" w:hanging="111"/>
      </w:pPr>
      <w:rPr>
        <w:rFonts w:hint="default"/>
      </w:rPr>
    </w:lvl>
    <w:lvl w:ilvl="3" w:tplc="9F282A42">
      <w:numFmt w:val="bullet"/>
      <w:lvlText w:val="•"/>
      <w:lvlJc w:val="left"/>
      <w:pPr>
        <w:ind w:left="639" w:hanging="111"/>
      </w:pPr>
      <w:rPr>
        <w:rFonts w:hint="default"/>
      </w:rPr>
    </w:lvl>
    <w:lvl w:ilvl="4" w:tplc="9604B5DE">
      <w:numFmt w:val="bullet"/>
      <w:lvlText w:val="•"/>
      <w:lvlJc w:val="left"/>
      <w:pPr>
        <w:ind w:left="792" w:hanging="111"/>
      </w:pPr>
      <w:rPr>
        <w:rFonts w:hint="default"/>
      </w:rPr>
    </w:lvl>
    <w:lvl w:ilvl="5" w:tplc="A7EA3A3C">
      <w:numFmt w:val="bullet"/>
      <w:lvlText w:val="•"/>
      <w:lvlJc w:val="left"/>
      <w:pPr>
        <w:ind w:left="945" w:hanging="111"/>
      </w:pPr>
      <w:rPr>
        <w:rFonts w:hint="default"/>
      </w:rPr>
    </w:lvl>
    <w:lvl w:ilvl="6" w:tplc="693446F8">
      <w:numFmt w:val="bullet"/>
      <w:lvlText w:val="•"/>
      <w:lvlJc w:val="left"/>
      <w:pPr>
        <w:ind w:left="1099" w:hanging="111"/>
      </w:pPr>
      <w:rPr>
        <w:rFonts w:hint="default"/>
      </w:rPr>
    </w:lvl>
    <w:lvl w:ilvl="7" w:tplc="05AC026A">
      <w:numFmt w:val="bullet"/>
      <w:lvlText w:val="•"/>
      <w:lvlJc w:val="left"/>
      <w:pPr>
        <w:ind w:left="1252" w:hanging="111"/>
      </w:pPr>
      <w:rPr>
        <w:rFonts w:hint="default"/>
      </w:rPr>
    </w:lvl>
    <w:lvl w:ilvl="8" w:tplc="F97A4498">
      <w:numFmt w:val="bullet"/>
      <w:lvlText w:val="•"/>
      <w:lvlJc w:val="left"/>
      <w:pPr>
        <w:ind w:left="1405" w:hanging="111"/>
      </w:pPr>
      <w:rPr>
        <w:rFonts w:hint="default"/>
      </w:rPr>
    </w:lvl>
  </w:abstractNum>
  <w:abstractNum w:abstractNumId="49">
    <w:nsid w:val="77A8418D"/>
    <w:multiLevelType w:val="hybridMultilevel"/>
    <w:tmpl w:val="267CD3A6"/>
    <w:lvl w:ilvl="0" w:tplc="3280A982">
      <w:numFmt w:val="bullet"/>
      <w:lvlText w:val="•"/>
      <w:lvlJc w:val="left"/>
      <w:pPr>
        <w:ind w:left="172" w:hanging="111"/>
      </w:pPr>
      <w:rPr>
        <w:rFonts w:ascii="Times New Roman" w:eastAsia="Times New Roman" w:hAnsi="Times New Roman" w:cs="Times New Roman" w:hint="default"/>
        <w:color w:val="000080"/>
        <w:w w:val="100"/>
        <w:sz w:val="17"/>
        <w:szCs w:val="17"/>
      </w:rPr>
    </w:lvl>
    <w:lvl w:ilvl="1" w:tplc="8C727472">
      <w:numFmt w:val="bullet"/>
      <w:lvlText w:val="•"/>
      <w:lvlJc w:val="left"/>
      <w:pPr>
        <w:ind w:left="371" w:hanging="111"/>
      </w:pPr>
      <w:rPr>
        <w:rFonts w:hint="default"/>
      </w:rPr>
    </w:lvl>
    <w:lvl w:ilvl="2" w:tplc="C0C257EE">
      <w:numFmt w:val="bullet"/>
      <w:lvlText w:val="•"/>
      <w:lvlJc w:val="left"/>
      <w:pPr>
        <w:ind w:left="563" w:hanging="111"/>
      </w:pPr>
      <w:rPr>
        <w:rFonts w:hint="default"/>
      </w:rPr>
    </w:lvl>
    <w:lvl w:ilvl="3" w:tplc="9E4654CC">
      <w:numFmt w:val="bullet"/>
      <w:lvlText w:val="•"/>
      <w:lvlJc w:val="left"/>
      <w:pPr>
        <w:ind w:left="754" w:hanging="111"/>
      </w:pPr>
      <w:rPr>
        <w:rFonts w:hint="default"/>
      </w:rPr>
    </w:lvl>
    <w:lvl w:ilvl="4" w:tplc="80907D04">
      <w:numFmt w:val="bullet"/>
      <w:lvlText w:val="•"/>
      <w:lvlJc w:val="left"/>
      <w:pPr>
        <w:ind w:left="946" w:hanging="111"/>
      </w:pPr>
      <w:rPr>
        <w:rFonts w:hint="default"/>
      </w:rPr>
    </w:lvl>
    <w:lvl w:ilvl="5" w:tplc="9E92EA2A">
      <w:numFmt w:val="bullet"/>
      <w:lvlText w:val="•"/>
      <w:lvlJc w:val="left"/>
      <w:pPr>
        <w:ind w:left="1137" w:hanging="111"/>
      </w:pPr>
      <w:rPr>
        <w:rFonts w:hint="default"/>
      </w:rPr>
    </w:lvl>
    <w:lvl w:ilvl="6" w:tplc="FF20264C">
      <w:numFmt w:val="bullet"/>
      <w:lvlText w:val="•"/>
      <w:lvlJc w:val="left"/>
      <w:pPr>
        <w:ind w:left="1329" w:hanging="111"/>
      </w:pPr>
      <w:rPr>
        <w:rFonts w:hint="default"/>
      </w:rPr>
    </w:lvl>
    <w:lvl w:ilvl="7" w:tplc="9FC02FA2">
      <w:numFmt w:val="bullet"/>
      <w:lvlText w:val="•"/>
      <w:lvlJc w:val="left"/>
      <w:pPr>
        <w:ind w:left="1521" w:hanging="111"/>
      </w:pPr>
      <w:rPr>
        <w:rFonts w:hint="default"/>
      </w:rPr>
    </w:lvl>
    <w:lvl w:ilvl="8" w:tplc="CA5A97A6">
      <w:numFmt w:val="bullet"/>
      <w:lvlText w:val="•"/>
      <w:lvlJc w:val="left"/>
      <w:pPr>
        <w:ind w:left="1712" w:hanging="111"/>
      </w:pPr>
      <w:rPr>
        <w:rFonts w:hint="default"/>
      </w:rPr>
    </w:lvl>
  </w:abstractNum>
  <w:num w:numId="1">
    <w:abstractNumId w:val="46"/>
  </w:num>
  <w:num w:numId="2">
    <w:abstractNumId w:val="36"/>
  </w:num>
  <w:num w:numId="3">
    <w:abstractNumId w:val="49"/>
  </w:num>
  <w:num w:numId="4">
    <w:abstractNumId w:val="13"/>
  </w:num>
  <w:num w:numId="5">
    <w:abstractNumId w:val="48"/>
  </w:num>
  <w:num w:numId="6">
    <w:abstractNumId w:val="3"/>
  </w:num>
  <w:num w:numId="7">
    <w:abstractNumId w:val="8"/>
  </w:num>
  <w:num w:numId="8">
    <w:abstractNumId w:val="23"/>
  </w:num>
  <w:num w:numId="9">
    <w:abstractNumId w:val="44"/>
  </w:num>
  <w:num w:numId="10">
    <w:abstractNumId w:val="4"/>
  </w:num>
  <w:num w:numId="11">
    <w:abstractNumId w:val="38"/>
  </w:num>
  <w:num w:numId="12">
    <w:abstractNumId w:val="33"/>
  </w:num>
  <w:num w:numId="13">
    <w:abstractNumId w:val="6"/>
  </w:num>
  <w:num w:numId="14">
    <w:abstractNumId w:val="9"/>
  </w:num>
  <w:num w:numId="15">
    <w:abstractNumId w:val="22"/>
  </w:num>
  <w:num w:numId="16">
    <w:abstractNumId w:val="39"/>
  </w:num>
  <w:num w:numId="17">
    <w:abstractNumId w:val="37"/>
  </w:num>
  <w:num w:numId="18">
    <w:abstractNumId w:val="32"/>
  </w:num>
  <w:num w:numId="19">
    <w:abstractNumId w:val="41"/>
  </w:num>
  <w:num w:numId="20">
    <w:abstractNumId w:val="20"/>
  </w:num>
  <w:num w:numId="21">
    <w:abstractNumId w:val="2"/>
  </w:num>
  <w:num w:numId="22">
    <w:abstractNumId w:val="42"/>
  </w:num>
  <w:num w:numId="23">
    <w:abstractNumId w:val="16"/>
  </w:num>
  <w:num w:numId="24">
    <w:abstractNumId w:val="21"/>
  </w:num>
  <w:num w:numId="25">
    <w:abstractNumId w:val="28"/>
  </w:num>
  <w:num w:numId="26">
    <w:abstractNumId w:val="1"/>
  </w:num>
  <w:num w:numId="27">
    <w:abstractNumId w:val="0"/>
  </w:num>
  <w:num w:numId="28">
    <w:abstractNumId w:val="34"/>
  </w:num>
  <w:num w:numId="29">
    <w:abstractNumId w:val="31"/>
  </w:num>
  <w:num w:numId="30">
    <w:abstractNumId w:val="35"/>
  </w:num>
  <w:num w:numId="31">
    <w:abstractNumId w:val="30"/>
  </w:num>
  <w:num w:numId="32">
    <w:abstractNumId w:val="15"/>
  </w:num>
  <w:num w:numId="33">
    <w:abstractNumId w:val="26"/>
  </w:num>
  <w:num w:numId="34">
    <w:abstractNumId w:val="25"/>
  </w:num>
  <w:num w:numId="35">
    <w:abstractNumId w:val="11"/>
  </w:num>
  <w:num w:numId="36">
    <w:abstractNumId w:val="29"/>
  </w:num>
  <w:num w:numId="37">
    <w:abstractNumId w:val="43"/>
  </w:num>
  <w:num w:numId="38">
    <w:abstractNumId w:val="17"/>
  </w:num>
  <w:num w:numId="39">
    <w:abstractNumId w:val="45"/>
  </w:num>
  <w:num w:numId="40">
    <w:abstractNumId w:val="12"/>
  </w:num>
  <w:num w:numId="41">
    <w:abstractNumId w:val="10"/>
  </w:num>
  <w:num w:numId="42">
    <w:abstractNumId w:val="24"/>
  </w:num>
  <w:num w:numId="43">
    <w:abstractNumId w:val="7"/>
  </w:num>
  <w:num w:numId="44">
    <w:abstractNumId w:val="47"/>
  </w:num>
  <w:num w:numId="45">
    <w:abstractNumId w:val="5"/>
  </w:num>
  <w:num w:numId="46">
    <w:abstractNumId w:val="14"/>
  </w:num>
  <w:num w:numId="47">
    <w:abstractNumId w:val="27"/>
  </w:num>
  <w:num w:numId="48">
    <w:abstractNumId w:val="18"/>
  </w:num>
  <w:num w:numId="49">
    <w:abstractNumId w:val="19"/>
  </w:num>
  <w:num w:numId="50">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hideSpelling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227E5"/>
    <w:rsid w:val="00025A4D"/>
    <w:rsid w:val="00027DD8"/>
    <w:rsid w:val="000436FB"/>
    <w:rsid w:val="00055AB5"/>
    <w:rsid w:val="00060376"/>
    <w:rsid w:val="0007044D"/>
    <w:rsid w:val="00071344"/>
    <w:rsid w:val="000757EE"/>
    <w:rsid w:val="000765C2"/>
    <w:rsid w:val="000A3B4D"/>
    <w:rsid w:val="000A6041"/>
    <w:rsid w:val="000A7C6E"/>
    <w:rsid w:val="000C6882"/>
    <w:rsid w:val="000D199E"/>
    <w:rsid w:val="000E39DD"/>
    <w:rsid w:val="000E5BA6"/>
    <w:rsid w:val="000E796D"/>
    <w:rsid w:val="001051A5"/>
    <w:rsid w:val="00106F6D"/>
    <w:rsid w:val="00125348"/>
    <w:rsid w:val="0012550D"/>
    <w:rsid w:val="00130FB7"/>
    <w:rsid w:val="001410E7"/>
    <w:rsid w:val="00146D52"/>
    <w:rsid w:val="00153CC5"/>
    <w:rsid w:val="00155BCF"/>
    <w:rsid w:val="00166898"/>
    <w:rsid w:val="00174CD5"/>
    <w:rsid w:val="001816AF"/>
    <w:rsid w:val="00193940"/>
    <w:rsid w:val="00194047"/>
    <w:rsid w:val="001942D4"/>
    <w:rsid w:val="001B0033"/>
    <w:rsid w:val="001B796E"/>
    <w:rsid w:val="001C0806"/>
    <w:rsid w:val="001C322E"/>
    <w:rsid w:val="001C445C"/>
    <w:rsid w:val="001C5CDE"/>
    <w:rsid w:val="001C7EC0"/>
    <w:rsid w:val="001D2895"/>
    <w:rsid w:val="001D74D3"/>
    <w:rsid w:val="001E4FD5"/>
    <w:rsid w:val="001E661C"/>
    <w:rsid w:val="001F194A"/>
    <w:rsid w:val="001F66F5"/>
    <w:rsid w:val="002009A1"/>
    <w:rsid w:val="0020160E"/>
    <w:rsid w:val="0020170B"/>
    <w:rsid w:val="0020507F"/>
    <w:rsid w:val="00213171"/>
    <w:rsid w:val="00213234"/>
    <w:rsid w:val="00214854"/>
    <w:rsid w:val="0021715D"/>
    <w:rsid w:val="00224B64"/>
    <w:rsid w:val="002302F4"/>
    <w:rsid w:val="00233280"/>
    <w:rsid w:val="0024206A"/>
    <w:rsid w:val="00243B60"/>
    <w:rsid w:val="00246ECB"/>
    <w:rsid w:val="00247D46"/>
    <w:rsid w:val="00255F09"/>
    <w:rsid w:val="00263E3C"/>
    <w:rsid w:val="00266C06"/>
    <w:rsid w:val="002956AE"/>
    <w:rsid w:val="002A47D7"/>
    <w:rsid w:val="002B0252"/>
    <w:rsid w:val="002B5267"/>
    <w:rsid w:val="002F5953"/>
    <w:rsid w:val="00300139"/>
    <w:rsid w:val="003137FA"/>
    <w:rsid w:val="003705DB"/>
    <w:rsid w:val="0038331D"/>
    <w:rsid w:val="00397541"/>
    <w:rsid w:val="003A27F1"/>
    <w:rsid w:val="003A6218"/>
    <w:rsid w:val="003A63A5"/>
    <w:rsid w:val="003B22A7"/>
    <w:rsid w:val="003C48FF"/>
    <w:rsid w:val="003D6C14"/>
    <w:rsid w:val="003F29A8"/>
    <w:rsid w:val="003F34EA"/>
    <w:rsid w:val="003F7568"/>
    <w:rsid w:val="00402E97"/>
    <w:rsid w:val="0041300C"/>
    <w:rsid w:val="00420682"/>
    <w:rsid w:val="004252F4"/>
    <w:rsid w:val="004268FE"/>
    <w:rsid w:val="00433BCD"/>
    <w:rsid w:val="00435DCD"/>
    <w:rsid w:val="00445610"/>
    <w:rsid w:val="00455BBA"/>
    <w:rsid w:val="00460BC4"/>
    <w:rsid w:val="004647DB"/>
    <w:rsid w:val="004657E5"/>
    <w:rsid w:val="00477804"/>
    <w:rsid w:val="004901D8"/>
    <w:rsid w:val="004A196F"/>
    <w:rsid w:val="004A5884"/>
    <w:rsid w:val="004B006C"/>
    <w:rsid w:val="004B4E51"/>
    <w:rsid w:val="004B6ED9"/>
    <w:rsid w:val="004C2DFD"/>
    <w:rsid w:val="004D5083"/>
    <w:rsid w:val="004E0C11"/>
    <w:rsid w:val="004E2BB1"/>
    <w:rsid w:val="004E7290"/>
    <w:rsid w:val="004E7E53"/>
    <w:rsid w:val="004F447A"/>
    <w:rsid w:val="004F7030"/>
    <w:rsid w:val="0051532D"/>
    <w:rsid w:val="0051566F"/>
    <w:rsid w:val="005201B5"/>
    <w:rsid w:val="00525CC4"/>
    <w:rsid w:val="00531A97"/>
    <w:rsid w:val="00532DCC"/>
    <w:rsid w:val="00542102"/>
    <w:rsid w:val="00550FA3"/>
    <w:rsid w:val="0055575B"/>
    <w:rsid w:val="005561E4"/>
    <w:rsid w:val="00560A03"/>
    <w:rsid w:val="005677CA"/>
    <w:rsid w:val="005726F2"/>
    <w:rsid w:val="00573EE3"/>
    <w:rsid w:val="005767F6"/>
    <w:rsid w:val="00581A50"/>
    <w:rsid w:val="0059342C"/>
    <w:rsid w:val="005B6E3F"/>
    <w:rsid w:val="005E07FC"/>
    <w:rsid w:val="005F54D3"/>
    <w:rsid w:val="0062077A"/>
    <w:rsid w:val="00630347"/>
    <w:rsid w:val="006441F6"/>
    <w:rsid w:val="00645562"/>
    <w:rsid w:val="006465EF"/>
    <w:rsid w:val="00646924"/>
    <w:rsid w:val="00657C47"/>
    <w:rsid w:val="00661FB5"/>
    <w:rsid w:val="0067406E"/>
    <w:rsid w:val="00677E6C"/>
    <w:rsid w:val="006850CC"/>
    <w:rsid w:val="00686AD4"/>
    <w:rsid w:val="006C5CE1"/>
    <w:rsid w:val="006F4D55"/>
    <w:rsid w:val="0070175E"/>
    <w:rsid w:val="00713D52"/>
    <w:rsid w:val="00726525"/>
    <w:rsid w:val="00731115"/>
    <w:rsid w:val="00736DC8"/>
    <w:rsid w:val="007403CF"/>
    <w:rsid w:val="007435D6"/>
    <w:rsid w:val="007531E5"/>
    <w:rsid w:val="0076232C"/>
    <w:rsid w:val="007654B3"/>
    <w:rsid w:val="0076721A"/>
    <w:rsid w:val="00770BDD"/>
    <w:rsid w:val="00773047"/>
    <w:rsid w:val="00774741"/>
    <w:rsid w:val="00774BF1"/>
    <w:rsid w:val="007756B5"/>
    <w:rsid w:val="007847F1"/>
    <w:rsid w:val="007A2E0E"/>
    <w:rsid w:val="007A49E2"/>
    <w:rsid w:val="007B7EB4"/>
    <w:rsid w:val="007C083E"/>
    <w:rsid w:val="007C447F"/>
    <w:rsid w:val="007D742E"/>
    <w:rsid w:val="007E2515"/>
    <w:rsid w:val="007E6F63"/>
    <w:rsid w:val="00806AD4"/>
    <w:rsid w:val="00807884"/>
    <w:rsid w:val="00811138"/>
    <w:rsid w:val="00817147"/>
    <w:rsid w:val="00820927"/>
    <w:rsid w:val="00823B86"/>
    <w:rsid w:val="00840462"/>
    <w:rsid w:val="00846895"/>
    <w:rsid w:val="0085462C"/>
    <w:rsid w:val="0085472C"/>
    <w:rsid w:val="008620E4"/>
    <w:rsid w:val="0086360A"/>
    <w:rsid w:val="008720AB"/>
    <w:rsid w:val="0087264B"/>
    <w:rsid w:val="00875701"/>
    <w:rsid w:val="00890C4F"/>
    <w:rsid w:val="008914C1"/>
    <w:rsid w:val="00892C77"/>
    <w:rsid w:val="008A1646"/>
    <w:rsid w:val="008C5DD6"/>
    <w:rsid w:val="008D0448"/>
    <w:rsid w:val="008D0C79"/>
    <w:rsid w:val="008D12D7"/>
    <w:rsid w:val="008E2767"/>
    <w:rsid w:val="008F0849"/>
    <w:rsid w:val="00900D7B"/>
    <w:rsid w:val="0091014E"/>
    <w:rsid w:val="009104DF"/>
    <w:rsid w:val="009200B0"/>
    <w:rsid w:val="009277B5"/>
    <w:rsid w:val="00970D95"/>
    <w:rsid w:val="00974717"/>
    <w:rsid w:val="00976A3C"/>
    <w:rsid w:val="00977D53"/>
    <w:rsid w:val="00983ABA"/>
    <w:rsid w:val="00991D86"/>
    <w:rsid w:val="0099741A"/>
    <w:rsid w:val="0099790E"/>
    <w:rsid w:val="009A6F98"/>
    <w:rsid w:val="009D1AC4"/>
    <w:rsid w:val="00A00C41"/>
    <w:rsid w:val="00A00F76"/>
    <w:rsid w:val="00A06D12"/>
    <w:rsid w:val="00A13DF7"/>
    <w:rsid w:val="00A14524"/>
    <w:rsid w:val="00A15DE9"/>
    <w:rsid w:val="00A3470C"/>
    <w:rsid w:val="00A34D9D"/>
    <w:rsid w:val="00A35237"/>
    <w:rsid w:val="00A431DD"/>
    <w:rsid w:val="00A522FB"/>
    <w:rsid w:val="00A56C08"/>
    <w:rsid w:val="00A645A6"/>
    <w:rsid w:val="00AA32E0"/>
    <w:rsid w:val="00AC2686"/>
    <w:rsid w:val="00AC7E31"/>
    <w:rsid w:val="00AF0CE9"/>
    <w:rsid w:val="00AF6095"/>
    <w:rsid w:val="00B03A16"/>
    <w:rsid w:val="00B3070E"/>
    <w:rsid w:val="00B350A2"/>
    <w:rsid w:val="00B47ADB"/>
    <w:rsid w:val="00B54D96"/>
    <w:rsid w:val="00B5548F"/>
    <w:rsid w:val="00B6427E"/>
    <w:rsid w:val="00B6550F"/>
    <w:rsid w:val="00B67778"/>
    <w:rsid w:val="00B70CFB"/>
    <w:rsid w:val="00B837C2"/>
    <w:rsid w:val="00B87E5D"/>
    <w:rsid w:val="00BA13DB"/>
    <w:rsid w:val="00BA1706"/>
    <w:rsid w:val="00BA5571"/>
    <w:rsid w:val="00BB15C8"/>
    <w:rsid w:val="00BB53D6"/>
    <w:rsid w:val="00BD4611"/>
    <w:rsid w:val="00C073A9"/>
    <w:rsid w:val="00C07C42"/>
    <w:rsid w:val="00C10624"/>
    <w:rsid w:val="00C11FAE"/>
    <w:rsid w:val="00C4191B"/>
    <w:rsid w:val="00C446ED"/>
    <w:rsid w:val="00C60CAD"/>
    <w:rsid w:val="00C61F48"/>
    <w:rsid w:val="00C64471"/>
    <w:rsid w:val="00C6573D"/>
    <w:rsid w:val="00C66442"/>
    <w:rsid w:val="00C70693"/>
    <w:rsid w:val="00C73DFB"/>
    <w:rsid w:val="00C90A39"/>
    <w:rsid w:val="00CA0828"/>
    <w:rsid w:val="00CA11C7"/>
    <w:rsid w:val="00CC7CA2"/>
    <w:rsid w:val="00CF5B26"/>
    <w:rsid w:val="00CF6460"/>
    <w:rsid w:val="00D14245"/>
    <w:rsid w:val="00D23C4B"/>
    <w:rsid w:val="00D23CCE"/>
    <w:rsid w:val="00D26EA6"/>
    <w:rsid w:val="00D45AC2"/>
    <w:rsid w:val="00D521A9"/>
    <w:rsid w:val="00D55169"/>
    <w:rsid w:val="00D60552"/>
    <w:rsid w:val="00D60C6B"/>
    <w:rsid w:val="00D643B1"/>
    <w:rsid w:val="00D77205"/>
    <w:rsid w:val="00D8448F"/>
    <w:rsid w:val="00D85099"/>
    <w:rsid w:val="00DA56D4"/>
    <w:rsid w:val="00DB713E"/>
    <w:rsid w:val="00DC03DB"/>
    <w:rsid w:val="00DD3BD5"/>
    <w:rsid w:val="00DF58EA"/>
    <w:rsid w:val="00DF760F"/>
    <w:rsid w:val="00E32B8C"/>
    <w:rsid w:val="00E370B3"/>
    <w:rsid w:val="00E3714B"/>
    <w:rsid w:val="00E452DA"/>
    <w:rsid w:val="00E6234F"/>
    <w:rsid w:val="00E63DDE"/>
    <w:rsid w:val="00E64CF2"/>
    <w:rsid w:val="00E674D9"/>
    <w:rsid w:val="00E72BC5"/>
    <w:rsid w:val="00E744CD"/>
    <w:rsid w:val="00E76B9D"/>
    <w:rsid w:val="00E913DD"/>
    <w:rsid w:val="00EC55E7"/>
    <w:rsid w:val="00EC57E8"/>
    <w:rsid w:val="00EC60BC"/>
    <w:rsid w:val="00EE3EB2"/>
    <w:rsid w:val="00EE7E5D"/>
    <w:rsid w:val="00F07F7F"/>
    <w:rsid w:val="00F15424"/>
    <w:rsid w:val="00F17A01"/>
    <w:rsid w:val="00F234B6"/>
    <w:rsid w:val="00F4737C"/>
    <w:rsid w:val="00F52125"/>
    <w:rsid w:val="00F537D2"/>
    <w:rsid w:val="00F57060"/>
    <w:rsid w:val="00F630AC"/>
    <w:rsid w:val="00F77BDC"/>
    <w:rsid w:val="00F8487C"/>
    <w:rsid w:val="00F84F9C"/>
    <w:rsid w:val="00F92225"/>
    <w:rsid w:val="00FB5CED"/>
    <w:rsid w:val="00FC484A"/>
    <w:rsid w:val="00FC631E"/>
    <w:rsid w:val="00FE12FF"/>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561E4"/>
    <w:pPr>
      <w:widowControl w:val="0"/>
      <w:spacing w:before="44" w:after="0" w:line="240" w:lineRule="auto"/>
      <w:ind w:left="140"/>
      <w:jc w:val="both"/>
      <w:outlineLvl w:val="0"/>
    </w:pPr>
    <w:rPr>
      <w:rFonts w:ascii="Calibri" w:eastAsia="Calibri" w:hAnsi="Calibri" w:cs="Calibri"/>
      <w:b/>
      <w:bCs/>
      <w:sz w:val="28"/>
      <w:szCs w:val="28"/>
      <w:lang w:val="en-US"/>
    </w:rPr>
  </w:style>
  <w:style w:type="paragraph" w:styleId="Heading2">
    <w:name w:val="heading 2"/>
    <w:basedOn w:val="Normal"/>
    <w:next w:val="Normal"/>
    <w:link w:val="Heading2Char"/>
    <w:uiPriority w:val="1"/>
    <w:unhideWhenUsed/>
    <w:qFormat/>
    <w:rsid w:val="00C61F4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1"/>
    <w:qFormat/>
    <w:rsid w:val="00C61F48"/>
    <w:pPr>
      <w:widowControl w:val="0"/>
      <w:spacing w:after="0" w:line="240" w:lineRule="auto"/>
      <w:ind w:left="860" w:hanging="720"/>
      <w:jc w:val="both"/>
      <w:outlineLvl w:val="2"/>
    </w:pPr>
    <w:rPr>
      <w:rFonts w:ascii="Calibri" w:eastAsia="Calibri" w:hAnsi="Calibri" w:cs="Calibri"/>
      <w:b/>
      <w:bCs/>
      <w:sz w:val="24"/>
      <w:szCs w:val="24"/>
      <w:lang w:val="en-US"/>
    </w:rPr>
  </w:style>
  <w:style w:type="paragraph" w:styleId="Heading4">
    <w:name w:val="heading 4"/>
    <w:basedOn w:val="Normal"/>
    <w:next w:val="Normal"/>
    <w:link w:val="Heading4Char"/>
    <w:uiPriority w:val="1"/>
    <w:unhideWhenUsed/>
    <w:qFormat/>
    <w:rsid w:val="00C61F4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1"/>
    <w:unhideWhenUsed/>
    <w:qFormat/>
    <w:rsid w:val="00C61F48"/>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1"/>
    <w:unhideWhenUsed/>
    <w:qFormat/>
    <w:rsid w:val="00C61F48"/>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OOTNOTES,fn,f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1,Footnote Text Char Char Char2,Fußnote Char1,Footnote Char1,Footnote Text Char1 Char Char1,Footnote Text Char1 Char Char Char Char1,Footnote Text Char Char Char Char Char Char1,FOOTNOTES Char,fn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 Char Char, BVI fnr Zchn, BVI fnr Char Zchn,Appel note de bas de p.;BVI fnr Car Car Car Car Zchn,BVI fnr Zchn, BVI fnr Car Car Zchn,BVI fnr Car Zchn, BVI fnr Car Car Car Car Zchn, BVI fnr Car Car Car Car Char Zchn Zchn,Ref"/>
    <w:basedOn w:val="DefaultParagraphFont"/>
    <w:link w:val="BVIfnrChar"/>
    <w:uiPriority w:val="99"/>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CA1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1C7"/>
  </w:style>
  <w:style w:type="paragraph" w:styleId="Footer">
    <w:name w:val="footer"/>
    <w:basedOn w:val="Normal"/>
    <w:link w:val="FooterChar"/>
    <w:uiPriority w:val="99"/>
    <w:unhideWhenUsed/>
    <w:rsid w:val="00CA1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1C7"/>
  </w:style>
  <w:style w:type="character" w:styleId="Hyperlink">
    <w:name w:val="Hyperlink"/>
    <w:uiPriority w:val="99"/>
    <w:unhideWhenUsed/>
    <w:rsid w:val="00983ABA"/>
    <w:rPr>
      <w:rFonts w:cs="Times New Roman"/>
      <w:color w:val="0000FF"/>
      <w:u w:val="single"/>
    </w:rPr>
  </w:style>
  <w:style w:type="paragraph" w:customStyle="1" w:styleId="TEKSTI">
    <w:name w:val="TEKSTI"/>
    <w:basedOn w:val="Normal"/>
    <w:qFormat/>
    <w:rsid w:val="00983ABA"/>
    <w:pPr>
      <w:spacing w:after="0" w:line="240" w:lineRule="auto"/>
      <w:ind w:firstLine="284"/>
      <w:jc w:val="both"/>
    </w:pPr>
    <w:rPr>
      <w:rFonts w:ascii="Garamond" w:hAnsi="Garamond"/>
      <w:snapToGrid w:val="0"/>
      <w:sz w:val="24"/>
      <w:szCs w:val="24"/>
    </w:rPr>
  </w:style>
  <w:style w:type="paragraph" w:styleId="NoSpacing">
    <w:name w:val="No Spacing"/>
    <w:uiPriority w:val="1"/>
    <w:qFormat/>
    <w:rsid w:val="008D0C79"/>
    <w:pPr>
      <w:spacing w:after="0" w:line="240" w:lineRule="auto"/>
    </w:pPr>
  </w:style>
  <w:style w:type="paragraph" w:styleId="ListParagraph">
    <w:name w:val="List Paragraph"/>
    <w:basedOn w:val="Normal"/>
    <w:uiPriority w:val="34"/>
    <w:qFormat/>
    <w:rsid w:val="000E796D"/>
    <w:pPr>
      <w:spacing w:after="200" w:line="276" w:lineRule="auto"/>
      <w:ind w:left="720"/>
    </w:pPr>
    <w:rPr>
      <w:rFonts w:ascii="Calibri" w:eastAsia="MS Mincho" w:hAnsi="Calibri" w:cs="Times New Roman"/>
      <w:lang w:val="en-GB" w:eastAsia="en-GB"/>
    </w:rPr>
  </w:style>
  <w:style w:type="character" w:customStyle="1" w:styleId="FootnoteTextChar1">
    <w:name w:val="Footnote Text Char1"/>
    <w:aliases w:val="Footnote Text Char Char1,Footnote Text Char Char Char Char,Footnote Text Char Char Char1,Fußnote Char,Footnote Char,Footnote Text Char1 Char Char,Footnote Text Char1 Char Char Char Char,Footnote Text Char Char Char Char Char Char"/>
    <w:uiPriority w:val="99"/>
    <w:locked/>
    <w:rsid w:val="000E796D"/>
    <w:rPr>
      <w:rFonts w:ascii="Times New Roman" w:eastAsia="Times New Roman" w:hAnsi="Times New Roman"/>
      <w:lang w:eastAsia="en-GB"/>
    </w:rPr>
  </w:style>
  <w:style w:type="paragraph" w:customStyle="1" w:styleId="BVIfnrChar">
    <w:name w:val="BVI fnr Char"/>
    <w:aliases w:val="Appel note de bas de p.;BVI fnr Car Car Car Car, BVI fnr Car Car,BVI fnr Car, BVI fnr Car Car Car Car, BVI fnr Car Car Car Car Char"/>
    <w:basedOn w:val="Normal"/>
    <w:link w:val="FootnoteReference"/>
    <w:uiPriority w:val="99"/>
    <w:rsid w:val="000E796D"/>
    <w:pPr>
      <w:spacing w:line="240" w:lineRule="exact"/>
    </w:pPr>
    <w:rPr>
      <w:rFonts w:cs="Times New Roman"/>
      <w:vertAlign w:val="superscript"/>
    </w:rPr>
  </w:style>
  <w:style w:type="character" w:customStyle="1" w:styleId="Heading1Char">
    <w:name w:val="Heading 1 Char"/>
    <w:basedOn w:val="DefaultParagraphFont"/>
    <w:link w:val="Heading1"/>
    <w:uiPriority w:val="1"/>
    <w:rsid w:val="005561E4"/>
    <w:rPr>
      <w:rFonts w:ascii="Calibri" w:eastAsia="Calibri" w:hAnsi="Calibri" w:cs="Calibri"/>
      <w:b/>
      <w:bCs/>
      <w:sz w:val="28"/>
      <w:szCs w:val="28"/>
      <w:lang w:val="en-US"/>
    </w:rPr>
  </w:style>
  <w:style w:type="paragraph" w:styleId="BodyText">
    <w:name w:val="Body Text"/>
    <w:basedOn w:val="Normal"/>
    <w:link w:val="BodyTextChar"/>
    <w:uiPriority w:val="1"/>
    <w:qFormat/>
    <w:rsid w:val="005561E4"/>
    <w:pPr>
      <w:widowControl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5561E4"/>
    <w:rPr>
      <w:rFonts w:ascii="Calibri" w:eastAsia="Calibri" w:hAnsi="Calibri" w:cs="Calibri"/>
      <w:lang w:val="en-US"/>
    </w:rPr>
  </w:style>
  <w:style w:type="paragraph" w:customStyle="1" w:styleId="TableParagraph">
    <w:name w:val="Table Paragraph"/>
    <w:basedOn w:val="Normal"/>
    <w:uiPriority w:val="1"/>
    <w:qFormat/>
    <w:rsid w:val="005561E4"/>
    <w:pPr>
      <w:widowControl w:val="0"/>
      <w:spacing w:after="0" w:line="240" w:lineRule="auto"/>
    </w:pPr>
    <w:rPr>
      <w:rFonts w:ascii="Calibri" w:eastAsia="Calibri" w:hAnsi="Calibri" w:cs="Calibri"/>
      <w:lang w:val="en-US"/>
    </w:rPr>
  </w:style>
  <w:style w:type="character" w:customStyle="1" w:styleId="Heading2Char">
    <w:name w:val="Heading 2 Char"/>
    <w:basedOn w:val="DefaultParagraphFont"/>
    <w:link w:val="Heading2"/>
    <w:uiPriority w:val="9"/>
    <w:semiHidden/>
    <w:rsid w:val="00C61F48"/>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uiPriority w:val="9"/>
    <w:semiHidden/>
    <w:rsid w:val="00C61F4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C61F48"/>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61F48"/>
    <w:rPr>
      <w:rFonts w:asciiTheme="majorHAnsi" w:eastAsiaTheme="majorEastAsia" w:hAnsiTheme="majorHAnsi" w:cstheme="majorBidi"/>
      <w:i/>
      <w:iCs/>
      <w:color w:val="1F4D78" w:themeColor="accent1" w:themeShade="7F"/>
    </w:rPr>
  </w:style>
  <w:style w:type="character" w:customStyle="1" w:styleId="Heading3Char">
    <w:name w:val="Heading 3 Char"/>
    <w:basedOn w:val="DefaultParagraphFont"/>
    <w:link w:val="Heading3"/>
    <w:uiPriority w:val="1"/>
    <w:rsid w:val="00C61F48"/>
    <w:rPr>
      <w:rFonts w:ascii="Calibri" w:eastAsia="Calibri" w:hAnsi="Calibri" w:cs="Calibri"/>
      <w:b/>
      <w:bCs/>
      <w:sz w:val="24"/>
      <w:szCs w:val="24"/>
      <w:lang w:val="en-US"/>
    </w:rPr>
  </w:style>
  <w:style w:type="paragraph" w:styleId="TOC1">
    <w:name w:val="toc 1"/>
    <w:basedOn w:val="Normal"/>
    <w:uiPriority w:val="1"/>
    <w:qFormat/>
    <w:rsid w:val="00C61F48"/>
    <w:pPr>
      <w:widowControl w:val="0"/>
      <w:spacing w:before="139" w:after="0" w:line="240" w:lineRule="auto"/>
      <w:ind w:left="358" w:hanging="268"/>
    </w:pPr>
    <w:rPr>
      <w:rFonts w:ascii="Calibri" w:eastAsia="Calibri" w:hAnsi="Calibri" w:cs="Calibri"/>
      <w:lang w:val="en-US"/>
    </w:rPr>
  </w:style>
  <w:style w:type="paragraph" w:styleId="TOC2">
    <w:name w:val="toc 2"/>
    <w:basedOn w:val="Normal"/>
    <w:uiPriority w:val="1"/>
    <w:qFormat/>
    <w:rsid w:val="00C61F48"/>
    <w:pPr>
      <w:widowControl w:val="0"/>
      <w:spacing w:before="139" w:after="0" w:line="240" w:lineRule="auto"/>
      <w:ind w:left="1021" w:hanging="660"/>
    </w:pPr>
    <w:rPr>
      <w:rFonts w:ascii="Calibri" w:eastAsia="Calibri" w:hAnsi="Calibri" w:cs="Calibri"/>
      <w:lang w:val="en-US"/>
    </w:rPr>
  </w:style>
  <w:style w:type="paragraph" w:styleId="TOC3">
    <w:name w:val="toc 3"/>
    <w:basedOn w:val="Normal"/>
    <w:uiPriority w:val="1"/>
    <w:qFormat/>
    <w:rsid w:val="00C61F48"/>
    <w:pPr>
      <w:widowControl w:val="0"/>
      <w:spacing w:before="142" w:after="0" w:line="240" w:lineRule="auto"/>
      <w:ind w:left="361"/>
    </w:pPr>
    <w:rPr>
      <w:rFonts w:ascii="Calibri" w:eastAsia="Calibri" w:hAnsi="Calibri" w:cs="Calibri"/>
      <w:i/>
      <w:lang w:val="en-US"/>
    </w:rPr>
  </w:style>
  <w:style w:type="paragraph" w:styleId="TOC4">
    <w:name w:val="toc 4"/>
    <w:basedOn w:val="Normal"/>
    <w:uiPriority w:val="1"/>
    <w:qFormat/>
    <w:rsid w:val="00C61F48"/>
    <w:pPr>
      <w:widowControl w:val="0"/>
      <w:spacing w:before="139" w:after="0" w:line="240" w:lineRule="auto"/>
      <w:ind w:left="1460" w:hanging="881"/>
    </w:pPr>
    <w:rPr>
      <w:rFonts w:ascii="Calibri" w:eastAsia="Calibri" w:hAnsi="Calibri" w:cs="Calibri"/>
      <w:lang w:val="en-US"/>
    </w:rPr>
  </w:style>
  <w:style w:type="paragraph" w:styleId="TOC5">
    <w:name w:val="toc 5"/>
    <w:basedOn w:val="Normal"/>
    <w:uiPriority w:val="1"/>
    <w:qFormat/>
    <w:rsid w:val="00C61F48"/>
    <w:pPr>
      <w:widowControl w:val="0"/>
      <w:spacing w:before="139" w:after="0" w:line="240" w:lineRule="auto"/>
      <w:ind w:left="579"/>
    </w:pPr>
    <w:rPr>
      <w:rFonts w:ascii="Calibri" w:eastAsia="Calibri" w:hAnsi="Calibri" w:cs="Calibri"/>
      <w:b/>
      <w:bCs/>
      <w:i/>
      <w:lang w:val="en-US"/>
    </w:rPr>
  </w:style>
  <w:style w:type="table" w:styleId="TableGrid">
    <w:name w:val="Table Grid"/>
    <w:basedOn w:val="TableNormal"/>
    <w:uiPriority w:val="39"/>
    <w:rsid w:val="00F77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D84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8448F"/>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561E4"/>
    <w:pPr>
      <w:widowControl w:val="0"/>
      <w:spacing w:before="44" w:after="0" w:line="240" w:lineRule="auto"/>
      <w:ind w:left="140"/>
      <w:jc w:val="both"/>
      <w:outlineLvl w:val="0"/>
    </w:pPr>
    <w:rPr>
      <w:rFonts w:ascii="Calibri" w:eastAsia="Calibri" w:hAnsi="Calibri" w:cs="Calibri"/>
      <w:b/>
      <w:bCs/>
      <w:sz w:val="28"/>
      <w:szCs w:val="28"/>
      <w:lang w:val="en-US"/>
    </w:rPr>
  </w:style>
  <w:style w:type="paragraph" w:styleId="Heading2">
    <w:name w:val="heading 2"/>
    <w:basedOn w:val="Normal"/>
    <w:next w:val="Normal"/>
    <w:link w:val="Heading2Char"/>
    <w:uiPriority w:val="1"/>
    <w:unhideWhenUsed/>
    <w:qFormat/>
    <w:rsid w:val="00C61F4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1"/>
    <w:qFormat/>
    <w:rsid w:val="00C61F48"/>
    <w:pPr>
      <w:widowControl w:val="0"/>
      <w:spacing w:after="0" w:line="240" w:lineRule="auto"/>
      <w:ind w:left="860" w:hanging="720"/>
      <w:jc w:val="both"/>
      <w:outlineLvl w:val="2"/>
    </w:pPr>
    <w:rPr>
      <w:rFonts w:ascii="Calibri" w:eastAsia="Calibri" w:hAnsi="Calibri" w:cs="Calibri"/>
      <w:b/>
      <w:bCs/>
      <w:sz w:val="24"/>
      <w:szCs w:val="24"/>
      <w:lang w:val="en-US"/>
    </w:rPr>
  </w:style>
  <w:style w:type="paragraph" w:styleId="Heading4">
    <w:name w:val="heading 4"/>
    <w:basedOn w:val="Normal"/>
    <w:next w:val="Normal"/>
    <w:link w:val="Heading4Char"/>
    <w:uiPriority w:val="1"/>
    <w:unhideWhenUsed/>
    <w:qFormat/>
    <w:rsid w:val="00C61F4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1"/>
    <w:unhideWhenUsed/>
    <w:qFormat/>
    <w:rsid w:val="00C61F48"/>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1"/>
    <w:unhideWhenUsed/>
    <w:qFormat/>
    <w:rsid w:val="00C61F48"/>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OOTNOTES,fn,f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1,Footnote Text Char Char Char2,Fußnote Char1,Footnote Char1,Footnote Text Char1 Char Char1,Footnote Text Char1 Char Char Char Char1,Footnote Text Char Char Char Char Char Char1,FOOTNOTES Char,fn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 Char Char, BVI fnr Zchn, BVI fnr Char Zchn,Appel note de bas de p.;BVI fnr Car Car Car Car Zchn,BVI fnr Zchn, BVI fnr Car Car Zchn,BVI fnr Car Zchn, BVI fnr Car Car Car Car Zchn, BVI fnr Car Car Car Car Char Zchn Zchn,Ref"/>
    <w:basedOn w:val="DefaultParagraphFont"/>
    <w:link w:val="BVIfnrChar"/>
    <w:uiPriority w:val="99"/>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CA1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1C7"/>
  </w:style>
  <w:style w:type="paragraph" w:styleId="Footer">
    <w:name w:val="footer"/>
    <w:basedOn w:val="Normal"/>
    <w:link w:val="FooterChar"/>
    <w:uiPriority w:val="99"/>
    <w:unhideWhenUsed/>
    <w:rsid w:val="00CA1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1C7"/>
  </w:style>
  <w:style w:type="character" w:styleId="Hyperlink">
    <w:name w:val="Hyperlink"/>
    <w:uiPriority w:val="99"/>
    <w:unhideWhenUsed/>
    <w:rsid w:val="00983ABA"/>
    <w:rPr>
      <w:rFonts w:cs="Times New Roman"/>
      <w:color w:val="0000FF"/>
      <w:u w:val="single"/>
    </w:rPr>
  </w:style>
  <w:style w:type="paragraph" w:customStyle="1" w:styleId="TEKSTI">
    <w:name w:val="TEKSTI"/>
    <w:basedOn w:val="Normal"/>
    <w:qFormat/>
    <w:rsid w:val="00983ABA"/>
    <w:pPr>
      <w:spacing w:after="0" w:line="240" w:lineRule="auto"/>
      <w:ind w:firstLine="284"/>
      <w:jc w:val="both"/>
    </w:pPr>
    <w:rPr>
      <w:rFonts w:ascii="Garamond" w:hAnsi="Garamond"/>
      <w:snapToGrid w:val="0"/>
      <w:sz w:val="24"/>
      <w:szCs w:val="24"/>
    </w:rPr>
  </w:style>
  <w:style w:type="paragraph" w:styleId="NoSpacing">
    <w:name w:val="No Spacing"/>
    <w:uiPriority w:val="1"/>
    <w:qFormat/>
    <w:rsid w:val="008D0C79"/>
    <w:pPr>
      <w:spacing w:after="0" w:line="240" w:lineRule="auto"/>
    </w:pPr>
  </w:style>
  <w:style w:type="paragraph" w:styleId="ListParagraph">
    <w:name w:val="List Paragraph"/>
    <w:basedOn w:val="Normal"/>
    <w:uiPriority w:val="34"/>
    <w:qFormat/>
    <w:rsid w:val="000E796D"/>
    <w:pPr>
      <w:spacing w:after="200" w:line="276" w:lineRule="auto"/>
      <w:ind w:left="720"/>
    </w:pPr>
    <w:rPr>
      <w:rFonts w:ascii="Calibri" w:eastAsia="MS Mincho" w:hAnsi="Calibri" w:cs="Times New Roman"/>
      <w:lang w:val="en-GB" w:eastAsia="en-GB"/>
    </w:rPr>
  </w:style>
  <w:style w:type="character" w:customStyle="1" w:styleId="FootnoteTextChar1">
    <w:name w:val="Footnote Text Char1"/>
    <w:aliases w:val="Footnote Text Char Char1,Footnote Text Char Char Char Char,Footnote Text Char Char Char1,Fußnote Char,Footnote Char,Footnote Text Char1 Char Char,Footnote Text Char1 Char Char Char Char,Footnote Text Char Char Char Char Char Char"/>
    <w:uiPriority w:val="99"/>
    <w:locked/>
    <w:rsid w:val="000E796D"/>
    <w:rPr>
      <w:rFonts w:ascii="Times New Roman" w:eastAsia="Times New Roman" w:hAnsi="Times New Roman"/>
      <w:lang w:eastAsia="en-GB"/>
    </w:rPr>
  </w:style>
  <w:style w:type="paragraph" w:customStyle="1" w:styleId="BVIfnrChar">
    <w:name w:val="BVI fnr Char"/>
    <w:aliases w:val="Appel note de bas de p.;BVI fnr Car Car Car Car, BVI fnr Car Car,BVI fnr Car, BVI fnr Car Car Car Car, BVI fnr Car Car Car Car Char"/>
    <w:basedOn w:val="Normal"/>
    <w:link w:val="FootnoteReference"/>
    <w:uiPriority w:val="99"/>
    <w:rsid w:val="000E796D"/>
    <w:pPr>
      <w:spacing w:line="240" w:lineRule="exact"/>
    </w:pPr>
    <w:rPr>
      <w:rFonts w:cs="Times New Roman"/>
      <w:vertAlign w:val="superscript"/>
    </w:rPr>
  </w:style>
  <w:style w:type="character" w:customStyle="1" w:styleId="Heading1Char">
    <w:name w:val="Heading 1 Char"/>
    <w:basedOn w:val="DefaultParagraphFont"/>
    <w:link w:val="Heading1"/>
    <w:uiPriority w:val="1"/>
    <w:rsid w:val="005561E4"/>
    <w:rPr>
      <w:rFonts w:ascii="Calibri" w:eastAsia="Calibri" w:hAnsi="Calibri" w:cs="Calibri"/>
      <w:b/>
      <w:bCs/>
      <w:sz w:val="28"/>
      <w:szCs w:val="28"/>
      <w:lang w:val="en-US"/>
    </w:rPr>
  </w:style>
  <w:style w:type="paragraph" w:styleId="BodyText">
    <w:name w:val="Body Text"/>
    <w:basedOn w:val="Normal"/>
    <w:link w:val="BodyTextChar"/>
    <w:uiPriority w:val="1"/>
    <w:qFormat/>
    <w:rsid w:val="005561E4"/>
    <w:pPr>
      <w:widowControl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5561E4"/>
    <w:rPr>
      <w:rFonts w:ascii="Calibri" w:eastAsia="Calibri" w:hAnsi="Calibri" w:cs="Calibri"/>
      <w:lang w:val="en-US"/>
    </w:rPr>
  </w:style>
  <w:style w:type="paragraph" w:customStyle="1" w:styleId="TableParagraph">
    <w:name w:val="Table Paragraph"/>
    <w:basedOn w:val="Normal"/>
    <w:uiPriority w:val="1"/>
    <w:qFormat/>
    <w:rsid w:val="005561E4"/>
    <w:pPr>
      <w:widowControl w:val="0"/>
      <w:spacing w:after="0" w:line="240" w:lineRule="auto"/>
    </w:pPr>
    <w:rPr>
      <w:rFonts w:ascii="Calibri" w:eastAsia="Calibri" w:hAnsi="Calibri" w:cs="Calibri"/>
      <w:lang w:val="en-US"/>
    </w:rPr>
  </w:style>
  <w:style w:type="character" w:customStyle="1" w:styleId="Heading2Char">
    <w:name w:val="Heading 2 Char"/>
    <w:basedOn w:val="DefaultParagraphFont"/>
    <w:link w:val="Heading2"/>
    <w:uiPriority w:val="9"/>
    <w:semiHidden/>
    <w:rsid w:val="00C61F48"/>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uiPriority w:val="9"/>
    <w:semiHidden/>
    <w:rsid w:val="00C61F4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C61F48"/>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61F48"/>
    <w:rPr>
      <w:rFonts w:asciiTheme="majorHAnsi" w:eastAsiaTheme="majorEastAsia" w:hAnsiTheme="majorHAnsi" w:cstheme="majorBidi"/>
      <w:i/>
      <w:iCs/>
      <w:color w:val="1F4D78" w:themeColor="accent1" w:themeShade="7F"/>
    </w:rPr>
  </w:style>
  <w:style w:type="character" w:customStyle="1" w:styleId="Heading3Char">
    <w:name w:val="Heading 3 Char"/>
    <w:basedOn w:val="DefaultParagraphFont"/>
    <w:link w:val="Heading3"/>
    <w:uiPriority w:val="1"/>
    <w:rsid w:val="00C61F48"/>
    <w:rPr>
      <w:rFonts w:ascii="Calibri" w:eastAsia="Calibri" w:hAnsi="Calibri" w:cs="Calibri"/>
      <w:b/>
      <w:bCs/>
      <w:sz w:val="24"/>
      <w:szCs w:val="24"/>
      <w:lang w:val="en-US"/>
    </w:rPr>
  </w:style>
  <w:style w:type="paragraph" w:styleId="TOC1">
    <w:name w:val="toc 1"/>
    <w:basedOn w:val="Normal"/>
    <w:uiPriority w:val="1"/>
    <w:qFormat/>
    <w:rsid w:val="00C61F48"/>
    <w:pPr>
      <w:widowControl w:val="0"/>
      <w:spacing w:before="139" w:after="0" w:line="240" w:lineRule="auto"/>
      <w:ind w:left="358" w:hanging="268"/>
    </w:pPr>
    <w:rPr>
      <w:rFonts w:ascii="Calibri" w:eastAsia="Calibri" w:hAnsi="Calibri" w:cs="Calibri"/>
      <w:lang w:val="en-US"/>
    </w:rPr>
  </w:style>
  <w:style w:type="paragraph" w:styleId="TOC2">
    <w:name w:val="toc 2"/>
    <w:basedOn w:val="Normal"/>
    <w:uiPriority w:val="1"/>
    <w:qFormat/>
    <w:rsid w:val="00C61F48"/>
    <w:pPr>
      <w:widowControl w:val="0"/>
      <w:spacing w:before="139" w:after="0" w:line="240" w:lineRule="auto"/>
      <w:ind w:left="1021" w:hanging="660"/>
    </w:pPr>
    <w:rPr>
      <w:rFonts w:ascii="Calibri" w:eastAsia="Calibri" w:hAnsi="Calibri" w:cs="Calibri"/>
      <w:lang w:val="en-US"/>
    </w:rPr>
  </w:style>
  <w:style w:type="paragraph" w:styleId="TOC3">
    <w:name w:val="toc 3"/>
    <w:basedOn w:val="Normal"/>
    <w:uiPriority w:val="1"/>
    <w:qFormat/>
    <w:rsid w:val="00C61F48"/>
    <w:pPr>
      <w:widowControl w:val="0"/>
      <w:spacing w:before="142" w:after="0" w:line="240" w:lineRule="auto"/>
      <w:ind w:left="361"/>
    </w:pPr>
    <w:rPr>
      <w:rFonts w:ascii="Calibri" w:eastAsia="Calibri" w:hAnsi="Calibri" w:cs="Calibri"/>
      <w:i/>
      <w:lang w:val="en-US"/>
    </w:rPr>
  </w:style>
  <w:style w:type="paragraph" w:styleId="TOC4">
    <w:name w:val="toc 4"/>
    <w:basedOn w:val="Normal"/>
    <w:uiPriority w:val="1"/>
    <w:qFormat/>
    <w:rsid w:val="00C61F48"/>
    <w:pPr>
      <w:widowControl w:val="0"/>
      <w:spacing w:before="139" w:after="0" w:line="240" w:lineRule="auto"/>
      <w:ind w:left="1460" w:hanging="881"/>
    </w:pPr>
    <w:rPr>
      <w:rFonts w:ascii="Calibri" w:eastAsia="Calibri" w:hAnsi="Calibri" w:cs="Calibri"/>
      <w:lang w:val="en-US"/>
    </w:rPr>
  </w:style>
  <w:style w:type="paragraph" w:styleId="TOC5">
    <w:name w:val="toc 5"/>
    <w:basedOn w:val="Normal"/>
    <w:uiPriority w:val="1"/>
    <w:qFormat/>
    <w:rsid w:val="00C61F48"/>
    <w:pPr>
      <w:widowControl w:val="0"/>
      <w:spacing w:before="139" w:after="0" w:line="240" w:lineRule="auto"/>
      <w:ind w:left="579"/>
    </w:pPr>
    <w:rPr>
      <w:rFonts w:ascii="Calibri" w:eastAsia="Calibri" w:hAnsi="Calibri" w:cs="Calibri"/>
      <w:b/>
      <w:bCs/>
      <w:i/>
      <w:lang w:val="en-US"/>
    </w:rPr>
  </w:style>
  <w:style w:type="table" w:styleId="TableGrid">
    <w:name w:val="Table Grid"/>
    <w:basedOn w:val="TableNormal"/>
    <w:uiPriority w:val="39"/>
    <w:rsid w:val="00F77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D84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8448F"/>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70979134">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884291692">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tasa.kovacevic@mif.gov.me" TargetMode="External"/><Relationship Id="rId18" Type="http://schemas.openxmlformats.org/officeDocument/2006/relationships/hyperlink" Target="http://www.trpezi.eu/BIHOR%20I%20STUDIJA.html" TargetMode="External"/><Relationship Id="rId26" Type="http://schemas.openxmlformats.org/officeDocument/2006/relationships/hyperlink" Target="mailto:BUDG-C01-EXCL-DB@ec.europa.eu"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NEAR-D1@ec.europa.eu" TargetMode="External"/><Relationship Id="rId17" Type="http://schemas.openxmlformats.org/officeDocument/2006/relationships/image" Target="media/image3.png"/><Relationship Id="rId25" Type="http://schemas.openxmlformats.org/officeDocument/2006/relationships/image" Target="media/image9.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7.png"/><Relationship Id="rId28" Type="http://schemas.openxmlformats.org/officeDocument/2006/relationships/image" Target="media/image11.png"/><Relationship Id="rId10" Type="http://schemas.openxmlformats.org/officeDocument/2006/relationships/footnotes" Target="footnotes.xml"/><Relationship Id="rId19" Type="http://schemas.openxmlformats.org/officeDocument/2006/relationships/hyperlink" Target="http://www.plav.me/uploads/dokumenta/odluke/GUSINJE%20-%20studija.pdf"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ejko.late@financa.gov.al"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eeas.europa.eu/headquarters/headquarters-homepage/8442/consolidated-list-sanc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158</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ratifikimin e marrëveshjes së financimit ndërmjet Republikës së Shqipërisë, përfaqësuar nga Këshilli i Ministrave, Malit të Zi, përfaqësuar nga Zyra e Integrimit Europian, dhe Komisionit Europian për programin e veprimit të bashkëpunimit ndërkufitar IPA II, Mal i Zi-Shqipëri 2014-2020, alokimet për vitin 2019</Titulli>
    <Modifikuesi xmlns="0e656187-b300-4fb0-8bf4-3a50f872073c">valjeta.kaftalli</Modifikuesi>
    <Nr_x002e__x0020_prot_x0020_QBZ xmlns="0e656187-b300-4fb0-8bf4-3a50f872073c">24/4</Nr_x002e__x0020_prot_x0020_QBZ>
    <Data_x0020_e_x0020_Modifikimit xmlns="0e656187-b300-4fb0-8bf4-3a50f872073c">2021-01-12T10:36:04Z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B1E723CAB9472A968FC13C61958B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7ED2C-3AF0-4BA9-8779-8FEECFFD86C7}">
  <ds:schemaRefs>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1C242C73-DB92-4C17-AABA-E495F6F730B7}">
  <ds:schemaRefs>
    <ds:schemaRef ds:uri="http://schemas.microsoft.com/sharepoint/v3/contenttype/forms"/>
  </ds:schemaRefs>
</ds:datastoreItem>
</file>

<file path=customXml/itemProps3.xml><?xml version="1.0" encoding="utf-8"?>
<ds:datastoreItem xmlns:ds="http://schemas.openxmlformats.org/officeDocument/2006/customXml" ds:itemID="{6D5AEA81-3106-4245-B502-6A229A337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3FC719-FF48-4AC9-A176-2A7651C41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94</Pages>
  <Words>43171</Words>
  <Characters>246080</Characters>
  <Application>Microsoft Office Word</Application>
  <DocSecurity>0</DocSecurity>
  <Lines>2050</Lines>
  <Paragraphs>577</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Malit të Zi, përfaqësuar nga Zyra e Integrimit Europian, dhe Komisionit Europian për programin e veprimit të bashkëpunimit ndërkufitar I</vt:lpstr>
    </vt:vector>
  </TitlesOfParts>
  <Company/>
  <LinksUpToDate>false</LinksUpToDate>
  <CharactersWithSpaces>288674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Malit të Zi, përfaqësuar nga Zyra e Integrimit Europian, dhe Komisionit Europian për programin e veprimit të bashkëpunimit ndërkufitar IPA II, Mal i Zi-Shqipëri 2014-2020, alokimet për vitin 2019</dc:title>
  <dc:creator>gazmend.hanku</dc:creator>
  <cp:lastModifiedBy>Ermira Bukaci</cp:lastModifiedBy>
  <cp:revision>204</cp:revision>
  <cp:lastPrinted>2020-12-23T08:27:00Z</cp:lastPrinted>
  <dcterms:created xsi:type="dcterms:W3CDTF">2016-01-20T08:16:00Z</dcterms:created>
  <dcterms:modified xsi:type="dcterms:W3CDTF">2021-01-12T11:12:00Z</dcterms:modified>
</cp:coreProperties>
</file>