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4F558" w14:textId="77777777" w:rsidR="00420682" w:rsidRPr="0091143C" w:rsidRDefault="00420682" w:rsidP="00735D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1143C">
        <w:rPr>
          <w:rFonts w:ascii="Garamond" w:hAnsi="Garamond" w:cs="Times New Roman"/>
          <w:b/>
          <w:sz w:val="24"/>
          <w:szCs w:val="24"/>
        </w:rPr>
        <w:t>LIGJ</w:t>
      </w:r>
    </w:p>
    <w:p w14:paraId="31A4F55A" w14:textId="77777777" w:rsidR="00420682" w:rsidRPr="0091143C" w:rsidRDefault="002009A1" w:rsidP="00735D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1143C">
        <w:rPr>
          <w:rFonts w:ascii="Garamond" w:hAnsi="Garamond" w:cs="Times New Roman"/>
          <w:b/>
          <w:sz w:val="24"/>
          <w:szCs w:val="24"/>
        </w:rPr>
        <w:t xml:space="preserve">Nr. </w:t>
      </w:r>
      <w:r w:rsidR="00FA2515" w:rsidRPr="0091143C">
        <w:rPr>
          <w:rFonts w:ascii="Garamond" w:hAnsi="Garamond" w:cs="Times New Roman"/>
          <w:b/>
          <w:sz w:val="24"/>
          <w:szCs w:val="24"/>
        </w:rPr>
        <w:t>166</w:t>
      </w:r>
      <w:r w:rsidR="001C7EC0" w:rsidRPr="0091143C">
        <w:rPr>
          <w:rFonts w:ascii="Garamond" w:hAnsi="Garamond" w:cs="Times New Roman"/>
          <w:b/>
          <w:sz w:val="24"/>
          <w:szCs w:val="24"/>
        </w:rPr>
        <w:t>/2020</w:t>
      </w:r>
    </w:p>
    <w:p w14:paraId="31A4F55B" w14:textId="77777777" w:rsidR="003F34EA" w:rsidRPr="0091143C" w:rsidRDefault="003F34EA" w:rsidP="00735DA2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31A4F55C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1143C">
        <w:rPr>
          <w:rFonts w:ascii="Garamond" w:hAnsi="Garamond" w:cs="Times New Roman"/>
          <w:b/>
          <w:bCs/>
          <w:sz w:val="24"/>
          <w:szCs w:val="24"/>
        </w:rPr>
        <w:t>PËR DISA NDRYSHIME DHE SHTESA NË LIGJIN NR.</w:t>
      </w:r>
      <w:r w:rsidR="001A7216" w:rsidRPr="0091143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/>
          <w:bCs/>
          <w:sz w:val="24"/>
          <w:szCs w:val="24"/>
        </w:rPr>
        <w:t xml:space="preserve">8097, DATË 21.3.1996, “PËR PENSIONET SHTETËRORE SUPLEMENTARE TË PERSONAVE QË KRYEJNË FUNKSIONE KUSHTETUESE DHE TË PUNONJËSVE TË SHTETIT”, </w:t>
      </w:r>
    </w:p>
    <w:p w14:paraId="31A4F55D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1143C">
        <w:rPr>
          <w:rFonts w:ascii="Garamond" w:hAnsi="Garamond" w:cs="Times New Roman"/>
          <w:b/>
          <w:bCs/>
          <w:sz w:val="24"/>
          <w:szCs w:val="24"/>
        </w:rPr>
        <w:t>TË NDRYSHUAR</w:t>
      </w:r>
    </w:p>
    <w:p w14:paraId="31A4F55E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5F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 xml:space="preserve">Në mbështetje të neneve 78 e 83, pika 1, të Kushtetutës, me propozimin e Këshillit të Ministrave, </w:t>
      </w:r>
    </w:p>
    <w:p w14:paraId="31A4F560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61" w14:textId="5DB30C45" w:rsidR="003E38DB" w:rsidRPr="0091143C" w:rsidRDefault="00735DA2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KUVEND</w:t>
      </w:r>
      <w:r w:rsidR="003E38DB" w:rsidRPr="0091143C">
        <w:rPr>
          <w:rFonts w:ascii="Garamond" w:hAnsi="Garamond" w:cs="Times New Roman"/>
          <w:bCs/>
          <w:sz w:val="24"/>
          <w:szCs w:val="24"/>
        </w:rPr>
        <w:t>I</w:t>
      </w:r>
    </w:p>
    <w:p w14:paraId="31A4F563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31A4F564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1A4F565" w14:textId="4A2680AE" w:rsidR="003E38DB" w:rsidRPr="0091143C" w:rsidRDefault="00735DA2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VENDOS</w:t>
      </w:r>
      <w:r w:rsidR="003E38DB" w:rsidRPr="0091143C">
        <w:rPr>
          <w:rFonts w:ascii="Garamond" w:hAnsi="Garamond" w:cs="Times New Roman"/>
          <w:bCs/>
          <w:sz w:val="24"/>
          <w:szCs w:val="24"/>
        </w:rPr>
        <w:t>I:</w:t>
      </w:r>
    </w:p>
    <w:p w14:paraId="31A4F566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67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Në ligjin nr. 8097, datë 21.3.1996, “Për pensionet shtetërore suplementare të personave që kryejnë funksione kushtetuese dhe të punonjësve të shtetit”, të ndryshuar, bëhen këto ndryshime dhe shtesa:</w:t>
      </w:r>
    </w:p>
    <w:p w14:paraId="31A4F568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69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Neni 1</w:t>
      </w:r>
    </w:p>
    <w:p w14:paraId="31A4F56A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6B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 xml:space="preserve">Në nenin 1 bëhen këto ndryshime dhe shtesa: </w:t>
      </w:r>
    </w:p>
    <w:p w14:paraId="31A4F56C" w14:textId="322789D1" w:rsidR="003E38DB" w:rsidRPr="0091143C" w:rsidRDefault="001A7216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1.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Pika 7 ndryshohet si më poshtë</w:t>
      </w:r>
      <w:r w:rsidR="003E38DB" w:rsidRPr="0091143C">
        <w:rPr>
          <w:rFonts w:ascii="Garamond" w:hAnsi="Garamond" w:cs="Times New Roman"/>
          <w:bCs/>
          <w:sz w:val="24"/>
          <w:szCs w:val="24"/>
        </w:rPr>
        <w:t>:</w:t>
      </w:r>
    </w:p>
    <w:p w14:paraId="31A4F56D" w14:textId="4E0160D1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“7.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Me termin “pagë referuese” kuptohet paga e muajit më të fundit, sipas legjislacionit në fuqi që zbatohet për atë funksion a detyrë. </w:t>
      </w:r>
    </w:p>
    <w:p w14:paraId="31A4F56E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Për funksionet e parashikuara dhe të referuara në ligjin nr.</w:t>
      </w:r>
      <w:r w:rsidR="001A7216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="00F45F06" w:rsidRPr="0091143C">
        <w:rPr>
          <w:rFonts w:ascii="Garamond" w:hAnsi="Garamond" w:cs="Times New Roman"/>
          <w:bCs/>
          <w:sz w:val="24"/>
          <w:szCs w:val="24"/>
        </w:rPr>
        <w:t>96/2016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“Për statusin e gjyqtarëve dhe prokurorëve në Republik</w:t>
      </w:r>
      <w:r w:rsidR="001A7216" w:rsidRPr="0091143C">
        <w:rPr>
          <w:rFonts w:ascii="Garamond" w:hAnsi="Garamond" w:cs="Times New Roman"/>
          <w:bCs/>
          <w:sz w:val="24"/>
          <w:szCs w:val="24"/>
        </w:rPr>
        <w:t>ën e Shqipërisë”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dhe për funksionet, paga e të cilëve referohet te ligji i sipërcituar, me termin “pagë referuese” kuptohet:</w:t>
      </w:r>
    </w:p>
    <w:p w14:paraId="31A4F56F" w14:textId="3DD9B980" w:rsidR="003E38DB" w:rsidRPr="0091143C" w:rsidRDefault="00CC2484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="003E38DB" w:rsidRPr="0091143C">
        <w:rPr>
          <w:rFonts w:ascii="Garamond" w:hAnsi="Garamond" w:cs="Times New Roman"/>
          <w:bCs/>
          <w:sz w:val="24"/>
          <w:szCs w:val="24"/>
        </w:rPr>
        <w:t>a)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="003E38DB" w:rsidRPr="0091143C">
        <w:rPr>
          <w:rFonts w:ascii="Garamond" w:hAnsi="Garamond" w:cs="Times New Roman"/>
          <w:bCs/>
          <w:sz w:val="24"/>
          <w:szCs w:val="24"/>
        </w:rPr>
        <w:t>për personat, të cilët kanë vite shërbimi deri më 31.12.2018, pavarësisht datës së lindjes të së drejtës për përfitim, paga e muajit të fundit që zbatohej për atë funksion apo detyrë, sipas legjislacionit në fuqi, deri në datën 31.12.2018;</w:t>
      </w:r>
    </w:p>
    <w:p w14:paraId="31A4F570" w14:textId="0829CA2C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b)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për personat, të cilët kanë vite shërbimi pas datës 1.1.2019, paga e muajit të fundit që zbatohet për atë funksion, sipas legjislacionit në fuqi, në</w:t>
      </w:r>
      <w:r w:rsidR="00CC2484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momentin e lindjes të së drejtës për përfitim, por në asnjë rast kjo pagë referuese nuk e tejkalon pagën e Presidentit të Republikës; </w:t>
      </w:r>
    </w:p>
    <w:p w14:paraId="31A4F571" w14:textId="60944B2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c)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për personat, të cilët kanë vite shërbimi para dhe pas datës 31.12.2018, paga referuese për periudhën e shërbimit është paga mesatare mujore referuese që llogaritet si raport i shumës së pagave referuese të të gjitha funksioneve e detyrave që kanë gëzuar personat, respektivisht sipas përcaktimeve të shkronjave “a” dhe “b”, me shumën e muajve që njihet si periudhë shërbimi për të gjitha funksionet e detyrat, por në asnjë rast kjo pagë referuese nuk e tejkalon pagën e Presidentit të Republikës. </w:t>
      </w:r>
    </w:p>
    <w:p w14:paraId="31A4F573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Paga referuese është bazë e llogaritjes së pensioneve suplementare dhe e pagesës kalimtare.”.</w:t>
      </w:r>
    </w:p>
    <w:p w14:paraId="31A4F574" w14:textId="006CF939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2.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Në pikën 8, “Grupi i parë”, bëhen këto shtesa dhe ndryshime: </w:t>
      </w:r>
    </w:p>
    <w:p w14:paraId="31A4F575" w14:textId="2B2A0F51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a)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Në shkronjën “a” shtohen funksionet:</w:t>
      </w:r>
    </w:p>
    <w:p w14:paraId="31A4F576" w14:textId="46E39FA4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Kryetar i Kolegjit të Posaçëm të Apelimit;</w:t>
      </w:r>
    </w:p>
    <w:p w14:paraId="31A4F577" w14:textId="599CE5F5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Komisioneri Publik;</w:t>
      </w:r>
    </w:p>
    <w:p w14:paraId="31A4F578" w14:textId="68305AB4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Kryetar i Komisionit të Pavarur të Kualifikimit; </w:t>
      </w:r>
    </w:p>
    <w:p w14:paraId="31A4F579" w14:textId="08D1F3E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Kryetar i Këshillit të Lartë Gjyqësor;</w:t>
      </w:r>
    </w:p>
    <w:p w14:paraId="31A4F57A" w14:textId="3A99F77C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Kryetar i Këshillit të Lartë të Prokurorisë;</w:t>
      </w:r>
    </w:p>
    <w:p w14:paraId="31A4F57B" w14:textId="49DD9AE3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Drejtues i Strukturës së Posaçme të Antikorrupsionit dhe Krimit të</w:t>
      </w:r>
      <w:r w:rsidR="00CC2484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Organizuar;</w:t>
      </w:r>
    </w:p>
    <w:p w14:paraId="31A4F57C" w14:textId="1E2CBC8F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b)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Në shkronjën “b” shtohen funksionet: </w:t>
      </w:r>
    </w:p>
    <w:p w14:paraId="31A4F57D" w14:textId="033DC14F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lastRenderedPageBreak/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Gjyqtar i Kolegjit të Posaçëm të Apelimit;</w:t>
      </w:r>
    </w:p>
    <w:p w14:paraId="31A4F57E" w14:textId="3893051C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Komisioner i Komisionit të Pavarur të Kualifikimit;</w:t>
      </w:r>
    </w:p>
    <w:p w14:paraId="31A4F57F" w14:textId="28F88FD5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Anëtar i Këshillit të Lartë Gjyqësor;</w:t>
      </w:r>
    </w:p>
    <w:p w14:paraId="31A4F580" w14:textId="7BA8A12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Anëtar i Këshillit të Lartë të Prokurorisë;</w:t>
      </w:r>
    </w:p>
    <w:p w14:paraId="31A4F581" w14:textId="71A036C2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Inspektori i Lartë i Drejtësisë;</w:t>
      </w:r>
    </w:p>
    <w:p w14:paraId="31A4F582" w14:textId="7D515C95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Drejtor i Shkollës së Magjistraturës.</w:t>
      </w:r>
    </w:p>
    <w:p w14:paraId="31A4F583" w14:textId="4F0370E6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c)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Në shkronjën “b”, funksioni “</w:t>
      </w:r>
      <w:r w:rsidR="00F45F06" w:rsidRPr="0091143C">
        <w:rPr>
          <w:rFonts w:ascii="Garamond" w:hAnsi="Garamond" w:cs="Times New Roman"/>
          <w:bCs/>
          <w:sz w:val="24"/>
          <w:szCs w:val="24"/>
        </w:rPr>
        <w:t>Zëvendëskryetar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i Këshillit të Lartë të Drejtësisë” shfuqizohet.</w:t>
      </w:r>
    </w:p>
    <w:p w14:paraId="31A4F584" w14:textId="25BAE599" w:rsidR="003E38DB" w:rsidRPr="0091143C" w:rsidRDefault="00607595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3.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Në pikën 9</w:t>
      </w:r>
      <w:r w:rsidR="006C3A72" w:rsidRPr="0091143C">
        <w:rPr>
          <w:rFonts w:ascii="Garamond" w:hAnsi="Garamond" w:cs="Times New Roman"/>
          <w:bCs/>
          <w:sz w:val="24"/>
          <w:szCs w:val="24"/>
        </w:rPr>
        <w:t>,</w:t>
      </w:r>
      <w:r w:rsidR="003E38DB" w:rsidRPr="0091143C">
        <w:rPr>
          <w:rFonts w:ascii="Garamond" w:hAnsi="Garamond" w:cs="Times New Roman"/>
          <w:bCs/>
          <w:sz w:val="24"/>
          <w:szCs w:val="24"/>
        </w:rPr>
        <w:t xml:space="preserve"> “Grupi i dytë”, bëhen këto shtesa:</w:t>
      </w:r>
    </w:p>
    <w:p w14:paraId="31A4F585" w14:textId="37EEAD06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a)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Në shkronjën “a” shtohen funksionet: </w:t>
      </w:r>
    </w:p>
    <w:p w14:paraId="31A4F586" w14:textId="2E4633FF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Sekretar i Përgjithshëm i Kolegjit të Posaçëm të Apelimit;</w:t>
      </w:r>
    </w:p>
    <w:p w14:paraId="31A4F587" w14:textId="44ABEDB2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Sekretar i Përgjithshëm i Komisionit të Pavarur të Kualifikimit; </w:t>
      </w:r>
    </w:p>
    <w:p w14:paraId="31A4F588" w14:textId="7F7EAA40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Kancelar i Komisionerit Publik; </w:t>
      </w:r>
    </w:p>
    <w:p w14:paraId="31A4F589" w14:textId="41A6DDD2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Sekretar i Përgjithshëm </w:t>
      </w:r>
      <w:r w:rsidR="001A7216" w:rsidRPr="0091143C">
        <w:rPr>
          <w:rFonts w:ascii="Garamond" w:hAnsi="Garamond" w:cs="Times New Roman"/>
          <w:bCs/>
          <w:sz w:val="24"/>
          <w:szCs w:val="24"/>
        </w:rPr>
        <w:t xml:space="preserve">i </w:t>
      </w:r>
      <w:r w:rsidRPr="0091143C">
        <w:rPr>
          <w:rFonts w:ascii="Garamond" w:hAnsi="Garamond" w:cs="Times New Roman"/>
          <w:bCs/>
          <w:sz w:val="24"/>
          <w:szCs w:val="24"/>
        </w:rPr>
        <w:t>Këshillit të Lartë Gjyqësor;</w:t>
      </w:r>
    </w:p>
    <w:p w14:paraId="31A4F58A" w14:textId="2DB23C1A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Sekretar i Përgjithshëm </w:t>
      </w:r>
      <w:r w:rsidR="001A7216" w:rsidRPr="0091143C">
        <w:rPr>
          <w:rFonts w:ascii="Garamond" w:hAnsi="Garamond" w:cs="Times New Roman"/>
          <w:bCs/>
          <w:sz w:val="24"/>
          <w:szCs w:val="24"/>
        </w:rPr>
        <w:t xml:space="preserve">i </w:t>
      </w:r>
      <w:r w:rsidRPr="0091143C">
        <w:rPr>
          <w:rFonts w:ascii="Garamond" w:hAnsi="Garamond" w:cs="Times New Roman"/>
          <w:bCs/>
          <w:sz w:val="24"/>
          <w:szCs w:val="24"/>
        </w:rPr>
        <w:t>Këshillit të Lartë të Prokurorisë;</w:t>
      </w:r>
    </w:p>
    <w:p w14:paraId="31A4F58B" w14:textId="26CA2C72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Sekretar i Përgjithshëm në Inspektoratin e Lartë të Drejtësisë;</w:t>
      </w:r>
    </w:p>
    <w:p w14:paraId="31A4F58C" w14:textId="6DD4BA62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Magjistrat;</w:t>
      </w:r>
    </w:p>
    <w:p w14:paraId="31A4F58D" w14:textId="1D5BC6BB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Pedagog i brendshëm</w:t>
      </w:r>
      <w:r w:rsidR="006C3A72" w:rsidRPr="0091143C">
        <w:rPr>
          <w:rFonts w:ascii="Garamond" w:hAnsi="Garamond" w:cs="Times New Roman"/>
          <w:bCs/>
          <w:sz w:val="24"/>
          <w:szCs w:val="24"/>
        </w:rPr>
        <w:t xml:space="preserve"> në Shkollën e Magjistraturës.</w:t>
      </w:r>
    </w:p>
    <w:p w14:paraId="31A4F58E" w14:textId="0C3B5D16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b)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Në shkronjën “d” shtohen funksionet: </w:t>
      </w:r>
    </w:p>
    <w:p w14:paraId="31A4F58F" w14:textId="241E31F6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Këshilltar i Kolegjit të Posaçëm të Apelimit;</w:t>
      </w:r>
    </w:p>
    <w:p w14:paraId="31A4F590" w14:textId="103E6D4D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Këshilltar i Komisionit të Pavarur të Kualifikimit;</w:t>
      </w:r>
    </w:p>
    <w:p w14:paraId="31A4F591" w14:textId="39C1058F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Këshilltar i Komisionerit Publik;</w:t>
      </w:r>
    </w:p>
    <w:p w14:paraId="31A4F592" w14:textId="1E9B0F42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Kancelar në Shkollën e Magjistraturës;</w:t>
      </w:r>
    </w:p>
    <w:p w14:paraId="31A4F593" w14:textId="03CA8510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-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Punonjës të tjerë të barazueshëm me ta, sipas përcaktimeve me vendim të Këshillit të Ministrave.”.</w:t>
      </w:r>
    </w:p>
    <w:p w14:paraId="31A4F594" w14:textId="638F2C4F" w:rsidR="003E38DB" w:rsidRPr="0091143C" w:rsidRDefault="006C3A72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4.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Pika 11 ndryshohet si më poshtë</w:t>
      </w:r>
      <w:r w:rsidR="003E38DB" w:rsidRPr="0091143C">
        <w:rPr>
          <w:rFonts w:ascii="Garamond" w:hAnsi="Garamond" w:cs="Times New Roman"/>
          <w:bCs/>
          <w:sz w:val="24"/>
          <w:szCs w:val="24"/>
        </w:rPr>
        <w:t>:</w:t>
      </w:r>
    </w:p>
    <w:p w14:paraId="31A4F595" w14:textId="50445A1F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“11.</w:t>
      </w:r>
      <w:r w:rsidR="00735DA2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>Me termin “pagesë kalimtare” kuptohet pagesa që përfitojnë personat, subjekt i këtij ligji, pas ndërprerjes së funksionit ose kur punësohen në një funksion me pagë më të ulët se paga pararendëse. Për efekt të këtij ligji, dorëheqja, alternimi i funksionit titullar me anëtar brenda institucionit nuk konsiderohet ndërprerje e funksionit. ”.</w:t>
      </w:r>
    </w:p>
    <w:p w14:paraId="31A4F596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97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Neni 2</w:t>
      </w:r>
    </w:p>
    <w:p w14:paraId="31A4F598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99" w14:textId="77777777" w:rsidR="003E38DB" w:rsidRPr="0091143C" w:rsidRDefault="006C3A72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Në nenin 7 fjalët “pas largimit nga funksioni</w:t>
      </w:r>
      <w:r w:rsidR="00F45F06" w:rsidRPr="0091143C">
        <w:rPr>
          <w:rFonts w:ascii="Garamond" w:hAnsi="Garamond" w:cs="Times New Roman"/>
          <w:bCs/>
          <w:sz w:val="24"/>
          <w:szCs w:val="24"/>
        </w:rPr>
        <w:t>”</w:t>
      </w:r>
      <w:r w:rsidR="003E38DB" w:rsidRPr="0091143C">
        <w:rPr>
          <w:rFonts w:ascii="Garamond" w:hAnsi="Garamond" w:cs="Times New Roman"/>
          <w:bCs/>
          <w:sz w:val="24"/>
          <w:szCs w:val="24"/>
        </w:rPr>
        <w:t xml:space="preserve"> zëvendësohen me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fjalët “</w:t>
      </w:r>
      <w:r w:rsidR="003E38DB" w:rsidRPr="0091143C">
        <w:rPr>
          <w:rFonts w:ascii="Garamond" w:hAnsi="Garamond" w:cs="Times New Roman"/>
          <w:bCs/>
          <w:sz w:val="24"/>
          <w:szCs w:val="24"/>
        </w:rPr>
        <w:t>p</w:t>
      </w:r>
      <w:r w:rsidRPr="0091143C">
        <w:rPr>
          <w:rFonts w:ascii="Garamond" w:hAnsi="Garamond" w:cs="Times New Roman"/>
          <w:bCs/>
          <w:sz w:val="24"/>
          <w:szCs w:val="24"/>
        </w:rPr>
        <w:t>as ndërprerjes së funksionit</w:t>
      </w:r>
      <w:r w:rsidR="003E38DB" w:rsidRPr="0091143C">
        <w:rPr>
          <w:rFonts w:ascii="Garamond" w:hAnsi="Garamond" w:cs="Times New Roman"/>
          <w:bCs/>
          <w:sz w:val="24"/>
          <w:szCs w:val="24"/>
        </w:rPr>
        <w:t>”.</w:t>
      </w:r>
    </w:p>
    <w:p w14:paraId="31A4F59A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9B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Neni 3</w:t>
      </w:r>
    </w:p>
    <w:p w14:paraId="31A4F59C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9D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Në fu</w:t>
      </w:r>
      <w:r w:rsidR="001A7216" w:rsidRPr="0091143C">
        <w:rPr>
          <w:rFonts w:ascii="Garamond" w:hAnsi="Garamond" w:cs="Times New Roman"/>
          <w:bCs/>
          <w:sz w:val="24"/>
          <w:szCs w:val="24"/>
        </w:rPr>
        <w:t>nd të nenit 9 shtohet paragrafi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me këtë përmbajtje: </w:t>
      </w:r>
    </w:p>
    <w:p w14:paraId="31A4F59F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“Për personat, të cilët kanë kryer funksionet e parashikuara dhe të referuara në ligjin nr.</w:t>
      </w:r>
      <w:r w:rsidR="001A7216" w:rsidRPr="0091143C">
        <w:rPr>
          <w:rFonts w:ascii="Garamond" w:hAnsi="Garamond" w:cs="Times New Roman"/>
          <w:bCs/>
          <w:sz w:val="24"/>
          <w:szCs w:val="24"/>
        </w:rPr>
        <w:t xml:space="preserve"> 96/2016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“Për statusin e gjyqtarëve dhe prokurorëve në Republikën e Shqipërisë”, të ndryshuar, dhe për funksionet, paga e të cilëve referohet te ligji i sipërcituar, masa e pensionit llogaritet sipas përcaktimeve të bëra në këtë nen, por llogaritja e përfitimit për periudhat e shërbimit të kryera nga individët dhe të njohura si të tilla nga ky ligj bëhet sipas pagave referuese respek</w:t>
      </w:r>
      <w:r w:rsidR="001A7216" w:rsidRPr="0091143C">
        <w:rPr>
          <w:rFonts w:ascii="Garamond" w:hAnsi="Garamond" w:cs="Times New Roman"/>
          <w:bCs/>
          <w:sz w:val="24"/>
          <w:szCs w:val="24"/>
        </w:rPr>
        <w:t>tive, të përcaktuara në pikën 7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të</w:t>
      </w:r>
      <w:r w:rsidR="001A7216" w:rsidRPr="0091143C">
        <w:rPr>
          <w:rFonts w:ascii="Garamond" w:hAnsi="Garamond" w:cs="Times New Roman"/>
          <w:bCs/>
          <w:sz w:val="24"/>
          <w:szCs w:val="24"/>
        </w:rPr>
        <w:t xml:space="preserve"> nenit 1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të këtij ligji”. </w:t>
      </w:r>
    </w:p>
    <w:p w14:paraId="31A4F5A0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A1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Neni 4</w:t>
      </w:r>
    </w:p>
    <w:p w14:paraId="31A4F5A2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A3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Në fun</w:t>
      </w:r>
      <w:r w:rsidR="001A7216" w:rsidRPr="0091143C">
        <w:rPr>
          <w:rFonts w:ascii="Garamond" w:hAnsi="Garamond" w:cs="Times New Roman"/>
          <w:bCs/>
          <w:sz w:val="24"/>
          <w:szCs w:val="24"/>
        </w:rPr>
        <w:t>d të nenit 11 shtohet paragrafi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31A4F5A4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“Për personat, të cilët kanë kryer funksionet e parashikuara dhe të referuara në ligjin nr.</w:t>
      </w:r>
      <w:r w:rsidR="001A7216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96/2016, “Për statusin e gjyqtarëve dhe prokurorëve në Republikën e Shqipërisë”, të ndryshuar, </w:t>
      </w:r>
      <w:r w:rsidRPr="0091143C">
        <w:rPr>
          <w:rFonts w:ascii="Garamond" w:hAnsi="Garamond" w:cs="Times New Roman"/>
          <w:bCs/>
          <w:sz w:val="24"/>
          <w:szCs w:val="24"/>
        </w:rPr>
        <w:lastRenderedPageBreak/>
        <w:t>dhe për funksionet paga e të cilëve referohet te ligji i sipërcituar, masa e pensionit llogaritet sipas përcaktimeve të bëra në këtë nen, por periudhat e shërbimit të kryera nga individët vlerësohen sipas pagave referuese respekti</w:t>
      </w:r>
      <w:r w:rsidR="00F45F06" w:rsidRPr="0091143C">
        <w:rPr>
          <w:rFonts w:ascii="Garamond" w:hAnsi="Garamond" w:cs="Times New Roman"/>
          <w:bCs/>
          <w:sz w:val="24"/>
          <w:szCs w:val="24"/>
        </w:rPr>
        <w:t>ve,</w:t>
      </w:r>
      <w:r w:rsidR="001A7216" w:rsidRPr="0091143C">
        <w:rPr>
          <w:rFonts w:ascii="Garamond" w:hAnsi="Garamond" w:cs="Times New Roman"/>
          <w:bCs/>
          <w:sz w:val="24"/>
          <w:szCs w:val="24"/>
        </w:rPr>
        <w:t xml:space="preserve"> të përcaktuara në pikën 7 të nenit 1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të këtij ligji.”. </w:t>
      </w:r>
    </w:p>
    <w:p w14:paraId="31A4F5A5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A6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Neni 5</w:t>
      </w:r>
    </w:p>
    <w:p w14:paraId="31A4F5A7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A8" w14:textId="72CE0EF5" w:rsidR="003E38DB" w:rsidRPr="0091143C" w:rsidRDefault="001A7216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Pas nenit 17 shtohet neni 17/1</w:t>
      </w:r>
      <w:r w:rsidR="00CC2484" w:rsidRPr="0091143C">
        <w:rPr>
          <w:rFonts w:ascii="Garamond" w:hAnsi="Garamond" w:cs="Times New Roman"/>
          <w:bCs/>
          <w:sz w:val="24"/>
          <w:szCs w:val="24"/>
        </w:rPr>
        <w:t xml:space="preserve"> </w:t>
      </w:r>
      <w:r w:rsidR="003E38DB" w:rsidRPr="0091143C">
        <w:rPr>
          <w:rFonts w:ascii="Garamond" w:hAnsi="Garamond" w:cs="Times New Roman"/>
          <w:bCs/>
          <w:sz w:val="24"/>
          <w:szCs w:val="24"/>
        </w:rPr>
        <w:t>me këtë përmbajtje:</w:t>
      </w:r>
    </w:p>
    <w:p w14:paraId="31A4F5A9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AA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“Neni 17/1</w:t>
      </w:r>
    </w:p>
    <w:p w14:paraId="31A4F5AC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1143C">
        <w:rPr>
          <w:rFonts w:ascii="Garamond" w:hAnsi="Garamond" w:cs="Times New Roman"/>
          <w:b/>
          <w:bCs/>
          <w:sz w:val="24"/>
          <w:szCs w:val="24"/>
        </w:rPr>
        <w:t>Indeksimi i pagës referuese</w:t>
      </w:r>
    </w:p>
    <w:p w14:paraId="31A4F5AD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AE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Paga referues</w:t>
      </w:r>
      <w:r w:rsidR="001A7216" w:rsidRPr="0091143C">
        <w:rPr>
          <w:rFonts w:ascii="Garamond" w:hAnsi="Garamond" w:cs="Times New Roman"/>
          <w:bCs/>
          <w:sz w:val="24"/>
          <w:szCs w:val="24"/>
        </w:rPr>
        <w:t>e e përcaktuar në shkronjën “a” të pikës 7 të nenit 1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të këtij ligji, mbi të cilën llogariten pensionet shtetër</w:t>
      </w:r>
      <w:r w:rsidR="001A7216" w:rsidRPr="0091143C">
        <w:rPr>
          <w:rFonts w:ascii="Garamond" w:hAnsi="Garamond" w:cs="Times New Roman"/>
          <w:bCs/>
          <w:sz w:val="24"/>
          <w:szCs w:val="24"/>
        </w:rPr>
        <w:t>ore suplementare për personat q</w:t>
      </w:r>
      <w:r w:rsidRPr="0091143C">
        <w:rPr>
          <w:rFonts w:ascii="Garamond" w:hAnsi="Garamond" w:cs="Times New Roman"/>
          <w:bCs/>
          <w:sz w:val="24"/>
          <w:szCs w:val="24"/>
        </w:rPr>
        <w:t>ë kanë kryer funksionet e parashikuara dhe të referuara në ligjin nr.</w:t>
      </w:r>
      <w:r w:rsidR="001A7216" w:rsidRPr="0091143C">
        <w:rPr>
          <w:rFonts w:ascii="Garamond" w:hAnsi="Garamond" w:cs="Times New Roman"/>
          <w:bCs/>
          <w:sz w:val="24"/>
          <w:szCs w:val="24"/>
        </w:rPr>
        <w:t xml:space="preserve"> 96/2016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“Për statusin e gjyqtarëve dhe prokurorëve në Republikën e Shqipërisë”, të ndryshuar, dhe për funksionet, paga e të cilëve referohet te ligji i sipërcituar, indeksohet sipas indeksit të çmimeve të konsumit deri në datën e lindjes së të drejtës për përfitim. </w:t>
      </w:r>
    </w:p>
    <w:p w14:paraId="31A4F5AF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Procedurat e indeksimit të pagës referuese sipas funksioneve përcaktohen me vendim t</w:t>
      </w:r>
      <w:r w:rsidR="001A7216" w:rsidRPr="0091143C">
        <w:rPr>
          <w:rFonts w:ascii="Garamond" w:hAnsi="Garamond" w:cs="Times New Roman"/>
          <w:bCs/>
          <w:sz w:val="24"/>
          <w:szCs w:val="24"/>
        </w:rPr>
        <w:t>ë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 Këshillit të Ministrave.”.</w:t>
      </w:r>
    </w:p>
    <w:p w14:paraId="31A4F5B0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B1" w14:textId="77777777" w:rsidR="003E38DB" w:rsidRPr="0091143C" w:rsidRDefault="003E38DB" w:rsidP="00735DA2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>Neni 6</w:t>
      </w:r>
    </w:p>
    <w:p w14:paraId="31A4F5B2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A4F5B3" w14:textId="77777777" w:rsidR="003E38DB" w:rsidRPr="0091143C" w:rsidRDefault="003E38DB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 xml:space="preserve">Ky ligj hyn </w:t>
      </w:r>
      <w:r w:rsidR="006C3A72" w:rsidRPr="0091143C">
        <w:rPr>
          <w:rFonts w:ascii="Garamond" w:hAnsi="Garamond" w:cs="Times New Roman"/>
          <w:bCs/>
          <w:sz w:val="24"/>
          <w:szCs w:val="24"/>
        </w:rPr>
        <w:t>në fuqi 15 ditë pas botimit në Fletoren Zyrtare</w:t>
      </w:r>
      <w:r w:rsidRPr="0091143C">
        <w:rPr>
          <w:rFonts w:ascii="Garamond" w:hAnsi="Garamond" w:cs="Times New Roman"/>
          <w:bCs/>
          <w:sz w:val="24"/>
          <w:szCs w:val="24"/>
        </w:rPr>
        <w:t xml:space="preserve">. </w:t>
      </w:r>
    </w:p>
    <w:p w14:paraId="31A4F5B9" w14:textId="77777777" w:rsidR="00976A3C" w:rsidRPr="0091143C" w:rsidRDefault="00976A3C" w:rsidP="00735DA2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1A4F5BA" w14:textId="78CD1C11" w:rsidR="00976A3C" w:rsidRPr="0091143C" w:rsidRDefault="00976A3C" w:rsidP="00735D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1143C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6C3A72" w:rsidRPr="0091143C">
        <w:rPr>
          <w:rFonts w:ascii="Garamond" w:hAnsi="Garamond" w:cs="Times New Roman"/>
          <w:bCs/>
          <w:sz w:val="24"/>
          <w:szCs w:val="24"/>
        </w:rPr>
        <w:t>23</w:t>
      </w:r>
      <w:r w:rsidR="00146D52" w:rsidRPr="0091143C">
        <w:rPr>
          <w:rFonts w:ascii="Garamond" w:hAnsi="Garamond" w:cs="Times New Roman"/>
          <w:bCs/>
          <w:sz w:val="24"/>
          <w:szCs w:val="24"/>
        </w:rPr>
        <w:t>.1</w:t>
      </w:r>
      <w:r w:rsidR="006C3A72" w:rsidRPr="0091143C">
        <w:rPr>
          <w:rFonts w:ascii="Garamond" w:hAnsi="Garamond" w:cs="Times New Roman"/>
          <w:bCs/>
          <w:sz w:val="24"/>
          <w:szCs w:val="24"/>
        </w:rPr>
        <w:t>2</w:t>
      </w:r>
      <w:r w:rsidR="00146D52" w:rsidRPr="0091143C">
        <w:rPr>
          <w:rFonts w:ascii="Garamond" w:hAnsi="Garamond" w:cs="Times New Roman"/>
          <w:bCs/>
          <w:sz w:val="24"/>
          <w:szCs w:val="24"/>
        </w:rPr>
        <w:t>.</w:t>
      </w:r>
      <w:r w:rsidR="001C7EC0" w:rsidRPr="0091143C">
        <w:rPr>
          <w:rFonts w:ascii="Garamond" w:hAnsi="Garamond" w:cs="Times New Roman"/>
          <w:bCs/>
          <w:sz w:val="24"/>
          <w:szCs w:val="24"/>
        </w:rPr>
        <w:t>2020</w:t>
      </w:r>
      <w:r w:rsidR="0091143C">
        <w:rPr>
          <w:rFonts w:ascii="Garamond" w:hAnsi="Garamond" w:cs="Times New Roman"/>
          <w:bCs/>
          <w:sz w:val="24"/>
          <w:szCs w:val="24"/>
        </w:rPr>
        <w:t>.</w:t>
      </w:r>
    </w:p>
    <w:p w14:paraId="31A4F5BB" w14:textId="77777777" w:rsidR="004E0C11" w:rsidRPr="0091143C" w:rsidRDefault="004E0C11" w:rsidP="003F34E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F95EFA" w14:textId="533FA888" w:rsidR="00583E2A" w:rsidRPr="00583E2A" w:rsidRDefault="00583E2A" w:rsidP="00583E2A">
      <w:pPr>
        <w:rPr>
          <w:rFonts w:ascii="Garamond" w:eastAsia="Times New Roman" w:hAnsi="Garamond" w:cs="Times New Roman"/>
          <w:b/>
          <w:sz w:val="24"/>
          <w:szCs w:val="24"/>
        </w:rPr>
      </w:pPr>
      <w:r w:rsidRPr="00583E2A">
        <w:rPr>
          <w:rFonts w:ascii="Garamond" w:eastAsia="Times New Roman" w:hAnsi="Garamond" w:cs="Times New Roman"/>
          <w:b/>
          <w:sz w:val="24"/>
          <w:szCs w:val="24"/>
        </w:rPr>
        <w:t xml:space="preserve">Shpallur me dekretin nr. </w:t>
      </w:r>
      <w:r>
        <w:rPr>
          <w:rFonts w:ascii="Garamond" w:eastAsia="Times New Roman" w:hAnsi="Garamond" w:cs="Times New Roman"/>
          <w:b/>
          <w:sz w:val="24"/>
          <w:szCs w:val="24"/>
        </w:rPr>
        <w:t>11913</w:t>
      </w:r>
      <w:r w:rsidRPr="00583E2A"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Times New Roman" w:hAnsi="Garamond" w:cs="Times New Roman"/>
          <w:b/>
          <w:sz w:val="24"/>
          <w:szCs w:val="24"/>
        </w:rPr>
        <w:t>12.1.2021</w:t>
      </w:r>
      <w:bookmarkStart w:id="0" w:name="_GoBack"/>
      <w:bookmarkEnd w:id="0"/>
      <w:r w:rsidRPr="00583E2A">
        <w:rPr>
          <w:rFonts w:ascii="Garamond" w:eastAsia="Times New Roman" w:hAnsi="Garamond" w:cs="Times New Roman"/>
          <w:b/>
          <w:sz w:val="24"/>
          <w:szCs w:val="24"/>
        </w:rPr>
        <w:t xml:space="preserve"> të Presidentit të Republikës së Shqipërisë, Ilir Meta</w:t>
      </w:r>
    </w:p>
    <w:p w14:paraId="31A4F5BC" w14:textId="77777777" w:rsidR="00213234" w:rsidRPr="0091143C" w:rsidRDefault="00213234" w:rsidP="004D7A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213234" w:rsidRPr="0091143C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D12734" w14:textId="77777777" w:rsidR="00583E2A" w:rsidRDefault="00583E2A" w:rsidP="00420682">
      <w:pPr>
        <w:spacing w:after="0" w:line="240" w:lineRule="auto"/>
      </w:pPr>
      <w:r>
        <w:separator/>
      </w:r>
    </w:p>
  </w:endnote>
  <w:endnote w:type="continuationSeparator" w:id="0">
    <w:p w14:paraId="64E39789" w14:textId="77777777" w:rsidR="00583E2A" w:rsidRDefault="00583E2A" w:rsidP="00420682">
      <w:pPr>
        <w:spacing w:after="0" w:line="240" w:lineRule="auto"/>
      </w:pPr>
      <w:r>
        <w:continuationSeparator/>
      </w:r>
    </w:p>
  </w:endnote>
  <w:endnote w:type="continuationNotice" w:id="1">
    <w:p w14:paraId="550A0DFA" w14:textId="77777777" w:rsidR="00583E2A" w:rsidRDefault="00583E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E0D07" w14:textId="77777777" w:rsidR="00583E2A" w:rsidRDefault="00583E2A" w:rsidP="00420682">
      <w:pPr>
        <w:spacing w:after="0" w:line="240" w:lineRule="auto"/>
      </w:pPr>
      <w:r>
        <w:separator/>
      </w:r>
    </w:p>
  </w:footnote>
  <w:footnote w:type="continuationSeparator" w:id="0">
    <w:p w14:paraId="6213CD02" w14:textId="77777777" w:rsidR="00583E2A" w:rsidRDefault="00583E2A" w:rsidP="00420682">
      <w:pPr>
        <w:spacing w:after="0" w:line="240" w:lineRule="auto"/>
      </w:pPr>
      <w:r>
        <w:continuationSeparator/>
      </w:r>
    </w:p>
  </w:footnote>
  <w:footnote w:type="continuationNotice" w:id="1">
    <w:p w14:paraId="7A3238A4" w14:textId="77777777" w:rsidR="00583E2A" w:rsidRDefault="00583E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2637"/>
    <w:rsid w:val="000549CC"/>
    <w:rsid w:val="00055AB5"/>
    <w:rsid w:val="00060376"/>
    <w:rsid w:val="000765C2"/>
    <w:rsid w:val="000A3B4D"/>
    <w:rsid w:val="000A6B8C"/>
    <w:rsid w:val="000D199E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A7216"/>
    <w:rsid w:val="001B796E"/>
    <w:rsid w:val="001C0806"/>
    <w:rsid w:val="001C322E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47D46"/>
    <w:rsid w:val="00263D4B"/>
    <w:rsid w:val="00266C06"/>
    <w:rsid w:val="002A47D7"/>
    <w:rsid w:val="002F5953"/>
    <w:rsid w:val="0038331D"/>
    <w:rsid w:val="00397541"/>
    <w:rsid w:val="003A63A5"/>
    <w:rsid w:val="003C48FF"/>
    <w:rsid w:val="003E38DB"/>
    <w:rsid w:val="003F29A8"/>
    <w:rsid w:val="003F34EA"/>
    <w:rsid w:val="00402E97"/>
    <w:rsid w:val="0041300C"/>
    <w:rsid w:val="00420682"/>
    <w:rsid w:val="00433BCD"/>
    <w:rsid w:val="00445610"/>
    <w:rsid w:val="00455BBA"/>
    <w:rsid w:val="00460BC4"/>
    <w:rsid w:val="004647DB"/>
    <w:rsid w:val="00477804"/>
    <w:rsid w:val="004901D8"/>
    <w:rsid w:val="004A5884"/>
    <w:rsid w:val="004B6ED9"/>
    <w:rsid w:val="004C2DFD"/>
    <w:rsid w:val="004D7A1D"/>
    <w:rsid w:val="004E0C11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81A50"/>
    <w:rsid w:val="00583E2A"/>
    <w:rsid w:val="0059342C"/>
    <w:rsid w:val="005B6E3F"/>
    <w:rsid w:val="00607595"/>
    <w:rsid w:val="0062077A"/>
    <w:rsid w:val="006465EF"/>
    <w:rsid w:val="00646924"/>
    <w:rsid w:val="00657C47"/>
    <w:rsid w:val="0067406E"/>
    <w:rsid w:val="00677E6C"/>
    <w:rsid w:val="006C3A72"/>
    <w:rsid w:val="006C5CE1"/>
    <w:rsid w:val="006F4D55"/>
    <w:rsid w:val="0070508D"/>
    <w:rsid w:val="00726525"/>
    <w:rsid w:val="00735DA2"/>
    <w:rsid w:val="00736DC8"/>
    <w:rsid w:val="007403CF"/>
    <w:rsid w:val="007654B3"/>
    <w:rsid w:val="00773047"/>
    <w:rsid w:val="00774741"/>
    <w:rsid w:val="007A2E0E"/>
    <w:rsid w:val="007C083E"/>
    <w:rsid w:val="007D49ED"/>
    <w:rsid w:val="007D742E"/>
    <w:rsid w:val="007E2515"/>
    <w:rsid w:val="00811138"/>
    <w:rsid w:val="00840462"/>
    <w:rsid w:val="00842100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1143C"/>
    <w:rsid w:val="009277B5"/>
    <w:rsid w:val="00970D95"/>
    <w:rsid w:val="0097204C"/>
    <w:rsid w:val="00974717"/>
    <w:rsid w:val="00976A3C"/>
    <w:rsid w:val="00991D86"/>
    <w:rsid w:val="0099741A"/>
    <w:rsid w:val="00997EAD"/>
    <w:rsid w:val="009A0CCF"/>
    <w:rsid w:val="009A6F98"/>
    <w:rsid w:val="00A06D12"/>
    <w:rsid w:val="00A15DE9"/>
    <w:rsid w:val="00A241BE"/>
    <w:rsid w:val="00A34D9D"/>
    <w:rsid w:val="00A431DD"/>
    <w:rsid w:val="00A645A6"/>
    <w:rsid w:val="00AA32E0"/>
    <w:rsid w:val="00AC2686"/>
    <w:rsid w:val="00AF0CE9"/>
    <w:rsid w:val="00B03A16"/>
    <w:rsid w:val="00B3070E"/>
    <w:rsid w:val="00B54D96"/>
    <w:rsid w:val="00B5548F"/>
    <w:rsid w:val="00B6427E"/>
    <w:rsid w:val="00B67778"/>
    <w:rsid w:val="00B86424"/>
    <w:rsid w:val="00BA1706"/>
    <w:rsid w:val="00BA5571"/>
    <w:rsid w:val="00BB15C8"/>
    <w:rsid w:val="00BD4611"/>
    <w:rsid w:val="00BE69B5"/>
    <w:rsid w:val="00C10624"/>
    <w:rsid w:val="00C11FAE"/>
    <w:rsid w:val="00C31B0C"/>
    <w:rsid w:val="00C4191B"/>
    <w:rsid w:val="00C446ED"/>
    <w:rsid w:val="00C60CAD"/>
    <w:rsid w:val="00C6573D"/>
    <w:rsid w:val="00CA0828"/>
    <w:rsid w:val="00CC2484"/>
    <w:rsid w:val="00CC7CA2"/>
    <w:rsid w:val="00CF5B26"/>
    <w:rsid w:val="00D1531E"/>
    <w:rsid w:val="00D23C4B"/>
    <w:rsid w:val="00D452E9"/>
    <w:rsid w:val="00D45AC2"/>
    <w:rsid w:val="00D569C8"/>
    <w:rsid w:val="00D60C6B"/>
    <w:rsid w:val="00DA56D4"/>
    <w:rsid w:val="00DC03DB"/>
    <w:rsid w:val="00E13536"/>
    <w:rsid w:val="00E32B8C"/>
    <w:rsid w:val="00E370B3"/>
    <w:rsid w:val="00E452DA"/>
    <w:rsid w:val="00E6234F"/>
    <w:rsid w:val="00E72BC5"/>
    <w:rsid w:val="00E76B9D"/>
    <w:rsid w:val="00E913DD"/>
    <w:rsid w:val="00E957FB"/>
    <w:rsid w:val="00EC55E7"/>
    <w:rsid w:val="00EC57E8"/>
    <w:rsid w:val="00EE7E5D"/>
    <w:rsid w:val="00F07F7F"/>
    <w:rsid w:val="00F234B6"/>
    <w:rsid w:val="00F45F06"/>
    <w:rsid w:val="00F52125"/>
    <w:rsid w:val="00F537D2"/>
    <w:rsid w:val="00F630AC"/>
    <w:rsid w:val="00F84F9C"/>
    <w:rsid w:val="00FA2515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F552"/>
  <w15:docId w15:val="{AD16B5D3-2B69-4DBB-B5AC-78114F27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A6B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6B8C"/>
  </w:style>
  <w:style w:type="paragraph" w:styleId="Footer">
    <w:name w:val="footer"/>
    <w:basedOn w:val="Normal"/>
    <w:link w:val="FooterChar"/>
    <w:uiPriority w:val="99"/>
    <w:semiHidden/>
    <w:unhideWhenUsed/>
    <w:rsid w:val="000A6B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6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2021-01-14T09:59:48Z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Për disa ndryshime dhe shtesa në ligjin nr. 8097, datë 21.3.1996, “Për pensionet shtetërore suplementare të personave që kryejnë funksione kushtetuese dhe të punonjësve të shtetit”, të ndryshuar</Titulli>
    <Modifikuesi xmlns="0e656187-b300-4fb0-8bf4-3a50f872073c">alma.lisaku</Modifikuesi>
    <Nr_x002e__x0020_prot_x0020_QBZ xmlns="0e656187-b300-4fb0-8bf4-3a50f872073c">69/1</Nr_x002e__x0020_prot_x0020_QBZ>
    <Data_x0020_e_x0020_Modifikimit xmlns="0e656187-b300-4fb0-8bf4-3a50f872073c">2021-01-15T08:33:13Z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3273/3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2A1ECB9ACD4D7E812131779FFD9F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2A1ECB9ACD4D7E812131779FFD9F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60863-DA10-4B25-B015-91B88BC658FD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3ECA19-AD3C-4855-866A-C3BB8C2F25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954D69-7551-4630-8A91-EB0C2377B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54486E-03ED-4297-A639-3E10BF3C25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76705F-C523-4721-9069-6EA35A21D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45C00B-F700-4E2B-8CC8-90460AB0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8097, datë 21.3.1996, “Për pensionet shtetërore suplementare të personave që kryejnë funksione kushtetuese dhe të punonjësve të shtetit”, të ndryshuar</vt:lpstr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8097, datë 21.3.1996, “Për pensionet shtetërore suplementare të personave që kryejnë funksione kushtetuese dhe të punonjësve të shtetit”, të ndryshuar</dc:title>
  <dc:creator>gazmend.hanku</dc:creator>
  <cp:lastModifiedBy>Amarilda Muja</cp:lastModifiedBy>
  <cp:revision>8</cp:revision>
  <cp:lastPrinted>2020-12-29T11:10:00Z</cp:lastPrinted>
  <dcterms:created xsi:type="dcterms:W3CDTF">2021-01-14T09:41:00Z</dcterms:created>
  <dcterms:modified xsi:type="dcterms:W3CDTF">2021-01-15T08:45:00Z</dcterms:modified>
</cp:coreProperties>
</file>