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AB1FF" w14:textId="77777777" w:rsidR="00D754D7" w:rsidRPr="00B8259D" w:rsidRDefault="00D754D7" w:rsidP="00D754D7">
      <w:pPr>
        <w:spacing w:after="0" w:line="240" w:lineRule="auto"/>
        <w:ind w:firstLine="284"/>
        <w:jc w:val="center"/>
        <w:rPr>
          <w:rFonts w:ascii="Garamond" w:hAnsi="Garamond" w:cs="Times New Roman"/>
          <w:b/>
          <w:sz w:val="24"/>
          <w:szCs w:val="24"/>
        </w:rPr>
      </w:pPr>
      <w:r w:rsidRPr="00B8259D">
        <w:rPr>
          <w:rFonts w:ascii="Garamond" w:hAnsi="Garamond" w:cs="Times New Roman"/>
          <w:b/>
          <w:sz w:val="24"/>
          <w:szCs w:val="24"/>
        </w:rPr>
        <w:t>LIGJ</w:t>
      </w:r>
    </w:p>
    <w:p w14:paraId="4D1B7E85" w14:textId="77777777" w:rsidR="00D754D7" w:rsidRPr="00B8259D" w:rsidRDefault="00D754D7" w:rsidP="00D754D7">
      <w:pPr>
        <w:spacing w:after="0" w:line="240" w:lineRule="auto"/>
        <w:ind w:firstLine="284"/>
        <w:jc w:val="center"/>
        <w:rPr>
          <w:rFonts w:ascii="Garamond" w:hAnsi="Garamond" w:cs="Times New Roman"/>
          <w:b/>
          <w:sz w:val="24"/>
          <w:szCs w:val="24"/>
        </w:rPr>
      </w:pPr>
      <w:r w:rsidRPr="00B8259D">
        <w:rPr>
          <w:rFonts w:ascii="Garamond" w:hAnsi="Garamond" w:cs="Times New Roman"/>
          <w:b/>
          <w:sz w:val="24"/>
          <w:szCs w:val="24"/>
        </w:rPr>
        <w:t>Nr. 42/2021</w:t>
      </w:r>
    </w:p>
    <w:p w14:paraId="32D189F6" w14:textId="77777777" w:rsidR="00D754D7" w:rsidRPr="00B8259D" w:rsidRDefault="00D754D7" w:rsidP="00D754D7">
      <w:pPr>
        <w:spacing w:after="0" w:line="240" w:lineRule="auto"/>
        <w:ind w:firstLine="284"/>
        <w:rPr>
          <w:rFonts w:ascii="Garamond" w:hAnsi="Garamond" w:cs="Times New Roman"/>
          <w:bCs/>
          <w:sz w:val="24"/>
          <w:szCs w:val="24"/>
        </w:rPr>
      </w:pPr>
    </w:p>
    <w:p w14:paraId="5D9AB706" w14:textId="38A4346E" w:rsidR="00D754D7" w:rsidRPr="00B8259D" w:rsidRDefault="00D754D7" w:rsidP="003D6331">
      <w:pPr>
        <w:spacing w:after="0" w:line="240" w:lineRule="auto"/>
        <w:jc w:val="center"/>
        <w:rPr>
          <w:rFonts w:ascii="Garamond" w:hAnsi="Garamond" w:cs="Times New Roman"/>
          <w:b/>
          <w:bCs/>
          <w:sz w:val="24"/>
          <w:szCs w:val="24"/>
        </w:rPr>
      </w:pPr>
      <w:r w:rsidRPr="00B8259D">
        <w:rPr>
          <w:rFonts w:ascii="Garamond" w:hAnsi="Garamond" w:cs="Times New Roman"/>
          <w:b/>
          <w:bCs/>
          <w:sz w:val="24"/>
          <w:szCs w:val="24"/>
        </w:rPr>
        <w:t>PËR DISA SHTESA DHE NDRYSHIME NË LIGJIN NR.  97/2016</w:t>
      </w:r>
      <w:r w:rsidR="00B30626">
        <w:rPr>
          <w:rFonts w:ascii="Garamond" w:hAnsi="Garamond" w:cs="Times New Roman"/>
          <w:b/>
          <w:bCs/>
          <w:sz w:val="24"/>
          <w:szCs w:val="24"/>
        </w:rPr>
        <w:t>,</w:t>
      </w:r>
      <w:r w:rsidRPr="00B8259D">
        <w:rPr>
          <w:rFonts w:ascii="Garamond" w:hAnsi="Garamond" w:cs="Times New Roman"/>
          <w:b/>
          <w:bCs/>
          <w:sz w:val="24"/>
          <w:szCs w:val="24"/>
        </w:rPr>
        <w:t xml:space="preserve">  “PËR ORGANIZIMIN DHE FUNKSIONIMIN E PROKURORISË NË REPUBLIKËN E SHQIPËRISË”</w:t>
      </w:r>
    </w:p>
    <w:p w14:paraId="136C58B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E934D47"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mbështetje të neneve 81 dhe 83 të Kushtetutës, me propozimin e një deputeti,</w:t>
      </w:r>
    </w:p>
    <w:p w14:paraId="3408618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40915AFE"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KUVENDI</w:t>
      </w:r>
    </w:p>
    <w:p w14:paraId="235CA6E7"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I REPUBLIKËS SË SHQIPËRISË</w:t>
      </w:r>
    </w:p>
    <w:p w14:paraId="347BC396"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0B0B18E7"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VENDOSI:</w:t>
      </w:r>
    </w:p>
    <w:p w14:paraId="43C70D5D"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46589282" w14:textId="0E7C2C04"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ligjin nr. 97/2016</w:t>
      </w:r>
      <w:r w:rsidR="00B30626">
        <w:rPr>
          <w:rFonts w:ascii="Garamond" w:hAnsi="Garamond" w:cs="Times New Roman"/>
          <w:bCs/>
          <w:sz w:val="24"/>
          <w:szCs w:val="24"/>
        </w:rPr>
        <w:t>,</w:t>
      </w:r>
      <w:bookmarkStart w:id="0" w:name="_GoBack"/>
      <w:bookmarkEnd w:id="0"/>
      <w:r w:rsidRPr="00B8259D">
        <w:rPr>
          <w:rFonts w:ascii="Garamond" w:hAnsi="Garamond" w:cs="Times New Roman"/>
          <w:bCs/>
          <w:sz w:val="24"/>
          <w:szCs w:val="24"/>
        </w:rPr>
        <w:t xml:space="preserve"> “Për organizimin dhe funksionimin e Prokurorisë në Republikën e Shqipërisë” bëhen këto shtesa dhe ndryshime: </w:t>
      </w:r>
    </w:p>
    <w:p w14:paraId="4EF96A6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172ED52"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w:t>
      </w:r>
    </w:p>
    <w:p w14:paraId="410733B6"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4C57AD8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2, pas shkronjës “d” shtohet shkronja “dh” me këtë përmbajtje:</w:t>
      </w:r>
    </w:p>
    <w:p w14:paraId="5AA9CB4B"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“dh) “Këshilltar ligjor” është këshilltari që ushtron funksionin e tij në Njësinë e Shërbimit Ligjor pranë Prokurorisë së Përgjithshme.”.</w:t>
      </w:r>
    </w:p>
    <w:p w14:paraId="3EE8EA9E"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087D783C"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2</w:t>
      </w:r>
    </w:p>
    <w:p w14:paraId="507A3830"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BCA7196"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15, pika 1, pas togfjalëshit “krimit të organizuar” shtohet fjala “,terrorizmit”.</w:t>
      </w:r>
    </w:p>
    <w:p w14:paraId="207473C4"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2E89EBD0"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3</w:t>
      </w:r>
    </w:p>
    <w:p w14:paraId="7C285A95"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3280608"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Në nenin 57, pika 1, shkronja “a”, pas termit “kancelari” shtohet togfjalëshi “, këshilltari ligjor”. </w:t>
      </w:r>
    </w:p>
    <w:p w14:paraId="217C3D25"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6427EEC"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4</w:t>
      </w:r>
    </w:p>
    <w:p w14:paraId="300BEC57"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4769FD1" w14:textId="7703E1F2"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65, pika 1, togfjalëshi “prokurorët e komanduar, sipas nenit 69 të këtij ligji” zëv</w:t>
      </w:r>
      <w:r w:rsidR="003D6331">
        <w:rPr>
          <w:rFonts w:ascii="Garamond" w:hAnsi="Garamond" w:cs="Times New Roman"/>
          <w:bCs/>
          <w:sz w:val="24"/>
          <w:szCs w:val="24"/>
        </w:rPr>
        <w:t>e</w:t>
      </w:r>
      <w:r w:rsidRPr="00B8259D">
        <w:rPr>
          <w:rFonts w:ascii="Garamond" w:hAnsi="Garamond" w:cs="Times New Roman"/>
          <w:bCs/>
          <w:sz w:val="24"/>
          <w:szCs w:val="24"/>
        </w:rPr>
        <w:t>ndësohet me togfjalëshin “Njësia e Shërbimit Ligjor”.</w:t>
      </w:r>
    </w:p>
    <w:p w14:paraId="65DE0970"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21CF8D7"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5</w:t>
      </w:r>
    </w:p>
    <w:p w14:paraId="7C82F9D6"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47B78D9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Neni 69 ndryshohet si më poshtë:</w:t>
      </w:r>
    </w:p>
    <w:p w14:paraId="67C09813"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6296FB26"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69</w:t>
      </w:r>
    </w:p>
    <w:p w14:paraId="552DD05F" w14:textId="77777777" w:rsidR="00D754D7" w:rsidRPr="00B8259D" w:rsidRDefault="00D754D7" w:rsidP="00D754D7">
      <w:pPr>
        <w:spacing w:after="0" w:line="240" w:lineRule="auto"/>
        <w:ind w:firstLine="284"/>
        <w:jc w:val="center"/>
        <w:rPr>
          <w:rFonts w:ascii="Garamond" w:hAnsi="Garamond" w:cs="Times New Roman"/>
          <w:b/>
          <w:bCs/>
          <w:sz w:val="24"/>
          <w:szCs w:val="24"/>
        </w:rPr>
      </w:pPr>
      <w:r w:rsidRPr="00B8259D">
        <w:rPr>
          <w:rFonts w:ascii="Garamond" w:hAnsi="Garamond" w:cs="Times New Roman"/>
          <w:b/>
          <w:bCs/>
          <w:sz w:val="24"/>
          <w:szCs w:val="24"/>
        </w:rPr>
        <w:t>Njësia e Shërbimit Ligjor</w:t>
      </w:r>
    </w:p>
    <w:p w14:paraId="599FB81C"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F66DDB7"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Pranë Prokurorisë së Përgjithshme funksionon Njësia e Shërbimit Ligjor. </w:t>
      </w:r>
    </w:p>
    <w:p w14:paraId="0854A3A1"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2. Ajo ushtron veprimtari këshilluese dhe ndihmëse në procesin vendimmarrës të Prokurorisë së Përgjithshme duke përfshirë: </w:t>
      </w:r>
    </w:p>
    <w:p w14:paraId="32160B6A"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a) analizimin, studimin e ankimeve dhe dosjeve penale; </w:t>
      </w:r>
    </w:p>
    <w:p w14:paraId="12C0B6A1"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b) përgatitjen e relacioneve për çështjet objekt gjykimi përpara Gjykatës së Lartë dhe Gjykatës Kushtetuese; </w:t>
      </w:r>
    </w:p>
    <w:p w14:paraId="062AFF28"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c) kryerjen e kërkimeve ligjore;</w:t>
      </w:r>
    </w:p>
    <w:p w14:paraId="3A8B4BA4"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lastRenderedPageBreak/>
        <w:t>ç) përgatitjen e projektakteve;</w:t>
      </w:r>
    </w:p>
    <w:p w14:paraId="0CE1AF91"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d) kryerjen e detyrave të tjera për përpunimin e çështjeve që i ngarkohen nga Prokurori i Përgjithshëm.  </w:t>
      </w:r>
    </w:p>
    <w:p w14:paraId="4919111C"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3. Njësia e Shërbimit Ligjor është në varësi të Prokurorit të Përgjithshëm, i cili cakton këshilltarin ligjor pranë një prokurori ose drejtorie në Prokurorinë e Përgjithshme, duke marrë parasysh përvojën profesionale dhe specializimin e tyre, si dhe duke siguruar ngarkesë pune të barabartë ndërmjet tyre. </w:t>
      </w:r>
    </w:p>
    <w:p w14:paraId="61B24B4B"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4. Njësia e Shërbimit Ligjor përbëhet nga këshilltarët ligjorë, në të cilën më shumë se gjysma e numrit të përgjithshëm përbëhet nga ndihmësmagjistratë të komanduar, sipas procedurave të përcaktuara në ligjin “Për statusin e gjyqtarëve dhe prokurorëve në Republikën e Shqipërisë”. </w:t>
      </w:r>
    </w:p>
    <w:p w14:paraId="0FFF5A36"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5. Prokurorët e komanduar caktohen nga Këshilli i Lartë i Prokurorisë në Prokurorinë e Përgjithshme sipas ligjit për statusin e gjyqtarëve dhe prokurorëve. Statusi i prokurorëve të komanduar përcaktohet në ligjin për statusin e gjyqtarëve dhe prokurorëve.</w:t>
      </w:r>
    </w:p>
    <w:p w14:paraId="5234748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6. Vlerësimi i punës së prokurorëve të komanduar kryhet nga drejtuesi i prokurorisë, bazuar në mendimin e dhënë nga prokurori pranë të cilit është komanduar. </w:t>
      </w:r>
    </w:p>
    <w:p w14:paraId="41682222"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7. Këshilltarët ligjorë jomagjistratë emërohen nga Këshilli i Lartë i Prokurorisë sipas rregullave të parashikuara në këtë ligj. Këshilltari ligjor jomagjistrat përfiton pagë të barabartë me “pagën bruto fillestare” të prokurorit pranë gjykatës së shkallës së parë, pa përfitimet e tjera financiare, sipas referimeve të ligjit “Për statusin e gjyqtarëve dhe prokurorëve në Republikën e Shqipërisë”. </w:t>
      </w:r>
    </w:p>
    <w:p w14:paraId="52F2552E"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8. Këshilltari ligjor jomagjistrat duhet të plotësojë kriteret e mëposhtme: </w:t>
      </w:r>
    </w:p>
    <w:p w14:paraId="35BAB5F4"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a) të jetë diplomuar në drejtësi në nivelin “Master shkencor”, të barasvlershëm me të, sipas përcaktimeve të legjislacionit të arsimit të lartë; </w:t>
      </w:r>
    </w:p>
    <w:p w14:paraId="56E32F3A"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b) përvojë profesionale jo më pak se 5 vjet si nëpunës i lartë në sistemin gjyqësor ose të prokurorisë, në administratën publike, profesionet e lira ligjore, mësimdhënie në fakultetet e drejtësisë, ose në çdo pozicion tjetër të barasvlershëm me to, në sektorin privat ose në organizatat ndërkombëtare; </w:t>
      </w:r>
    </w:p>
    <w:p w14:paraId="649798E3"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c) njohuri në jurisprudencën e gjykatave vendase dhe atyre ndërkombëtare; </w:t>
      </w:r>
    </w:p>
    <w:p w14:paraId="26D12DFC"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ç) njohuri shumë të mira të paktën të një gjuhe të vendeve të Bashkimit Europian; </w:t>
      </w:r>
    </w:p>
    <w:p w14:paraId="41DDD724"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d) aftësi të shkrimit dhe arsyetimit ligjor; </w:t>
      </w:r>
    </w:p>
    <w:p w14:paraId="76935B90"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dh) të mos ketë masa disiplinore në fuqi në pozicionet e mëparshme; </w:t>
      </w:r>
    </w:p>
    <w:p w14:paraId="0E2C9B33"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9. Këshilltari ligjor dhe ndihmësmagjistrati u nënshtrohen rregullave të papajtueshmërisë, kufizimeve në detyrë dhe konfliktit të interesave ashtu si magjistrati. </w:t>
      </w:r>
    </w:p>
    <w:p w14:paraId="604ABEFA"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10. Prokurori i Përgjithshëm përfshin në projektbuxhet propozimin për numrin e këshilltarëve ligjorë. </w:t>
      </w:r>
    </w:p>
    <w:p w14:paraId="2E8D79A7"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11. Prokurori i Përgjithshëm miraton rregulla të detajuara për numrin e këshilltarëve ligjorë dhe funksionimin e Njësisë së Shërbimit Ligjor pranë Prokurorisë së Përgjithshme. </w:t>
      </w:r>
    </w:p>
    <w:p w14:paraId="0480C6AD"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B528781"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6</w:t>
      </w:r>
    </w:p>
    <w:p w14:paraId="08254399"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189EEEF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70, pika 1, pas shkronjës “a” shtohet shkronja “a/1” me këtë përmbajtje:</w:t>
      </w:r>
    </w:p>
    <w:p w14:paraId="244358C6"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“a/1) këshilltari ligjor në Prokurorinë e Përgjithshme;”.</w:t>
      </w:r>
    </w:p>
    <w:p w14:paraId="46B156E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C5EE35C"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7</w:t>
      </w:r>
    </w:p>
    <w:p w14:paraId="7F45104B"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78EFF37"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72 bëhen këto ndryshime:</w:t>
      </w:r>
    </w:p>
    <w:p w14:paraId="63E19F18"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Në pikën 2, pas togfjalëshit “kryen formimin fillestar dhe vazhdues të kancelarëve” shtohet togfjalëshi “dhe këshilltarëve ligjorë në Prokurorinë e Përgjithshme” dhe pas togfjalëshit “për një periudhë prej të paktën tre muajsh” shtohet togfjalëshi “dhe për këshilltarët ligjorë për një periudhë prej të paktën nëntë muajsh”. </w:t>
      </w:r>
    </w:p>
    <w:p w14:paraId="61A14BC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2. Në pikën 4, pas togfjalëshit “për kancelarët” shtohet togfjalëshi “dhe këshilltarët ligjorë”. </w:t>
      </w:r>
    </w:p>
    <w:p w14:paraId="03E63A37"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25406AE"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lastRenderedPageBreak/>
        <w:t>Neni 8</w:t>
      </w:r>
    </w:p>
    <w:p w14:paraId="5C910B9D"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43776E09"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73 bëhen këto ndryshime:</w:t>
      </w:r>
    </w:p>
    <w:p w14:paraId="57C52D9A"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Në titullin e dispozitës, pas togfjalëshit “për kancelar” shtohet togfjalëshi “dhe këshilltarë ligjorë”. </w:t>
      </w:r>
    </w:p>
    <w:p w14:paraId="42736116"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2. Në pikën 1 pas togfjalëshit “të paktën çdo tre vjet” shtohet togfjalëshi “dhe për këshilltarët ligjorë”.</w:t>
      </w:r>
    </w:p>
    <w:p w14:paraId="5F60514C"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3. Në pikën 2 pas togfjalëshit “numrin e vendeve të lira” shtohet togfjalëshi “për këshilltarët ligjorë për vitin e ardhshëm”. </w:t>
      </w:r>
    </w:p>
    <w:p w14:paraId="0D1BB55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B079CB2"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9</w:t>
      </w:r>
    </w:p>
    <w:p w14:paraId="6E13424F"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3E3D565"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Në nenin 75, pika 1, pas togfjalëshit “për kancelarët” shtohet togfjalëshi “dhe këshilltarët ligjorë”. </w:t>
      </w:r>
    </w:p>
    <w:p w14:paraId="067E77E9"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CCACEA1"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10</w:t>
      </w:r>
    </w:p>
    <w:p w14:paraId="4B65DE0A"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E040086"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76 pas pikës 1 shtohet pika 1/1 me këtë përmbajtje:</w:t>
      </w:r>
    </w:p>
    <w:p w14:paraId="1A94D4D2"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“1/1. Për pozicionin e këshilltarit ligjor në Prokurorinë e Përgjithshme, kandidatët duhet të përmbushin kriteret e parashikuara në nenin 69 të këtij ligji.”. </w:t>
      </w:r>
    </w:p>
    <w:p w14:paraId="5AB54259"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6BF23CD"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11</w:t>
      </w:r>
    </w:p>
    <w:p w14:paraId="1DCD56A7"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6981FCC9"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Në nenin 78,  pika 2, pas togfjalëshit “renditjen e kancelarëve” shtohet togfjalëshi “dhe këshilltarë ligjorë”. </w:t>
      </w:r>
    </w:p>
    <w:p w14:paraId="3ACBAD18"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2BC5826"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12</w:t>
      </w:r>
    </w:p>
    <w:p w14:paraId="7E8E68E4"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385AF0C9"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79 bëhen këto ndryshime:</w:t>
      </w:r>
    </w:p>
    <w:p w14:paraId="13D40F89"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Në titullin e dispozitës, pas togfjalëshit “kancelarit” shtohet togfjalëshi “dhe këshilltarit ligjor”. </w:t>
      </w:r>
    </w:p>
    <w:p w14:paraId="4964BD4E"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2. Në pikën 1 pas fjalës “kancelarit” shtohet togfjalëshi “dhe këshilltarit ligjor”. </w:t>
      </w:r>
    </w:p>
    <w:p w14:paraId="38BF3E91"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3. Në pikën 2 pas togfjalëshit “për kancelar” shtohet togfjalëshi “dhe këshilltar ligjor” dhe pas togfjalëshit “për pozicionin e kancelarit” shtohet togfjalëshi “dhe këshilltarit ligjor”.</w:t>
      </w:r>
    </w:p>
    <w:p w14:paraId="1BD0035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4. Në pikën 3 pas togfjalëshit “për kancelar” shtohet togfjalëshi “dhe për këshilltar ligjor”.</w:t>
      </w:r>
    </w:p>
    <w:p w14:paraId="161DD397"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13</w:t>
      </w:r>
    </w:p>
    <w:p w14:paraId="114B024D"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05A41187"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84 bëhen këto ndryshime:</w:t>
      </w:r>
    </w:p>
    <w:p w14:paraId="02411B73"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Në pikën 3 pas togfjalëshit “për emërimin e kancelarëve” shtohet togfjalëshi “,këshilltarëve ligjorë jomagjistratë”. </w:t>
      </w:r>
    </w:p>
    <w:p w14:paraId="16C6AF1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2. Pas pikës 5 shtohet pika 5/1 me përmbajtjen si më poshtë:</w:t>
      </w:r>
    </w:p>
    <w:p w14:paraId="5F38EF69"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“5/1. Këshilltari ligjor kandidat merr një shpërblim të barabartë me 50 për qind të pagës fillestare si këshilltar ligjor gjatë kursit të formimit fillestar.”.</w:t>
      </w:r>
    </w:p>
    <w:p w14:paraId="26457400"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3. Në pikën 6, fjalia e parë, pas fjalës “Kancelarët” shtohet togfjalëshi “dhe këshilltarët ligjorë” dhe në fjalinë e dytë pas togfjalëshit “mandati i kancelarit” shtohet togfjalëshi “ose këshilltarit ligjor”. </w:t>
      </w:r>
    </w:p>
    <w:p w14:paraId="517FEA35"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4. Pika 8 shfuqizohet.</w:t>
      </w:r>
    </w:p>
    <w:p w14:paraId="3348D4A9"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0C133655"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14</w:t>
      </w:r>
    </w:p>
    <w:p w14:paraId="581813AC"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2EB7A18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lastRenderedPageBreak/>
        <w:t>Në nenin 86, pika 3, fjalia e tretë, pas termit “kancelarit” shtohet togfjalëshi “dhe këshilltarit ligjor”.</w:t>
      </w:r>
    </w:p>
    <w:p w14:paraId="55BD5F8F"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D07D9C6"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15</w:t>
      </w:r>
    </w:p>
    <w:p w14:paraId="113A5F31"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0762A19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Në nenin 87, pika 2, pas togfjalëshit “për kancelarin” shtohet togfjalëshi “dhe këshilltarin ligjor”. </w:t>
      </w:r>
    </w:p>
    <w:p w14:paraId="6DDEAA19"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230656A"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16</w:t>
      </w:r>
    </w:p>
    <w:p w14:paraId="65AF4F60"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184F4B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Në nenin 89 bëhen këto ndryshime:</w:t>
      </w:r>
    </w:p>
    <w:p w14:paraId="34ADA87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Në pikën 1, shkronja “a”, pas togfjalëshit “përveç kancelarit” shtohet togfjalëshi “dhe këshilltarit ligjor”. </w:t>
      </w:r>
    </w:p>
    <w:p w14:paraId="0525953C"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2. Në pikën 1, shkronja “b”, pas togfjalëshit “për kancelarin” shtohet togfjalëshi “dhe këshilltarin ligjor”. </w:t>
      </w:r>
    </w:p>
    <w:p w14:paraId="0DDADFC3"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3. Në pikën 2, shkronja “a”, pas togfjalëshit “për kancelarin” shtohet togfjalëshi “dhe këshilltarin ligjor”. </w:t>
      </w:r>
    </w:p>
    <w:p w14:paraId="20C701D3" w14:textId="77777777" w:rsidR="00D754D7" w:rsidRPr="00B8259D" w:rsidRDefault="00D754D7" w:rsidP="00D754D7">
      <w:pPr>
        <w:spacing w:after="0" w:line="240" w:lineRule="auto"/>
        <w:ind w:firstLine="284"/>
        <w:rPr>
          <w:rFonts w:ascii="Garamond" w:hAnsi="Garamond" w:cs="Times New Roman"/>
          <w:bCs/>
          <w:sz w:val="24"/>
          <w:szCs w:val="24"/>
        </w:rPr>
      </w:pPr>
    </w:p>
    <w:p w14:paraId="0D9DC828"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17</w:t>
      </w:r>
    </w:p>
    <w:p w14:paraId="79146B76"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F6B9245"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Në nenin 100, pika 3, pas togfjalëshit “për kancelarin” shtohet togfjalëshi “dhe këshilltarin ligjor”. </w:t>
      </w:r>
    </w:p>
    <w:p w14:paraId="7CD7130A"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62026CC1"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18</w:t>
      </w:r>
    </w:p>
    <w:p w14:paraId="1213075A"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F0DB5F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Pas nenit 108 shtohet neni 108/a me këtë përmbajtje:</w:t>
      </w:r>
    </w:p>
    <w:p w14:paraId="4C0C0194"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03A5740B"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108/a</w:t>
      </w:r>
    </w:p>
    <w:p w14:paraId="7D618556" w14:textId="77777777" w:rsidR="00D754D7" w:rsidRPr="00B8259D" w:rsidRDefault="00D754D7" w:rsidP="00D754D7">
      <w:pPr>
        <w:spacing w:after="0" w:line="240" w:lineRule="auto"/>
        <w:ind w:firstLine="284"/>
        <w:jc w:val="center"/>
        <w:rPr>
          <w:rFonts w:ascii="Garamond" w:hAnsi="Garamond" w:cs="Times New Roman"/>
          <w:bCs/>
          <w:sz w:val="24"/>
          <w:szCs w:val="24"/>
        </w:rPr>
      </w:pPr>
    </w:p>
    <w:p w14:paraId="21452F0D"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1. Prokuroritë e juridiksionit të përgjithshëm kanë të drejtë të kenë akses të drejtpërdrejtë, si subjekte të interesuara, në sistemet e informacionit apo bazat e të dhënave të administruara nga institucionet shtetërore, që përmbajnë informacionin e nevojshëm për hetimin e veprave penale që përfshihen në juridiksionin e tyre sipas nenit 148 të Kushtetutës. </w:t>
      </w:r>
    </w:p>
    <w:p w14:paraId="762AD478"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2. Niveli i aksesimit për prokuroritë e juridiksionit të përgjithshëm, për çdo bazë të dhënash shtetërore, caktohet në përputhje me legjislacionin në fuqi që rregullon bazat e të dhënave shtetërore, duke garantuar që në çdo rast ky nivel të jetë vetëm për përmbushjen e nevojës për informacion që kërkohet nga prokuroritë e juridiksionit të përgjithshëm. Prokurorët mund të aksesojnë një bazë të dhënash shtetërore vetëm në rastet kur informacioni që ruhet në atë bazë të dhënash shtetërore është i nevojshëm për të hetuar një vepër penale. </w:t>
      </w:r>
    </w:p>
    <w:p w14:paraId="6425FC1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3. Aksesi në sistemet e informacionit apo bazat e të dhënave të administruara nga institucionet shtetërore, sipas këtij neni, u nënshtrohet rregullave për mbrojtjen e të dhënave personale sipas legjislacionit në fuqi. Prokuroritë e juridiksionit të përgjithshëm, si dhe institucionet shtetërore që administrojnë bazat e të dhënave shtetërore marrin masa organizative dhe teknike të përshtatshme për të mbrojtur të dhënat personale nga shkatërrime të paligjshme ose aksidentale, si dhe nga humbje aksidentale, për të mbrojtur aksesin ose përhapjen nga persona të paautorizuar, si dhe nga çdo formë tjetër e paligjshme përpunimi, në përputhje me legjislacionin në fuqi për mbrojtjen e të dhënave personale.</w:t>
      </w:r>
    </w:p>
    <w:p w14:paraId="20462D45"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 xml:space="preserve">4. Parashikimet e bëra në pikat 1 dhe 2 të këtij neni nuk zbatohen për sistemet e informacionit apo bazat e të dhënave që ruajnë dhe/ose përpunojnë informacion të klasifikuar “sekret shtetëror”. Aksesi i prokurorive të juridiksionit të përgjithshëm në sistemet e informacionit apo </w:t>
      </w:r>
      <w:r w:rsidRPr="00B8259D">
        <w:rPr>
          <w:rFonts w:ascii="Garamond" w:hAnsi="Garamond" w:cs="Times New Roman"/>
          <w:bCs/>
          <w:sz w:val="24"/>
          <w:szCs w:val="24"/>
        </w:rPr>
        <w:lastRenderedPageBreak/>
        <w:t xml:space="preserve">bazat e të dhënave duhet të jetë në përputhje me legjislacionin në fuqi për informacionin e klasifikuar sekret shtetëror.”. </w:t>
      </w:r>
    </w:p>
    <w:p w14:paraId="3F437B25"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1AD8146F" w14:textId="77777777" w:rsidR="00D754D7" w:rsidRPr="00B8259D" w:rsidRDefault="00D754D7" w:rsidP="00D754D7">
      <w:pPr>
        <w:spacing w:after="0" w:line="240" w:lineRule="auto"/>
        <w:ind w:firstLine="284"/>
        <w:jc w:val="center"/>
        <w:rPr>
          <w:rFonts w:ascii="Garamond" w:hAnsi="Garamond" w:cs="Times New Roman"/>
          <w:bCs/>
          <w:sz w:val="24"/>
          <w:szCs w:val="24"/>
        </w:rPr>
      </w:pPr>
      <w:r w:rsidRPr="00B8259D">
        <w:rPr>
          <w:rFonts w:ascii="Garamond" w:hAnsi="Garamond" w:cs="Times New Roman"/>
          <w:bCs/>
          <w:sz w:val="24"/>
          <w:szCs w:val="24"/>
        </w:rPr>
        <w:t>Neni 19</w:t>
      </w:r>
    </w:p>
    <w:p w14:paraId="6E949F91"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56BA752F" w14:textId="77777777"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Ky ligj hyn në fuqi 15 ditë pas botimit në Fletoren Zyrtare.</w:t>
      </w:r>
    </w:p>
    <w:p w14:paraId="4A2E817D" w14:textId="77777777" w:rsidR="00D754D7" w:rsidRPr="00B8259D" w:rsidRDefault="00D754D7" w:rsidP="00D754D7">
      <w:pPr>
        <w:spacing w:after="0" w:line="240" w:lineRule="auto"/>
        <w:ind w:firstLine="284"/>
        <w:jc w:val="both"/>
        <w:rPr>
          <w:rFonts w:ascii="Garamond" w:hAnsi="Garamond" w:cs="Times New Roman"/>
          <w:bCs/>
          <w:sz w:val="24"/>
          <w:szCs w:val="24"/>
        </w:rPr>
      </w:pPr>
    </w:p>
    <w:p w14:paraId="752A6416" w14:textId="77777777" w:rsidR="00D754D7" w:rsidRPr="00B8259D" w:rsidRDefault="00D754D7" w:rsidP="00D754D7">
      <w:pPr>
        <w:spacing w:after="0" w:line="240" w:lineRule="auto"/>
        <w:ind w:firstLine="284"/>
        <w:jc w:val="right"/>
        <w:rPr>
          <w:rFonts w:ascii="Garamond" w:hAnsi="Garamond" w:cs="Times New Roman"/>
          <w:bCs/>
          <w:sz w:val="24"/>
          <w:szCs w:val="24"/>
        </w:rPr>
      </w:pPr>
      <w:r w:rsidRPr="00B8259D">
        <w:rPr>
          <w:rFonts w:ascii="Garamond" w:hAnsi="Garamond" w:cs="Times New Roman"/>
          <w:bCs/>
          <w:sz w:val="24"/>
          <w:szCs w:val="24"/>
        </w:rPr>
        <w:t>KRYETAR</w:t>
      </w:r>
    </w:p>
    <w:p w14:paraId="764E8B5D" w14:textId="77777777" w:rsidR="00D754D7" w:rsidRPr="00B8259D" w:rsidRDefault="00D754D7" w:rsidP="00D754D7">
      <w:pPr>
        <w:spacing w:after="0" w:line="240" w:lineRule="auto"/>
        <w:ind w:firstLine="284"/>
        <w:jc w:val="right"/>
        <w:rPr>
          <w:rFonts w:ascii="Garamond" w:hAnsi="Garamond" w:cs="Times New Roman"/>
          <w:b/>
          <w:bCs/>
          <w:sz w:val="24"/>
          <w:szCs w:val="24"/>
        </w:rPr>
      </w:pPr>
      <w:r w:rsidRPr="00B8259D">
        <w:rPr>
          <w:rFonts w:ascii="Garamond" w:hAnsi="Garamond" w:cs="Times New Roman"/>
          <w:bCs/>
          <w:sz w:val="24"/>
          <w:szCs w:val="24"/>
        </w:rPr>
        <w:t xml:space="preserve"> </w:t>
      </w:r>
      <w:r w:rsidRPr="00B8259D">
        <w:rPr>
          <w:rFonts w:ascii="Garamond" w:hAnsi="Garamond" w:cs="Times New Roman"/>
          <w:b/>
          <w:bCs/>
          <w:sz w:val="24"/>
          <w:szCs w:val="24"/>
        </w:rPr>
        <w:t>Gramoz Ruçi</w:t>
      </w:r>
    </w:p>
    <w:p w14:paraId="3E4553DD" w14:textId="77777777" w:rsidR="00D754D7" w:rsidRPr="00B8259D" w:rsidRDefault="00D754D7" w:rsidP="00D754D7">
      <w:pPr>
        <w:spacing w:after="0" w:line="240" w:lineRule="auto"/>
        <w:ind w:firstLine="284"/>
        <w:jc w:val="both"/>
        <w:rPr>
          <w:rFonts w:ascii="Garamond" w:hAnsi="Garamond" w:cs="Times New Roman"/>
          <w:b/>
          <w:bCs/>
          <w:sz w:val="24"/>
          <w:szCs w:val="24"/>
        </w:rPr>
      </w:pPr>
    </w:p>
    <w:p w14:paraId="04AF207A" w14:textId="6AFFF38D" w:rsidR="00D754D7" w:rsidRPr="00B8259D" w:rsidRDefault="00D754D7" w:rsidP="00D754D7">
      <w:pPr>
        <w:spacing w:after="0" w:line="240" w:lineRule="auto"/>
        <w:ind w:firstLine="284"/>
        <w:jc w:val="both"/>
        <w:rPr>
          <w:rFonts w:ascii="Garamond" w:hAnsi="Garamond" w:cs="Times New Roman"/>
          <w:bCs/>
          <w:sz w:val="24"/>
          <w:szCs w:val="24"/>
        </w:rPr>
      </w:pPr>
      <w:r w:rsidRPr="00B8259D">
        <w:rPr>
          <w:rFonts w:ascii="Garamond" w:hAnsi="Garamond" w:cs="Times New Roman"/>
          <w:bCs/>
          <w:sz w:val="24"/>
          <w:szCs w:val="24"/>
        </w:rPr>
        <w:t>Miratuar në datën 23.3.2021</w:t>
      </w:r>
      <w:r w:rsidR="003D6331">
        <w:rPr>
          <w:rFonts w:ascii="Garamond" w:hAnsi="Garamond" w:cs="Times New Roman"/>
          <w:bCs/>
          <w:sz w:val="24"/>
          <w:szCs w:val="24"/>
        </w:rPr>
        <w:t>.</w:t>
      </w:r>
    </w:p>
    <w:p w14:paraId="0325AD0C" w14:textId="77777777" w:rsidR="00213234" w:rsidRPr="00D754D7" w:rsidRDefault="00213234" w:rsidP="00D754D7"/>
    <w:sectPr w:rsidR="00213234" w:rsidRPr="00D754D7" w:rsidSect="00AF6ADB">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E7F03" w14:textId="77777777" w:rsidR="00B30626" w:rsidRDefault="00B30626" w:rsidP="00420682">
      <w:pPr>
        <w:spacing w:after="0" w:line="240" w:lineRule="auto"/>
      </w:pPr>
      <w:r>
        <w:separator/>
      </w:r>
    </w:p>
  </w:endnote>
  <w:endnote w:type="continuationSeparator" w:id="0">
    <w:p w14:paraId="110EF56B" w14:textId="77777777" w:rsidR="00B30626" w:rsidRDefault="00B30626" w:rsidP="00420682">
      <w:pPr>
        <w:spacing w:after="0" w:line="240" w:lineRule="auto"/>
      </w:pPr>
      <w:r>
        <w:continuationSeparator/>
      </w:r>
    </w:p>
  </w:endnote>
  <w:endnote w:type="continuationNotice" w:id="1">
    <w:p w14:paraId="71D59F3A" w14:textId="77777777" w:rsidR="00B30626" w:rsidRDefault="00B306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01238"/>
      <w:docPartObj>
        <w:docPartGallery w:val="Page Numbers (Bottom of Page)"/>
        <w:docPartUnique/>
      </w:docPartObj>
    </w:sdtPr>
    <w:sdtEndPr>
      <w:rPr>
        <w:rFonts w:ascii="Times New Roman" w:hAnsi="Times New Roman" w:cs="Times New Roman"/>
        <w:noProof/>
        <w:sz w:val="24"/>
        <w:szCs w:val="24"/>
      </w:rPr>
    </w:sdtEndPr>
    <w:sdtContent>
      <w:p w14:paraId="0325AD11" w14:textId="77777777" w:rsidR="00B30626" w:rsidRPr="00AF6ADB" w:rsidRDefault="00B30626">
        <w:pPr>
          <w:pStyle w:val="Footer"/>
          <w:jc w:val="center"/>
          <w:rPr>
            <w:rFonts w:ascii="Times New Roman" w:hAnsi="Times New Roman" w:cs="Times New Roman"/>
            <w:sz w:val="24"/>
            <w:szCs w:val="24"/>
          </w:rPr>
        </w:pPr>
        <w:r w:rsidRPr="00AF6ADB">
          <w:rPr>
            <w:rFonts w:ascii="Times New Roman" w:hAnsi="Times New Roman" w:cs="Times New Roman"/>
            <w:sz w:val="24"/>
            <w:szCs w:val="24"/>
          </w:rPr>
          <w:fldChar w:fldCharType="begin"/>
        </w:r>
        <w:r w:rsidRPr="00AF6ADB">
          <w:rPr>
            <w:rFonts w:ascii="Times New Roman" w:hAnsi="Times New Roman" w:cs="Times New Roman"/>
            <w:sz w:val="24"/>
            <w:szCs w:val="24"/>
          </w:rPr>
          <w:instrText xml:space="preserve"> PAGE   \* MERGEFORMAT </w:instrText>
        </w:r>
        <w:r w:rsidRPr="00AF6ADB">
          <w:rPr>
            <w:rFonts w:ascii="Times New Roman" w:hAnsi="Times New Roman" w:cs="Times New Roman"/>
            <w:sz w:val="24"/>
            <w:szCs w:val="24"/>
          </w:rPr>
          <w:fldChar w:fldCharType="separate"/>
        </w:r>
        <w:r w:rsidR="0010500C">
          <w:rPr>
            <w:rFonts w:ascii="Times New Roman" w:hAnsi="Times New Roman" w:cs="Times New Roman"/>
            <w:noProof/>
            <w:sz w:val="24"/>
            <w:szCs w:val="24"/>
          </w:rPr>
          <w:t>2</w:t>
        </w:r>
        <w:r w:rsidRPr="00AF6ADB">
          <w:rPr>
            <w:rFonts w:ascii="Times New Roman" w:hAnsi="Times New Roman" w:cs="Times New Roman"/>
            <w:noProof/>
            <w:sz w:val="24"/>
            <w:szCs w:val="24"/>
          </w:rPr>
          <w:fldChar w:fldCharType="end"/>
        </w:r>
      </w:p>
    </w:sdtContent>
  </w:sdt>
  <w:p w14:paraId="0325AD12" w14:textId="77777777" w:rsidR="00B30626" w:rsidRDefault="00B30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61677" w14:textId="77777777" w:rsidR="00B30626" w:rsidRDefault="00B30626" w:rsidP="00420682">
      <w:pPr>
        <w:spacing w:after="0" w:line="240" w:lineRule="auto"/>
      </w:pPr>
      <w:r>
        <w:separator/>
      </w:r>
    </w:p>
  </w:footnote>
  <w:footnote w:type="continuationSeparator" w:id="0">
    <w:p w14:paraId="5A945735" w14:textId="77777777" w:rsidR="00B30626" w:rsidRDefault="00B30626" w:rsidP="00420682">
      <w:pPr>
        <w:spacing w:after="0" w:line="240" w:lineRule="auto"/>
      </w:pPr>
      <w:r>
        <w:continuationSeparator/>
      </w:r>
    </w:p>
  </w:footnote>
  <w:footnote w:type="continuationNotice" w:id="1">
    <w:p w14:paraId="1744CC6C" w14:textId="77777777" w:rsidR="00B30626" w:rsidRDefault="00B3062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43C57"/>
    <w:rsid w:val="00055AB5"/>
    <w:rsid w:val="00060376"/>
    <w:rsid w:val="000765C2"/>
    <w:rsid w:val="00096985"/>
    <w:rsid w:val="000A3B4D"/>
    <w:rsid w:val="000D199E"/>
    <w:rsid w:val="000D2F90"/>
    <w:rsid w:val="000E5BA6"/>
    <w:rsid w:val="0010500C"/>
    <w:rsid w:val="00106F6D"/>
    <w:rsid w:val="0012550D"/>
    <w:rsid w:val="00146D52"/>
    <w:rsid w:val="00153CC5"/>
    <w:rsid w:val="00155BCF"/>
    <w:rsid w:val="00166898"/>
    <w:rsid w:val="001709EA"/>
    <w:rsid w:val="001816AF"/>
    <w:rsid w:val="001942D4"/>
    <w:rsid w:val="00196807"/>
    <w:rsid w:val="001B2F4F"/>
    <w:rsid w:val="001B796E"/>
    <w:rsid w:val="001C0806"/>
    <w:rsid w:val="001C445C"/>
    <w:rsid w:val="001C5CDE"/>
    <w:rsid w:val="001C6A0A"/>
    <w:rsid w:val="001C7EC0"/>
    <w:rsid w:val="001D2895"/>
    <w:rsid w:val="001F194A"/>
    <w:rsid w:val="002009A1"/>
    <w:rsid w:val="0020160E"/>
    <w:rsid w:val="0020170B"/>
    <w:rsid w:val="0020507F"/>
    <w:rsid w:val="00213234"/>
    <w:rsid w:val="00214854"/>
    <w:rsid w:val="0021715D"/>
    <w:rsid w:val="00224B80"/>
    <w:rsid w:val="00233280"/>
    <w:rsid w:val="00234832"/>
    <w:rsid w:val="002354F9"/>
    <w:rsid w:val="0024206A"/>
    <w:rsid w:val="00243B60"/>
    <w:rsid w:val="00266C06"/>
    <w:rsid w:val="00272CF5"/>
    <w:rsid w:val="00286823"/>
    <w:rsid w:val="002A47D7"/>
    <w:rsid w:val="002C67B0"/>
    <w:rsid w:val="002E362C"/>
    <w:rsid w:val="002F5953"/>
    <w:rsid w:val="00316CF6"/>
    <w:rsid w:val="00377F5C"/>
    <w:rsid w:val="0038331D"/>
    <w:rsid w:val="00397541"/>
    <w:rsid w:val="003A0573"/>
    <w:rsid w:val="003A38DC"/>
    <w:rsid w:val="003A63A5"/>
    <w:rsid w:val="003B013F"/>
    <w:rsid w:val="003C1B5A"/>
    <w:rsid w:val="003C48FF"/>
    <w:rsid w:val="003D6331"/>
    <w:rsid w:val="003F29A8"/>
    <w:rsid w:val="003F7046"/>
    <w:rsid w:val="0041300C"/>
    <w:rsid w:val="00420682"/>
    <w:rsid w:val="00433BCD"/>
    <w:rsid w:val="00445610"/>
    <w:rsid w:val="00446391"/>
    <w:rsid w:val="00455BBA"/>
    <w:rsid w:val="00460BC4"/>
    <w:rsid w:val="004647DB"/>
    <w:rsid w:val="00477804"/>
    <w:rsid w:val="004A5884"/>
    <w:rsid w:val="004B12D2"/>
    <w:rsid w:val="004B6D19"/>
    <w:rsid w:val="004B6ED9"/>
    <w:rsid w:val="004C2DFD"/>
    <w:rsid w:val="004E7290"/>
    <w:rsid w:val="004E7E53"/>
    <w:rsid w:val="004F447A"/>
    <w:rsid w:val="004F7030"/>
    <w:rsid w:val="005201B5"/>
    <w:rsid w:val="00522FFB"/>
    <w:rsid w:val="00531A97"/>
    <w:rsid w:val="00542102"/>
    <w:rsid w:val="00550FA3"/>
    <w:rsid w:val="005554BB"/>
    <w:rsid w:val="0055575B"/>
    <w:rsid w:val="005726F2"/>
    <w:rsid w:val="00573EE3"/>
    <w:rsid w:val="00574E61"/>
    <w:rsid w:val="005767F6"/>
    <w:rsid w:val="00591EDF"/>
    <w:rsid w:val="0059342C"/>
    <w:rsid w:val="005B6E3F"/>
    <w:rsid w:val="0060535D"/>
    <w:rsid w:val="0062077A"/>
    <w:rsid w:val="00621A17"/>
    <w:rsid w:val="006465EF"/>
    <w:rsid w:val="00646924"/>
    <w:rsid w:val="00663243"/>
    <w:rsid w:val="0067406E"/>
    <w:rsid w:val="00677E6C"/>
    <w:rsid w:val="006F4D55"/>
    <w:rsid w:val="00726525"/>
    <w:rsid w:val="00736DC8"/>
    <w:rsid w:val="007403CF"/>
    <w:rsid w:val="007654B3"/>
    <w:rsid w:val="00770FAD"/>
    <w:rsid w:val="00774741"/>
    <w:rsid w:val="007A2E0E"/>
    <w:rsid w:val="007C083E"/>
    <w:rsid w:val="007D742E"/>
    <w:rsid w:val="007E2515"/>
    <w:rsid w:val="00811138"/>
    <w:rsid w:val="00840462"/>
    <w:rsid w:val="0085472C"/>
    <w:rsid w:val="008620E4"/>
    <w:rsid w:val="0086360A"/>
    <w:rsid w:val="008654EB"/>
    <w:rsid w:val="008720AB"/>
    <w:rsid w:val="0087264B"/>
    <w:rsid w:val="008914C1"/>
    <w:rsid w:val="00892C77"/>
    <w:rsid w:val="008A1646"/>
    <w:rsid w:val="008C15C7"/>
    <w:rsid w:val="008D12D7"/>
    <w:rsid w:val="00900D7B"/>
    <w:rsid w:val="0091014E"/>
    <w:rsid w:val="009104DF"/>
    <w:rsid w:val="009317B4"/>
    <w:rsid w:val="00970D95"/>
    <w:rsid w:val="00974717"/>
    <w:rsid w:val="00976A3C"/>
    <w:rsid w:val="00991D86"/>
    <w:rsid w:val="0099741A"/>
    <w:rsid w:val="009A6F98"/>
    <w:rsid w:val="00A06D12"/>
    <w:rsid w:val="00A15DE9"/>
    <w:rsid w:val="00A323D7"/>
    <w:rsid w:val="00A341A1"/>
    <w:rsid w:val="00A34D9D"/>
    <w:rsid w:val="00A431DD"/>
    <w:rsid w:val="00A53A7C"/>
    <w:rsid w:val="00A645A6"/>
    <w:rsid w:val="00A877A5"/>
    <w:rsid w:val="00A87D5C"/>
    <w:rsid w:val="00A92B6C"/>
    <w:rsid w:val="00AA32E0"/>
    <w:rsid w:val="00AC2686"/>
    <w:rsid w:val="00AF0CE9"/>
    <w:rsid w:val="00AF6ADB"/>
    <w:rsid w:val="00B03A16"/>
    <w:rsid w:val="00B06849"/>
    <w:rsid w:val="00B27365"/>
    <w:rsid w:val="00B30626"/>
    <w:rsid w:val="00B35CE8"/>
    <w:rsid w:val="00B54D96"/>
    <w:rsid w:val="00B6427E"/>
    <w:rsid w:val="00B67778"/>
    <w:rsid w:val="00B8490B"/>
    <w:rsid w:val="00B8668D"/>
    <w:rsid w:val="00BA1706"/>
    <w:rsid w:val="00BA5571"/>
    <w:rsid w:val="00BA5E2E"/>
    <w:rsid w:val="00BB15C8"/>
    <w:rsid w:val="00BD4611"/>
    <w:rsid w:val="00C10624"/>
    <w:rsid w:val="00C37B80"/>
    <w:rsid w:val="00C4191B"/>
    <w:rsid w:val="00C446ED"/>
    <w:rsid w:val="00C60CAD"/>
    <w:rsid w:val="00C6573D"/>
    <w:rsid w:val="00C90FD7"/>
    <w:rsid w:val="00CA0828"/>
    <w:rsid w:val="00CC7CA2"/>
    <w:rsid w:val="00CD1EF5"/>
    <w:rsid w:val="00CF5B26"/>
    <w:rsid w:val="00D23C4B"/>
    <w:rsid w:val="00D45AC2"/>
    <w:rsid w:val="00D60C6B"/>
    <w:rsid w:val="00D754D7"/>
    <w:rsid w:val="00DA56D4"/>
    <w:rsid w:val="00DC03DB"/>
    <w:rsid w:val="00DC0BDC"/>
    <w:rsid w:val="00DF4CCB"/>
    <w:rsid w:val="00E32B8C"/>
    <w:rsid w:val="00E370B3"/>
    <w:rsid w:val="00E452DA"/>
    <w:rsid w:val="00E6234F"/>
    <w:rsid w:val="00E72BC5"/>
    <w:rsid w:val="00E76B9D"/>
    <w:rsid w:val="00EA248C"/>
    <w:rsid w:val="00EB5FA2"/>
    <w:rsid w:val="00EC0D8C"/>
    <w:rsid w:val="00EC55E7"/>
    <w:rsid w:val="00EC57E8"/>
    <w:rsid w:val="00EE7E5D"/>
    <w:rsid w:val="00F07F7F"/>
    <w:rsid w:val="00F12D1B"/>
    <w:rsid w:val="00F234B6"/>
    <w:rsid w:val="00F52125"/>
    <w:rsid w:val="00F537D2"/>
    <w:rsid w:val="00F630AC"/>
    <w:rsid w:val="00F84F9C"/>
    <w:rsid w:val="00F978BB"/>
    <w:rsid w:val="00FA406D"/>
    <w:rsid w:val="00FB4B7E"/>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AC68"/>
  <w15:docId w15:val="{B9A1B51E-221E-4EAF-805A-3E1B275D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AF6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ADB"/>
  </w:style>
  <w:style w:type="paragraph" w:styleId="Footer">
    <w:name w:val="footer"/>
    <w:basedOn w:val="Normal"/>
    <w:link w:val="FooterChar"/>
    <w:uiPriority w:val="99"/>
    <w:unhideWhenUsed/>
    <w:rsid w:val="00AF6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62A82055148490AA12492D7874E94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2021-05-14T08:18:36Z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2021-05-11T22:00:00Z</Date_x0020_protokolli>
    <Titulli xmlns="0e656187-b300-4fb0-8bf4-3a50f872073c">Për disa shtesa dhe ndryshime në ligjin nr. 97/2016 “Për organizimin dhe funksionimin e Prokurorisë në Republikën e Shqipërisë”</Titulli>
    <Modifikuesi xmlns="0e656187-b300-4fb0-8bf4-3a50f872073c">valjeta.kaftalli</Modifikuesi>
    <Nr_x002e__x0020_prot_x0020_QBZ xmlns="0e656187-b300-4fb0-8bf4-3a50f872073c">696/12</Nr_x002e__x0020_prot_x0020_QBZ>
    <Data_x0020_e_x0020_Modifikimit xmlns="0e656187-b300-4fb0-8bf4-3a50f872073c">2021-05-14T09:03:02Z</Data_x0020_e_x0020_Modifikimit>
    <Dekretuar xmlns="0e656187-b300-4fb0-8bf4-3a50f872073c">false</Dekretuar>
    <Data xmlns="0e656187-b300-4fb0-8bf4-3a50f872073c">2021-03-22T23:00:00Z</Data>
    <Nr_x002e__x0020_protokolli_x0020_i_x0020_aktit xmlns="0e656187-b300-4fb0-8bf4-3a50f872073c">1140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62A82055148490AA12492D7874E94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86C41-7248-4D08-99D1-8A6EA0202154}">
  <ds:schemaRefs>
    <ds:schemaRef ds:uri="http://schemas.microsoft.com/sharepoint/v3/contenttype/forms"/>
  </ds:schemaRefs>
</ds:datastoreItem>
</file>

<file path=customXml/itemProps2.xml><?xml version="1.0" encoding="utf-8"?>
<ds:datastoreItem xmlns:ds="http://schemas.openxmlformats.org/officeDocument/2006/customXml" ds:itemID="{E6FD466D-A923-4DAD-9633-9C60AA77B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AB7FD0D-E908-4AAD-A75F-BE2593F132E8}">
  <ds:schemaRefs>
    <ds:schemaRef ds:uri="http://schemas.microsoft.com/office/2006/documentManagement/types"/>
    <ds:schemaRef ds:uri="http://purl.org/dc/elements/1.1/"/>
    <ds:schemaRef ds:uri="http://www.w3.org/XML/1998/namespace"/>
    <ds:schemaRef ds:uri="0e656187-b300-4fb0-8bf4-3a50f872073c"/>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672B6D8C-E4F0-44F8-858B-B97488992223}">
  <ds:schemaRefs>
    <ds:schemaRef ds:uri="http://schemas.microsoft.com/sharepoint/v3/contenttype/forms"/>
  </ds:schemaRefs>
</ds:datastoreItem>
</file>

<file path=customXml/itemProps5.xml><?xml version="1.0" encoding="utf-8"?>
<ds:datastoreItem xmlns:ds="http://schemas.openxmlformats.org/officeDocument/2006/customXml" ds:itemID="{1E6CE634-6BB0-4949-A61E-8FBD4E84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D0CCEA-93E5-4F41-A595-DB46C596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shtesa dhe ndryshime në ligjin nr. 97/2016 “Për organizimin dhe funksionimin e prokurorisë në Republikën e Shqipërisë”</vt:lpstr>
    </vt:vector>
  </TitlesOfParts>
  <Company/>
  <LinksUpToDate>false</LinksUpToDate>
  <CharactersWithSpaces>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97/2016 “Për organizimin dhe funksionimin e prokurorisë në Republikën e Shqipërisë”</dc:title>
  <dc:creator>gazmend.hanku</dc:creator>
  <cp:lastModifiedBy>Alma Lisaku</cp:lastModifiedBy>
  <cp:revision>6</cp:revision>
  <cp:lastPrinted>2021-03-25T12:24:00Z</cp:lastPrinted>
  <dcterms:created xsi:type="dcterms:W3CDTF">2021-05-14T08:21:00Z</dcterms:created>
  <dcterms:modified xsi:type="dcterms:W3CDTF">2021-05-14T11:00:00Z</dcterms:modified>
</cp:coreProperties>
</file>