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C1B2C1" w14:textId="77777777" w:rsidR="00463CFB" w:rsidRPr="00097B18" w:rsidRDefault="00463CFB" w:rsidP="00463CFB">
      <w:pPr>
        <w:spacing w:after="0" w:line="240" w:lineRule="auto"/>
        <w:ind w:firstLine="284"/>
        <w:jc w:val="center"/>
        <w:rPr>
          <w:rFonts w:ascii="Garamond" w:hAnsi="Garamond" w:cs="Times New Roman"/>
          <w:b/>
          <w:sz w:val="24"/>
          <w:szCs w:val="24"/>
        </w:rPr>
      </w:pPr>
      <w:r w:rsidRPr="00097B18">
        <w:rPr>
          <w:rFonts w:ascii="Garamond" w:hAnsi="Garamond" w:cs="Times New Roman"/>
          <w:b/>
          <w:sz w:val="24"/>
          <w:szCs w:val="24"/>
        </w:rPr>
        <w:t>LIGJ</w:t>
      </w:r>
    </w:p>
    <w:p w14:paraId="32C1B2C3" w14:textId="77777777" w:rsidR="00463CFB" w:rsidRPr="00097B18" w:rsidRDefault="00463CFB" w:rsidP="00463CFB">
      <w:pPr>
        <w:spacing w:after="0" w:line="240" w:lineRule="auto"/>
        <w:ind w:firstLine="284"/>
        <w:jc w:val="center"/>
        <w:rPr>
          <w:rFonts w:ascii="Garamond" w:hAnsi="Garamond" w:cs="Times New Roman"/>
          <w:b/>
          <w:sz w:val="24"/>
          <w:szCs w:val="24"/>
        </w:rPr>
      </w:pPr>
      <w:r w:rsidRPr="00097B18">
        <w:rPr>
          <w:rFonts w:ascii="Garamond" w:hAnsi="Garamond" w:cs="Times New Roman"/>
          <w:b/>
          <w:sz w:val="24"/>
          <w:szCs w:val="24"/>
        </w:rPr>
        <w:t>Nr. 46/2021</w:t>
      </w:r>
    </w:p>
    <w:p w14:paraId="32C1B2C4"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2C5" w14:textId="7D8FBC0E" w:rsidR="00463CFB" w:rsidRPr="00097B18" w:rsidRDefault="00463CFB" w:rsidP="00463CFB">
      <w:pPr>
        <w:spacing w:after="0" w:line="240" w:lineRule="auto"/>
        <w:ind w:firstLine="284"/>
        <w:jc w:val="center"/>
        <w:rPr>
          <w:rFonts w:ascii="Garamond" w:hAnsi="Garamond" w:cs="Times New Roman"/>
          <w:b/>
          <w:bCs/>
          <w:sz w:val="24"/>
          <w:szCs w:val="24"/>
        </w:rPr>
      </w:pPr>
      <w:r w:rsidRPr="00097B18">
        <w:rPr>
          <w:rFonts w:ascii="Garamond" w:hAnsi="Garamond" w:cs="Times New Roman"/>
          <w:b/>
          <w:bCs/>
          <w:sz w:val="24"/>
          <w:szCs w:val="24"/>
        </w:rPr>
        <w:t>PËR DISA SHTESA DHE NDRYSHIME NË LIGJIN NR. 98/2016</w:t>
      </w:r>
      <w:r w:rsidR="00097B18" w:rsidRPr="00097B18">
        <w:rPr>
          <w:rFonts w:ascii="Garamond" w:hAnsi="Garamond" w:cs="Times New Roman"/>
          <w:b/>
          <w:bCs/>
          <w:sz w:val="24"/>
          <w:szCs w:val="24"/>
        </w:rPr>
        <w:t>,</w:t>
      </w:r>
      <w:r w:rsidRPr="00097B18">
        <w:rPr>
          <w:rFonts w:ascii="Garamond" w:hAnsi="Garamond" w:cs="Times New Roman"/>
          <w:b/>
          <w:bCs/>
          <w:sz w:val="24"/>
          <w:szCs w:val="24"/>
        </w:rPr>
        <w:t xml:space="preserve"> </w:t>
      </w:r>
    </w:p>
    <w:p w14:paraId="32C1B2C7" w14:textId="0E2E528F" w:rsidR="00463CFB" w:rsidRPr="00097B18" w:rsidRDefault="00463CFB" w:rsidP="00097B18">
      <w:pPr>
        <w:spacing w:after="0" w:line="240" w:lineRule="auto"/>
        <w:ind w:firstLine="284"/>
        <w:jc w:val="center"/>
        <w:rPr>
          <w:rFonts w:ascii="Garamond" w:hAnsi="Garamond" w:cs="Times New Roman"/>
          <w:b/>
          <w:bCs/>
          <w:sz w:val="24"/>
          <w:szCs w:val="24"/>
        </w:rPr>
      </w:pPr>
      <w:r w:rsidRPr="00097B18">
        <w:rPr>
          <w:rFonts w:ascii="Garamond" w:hAnsi="Garamond" w:cs="Times New Roman"/>
          <w:b/>
          <w:bCs/>
          <w:sz w:val="24"/>
          <w:szCs w:val="24"/>
        </w:rPr>
        <w:t>“PËR ORGANIZIMIN E PUSHTETIT GJYQËSOR NË REPUBLIKËN E SHQIPËRISË”</w:t>
      </w:r>
    </w:p>
    <w:p w14:paraId="32C1B2C8"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2C9"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 xml:space="preserve">Në mbështetje të neneve 81 dhe 83, pika 1, të Kushtetutës, me propozimin e një deputeti, </w:t>
      </w:r>
    </w:p>
    <w:p w14:paraId="32C1B2CA"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588C695A"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KUVENDI</w:t>
      </w:r>
    </w:p>
    <w:p w14:paraId="32C1B2CD"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I REPUBLIKËS SË SHQIPËRISË</w:t>
      </w:r>
    </w:p>
    <w:p w14:paraId="32C1B2CE" w14:textId="77777777" w:rsidR="00463CFB" w:rsidRPr="00097B18" w:rsidRDefault="00463CFB" w:rsidP="00463CFB">
      <w:pPr>
        <w:spacing w:after="0" w:line="240" w:lineRule="auto"/>
        <w:ind w:firstLine="284"/>
        <w:jc w:val="center"/>
        <w:rPr>
          <w:rFonts w:ascii="Garamond" w:hAnsi="Garamond" w:cs="Times New Roman"/>
          <w:bCs/>
          <w:sz w:val="24"/>
          <w:szCs w:val="24"/>
        </w:rPr>
      </w:pPr>
    </w:p>
    <w:p w14:paraId="55DE0C56"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VENDOSI:</w:t>
      </w:r>
    </w:p>
    <w:p w14:paraId="32C1B2D0"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2D1" w14:textId="2221F9F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Në ligjin nr. 98/2016</w:t>
      </w:r>
      <w:r w:rsidR="00097B18">
        <w:rPr>
          <w:rFonts w:ascii="Garamond" w:hAnsi="Garamond" w:cs="Times New Roman"/>
          <w:bCs/>
          <w:sz w:val="24"/>
          <w:szCs w:val="24"/>
        </w:rPr>
        <w:t>,</w:t>
      </w:r>
      <w:r w:rsidRPr="00097B18">
        <w:rPr>
          <w:rFonts w:ascii="Garamond" w:hAnsi="Garamond" w:cs="Times New Roman"/>
          <w:bCs/>
          <w:sz w:val="24"/>
          <w:szCs w:val="24"/>
        </w:rPr>
        <w:t xml:space="preserve"> “Për organizimin e pushtetit gjyqësor në Republikën e Shqipërisë” bëhen këto shtesa e ndryshime: </w:t>
      </w:r>
    </w:p>
    <w:p w14:paraId="32C1B2D2" w14:textId="77777777" w:rsidR="00463CFB" w:rsidRPr="00097B18" w:rsidRDefault="00463CFB" w:rsidP="00463CFB">
      <w:pPr>
        <w:spacing w:after="0" w:line="240" w:lineRule="auto"/>
        <w:ind w:firstLine="284"/>
        <w:jc w:val="center"/>
        <w:rPr>
          <w:rFonts w:ascii="Garamond" w:hAnsi="Garamond" w:cs="Times New Roman"/>
          <w:bCs/>
          <w:sz w:val="24"/>
          <w:szCs w:val="24"/>
        </w:rPr>
      </w:pPr>
    </w:p>
    <w:p w14:paraId="32C1B2D3"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Neni 1</w:t>
      </w:r>
    </w:p>
    <w:p w14:paraId="32C1B2D4"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2D5" w14:textId="01C633DC"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Në nenin 2</w:t>
      </w:r>
      <w:r w:rsidR="00097B18">
        <w:rPr>
          <w:rFonts w:ascii="Garamond" w:hAnsi="Garamond" w:cs="Times New Roman"/>
          <w:bCs/>
          <w:sz w:val="24"/>
          <w:szCs w:val="24"/>
        </w:rPr>
        <w:t>,</w:t>
      </w:r>
      <w:r w:rsidRPr="00097B18">
        <w:rPr>
          <w:rFonts w:ascii="Garamond" w:hAnsi="Garamond" w:cs="Times New Roman"/>
          <w:bCs/>
          <w:sz w:val="24"/>
          <w:szCs w:val="24"/>
        </w:rPr>
        <w:t xml:space="preserve"> shkronja</w:t>
      </w:r>
      <w:r w:rsidR="00097B18">
        <w:rPr>
          <w:rFonts w:ascii="Garamond" w:hAnsi="Garamond" w:cs="Times New Roman"/>
          <w:bCs/>
          <w:sz w:val="24"/>
          <w:szCs w:val="24"/>
        </w:rPr>
        <w:t xml:space="preserve"> </w:t>
      </w:r>
      <w:r w:rsidRPr="00097B18">
        <w:rPr>
          <w:rFonts w:ascii="Garamond" w:hAnsi="Garamond" w:cs="Times New Roman"/>
          <w:bCs/>
          <w:sz w:val="24"/>
          <w:szCs w:val="24"/>
        </w:rPr>
        <w:t>“e”</w:t>
      </w:r>
      <w:r w:rsidR="00097B18">
        <w:rPr>
          <w:rFonts w:ascii="Garamond" w:hAnsi="Garamond" w:cs="Times New Roman"/>
          <w:bCs/>
          <w:sz w:val="24"/>
          <w:szCs w:val="24"/>
        </w:rPr>
        <w:t>,</w:t>
      </w:r>
      <w:r w:rsidRPr="00097B18">
        <w:rPr>
          <w:rFonts w:ascii="Garamond" w:hAnsi="Garamond" w:cs="Times New Roman"/>
          <w:bCs/>
          <w:sz w:val="24"/>
          <w:szCs w:val="24"/>
        </w:rPr>
        <w:t xml:space="preserve"> ndryshohet si më poshtë:</w:t>
      </w:r>
    </w:p>
    <w:p w14:paraId="32C1B2D6"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“e) “Ndihmës ligjor” është ndihmësi që ushtron funksionin e tij në Njësinë e Shërbimit Ligjor pranë gjykatave të shkallës së parë dhe gjykatave të apelit.”.</w:t>
      </w:r>
    </w:p>
    <w:p w14:paraId="32C1B2D7"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2D8"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 xml:space="preserve">Neni 2 </w:t>
      </w:r>
    </w:p>
    <w:p w14:paraId="32C1B2D9"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2DA"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Në nenin 17, pika 5, fjalia e parë ndryshohet si më poshtë:</w:t>
      </w:r>
    </w:p>
    <w:p w14:paraId="32C1B2DB"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“Degët e gjykatave gjykojnë çështje civile dhe penale që gjykohen nga një gjyqtar i vetëm.”.</w:t>
      </w:r>
    </w:p>
    <w:p w14:paraId="32C1B2DC"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2DD"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Neni 3</w:t>
      </w:r>
    </w:p>
    <w:p w14:paraId="32C1B2DE"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2DF"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Neni 24 ndryshohet si më poshtë:</w:t>
      </w:r>
    </w:p>
    <w:p w14:paraId="32C1B2E0" w14:textId="7C93F072"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ab/>
        <w:t>“Gjykatat me juridiksion të përgjithshëm të shkallës së parë dhe të apelit, gjykatat administrative të shkallës së parë dhe të apelit, si dhe gjykata e posaçme</w:t>
      </w:r>
      <w:r w:rsidR="00DA0435">
        <w:rPr>
          <w:rFonts w:ascii="Garamond" w:hAnsi="Garamond" w:cs="Times New Roman"/>
          <w:bCs/>
          <w:sz w:val="24"/>
          <w:szCs w:val="24"/>
        </w:rPr>
        <w:t>,</w:t>
      </w:r>
      <w:r w:rsidRPr="00097B18">
        <w:rPr>
          <w:rFonts w:ascii="Garamond" w:hAnsi="Garamond" w:cs="Times New Roman"/>
          <w:bCs/>
          <w:sz w:val="24"/>
          <w:szCs w:val="24"/>
        </w:rPr>
        <w:t xml:space="preserve"> për gjykimin e veprave penale të korrupsionit dhe krimit të organizuar të shkallës së parë dhe të apelit</w:t>
      </w:r>
      <w:r w:rsidR="00DA0435">
        <w:rPr>
          <w:rFonts w:ascii="Garamond" w:hAnsi="Garamond" w:cs="Times New Roman"/>
          <w:bCs/>
          <w:sz w:val="24"/>
          <w:szCs w:val="24"/>
        </w:rPr>
        <w:t>,</w:t>
      </w:r>
      <w:r w:rsidRPr="00097B18">
        <w:rPr>
          <w:rFonts w:ascii="Garamond" w:hAnsi="Garamond" w:cs="Times New Roman"/>
          <w:bCs/>
          <w:sz w:val="24"/>
          <w:szCs w:val="24"/>
        </w:rPr>
        <w:t xml:space="preserve"> gjykojnë me trup gjykues të përbërë nga një gjyqtar, ose me trup gjykues të përbërë nga 3 gjyqtarë, sipas parashikimeve të ligjeve procedurale, përveç rasteve kur në ligj parashikohet ndryshe.”. </w:t>
      </w:r>
    </w:p>
    <w:p w14:paraId="32C1B2E1"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2E5"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Neni 4</w:t>
      </w:r>
    </w:p>
    <w:p w14:paraId="32C1B2E6"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2E7"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ab/>
        <w:t>Në nenin 26 bëhen shtesat dhe ndryshimet e mëposhtme:</w:t>
      </w:r>
    </w:p>
    <w:p w14:paraId="32C1B2E8" w14:textId="7E658D3B"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1. Në fjalinë e dytë</w:t>
      </w:r>
      <w:r w:rsidR="00097B18">
        <w:rPr>
          <w:rFonts w:ascii="Garamond" w:hAnsi="Garamond" w:cs="Times New Roman"/>
          <w:bCs/>
          <w:sz w:val="24"/>
          <w:szCs w:val="24"/>
        </w:rPr>
        <w:t>,</w:t>
      </w:r>
      <w:r w:rsidRPr="00097B18">
        <w:rPr>
          <w:rFonts w:ascii="Garamond" w:hAnsi="Garamond" w:cs="Times New Roman"/>
          <w:bCs/>
          <w:sz w:val="24"/>
          <w:szCs w:val="24"/>
        </w:rPr>
        <w:t xml:space="preserve"> të pikës 3</w:t>
      </w:r>
      <w:r w:rsidR="00097B18">
        <w:rPr>
          <w:rFonts w:ascii="Garamond" w:hAnsi="Garamond" w:cs="Times New Roman"/>
          <w:bCs/>
          <w:sz w:val="24"/>
          <w:szCs w:val="24"/>
        </w:rPr>
        <w:t>,</w:t>
      </w:r>
      <w:r w:rsidRPr="00097B18">
        <w:rPr>
          <w:rFonts w:ascii="Garamond" w:hAnsi="Garamond" w:cs="Times New Roman"/>
          <w:bCs/>
          <w:sz w:val="24"/>
          <w:szCs w:val="24"/>
        </w:rPr>
        <w:t xml:space="preserve"> pas togfjalëshit “mbledhja e përgjithshme e gjyqtarëve” shtohet togfjalëshi “ndërmjet gjyqtarëve që ush</w:t>
      </w:r>
      <w:r w:rsidR="00097B18">
        <w:rPr>
          <w:rFonts w:ascii="Garamond" w:hAnsi="Garamond" w:cs="Times New Roman"/>
          <w:bCs/>
          <w:sz w:val="24"/>
          <w:szCs w:val="24"/>
        </w:rPr>
        <w:t>trojnë detyrën në atë gjykatë”.</w:t>
      </w:r>
    </w:p>
    <w:p w14:paraId="32C1B2E9" w14:textId="18E81476"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2. Në pikën 4</w:t>
      </w:r>
      <w:r w:rsidR="00097B18">
        <w:rPr>
          <w:rFonts w:ascii="Garamond" w:hAnsi="Garamond" w:cs="Times New Roman"/>
          <w:bCs/>
          <w:sz w:val="24"/>
          <w:szCs w:val="24"/>
        </w:rPr>
        <w:t>,</w:t>
      </w:r>
      <w:r w:rsidRPr="00097B18">
        <w:rPr>
          <w:rFonts w:ascii="Garamond" w:hAnsi="Garamond" w:cs="Times New Roman"/>
          <w:bCs/>
          <w:sz w:val="24"/>
          <w:szCs w:val="24"/>
        </w:rPr>
        <w:t xml:space="preserve"> fjalia e tretë ndryshohet si më poshtë:</w:t>
      </w:r>
    </w:p>
    <w:p w14:paraId="32C1B2EA"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“Mbledhja e përgjithshme e gjyqtarëve është e vlefshme kur marrin pjesë shumica e anëtarëve që ushtrojnë detyrën në gjykatë.”.</w:t>
      </w:r>
    </w:p>
    <w:p w14:paraId="32C1B2EB"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3. Pas pikës 5 shtohet pika 5/1 me këtë përmbajtje:</w:t>
      </w:r>
    </w:p>
    <w:p w14:paraId="32C1B2EC" w14:textId="48FBCC05" w:rsidR="00463CFB" w:rsidRPr="00097B18" w:rsidRDefault="00097B18" w:rsidP="00463CFB">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“5/1</w:t>
      </w:r>
      <w:r w:rsidR="00463CFB" w:rsidRPr="00097B18">
        <w:rPr>
          <w:rFonts w:ascii="Garamond" w:hAnsi="Garamond" w:cs="Times New Roman"/>
          <w:bCs/>
          <w:sz w:val="24"/>
          <w:szCs w:val="24"/>
        </w:rPr>
        <w:t xml:space="preserve"> Në rastet kur nuk konkurron asnjë nga gjyqtarët që plotësojnë kriterin e përvojës minimale profesionale, ose kur asnjë nga gjyqtarët e gjykatës nuk e ka këtë përvojë, zëvendëskryetari i gjykatës zgjidhet ndërmjet gjyqtarëve të tjerë, që ushtrojnë funksionin në atë gjykatë, për një mandat njëvjeçar me të drejtë rizgjedhjeje.”. </w:t>
      </w:r>
    </w:p>
    <w:p w14:paraId="32C1B2ED"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2EE"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lastRenderedPageBreak/>
        <w:t>Neni 5</w:t>
      </w:r>
    </w:p>
    <w:p w14:paraId="32C1B2EF"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2F0"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 xml:space="preserve">Në nenin 29, pika 1, pas fjalisë së parë shtohet fjalia me këtë përmbajtje: </w:t>
      </w:r>
    </w:p>
    <w:p w14:paraId="32C1B2F1"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“Në mbledhje marrin pjesë të gjithë gjyqtarët që ushtrojnë detyrën. Mbledhja është e vlefshme kur marrin pjesë shumica e gjyqtarëve.”.</w:t>
      </w:r>
    </w:p>
    <w:p w14:paraId="32C1B2F2"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2F3"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Neni 6</w:t>
      </w:r>
    </w:p>
    <w:p w14:paraId="32C1B2F4"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2F5"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Në nenin 31 bëhen shtesat dhe ndryshimet e mëposhtme:</w:t>
      </w:r>
    </w:p>
    <w:p w14:paraId="32C1B2F6" w14:textId="7ECEB4E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1. Në pikën 2</w:t>
      </w:r>
      <w:r w:rsidR="00097B18">
        <w:rPr>
          <w:rFonts w:ascii="Garamond" w:hAnsi="Garamond" w:cs="Times New Roman"/>
          <w:bCs/>
          <w:sz w:val="24"/>
          <w:szCs w:val="24"/>
        </w:rPr>
        <w:t>,</w:t>
      </w:r>
      <w:r w:rsidRPr="00097B18">
        <w:rPr>
          <w:rFonts w:ascii="Garamond" w:hAnsi="Garamond" w:cs="Times New Roman"/>
          <w:bCs/>
          <w:sz w:val="24"/>
          <w:szCs w:val="24"/>
        </w:rPr>
        <w:t xml:space="preserve"> fjalia e dytë ndryshohet si më poshtë:</w:t>
      </w:r>
    </w:p>
    <w:p w14:paraId="32C1B2F7" w14:textId="03D612E1"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“Kolegji Civil gjykon në kolegj me trup gjykues të përbërë nga 3 gjyqtarë. Në rastet e gjykimeve</w:t>
      </w:r>
      <w:r w:rsidR="00097B18">
        <w:rPr>
          <w:rFonts w:ascii="Garamond" w:hAnsi="Garamond" w:cs="Times New Roman"/>
          <w:bCs/>
          <w:sz w:val="24"/>
          <w:szCs w:val="24"/>
        </w:rPr>
        <w:t>,</w:t>
      </w:r>
      <w:r w:rsidRPr="00097B18">
        <w:rPr>
          <w:rFonts w:ascii="Garamond" w:hAnsi="Garamond" w:cs="Times New Roman"/>
          <w:bCs/>
          <w:sz w:val="24"/>
          <w:szCs w:val="24"/>
        </w:rPr>
        <w:t xml:space="preserve"> për njësimin dhe zhvillimin e praktikës gjyqësore</w:t>
      </w:r>
      <w:r w:rsidR="00097B18">
        <w:rPr>
          <w:rFonts w:ascii="Garamond" w:hAnsi="Garamond" w:cs="Times New Roman"/>
          <w:bCs/>
          <w:sz w:val="24"/>
          <w:szCs w:val="24"/>
        </w:rPr>
        <w:t>,</w:t>
      </w:r>
      <w:r w:rsidRPr="00097B18">
        <w:rPr>
          <w:rFonts w:ascii="Garamond" w:hAnsi="Garamond" w:cs="Times New Roman"/>
          <w:bCs/>
          <w:sz w:val="24"/>
          <w:szCs w:val="24"/>
        </w:rPr>
        <w:t xml:space="preserve"> Kolegji Civil gjykon në kolegje me trup gjykues të përbërë nga 5 gjyqtarë.”.</w:t>
      </w:r>
    </w:p>
    <w:p w14:paraId="32C1B2F8" w14:textId="469EE5DB"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2. Në pikën 3</w:t>
      </w:r>
      <w:r w:rsidR="00097B18">
        <w:rPr>
          <w:rFonts w:ascii="Garamond" w:hAnsi="Garamond" w:cs="Times New Roman"/>
          <w:bCs/>
          <w:sz w:val="24"/>
          <w:szCs w:val="24"/>
        </w:rPr>
        <w:t>,</w:t>
      </w:r>
      <w:r w:rsidRPr="00097B18">
        <w:rPr>
          <w:rFonts w:ascii="Garamond" w:hAnsi="Garamond" w:cs="Times New Roman"/>
          <w:bCs/>
          <w:sz w:val="24"/>
          <w:szCs w:val="24"/>
        </w:rPr>
        <w:t xml:space="preserve"> fjalia e dytë ndryshohet si më poshtë:</w:t>
      </w:r>
    </w:p>
    <w:p w14:paraId="32C1B2F9" w14:textId="5C52E478"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“Kolegji Penal gjykon në kolegj me trup gjykues të përbërë nga 3 gjyqtarë. Në rastet e gjykimeve</w:t>
      </w:r>
      <w:r w:rsidR="00097B18">
        <w:rPr>
          <w:rFonts w:ascii="Garamond" w:hAnsi="Garamond" w:cs="Times New Roman"/>
          <w:bCs/>
          <w:sz w:val="24"/>
          <w:szCs w:val="24"/>
        </w:rPr>
        <w:t>,</w:t>
      </w:r>
      <w:r w:rsidRPr="00097B18">
        <w:rPr>
          <w:rFonts w:ascii="Garamond" w:hAnsi="Garamond" w:cs="Times New Roman"/>
          <w:bCs/>
          <w:sz w:val="24"/>
          <w:szCs w:val="24"/>
        </w:rPr>
        <w:t xml:space="preserve"> për njësimin dhe zhvillimin e praktikës gjyqësore</w:t>
      </w:r>
      <w:r w:rsidR="00097B18">
        <w:rPr>
          <w:rFonts w:ascii="Garamond" w:hAnsi="Garamond" w:cs="Times New Roman"/>
          <w:bCs/>
          <w:sz w:val="24"/>
          <w:szCs w:val="24"/>
        </w:rPr>
        <w:t>,</w:t>
      </w:r>
      <w:r w:rsidRPr="00097B18">
        <w:rPr>
          <w:rFonts w:ascii="Garamond" w:hAnsi="Garamond" w:cs="Times New Roman"/>
          <w:bCs/>
          <w:sz w:val="24"/>
          <w:szCs w:val="24"/>
        </w:rPr>
        <w:t xml:space="preserve"> Kolegji Penal gjykon në kolegje me trup gjykues të përbërë nga 5 gjyqtarë.”.</w:t>
      </w:r>
    </w:p>
    <w:p w14:paraId="32C1B2FA" w14:textId="7313C41B"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3. Në pikën 3</w:t>
      </w:r>
      <w:r w:rsidR="00097B18">
        <w:rPr>
          <w:rFonts w:ascii="Garamond" w:hAnsi="Garamond" w:cs="Times New Roman"/>
          <w:bCs/>
          <w:sz w:val="24"/>
          <w:szCs w:val="24"/>
        </w:rPr>
        <w:t>,</w:t>
      </w:r>
      <w:r w:rsidRPr="00097B18">
        <w:rPr>
          <w:rFonts w:ascii="Garamond" w:hAnsi="Garamond" w:cs="Times New Roman"/>
          <w:bCs/>
          <w:sz w:val="24"/>
          <w:szCs w:val="24"/>
        </w:rPr>
        <w:t xml:space="preserve"> fjalia e fundit shfuqizohet.</w:t>
      </w:r>
    </w:p>
    <w:p w14:paraId="32C1B2FB" w14:textId="58572AF4"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4. Në pikën 4</w:t>
      </w:r>
      <w:r w:rsidR="00097B18">
        <w:rPr>
          <w:rFonts w:ascii="Garamond" w:hAnsi="Garamond" w:cs="Times New Roman"/>
          <w:bCs/>
          <w:sz w:val="24"/>
          <w:szCs w:val="24"/>
        </w:rPr>
        <w:t>,</w:t>
      </w:r>
      <w:r w:rsidRPr="00097B18">
        <w:rPr>
          <w:rFonts w:ascii="Garamond" w:hAnsi="Garamond" w:cs="Times New Roman"/>
          <w:bCs/>
          <w:sz w:val="24"/>
          <w:szCs w:val="24"/>
        </w:rPr>
        <w:t xml:space="preserve"> fjalia e dytë ndryshohet si më poshtë:</w:t>
      </w:r>
    </w:p>
    <w:p w14:paraId="32C1B2FC" w14:textId="527C41DF"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“Kolegji Administrativ gjykon me 3 gjyqtarë të gjitha çështjet, me përjashtim të rekurseve të paraqitura kundër vendimeve të Gjykatës Administrative të Apelit, që kanë shqyrtuar padi ndaj aktit nënligjor normativ, si dhe gjykimeve në seancë gjyqësore</w:t>
      </w:r>
      <w:r w:rsidR="00DA0435">
        <w:rPr>
          <w:rFonts w:ascii="Garamond" w:hAnsi="Garamond" w:cs="Times New Roman"/>
          <w:bCs/>
          <w:sz w:val="24"/>
          <w:szCs w:val="24"/>
        </w:rPr>
        <w:t>,</w:t>
      </w:r>
      <w:r w:rsidRPr="00097B18">
        <w:rPr>
          <w:rFonts w:ascii="Garamond" w:hAnsi="Garamond" w:cs="Times New Roman"/>
          <w:bCs/>
          <w:sz w:val="24"/>
          <w:szCs w:val="24"/>
        </w:rPr>
        <w:t xml:space="preserve"> për njësimin ose zhvillimin e praktikës gjyqësore, të cilat gjykohen me 5 gjyqtarë.”.</w:t>
      </w:r>
    </w:p>
    <w:p w14:paraId="32C1B2FD" w14:textId="2317C941"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5. Pika 5</w:t>
      </w:r>
      <w:r w:rsidR="00097B18">
        <w:rPr>
          <w:rFonts w:ascii="Garamond" w:hAnsi="Garamond" w:cs="Times New Roman"/>
          <w:bCs/>
          <w:sz w:val="24"/>
          <w:szCs w:val="24"/>
        </w:rPr>
        <w:t>,</w:t>
      </w:r>
      <w:r w:rsidRPr="00097B18">
        <w:rPr>
          <w:rFonts w:ascii="Garamond" w:hAnsi="Garamond" w:cs="Times New Roman"/>
          <w:bCs/>
          <w:sz w:val="24"/>
          <w:szCs w:val="24"/>
        </w:rPr>
        <w:t xml:space="preserve"> ndryshohet si më poshtë:</w:t>
      </w:r>
    </w:p>
    <w:p w14:paraId="32C1B2FE"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“5. Trupi gjykues kryesohet nga kryetari i kolegjit dhe në mungesë të tij nga gjyqtari relator. Në rastin kur në trup gjykues është kryetari i gjykatës, ai kryesohet nga ky i fundit.”.</w:t>
      </w:r>
    </w:p>
    <w:p w14:paraId="32C1B2FF"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00"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Neni 7</w:t>
      </w:r>
    </w:p>
    <w:p w14:paraId="32C1B301"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02" w14:textId="3C95B9D1"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Në nenin 32</w:t>
      </w:r>
      <w:r w:rsidR="00097B18">
        <w:rPr>
          <w:rFonts w:ascii="Garamond" w:hAnsi="Garamond" w:cs="Times New Roman"/>
          <w:bCs/>
          <w:sz w:val="24"/>
          <w:szCs w:val="24"/>
        </w:rPr>
        <w:t>,</w:t>
      </w:r>
      <w:r w:rsidRPr="00097B18">
        <w:rPr>
          <w:rFonts w:ascii="Garamond" w:hAnsi="Garamond" w:cs="Times New Roman"/>
          <w:bCs/>
          <w:sz w:val="24"/>
          <w:szCs w:val="24"/>
        </w:rPr>
        <w:t xml:space="preserve"> pika </w:t>
      </w:r>
      <w:bookmarkStart w:id="0" w:name="_GoBack"/>
      <w:bookmarkEnd w:id="0"/>
      <w:r w:rsidRPr="00097B18">
        <w:rPr>
          <w:rFonts w:ascii="Garamond" w:hAnsi="Garamond" w:cs="Times New Roman"/>
          <w:bCs/>
          <w:sz w:val="24"/>
          <w:szCs w:val="24"/>
        </w:rPr>
        <w:t xml:space="preserve"> 2</w:t>
      </w:r>
      <w:r w:rsidR="00097B18">
        <w:rPr>
          <w:rFonts w:ascii="Garamond" w:hAnsi="Garamond" w:cs="Times New Roman"/>
          <w:bCs/>
          <w:sz w:val="24"/>
          <w:szCs w:val="24"/>
        </w:rPr>
        <w:t>,</w:t>
      </w:r>
      <w:r w:rsidRPr="00097B18">
        <w:rPr>
          <w:rFonts w:ascii="Garamond" w:hAnsi="Garamond" w:cs="Times New Roman"/>
          <w:bCs/>
          <w:sz w:val="24"/>
          <w:szCs w:val="24"/>
        </w:rPr>
        <w:t xml:space="preserve"> ndryshohet si më poshtë:</w:t>
      </w:r>
    </w:p>
    <w:p w14:paraId="32C1B303"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“2. Kolegjet e Bashkuara shqyrtojnë çështjet kur lind nevoja për ndryshimin e praktikës gjyqësore të njësuar sipas rregullave të caktuara në legjislacionin procedural civil, penal dhe administrativ në fuqi.”.</w:t>
      </w:r>
    </w:p>
    <w:p w14:paraId="32C1B304"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Neni 8</w:t>
      </w:r>
    </w:p>
    <w:p w14:paraId="32C1B305"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06"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Në nenin 34, pika 6, bëhen shtesat dhe ndryshimet e mëposhtme:</w:t>
      </w:r>
    </w:p>
    <w:p w14:paraId="32C1B307"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1. Në shkronjën “b” numri “10” zëvendësohet me numrin “5”.</w:t>
      </w:r>
    </w:p>
    <w:p w14:paraId="32C1B308"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2. Shkronja “e” shfuqizohet.</w:t>
      </w:r>
    </w:p>
    <w:p w14:paraId="32C1B309"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0A"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Neni 9</w:t>
      </w:r>
    </w:p>
    <w:p w14:paraId="32C1B30B"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0C"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Në nenin 42 bëhen shtesat dhe ndryshimet e mëposhtme:</w:t>
      </w:r>
    </w:p>
    <w:p w14:paraId="32C1B30D"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1. Titulli i nenit ndryshohet në “Ndihmësit ligjorë të gjykatave të shkallës së parë dhe të gjykatave të apelit”.</w:t>
      </w:r>
    </w:p>
    <w:p w14:paraId="32C1B30E"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2. Pika 1 ndryshohet si më poshtë:</w:t>
      </w:r>
    </w:p>
    <w:p w14:paraId="32C1B30F"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 xml:space="preserve">“1. Pranë gjykatave të shkallës së parë dhe gjykatave të apelit mund të funksionojë Njësia e Shërbimit Ligjor, e përbërë nga ndihmësit ligjorë, e krijuar me vendim të Këshillit të Lartë Gjyqësor.”. </w:t>
      </w:r>
    </w:p>
    <w:p w14:paraId="32C1B310" w14:textId="1330A9D0"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3. Pas pikës 1</w:t>
      </w:r>
      <w:r w:rsidR="00097B18">
        <w:rPr>
          <w:rFonts w:ascii="Garamond" w:hAnsi="Garamond" w:cs="Times New Roman"/>
          <w:bCs/>
          <w:sz w:val="24"/>
          <w:szCs w:val="24"/>
        </w:rPr>
        <w:t>,</w:t>
      </w:r>
      <w:r w:rsidRPr="00097B18">
        <w:rPr>
          <w:rFonts w:ascii="Garamond" w:hAnsi="Garamond" w:cs="Times New Roman"/>
          <w:bCs/>
          <w:sz w:val="24"/>
          <w:szCs w:val="24"/>
        </w:rPr>
        <w:t xml:space="preserve"> shtohet pika 1/1</w:t>
      </w:r>
      <w:r w:rsidR="00097B18">
        <w:rPr>
          <w:rFonts w:ascii="Garamond" w:hAnsi="Garamond" w:cs="Times New Roman"/>
          <w:bCs/>
          <w:sz w:val="24"/>
          <w:szCs w:val="24"/>
        </w:rPr>
        <w:t>,</w:t>
      </w:r>
      <w:r w:rsidRPr="00097B18">
        <w:rPr>
          <w:rFonts w:ascii="Garamond" w:hAnsi="Garamond" w:cs="Times New Roman"/>
          <w:bCs/>
          <w:sz w:val="24"/>
          <w:szCs w:val="24"/>
        </w:rPr>
        <w:t xml:space="preserve"> me këtë përmbajtje:</w:t>
      </w:r>
    </w:p>
    <w:p w14:paraId="32C1B311" w14:textId="144E0B92" w:rsidR="00463CFB" w:rsidRPr="00097B18" w:rsidRDefault="00097B18" w:rsidP="00463CFB">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“1/1</w:t>
      </w:r>
      <w:r w:rsidR="00463CFB" w:rsidRPr="00097B18">
        <w:rPr>
          <w:rFonts w:ascii="Garamond" w:hAnsi="Garamond" w:cs="Times New Roman"/>
          <w:bCs/>
          <w:sz w:val="24"/>
          <w:szCs w:val="24"/>
        </w:rPr>
        <w:t xml:space="preserve"> Këshilli i Lartë Gjyqësor cakton numrin e ndihmësve ligjorë për çdo gjykatë duke u bazuar në domosdoshmërinë e tyre për mbarëvajtjen e punës në gjykatë, pasi ka vlerësuar kriteret </w:t>
      </w:r>
      <w:r w:rsidR="00463CFB" w:rsidRPr="00097B18">
        <w:rPr>
          <w:rFonts w:ascii="Garamond" w:hAnsi="Garamond" w:cs="Times New Roman"/>
          <w:bCs/>
          <w:sz w:val="24"/>
          <w:szCs w:val="24"/>
        </w:rPr>
        <w:lastRenderedPageBreak/>
        <w:t>e përcaktuara në nenin 15, pika 3, shkronja “b”, të këtij ligji, llojin dhe natyrën e çështjeve për t’u përpunuar dhe përgatitur nga ndihmësit ligjorë, si dhe pas marrjes së mendimit të Këshillit të Gjykatës, ministrit të Drejtësisë dhe ministrit të Financave. Numri i ndihmësve ligjorë nuk mund të jetë më i madh se numri i përgjithshëm i gjyqtarëve.”.</w:t>
      </w:r>
    </w:p>
    <w:p w14:paraId="32C1B312"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4. Pika 10 ndryshohet si më poshtë:</w:t>
      </w:r>
    </w:p>
    <w:p w14:paraId="32C1B313" w14:textId="5D1F4CA5"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“10. Këshilli i Lartë Gjyqësor miraton rregulla të detajuara për kushtet dhe kriteret profesionale që duhet të përmbushin ndihmësit ligjorë në gjykatat e shkallës së parë dhe gjykatat e apelit, llojin dhe natyrën e detyrave të ndihmësve ligjorë, llojin dhe natyrën e çështjeve për t’u përpunuar dhe përgatitur nga ndihmësit ligjorë, për kriteret dhe procedurat për ndarjen e çështjeve me short, si dhe vlerëson rregullisht ngarkesën e punës së ndihmësve ligjorë dhe siguron një numër të përshtatshëm të tyre për çdo gjykatë.</w:t>
      </w:r>
      <w:r w:rsidR="00097B18">
        <w:rPr>
          <w:rFonts w:ascii="Garamond" w:hAnsi="Garamond" w:cs="Times New Roman"/>
          <w:bCs/>
          <w:sz w:val="24"/>
          <w:szCs w:val="24"/>
        </w:rPr>
        <w:t>”.</w:t>
      </w:r>
    </w:p>
    <w:p w14:paraId="32C1B314"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15"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Neni 10</w:t>
      </w:r>
    </w:p>
    <w:p w14:paraId="32C1B316"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17" w14:textId="14CC2BF6"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Në nenin 50</w:t>
      </w:r>
      <w:r w:rsidR="00097B18">
        <w:rPr>
          <w:rFonts w:ascii="Garamond" w:hAnsi="Garamond" w:cs="Times New Roman"/>
          <w:bCs/>
          <w:sz w:val="24"/>
          <w:szCs w:val="24"/>
        </w:rPr>
        <w:t>,</w:t>
      </w:r>
      <w:r w:rsidRPr="00097B18">
        <w:rPr>
          <w:rFonts w:ascii="Garamond" w:hAnsi="Garamond" w:cs="Times New Roman"/>
          <w:bCs/>
          <w:sz w:val="24"/>
          <w:szCs w:val="24"/>
        </w:rPr>
        <w:t xml:space="preserve"> shkronja “c” ndryshohet si më poshtë:</w:t>
      </w:r>
    </w:p>
    <w:p w14:paraId="32C1B318"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“c) ndihmësi ligjor në gjykatën e shkallës së parë dhe gjykatën e apelit;”.</w:t>
      </w:r>
    </w:p>
    <w:p w14:paraId="32C1B319"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1A"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Neni 11</w:t>
      </w:r>
    </w:p>
    <w:p w14:paraId="32C1B31B"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1C"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Në nenin 53 bëhen shtesat dhe ndryshimet e mëposhtme:</w:t>
      </w:r>
    </w:p>
    <w:p w14:paraId="32C1B31D" w14:textId="77BF43EC"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1. Në pikën 4</w:t>
      </w:r>
      <w:r w:rsidR="00097B18">
        <w:rPr>
          <w:rFonts w:ascii="Garamond" w:hAnsi="Garamond" w:cs="Times New Roman"/>
          <w:bCs/>
          <w:sz w:val="24"/>
          <w:szCs w:val="24"/>
        </w:rPr>
        <w:t>,</w:t>
      </w:r>
      <w:r w:rsidRPr="00097B18">
        <w:rPr>
          <w:rFonts w:ascii="Garamond" w:hAnsi="Garamond" w:cs="Times New Roman"/>
          <w:bCs/>
          <w:sz w:val="24"/>
          <w:szCs w:val="24"/>
        </w:rPr>
        <w:t xml:space="preserve"> shkronja “a” ndryshohet si më poshtë:</w:t>
      </w:r>
    </w:p>
    <w:p w14:paraId="32C1B31E"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“a) të verifikojë plotësimin nga kandidatët të kritereve të përgjithshme dhe të veçanta për vendin e punës, si dhe të pasurisë dhe figurës;”.</w:t>
      </w:r>
    </w:p>
    <w:p w14:paraId="32C1B31F" w14:textId="7F9DA07A"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2. Në pikën 9</w:t>
      </w:r>
      <w:r w:rsidR="00097B18">
        <w:rPr>
          <w:rFonts w:ascii="Garamond" w:hAnsi="Garamond" w:cs="Times New Roman"/>
          <w:bCs/>
          <w:sz w:val="24"/>
          <w:szCs w:val="24"/>
        </w:rPr>
        <w:t>,</w:t>
      </w:r>
      <w:r w:rsidRPr="00097B18">
        <w:rPr>
          <w:rFonts w:ascii="Garamond" w:hAnsi="Garamond" w:cs="Times New Roman"/>
          <w:bCs/>
          <w:sz w:val="24"/>
          <w:szCs w:val="24"/>
        </w:rPr>
        <w:t xml:space="preserve"> pas fjalisë së parë shtohet fjalia me këtë përmbajtje:</w:t>
      </w:r>
    </w:p>
    <w:p w14:paraId="32C1B320" w14:textId="03F7ED8B"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“Për verifikimin e pasurisë dhe figurës së kandidatëve ndiqen të njëjtat rregulla</w:t>
      </w:r>
      <w:r w:rsidR="00097B18">
        <w:rPr>
          <w:rFonts w:ascii="Garamond" w:hAnsi="Garamond" w:cs="Times New Roman"/>
          <w:bCs/>
          <w:sz w:val="24"/>
          <w:szCs w:val="24"/>
        </w:rPr>
        <w:t>,</w:t>
      </w:r>
      <w:r w:rsidRPr="00097B18">
        <w:rPr>
          <w:rFonts w:ascii="Garamond" w:hAnsi="Garamond" w:cs="Times New Roman"/>
          <w:bCs/>
          <w:sz w:val="24"/>
          <w:szCs w:val="24"/>
        </w:rPr>
        <w:t xml:space="preserve"> si dhe për kandidatët për formimin fillestar</w:t>
      </w:r>
      <w:r w:rsidR="00DA0435">
        <w:rPr>
          <w:rFonts w:ascii="Garamond" w:hAnsi="Garamond" w:cs="Times New Roman"/>
          <w:bCs/>
          <w:sz w:val="24"/>
          <w:szCs w:val="24"/>
        </w:rPr>
        <w:t>,</w:t>
      </w:r>
      <w:r w:rsidRPr="00097B18">
        <w:rPr>
          <w:rFonts w:ascii="Garamond" w:hAnsi="Garamond" w:cs="Times New Roman"/>
          <w:bCs/>
          <w:sz w:val="24"/>
          <w:szCs w:val="24"/>
        </w:rPr>
        <w:t xml:space="preserve"> për magjistratë</w:t>
      </w:r>
      <w:r w:rsidR="00097B18">
        <w:rPr>
          <w:rFonts w:ascii="Garamond" w:hAnsi="Garamond" w:cs="Times New Roman"/>
          <w:bCs/>
          <w:sz w:val="24"/>
          <w:szCs w:val="24"/>
        </w:rPr>
        <w:t>,</w:t>
      </w:r>
      <w:r w:rsidRPr="00097B18">
        <w:rPr>
          <w:rFonts w:ascii="Garamond" w:hAnsi="Garamond" w:cs="Times New Roman"/>
          <w:bCs/>
          <w:sz w:val="24"/>
          <w:szCs w:val="24"/>
        </w:rPr>
        <w:t xml:space="preserve"> sipas ligjit “Për statusin e gjyqtarëve dhe prokurorëve në Republikën e Shqipërisë</w:t>
      </w:r>
      <w:r w:rsidR="00097B18">
        <w:rPr>
          <w:rFonts w:ascii="Garamond" w:hAnsi="Garamond" w:cs="Times New Roman"/>
          <w:bCs/>
          <w:sz w:val="24"/>
          <w:szCs w:val="24"/>
        </w:rPr>
        <w:t>”</w:t>
      </w:r>
      <w:r w:rsidRPr="00097B18">
        <w:rPr>
          <w:rFonts w:ascii="Garamond" w:hAnsi="Garamond" w:cs="Times New Roman"/>
          <w:bCs/>
          <w:sz w:val="24"/>
          <w:szCs w:val="24"/>
        </w:rPr>
        <w:t>.”.</w:t>
      </w:r>
    </w:p>
    <w:p w14:paraId="32C1B321"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22"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Neni 12</w:t>
      </w:r>
    </w:p>
    <w:p w14:paraId="32C1B323"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24"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Në nenin 56 bëhen ndryshimet e mëposhtme:</w:t>
      </w:r>
    </w:p>
    <w:p w14:paraId="32C1B325" w14:textId="178E704E" w:rsidR="00463CFB" w:rsidRPr="00097B18" w:rsidRDefault="00097B18" w:rsidP="00463CFB">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1. Në pikën 2 pas togfj</w:t>
      </w:r>
      <w:r w:rsidR="00463CFB" w:rsidRPr="00097B18">
        <w:rPr>
          <w:rFonts w:ascii="Garamond" w:hAnsi="Garamond" w:cs="Times New Roman"/>
          <w:bCs/>
          <w:sz w:val="24"/>
          <w:szCs w:val="24"/>
        </w:rPr>
        <w:t>alëshit</w:t>
      </w:r>
      <w:r>
        <w:rPr>
          <w:rFonts w:ascii="Garamond" w:hAnsi="Garamond" w:cs="Times New Roman"/>
          <w:bCs/>
          <w:sz w:val="24"/>
          <w:szCs w:val="24"/>
        </w:rPr>
        <w:t xml:space="preserve"> </w:t>
      </w:r>
      <w:r w:rsidR="00463CFB" w:rsidRPr="00097B18">
        <w:rPr>
          <w:rFonts w:ascii="Garamond" w:hAnsi="Garamond" w:cs="Times New Roman"/>
          <w:bCs/>
          <w:sz w:val="24"/>
          <w:szCs w:val="24"/>
        </w:rPr>
        <w:t>“Për pozicionin e ndihmësit ligjor në” shtohet togfjalëshi “gjykatat e shkallës së parë dhe”.</w:t>
      </w:r>
    </w:p>
    <w:p w14:paraId="32C1B326" w14:textId="4E771A8E"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2. Në pikën 2</w:t>
      </w:r>
      <w:r w:rsidR="00097B18">
        <w:rPr>
          <w:rFonts w:ascii="Garamond" w:hAnsi="Garamond" w:cs="Times New Roman"/>
          <w:bCs/>
          <w:sz w:val="24"/>
          <w:szCs w:val="24"/>
        </w:rPr>
        <w:t>,</w:t>
      </w:r>
      <w:r w:rsidRPr="00097B18">
        <w:rPr>
          <w:rFonts w:ascii="Garamond" w:hAnsi="Garamond" w:cs="Times New Roman"/>
          <w:bCs/>
          <w:sz w:val="24"/>
          <w:szCs w:val="24"/>
        </w:rPr>
        <w:t xml:space="preserve"> shkronja “b” ndryshohet si më poshtë: </w:t>
      </w:r>
    </w:p>
    <w:p w14:paraId="32C1B327" w14:textId="4275593E"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“b) të kenë përvojë profesionale jo më pak se tre vjet si nëpunës në sistemin gjyqësor ose të prokurorisë, në administratën publike, profesionet e lira ligjore, mësimdhënie në fakultetet e drejtësisë, ose në çdo pozicion tjetër të barasvlershëm me to, në sektorin privat ose në</w:t>
      </w:r>
      <w:r w:rsidR="00097B18">
        <w:rPr>
          <w:rFonts w:ascii="Garamond" w:hAnsi="Garamond" w:cs="Times New Roman"/>
          <w:bCs/>
          <w:sz w:val="24"/>
          <w:szCs w:val="24"/>
        </w:rPr>
        <w:t xml:space="preserve"> </w:t>
      </w:r>
      <w:r w:rsidRPr="00097B18">
        <w:rPr>
          <w:rFonts w:ascii="Garamond" w:hAnsi="Garamond" w:cs="Times New Roman"/>
          <w:bCs/>
          <w:sz w:val="24"/>
          <w:szCs w:val="24"/>
        </w:rPr>
        <w:t>organizatat ndërkombëtare.”.</w:t>
      </w:r>
    </w:p>
    <w:p w14:paraId="32C1B328"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29"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Neni 13</w:t>
      </w:r>
    </w:p>
    <w:p w14:paraId="32C1B32A"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2B" w14:textId="2AED68F4"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Në nenin 64</w:t>
      </w:r>
      <w:r w:rsidR="00097B18">
        <w:rPr>
          <w:rFonts w:ascii="Garamond" w:hAnsi="Garamond" w:cs="Times New Roman"/>
          <w:bCs/>
          <w:sz w:val="24"/>
          <w:szCs w:val="24"/>
        </w:rPr>
        <w:t>,</w:t>
      </w:r>
      <w:r w:rsidRPr="00097B18">
        <w:rPr>
          <w:rFonts w:ascii="Garamond" w:hAnsi="Garamond" w:cs="Times New Roman"/>
          <w:bCs/>
          <w:sz w:val="24"/>
          <w:szCs w:val="24"/>
        </w:rPr>
        <w:t xml:space="preserve"> pika 10 shfuqizohet.</w:t>
      </w:r>
    </w:p>
    <w:p w14:paraId="32C1B32C"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2D"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Neni 14</w:t>
      </w:r>
    </w:p>
    <w:p w14:paraId="32C1B32E"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2F" w14:textId="70E032C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Pas nenit 83</w:t>
      </w:r>
      <w:r w:rsidR="00097B18">
        <w:rPr>
          <w:rFonts w:ascii="Garamond" w:hAnsi="Garamond" w:cs="Times New Roman"/>
          <w:bCs/>
          <w:sz w:val="24"/>
          <w:szCs w:val="24"/>
        </w:rPr>
        <w:t>,</w:t>
      </w:r>
      <w:r w:rsidRPr="00097B18">
        <w:rPr>
          <w:rFonts w:ascii="Garamond" w:hAnsi="Garamond" w:cs="Times New Roman"/>
          <w:bCs/>
          <w:sz w:val="24"/>
          <w:szCs w:val="24"/>
        </w:rPr>
        <w:t xml:space="preserve"> shtohet neni 83/1 më këtë përmbajtje:</w:t>
      </w:r>
    </w:p>
    <w:p w14:paraId="32C1B330"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31"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“Neni 83/1</w:t>
      </w:r>
    </w:p>
    <w:p w14:paraId="32C1B333" w14:textId="77777777" w:rsidR="00463CFB" w:rsidRPr="00097B18" w:rsidRDefault="00463CFB" w:rsidP="00463CFB">
      <w:pPr>
        <w:spacing w:after="0" w:line="240" w:lineRule="auto"/>
        <w:ind w:firstLine="284"/>
        <w:jc w:val="center"/>
        <w:rPr>
          <w:rFonts w:ascii="Garamond" w:hAnsi="Garamond" w:cs="Times New Roman"/>
          <w:b/>
          <w:bCs/>
          <w:sz w:val="24"/>
          <w:szCs w:val="24"/>
        </w:rPr>
      </w:pPr>
      <w:r w:rsidRPr="00097B18">
        <w:rPr>
          <w:rFonts w:ascii="Garamond" w:hAnsi="Garamond" w:cs="Times New Roman"/>
          <w:b/>
          <w:bCs/>
          <w:sz w:val="24"/>
          <w:szCs w:val="24"/>
        </w:rPr>
        <w:t>Përvoja profesionale e zëvendëskryetarit të gjykatës</w:t>
      </w:r>
    </w:p>
    <w:p w14:paraId="32C1B334" w14:textId="77777777" w:rsidR="00463CFB" w:rsidRPr="00097B18" w:rsidRDefault="00463CFB" w:rsidP="00463CFB">
      <w:pPr>
        <w:spacing w:after="0" w:line="240" w:lineRule="auto"/>
        <w:ind w:firstLine="284"/>
        <w:jc w:val="center"/>
        <w:rPr>
          <w:rFonts w:ascii="Garamond" w:hAnsi="Garamond" w:cs="Times New Roman"/>
          <w:bCs/>
          <w:sz w:val="24"/>
          <w:szCs w:val="24"/>
        </w:rPr>
      </w:pPr>
    </w:p>
    <w:p w14:paraId="32C1B335" w14:textId="44FFA629"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lastRenderedPageBreak/>
        <w:t xml:space="preserve">Përjashtimisht, deri në përfundimin e procesit të rivlerësimit kalimtar të gjyqtarëve dhe prokurorëve sipas ligjit, kandidati për zëvendëskryetar të gjykatës së shkallës së parë duhet të ketë të paktën tre vjet përvojë profesionale si gjyqtar, ndërsa kandidati për zëvendëskryetar të gjykatës së apelit duhet të ketë të paktën tre vjet përvojë profesionale si </w:t>
      </w:r>
      <w:r w:rsidR="00097B18">
        <w:rPr>
          <w:rFonts w:ascii="Garamond" w:hAnsi="Garamond" w:cs="Times New Roman"/>
          <w:bCs/>
          <w:sz w:val="24"/>
          <w:szCs w:val="24"/>
        </w:rPr>
        <w:t>gjyqtar i gjykatës së apelit.”.</w:t>
      </w:r>
    </w:p>
    <w:p w14:paraId="32C1B336"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37"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Neni 15</w:t>
      </w:r>
    </w:p>
    <w:p w14:paraId="32C1B338"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39" w14:textId="079D3360"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Në nenin 85</w:t>
      </w:r>
      <w:r w:rsidR="00097B18">
        <w:rPr>
          <w:rFonts w:ascii="Garamond" w:hAnsi="Garamond" w:cs="Times New Roman"/>
          <w:bCs/>
          <w:sz w:val="24"/>
          <w:szCs w:val="24"/>
        </w:rPr>
        <w:t>,</w:t>
      </w:r>
      <w:r w:rsidRPr="00097B18">
        <w:rPr>
          <w:rFonts w:ascii="Garamond" w:hAnsi="Garamond" w:cs="Times New Roman"/>
          <w:bCs/>
          <w:sz w:val="24"/>
          <w:szCs w:val="24"/>
        </w:rPr>
        <w:t xml:space="preserve"> pas pikës 2</w:t>
      </w:r>
      <w:r w:rsidR="00097B18">
        <w:rPr>
          <w:rFonts w:ascii="Garamond" w:hAnsi="Garamond" w:cs="Times New Roman"/>
          <w:bCs/>
          <w:sz w:val="24"/>
          <w:szCs w:val="24"/>
        </w:rPr>
        <w:t>,</w:t>
      </w:r>
      <w:r w:rsidRPr="00097B18">
        <w:rPr>
          <w:rFonts w:ascii="Garamond" w:hAnsi="Garamond" w:cs="Times New Roman"/>
          <w:bCs/>
          <w:sz w:val="24"/>
          <w:szCs w:val="24"/>
        </w:rPr>
        <w:t xml:space="preserve"> shtohet pika 2/1 me këtë përmbajtje:</w:t>
      </w:r>
    </w:p>
    <w:p w14:paraId="32C1B33A"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“2/1 Për sekretarët gjyqësorë në detyrë, që kanë mbi 3 vjet përvojë pune në këtë pozicion dhe janë me arsim të lartë, kriteri i diplomimit në drejtësi nuk përbën shkak për të mos njohur statusin e nëpunësit gjyqësor civil, nëse Këshilli i Gjykatës vlerëson pozitivisht performancën e tij në punë.”.</w:t>
      </w:r>
    </w:p>
    <w:p w14:paraId="32C1B345" w14:textId="77777777" w:rsidR="00463CFB" w:rsidRPr="00097B18" w:rsidRDefault="00463CFB" w:rsidP="00463CFB">
      <w:pPr>
        <w:spacing w:after="0" w:line="240" w:lineRule="auto"/>
        <w:ind w:firstLine="284"/>
        <w:jc w:val="center"/>
        <w:rPr>
          <w:rFonts w:ascii="Garamond" w:hAnsi="Garamond" w:cs="Times New Roman"/>
          <w:bCs/>
          <w:sz w:val="24"/>
          <w:szCs w:val="24"/>
        </w:rPr>
      </w:pPr>
      <w:r w:rsidRPr="00097B18">
        <w:rPr>
          <w:rFonts w:ascii="Garamond" w:hAnsi="Garamond" w:cs="Times New Roman"/>
          <w:bCs/>
          <w:sz w:val="24"/>
          <w:szCs w:val="24"/>
        </w:rPr>
        <w:t>Neni 16</w:t>
      </w:r>
    </w:p>
    <w:p w14:paraId="32C1B346"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2C1B347" w14:textId="77777777"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Ky ligj hyn në fuqi 15 ditë pas botimit në Fletoren Zyrtare.</w:t>
      </w:r>
    </w:p>
    <w:p w14:paraId="32C1B348" w14:textId="77777777" w:rsidR="00463CFB" w:rsidRPr="00097B18" w:rsidRDefault="00463CFB" w:rsidP="00463CFB">
      <w:pPr>
        <w:spacing w:after="0" w:line="240" w:lineRule="auto"/>
        <w:ind w:firstLine="284"/>
        <w:jc w:val="both"/>
        <w:rPr>
          <w:rFonts w:ascii="Garamond" w:hAnsi="Garamond" w:cs="Times New Roman"/>
          <w:bCs/>
          <w:sz w:val="24"/>
          <w:szCs w:val="24"/>
        </w:rPr>
      </w:pPr>
    </w:p>
    <w:p w14:paraId="34A30D2C" w14:textId="77777777" w:rsidR="00463CFB" w:rsidRPr="00097B18" w:rsidRDefault="00463CFB" w:rsidP="00463CFB">
      <w:pPr>
        <w:spacing w:after="0" w:line="240" w:lineRule="auto"/>
        <w:ind w:firstLine="284"/>
        <w:jc w:val="right"/>
        <w:rPr>
          <w:rFonts w:ascii="Garamond" w:hAnsi="Garamond" w:cs="Times New Roman"/>
          <w:bCs/>
          <w:sz w:val="24"/>
          <w:szCs w:val="24"/>
        </w:rPr>
      </w:pPr>
      <w:r w:rsidRPr="00097B18">
        <w:rPr>
          <w:rFonts w:ascii="Garamond" w:hAnsi="Garamond" w:cs="Times New Roman"/>
          <w:bCs/>
          <w:sz w:val="24"/>
          <w:szCs w:val="24"/>
        </w:rPr>
        <w:t>KRYETAR</w:t>
      </w:r>
    </w:p>
    <w:p w14:paraId="6E3D261A" w14:textId="77777777" w:rsidR="00463CFB" w:rsidRPr="00097B18" w:rsidRDefault="00463CFB" w:rsidP="00463CFB">
      <w:pPr>
        <w:spacing w:after="0" w:line="240" w:lineRule="auto"/>
        <w:ind w:firstLine="284"/>
        <w:jc w:val="right"/>
        <w:rPr>
          <w:rFonts w:ascii="Garamond" w:hAnsi="Garamond" w:cs="Times New Roman"/>
          <w:b/>
          <w:bCs/>
          <w:sz w:val="24"/>
          <w:szCs w:val="24"/>
        </w:rPr>
      </w:pPr>
      <w:r w:rsidRPr="00097B18">
        <w:rPr>
          <w:rFonts w:ascii="Garamond" w:hAnsi="Garamond" w:cs="Times New Roman"/>
          <w:b/>
          <w:bCs/>
          <w:sz w:val="24"/>
          <w:szCs w:val="24"/>
        </w:rPr>
        <w:t>Gramoz Ruçi</w:t>
      </w:r>
    </w:p>
    <w:p w14:paraId="32C1B34D" w14:textId="77777777" w:rsidR="00463CFB" w:rsidRPr="00097B18" w:rsidRDefault="00463CFB" w:rsidP="00463CFB">
      <w:pPr>
        <w:spacing w:after="0" w:line="240" w:lineRule="auto"/>
        <w:ind w:firstLine="284"/>
        <w:jc w:val="both"/>
        <w:rPr>
          <w:rFonts w:ascii="Garamond" w:hAnsi="Garamond" w:cs="Times New Roman"/>
          <w:b/>
          <w:bCs/>
          <w:sz w:val="24"/>
          <w:szCs w:val="24"/>
        </w:rPr>
      </w:pPr>
    </w:p>
    <w:p w14:paraId="32C1B34E" w14:textId="276015A9" w:rsidR="00463CFB" w:rsidRPr="00097B18" w:rsidRDefault="00463CFB" w:rsidP="00463CFB">
      <w:pPr>
        <w:spacing w:after="0" w:line="240" w:lineRule="auto"/>
        <w:ind w:firstLine="284"/>
        <w:jc w:val="both"/>
        <w:rPr>
          <w:rFonts w:ascii="Garamond" w:hAnsi="Garamond" w:cs="Times New Roman"/>
          <w:bCs/>
          <w:sz w:val="24"/>
          <w:szCs w:val="24"/>
        </w:rPr>
      </w:pPr>
      <w:r w:rsidRPr="00097B18">
        <w:rPr>
          <w:rFonts w:ascii="Garamond" w:hAnsi="Garamond" w:cs="Times New Roman"/>
          <w:bCs/>
          <w:sz w:val="24"/>
          <w:szCs w:val="24"/>
        </w:rPr>
        <w:t>Miratuar në datën 23.3.2021</w:t>
      </w:r>
      <w:r w:rsidR="00DA0435">
        <w:rPr>
          <w:rFonts w:ascii="Garamond" w:hAnsi="Garamond" w:cs="Times New Roman"/>
          <w:bCs/>
          <w:sz w:val="24"/>
          <w:szCs w:val="24"/>
        </w:rPr>
        <w:t>.</w:t>
      </w:r>
    </w:p>
    <w:p w14:paraId="32C1B34F" w14:textId="26F80CD2" w:rsidR="00213234" w:rsidRPr="00097B18" w:rsidRDefault="00213234" w:rsidP="00463CFB"/>
    <w:sectPr w:rsidR="00213234" w:rsidRPr="00097B18" w:rsidSect="00643512">
      <w:footerReference w:type="defaul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D0F8D" w14:textId="77777777" w:rsidR="00CB79C4" w:rsidRDefault="00CB79C4" w:rsidP="00420682">
      <w:pPr>
        <w:spacing w:after="0" w:line="240" w:lineRule="auto"/>
      </w:pPr>
      <w:r>
        <w:separator/>
      </w:r>
    </w:p>
  </w:endnote>
  <w:endnote w:type="continuationSeparator" w:id="0">
    <w:p w14:paraId="1E848DE0" w14:textId="77777777" w:rsidR="00CB79C4" w:rsidRDefault="00CB79C4" w:rsidP="00420682">
      <w:pPr>
        <w:spacing w:after="0" w:line="240" w:lineRule="auto"/>
      </w:pPr>
      <w:r>
        <w:continuationSeparator/>
      </w:r>
    </w:p>
  </w:endnote>
  <w:endnote w:type="continuationNotice" w:id="1">
    <w:p w14:paraId="6008F14D" w14:textId="77777777" w:rsidR="00CB79C4" w:rsidRDefault="00CB79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2763602"/>
      <w:docPartObj>
        <w:docPartGallery w:val="Page Numbers (Bottom of Page)"/>
        <w:docPartUnique/>
      </w:docPartObj>
    </w:sdtPr>
    <w:sdtEndPr>
      <w:rPr>
        <w:rFonts w:ascii="Times New Roman" w:hAnsi="Times New Roman" w:cs="Times New Roman"/>
        <w:noProof/>
        <w:sz w:val="24"/>
        <w:szCs w:val="24"/>
      </w:rPr>
    </w:sdtEndPr>
    <w:sdtContent>
      <w:p w14:paraId="32C1B357" w14:textId="77777777" w:rsidR="00CB79C4" w:rsidRPr="00643512" w:rsidRDefault="00CB79C4">
        <w:pPr>
          <w:pStyle w:val="Footer"/>
          <w:jc w:val="center"/>
          <w:rPr>
            <w:rFonts w:ascii="Times New Roman" w:hAnsi="Times New Roman" w:cs="Times New Roman"/>
            <w:sz w:val="24"/>
            <w:szCs w:val="24"/>
          </w:rPr>
        </w:pPr>
        <w:r w:rsidRPr="00643512">
          <w:rPr>
            <w:rFonts w:ascii="Times New Roman" w:hAnsi="Times New Roman" w:cs="Times New Roman"/>
            <w:sz w:val="24"/>
            <w:szCs w:val="24"/>
          </w:rPr>
          <w:fldChar w:fldCharType="begin"/>
        </w:r>
        <w:r w:rsidRPr="00643512">
          <w:rPr>
            <w:rFonts w:ascii="Times New Roman" w:hAnsi="Times New Roman" w:cs="Times New Roman"/>
            <w:sz w:val="24"/>
            <w:szCs w:val="24"/>
          </w:rPr>
          <w:instrText xml:space="preserve"> PAGE   \* MERGEFORMAT </w:instrText>
        </w:r>
        <w:r w:rsidRPr="00643512">
          <w:rPr>
            <w:rFonts w:ascii="Times New Roman" w:hAnsi="Times New Roman" w:cs="Times New Roman"/>
            <w:sz w:val="24"/>
            <w:szCs w:val="24"/>
          </w:rPr>
          <w:fldChar w:fldCharType="separate"/>
        </w:r>
        <w:r w:rsidR="000E5F6F">
          <w:rPr>
            <w:rFonts w:ascii="Times New Roman" w:hAnsi="Times New Roman" w:cs="Times New Roman"/>
            <w:noProof/>
            <w:sz w:val="24"/>
            <w:szCs w:val="24"/>
          </w:rPr>
          <w:t>4</w:t>
        </w:r>
        <w:r w:rsidRPr="00643512">
          <w:rPr>
            <w:rFonts w:ascii="Times New Roman" w:hAnsi="Times New Roman" w:cs="Times New Roman"/>
            <w:noProof/>
            <w:sz w:val="24"/>
            <w:szCs w:val="24"/>
          </w:rPr>
          <w:fldChar w:fldCharType="end"/>
        </w:r>
      </w:p>
    </w:sdtContent>
  </w:sdt>
  <w:p w14:paraId="32C1B358" w14:textId="77777777" w:rsidR="00CB79C4" w:rsidRDefault="00CB79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D2E1B" w14:textId="77777777" w:rsidR="00CB79C4" w:rsidRDefault="00CB79C4" w:rsidP="00420682">
      <w:pPr>
        <w:spacing w:after="0" w:line="240" w:lineRule="auto"/>
      </w:pPr>
      <w:r>
        <w:separator/>
      </w:r>
    </w:p>
  </w:footnote>
  <w:footnote w:type="continuationSeparator" w:id="0">
    <w:p w14:paraId="235C1197" w14:textId="77777777" w:rsidR="00CB79C4" w:rsidRDefault="00CB79C4" w:rsidP="00420682">
      <w:pPr>
        <w:spacing w:after="0" w:line="240" w:lineRule="auto"/>
      </w:pPr>
      <w:r>
        <w:continuationSeparator/>
      </w:r>
    </w:p>
  </w:footnote>
  <w:footnote w:type="continuationNotice" w:id="1">
    <w:p w14:paraId="216B3DF9" w14:textId="77777777" w:rsidR="00CB79C4" w:rsidRDefault="00CB79C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42F4D"/>
    <w:rsid w:val="00043C57"/>
    <w:rsid w:val="00045E2B"/>
    <w:rsid w:val="00055AB5"/>
    <w:rsid w:val="00060376"/>
    <w:rsid w:val="000765C2"/>
    <w:rsid w:val="00096985"/>
    <w:rsid w:val="00097B18"/>
    <w:rsid w:val="000A3B4D"/>
    <w:rsid w:val="000D199E"/>
    <w:rsid w:val="000D2F90"/>
    <w:rsid w:val="000E5BA6"/>
    <w:rsid w:val="000E5F6F"/>
    <w:rsid w:val="000F5A74"/>
    <w:rsid w:val="00106F6D"/>
    <w:rsid w:val="0012550D"/>
    <w:rsid w:val="00146D52"/>
    <w:rsid w:val="0015114E"/>
    <w:rsid w:val="00153CC5"/>
    <w:rsid w:val="00155BCF"/>
    <w:rsid w:val="00163352"/>
    <w:rsid w:val="00166898"/>
    <w:rsid w:val="001816AF"/>
    <w:rsid w:val="001942D4"/>
    <w:rsid w:val="001B796E"/>
    <w:rsid w:val="001C0806"/>
    <w:rsid w:val="001C445C"/>
    <w:rsid w:val="001C5CDE"/>
    <w:rsid w:val="001C6A0A"/>
    <w:rsid w:val="001C7EC0"/>
    <w:rsid w:val="001D1FDE"/>
    <w:rsid w:val="001D2895"/>
    <w:rsid w:val="001D4F80"/>
    <w:rsid w:val="001F194A"/>
    <w:rsid w:val="002009A1"/>
    <w:rsid w:val="0020160E"/>
    <w:rsid w:val="0020170B"/>
    <w:rsid w:val="0020507F"/>
    <w:rsid w:val="00213234"/>
    <w:rsid w:val="00214854"/>
    <w:rsid w:val="0021715D"/>
    <w:rsid w:val="00233280"/>
    <w:rsid w:val="00234832"/>
    <w:rsid w:val="0024206A"/>
    <w:rsid w:val="00243B60"/>
    <w:rsid w:val="00266C06"/>
    <w:rsid w:val="002A47D7"/>
    <w:rsid w:val="002A4DFA"/>
    <w:rsid w:val="002F0535"/>
    <w:rsid w:val="002F5953"/>
    <w:rsid w:val="00316CF6"/>
    <w:rsid w:val="0036370B"/>
    <w:rsid w:val="00377F5C"/>
    <w:rsid w:val="0038331D"/>
    <w:rsid w:val="00397541"/>
    <w:rsid w:val="003A38DC"/>
    <w:rsid w:val="003A3929"/>
    <w:rsid w:val="003A63A5"/>
    <w:rsid w:val="003B19A1"/>
    <w:rsid w:val="003C48FF"/>
    <w:rsid w:val="003E2058"/>
    <w:rsid w:val="003F29A8"/>
    <w:rsid w:val="00403475"/>
    <w:rsid w:val="004074C3"/>
    <w:rsid w:val="0041300C"/>
    <w:rsid w:val="00420682"/>
    <w:rsid w:val="00433BCD"/>
    <w:rsid w:val="00445610"/>
    <w:rsid w:val="00455BBA"/>
    <w:rsid w:val="00460BC4"/>
    <w:rsid w:val="00463CFB"/>
    <w:rsid w:val="004647DB"/>
    <w:rsid w:val="00477804"/>
    <w:rsid w:val="004A5884"/>
    <w:rsid w:val="004B12D2"/>
    <w:rsid w:val="004B6ED9"/>
    <w:rsid w:val="004C2DFD"/>
    <w:rsid w:val="004E7290"/>
    <w:rsid w:val="004E7E53"/>
    <w:rsid w:val="004F447A"/>
    <w:rsid w:val="004F52D8"/>
    <w:rsid w:val="004F7030"/>
    <w:rsid w:val="005201B5"/>
    <w:rsid w:val="00522FFB"/>
    <w:rsid w:val="00531A97"/>
    <w:rsid w:val="00542102"/>
    <w:rsid w:val="00550FA3"/>
    <w:rsid w:val="0055575B"/>
    <w:rsid w:val="005602AA"/>
    <w:rsid w:val="005726F2"/>
    <w:rsid w:val="00573EE3"/>
    <w:rsid w:val="005767F6"/>
    <w:rsid w:val="0059342C"/>
    <w:rsid w:val="005B6E3F"/>
    <w:rsid w:val="005C5608"/>
    <w:rsid w:val="0060535D"/>
    <w:rsid w:val="006130DD"/>
    <w:rsid w:val="0062077A"/>
    <w:rsid w:val="00621A17"/>
    <w:rsid w:val="00636C1D"/>
    <w:rsid w:val="00641CC6"/>
    <w:rsid w:val="00643512"/>
    <w:rsid w:val="006465EF"/>
    <w:rsid w:val="00646924"/>
    <w:rsid w:val="00663243"/>
    <w:rsid w:val="0067406E"/>
    <w:rsid w:val="00677E6C"/>
    <w:rsid w:val="006B6ECF"/>
    <w:rsid w:val="006E5DDB"/>
    <w:rsid w:val="006F4D55"/>
    <w:rsid w:val="00726525"/>
    <w:rsid w:val="00727C8C"/>
    <w:rsid w:val="00736DC8"/>
    <w:rsid w:val="007403CF"/>
    <w:rsid w:val="007654B3"/>
    <w:rsid w:val="00770FAD"/>
    <w:rsid w:val="00774741"/>
    <w:rsid w:val="007A2E0E"/>
    <w:rsid w:val="007C083E"/>
    <w:rsid w:val="007C5055"/>
    <w:rsid w:val="007D742E"/>
    <w:rsid w:val="007E2515"/>
    <w:rsid w:val="00811138"/>
    <w:rsid w:val="00833AFE"/>
    <w:rsid w:val="00840462"/>
    <w:rsid w:val="00843CAB"/>
    <w:rsid w:val="0085472C"/>
    <w:rsid w:val="008620E4"/>
    <w:rsid w:val="0086360A"/>
    <w:rsid w:val="008720AB"/>
    <w:rsid w:val="0087264B"/>
    <w:rsid w:val="008914C1"/>
    <w:rsid w:val="00892C77"/>
    <w:rsid w:val="00893A4F"/>
    <w:rsid w:val="008A1646"/>
    <w:rsid w:val="008C15C7"/>
    <w:rsid w:val="008D12D7"/>
    <w:rsid w:val="00900D7B"/>
    <w:rsid w:val="0091014E"/>
    <w:rsid w:val="009104DF"/>
    <w:rsid w:val="00920D93"/>
    <w:rsid w:val="00970D95"/>
    <w:rsid w:val="00974717"/>
    <w:rsid w:val="00976A3C"/>
    <w:rsid w:val="00991D86"/>
    <w:rsid w:val="0099741A"/>
    <w:rsid w:val="00997DB1"/>
    <w:rsid w:val="009A2454"/>
    <w:rsid w:val="009A4FCC"/>
    <w:rsid w:val="009A6F98"/>
    <w:rsid w:val="00A06D12"/>
    <w:rsid w:val="00A072F1"/>
    <w:rsid w:val="00A15DE9"/>
    <w:rsid w:val="00A341A1"/>
    <w:rsid w:val="00A34D9D"/>
    <w:rsid w:val="00A431DD"/>
    <w:rsid w:val="00A51511"/>
    <w:rsid w:val="00A645A6"/>
    <w:rsid w:val="00A96584"/>
    <w:rsid w:val="00AA32E0"/>
    <w:rsid w:val="00AC2686"/>
    <w:rsid w:val="00AC4709"/>
    <w:rsid w:val="00AC71E9"/>
    <w:rsid w:val="00AE7710"/>
    <w:rsid w:val="00AF0CE9"/>
    <w:rsid w:val="00B03A16"/>
    <w:rsid w:val="00B54D96"/>
    <w:rsid w:val="00B6427E"/>
    <w:rsid w:val="00B67778"/>
    <w:rsid w:val="00B74598"/>
    <w:rsid w:val="00B8668D"/>
    <w:rsid w:val="00BA1706"/>
    <w:rsid w:val="00BA5571"/>
    <w:rsid w:val="00BB15C8"/>
    <w:rsid w:val="00BD4611"/>
    <w:rsid w:val="00C10624"/>
    <w:rsid w:val="00C37B80"/>
    <w:rsid w:val="00C4191B"/>
    <w:rsid w:val="00C446ED"/>
    <w:rsid w:val="00C60CAD"/>
    <w:rsid w:val="00C6573D"/>
    <w:rsid w:val="00C90FD7"/>
    <w:rsid w:val="00CA0828"/>
    <w:rsid w:val="00CB79C4"/>
    <w:rsid w:val="00CC7CA2"/>
    <w:rsid w:val="00CF5B26"/>
    <w:rsid w:val="00D23C4B"/>
    <w:rsid w:val="00D41232"/>
    <w:rsid w:val="00D45AC2"/>
    <w:rsid w:val="00D57428"/>
    <w:rsid w:val="00D60C6B"/>
    <w:rsid w:val="00D91D8B"/>
    <w:rsid w:val="00DA0435"/>
    <w:rsid w:val="00DA56D4"/>
    <w:rsid w:val="00DC03DB"/>
    <w:rsid w:val="00DC0BDC"/>
    <w:rsid w:val="00E32B8C"/>
    <w:rsid w:val="00E370B3"/>
    <w:rsid w:val="00E452DA"/>
    <w:rsid w:val="00E6234F"/>
    <w:rsid w:val="00E72BC5"/>
    <w:rsid w:val="00E76B9D"/>
    <w:rsid w:val="00EA248C"/>
    <w:rsid w:val="00EA75A0"/>
    <w:rsid w:val="00EC0D8C"/>
    <w:rsid w:val="00EC55E7"/>
    <w:rsid w:val="00EC57E8"/>
    <w:rsid w:val="00EE7E5D"/>
    <w:rsid w:val="00F0173B"/>
    <w:rsid w:val="00F0216C"/>
    <w:rsid w:val="00F07F7F"/>
    <w:rsid w:val="00F12D1B"/>
    <w:rsid w:val="00F234B6"/>
    <w:rsid w:val="00F52125"/>
    <w:rsid w:val="00F537D2"/>
    <w:rsid w:val="00F630AC"/>
    <w:rsid w:val="00F80913"/>
    <w:rsid w:val="00F84F9C"/>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1B2BC"/>
  <w15:docId w15:val="{AA3F1BB3-C1C1-46C6-A4E9-AE88FAAC2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435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512"/>
  </w:style>
  <w:style w:type="paragraph" w:styleId="Footer">
    <w:name w:val="footer"/>
    <w:basedOn w:val="Normal"/>
    <w:link w:val="FooterChar"/>
    <w:uiPriority w:val="99"/>
    <w:unhideWhenUsed/>
    <w:rsid w:val="006435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5704A19A40624D359E7B76C0074C3F1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46</Nr_x002e__x0020_akti>
    <Data_x0020_e_x0020_Krijimit xmlns="0e656187-b300-4fb0-8bf4-3a50f872073c">2021-05-14T08:18:36Z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2021-05-11T22:00:00Z</Date_x0020_protokolli>
    <Titulli xmlns="0e656187-b300-4fb0-8bf4-3a50f872073c">Për disa shtesa dhe ndryshime në ligjin nr. 98/2016 “Për organizimin e pushtetit gjyqësor në Republikën e Shqipërisë</Titulli>
    <Modifikuesi xmlns="0e656187-b300-4fb0-8bf4-3a50f872073c">Fjora.Korita</Modifikuesi>
    <Nr_x002e__x0020_prot_x0020_QBZ xmlns="0e656187-b300-4fb0-8bf4-3a50f872073c">696/2</Nr_x002e__x0020_prot_x0020_QBZ>
    <Data_x0020_e_x0020_Modifikimit xmlns="0e656187-b300-4fb0-8bf4-3a50f872073c">2021-05-14T09:02:02Z</Data_x0020_e_x0020_Modifikimit>
    <Dekretuar xmlns="0e656187-b300-4fb0-8bf4-3a50f872073c">false</Dekretuar>
    <Data xmlns="0e656187-b300-4fb0-8bf4-3a50f872073c">2021-03-22T23:00:00Z</Data>
    <Nr_x002e__x0020_protokolli_x0020_i_x0020_aktit xmlns="0e656187-b300-4fb0-8bf4-3a50f872073c">1140</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704A19A40624D359E7B76C0074C3F1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9E188-E9EE-4F5B-9F84-B3D48815B9CB}">
  <ds:schemaRefs>
    <ds:schemaRef ds:uri="http://schemas.microsoft.com/sharepoint/v3/contenttype/forms"/>
  </ds:schemaRefs>
</ds:datastoreItem>
</file>

<file path=customXml/itemProps2.xml><?xml version="1.0" encoding="utf-8"?>
<ds:datastoreItem xmlns:ds="http://schemas.openxmlformats.org/officeDocument/2006/customXml" ds:itemID="{D69B6DD4-FA47-405B-90AB-76D9E859A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5B848AB-2FD7-417E-A3A5-097FC1CF195A}">
  <ds:schemaRefs>
    <ds:schemaRef ds:uri="http://purl.org/dc/terms/"/>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purl.org/dc/dcmitype/"/>
    <ds:schemaRef ds:uri="0e656187-b300-4fb0-8bf4-3a50f872073c"/>
    <ds:schemaRef ds:uri="http://www.w3.org/XML/1998/namespace"/>
  </ds:schemaRefs>
</ds:datastoreItem>
</file>

<file path=customXml/itemProps4.xml><?xml version="1.0" encoding="utf-8"?>
<ds:datastoreItem xmlns:ds="http://schemas.openxmlformats.org/officeDocument/2006/customXml" ds:itemID="{C6EADCBC-4E45-4809-ADF3-821CF137462E}">
  <ds:schemaRefs>
    <ds:schemaRef ds:uri="http://schemas.microsoft.com/sharepoint/v3/contenttype/forms"/>
  </ds:schemaRefs>
</ds:datastoreItem>
</file>

<file path=customXml/itemProps5.xml><?xml version="1.0" encoding="utf-8"?>
<ds:datastoreItem xmlns:ds="http://schemas.openxmlformats.org/officeDocument/2006/customXml" ds:itemID="{BDAED925-7090-4757-92CE-A63E1372C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7713C87-6EBA-4729-B159-A8378266E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1174</Words>
  <Characters>6697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Për disa shtesa dhe ndryshime në ligjin nr. 98/2016 “Për organizimin e pushtetit gjyqësor në Republikën e Shqipërisë</vt:lpstr>
    </vt:vector>
  </TitlesOfParts>
  <Company/>
  <LinksUpToDate>false</LinksUpToDate>
  <CharactersWithSpaces>7856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98/2016 “Për organizimin e pushtetit gjyqësor në Republikën e Shqipërisë</dc:title>
  <dc:creator>gazmend.hanku</dc:creator>
  <cp:lastModifiedBy>Entela Suli</cp:lastModifiedBy>
  <cp:revision>6</cp:revision>
  <cp:lastPrinted>2021-03-25T10:38:00Z</cp:lastPrinted>
  <dcterms:created xsi:type="dcterms:W3CDTF">2021-05-14T08:22:00Z</dcterms:created>
  <dcterms:modified xsi:type="dcterms:W3CDTF">2021-05-14T09:26:00Z</dcterms:modified>
</cp:coreProperties>
</file>