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402A76" w14:textId="77777777" w:rsidR="00A73655" w:rsidRPr="002961A0" w:rsidRDefault="00A73655" w:rsidP="00A73655">
      <w:pPr>
        <w:spacing w:after="0" w:line="240" w:lineRule="auto"/>
        <w:ind w:firstLine="284"/>
        <w:jc w:val="center"/>
        <w:rPr>
          <w:rFonts w:ascii="Garamond" w:hAnsi="Garamond" w:cs="Times New Roman"/>
          <w:b/>
          <w:sz w:val="24"/>
          <w:szCs w:val="24"/>
        </w:rPr>
      </w:pPr>
      <w:r w:rsidRPr="002961A0">
        <w:rPr>
          <w:rFonts w:ascii="Garamond" w:hAnsi="Garamond" w:cs="Times New Roman"/>
          <w:b/>
          <w:sz w:val="24"/>
          <w:szCs w:val="24"/>
        </w:rPr>
        <w:t>LIGJ</w:t>
      </w:r>
    </w:p>
    <w:p w14:paraId="71A9A278" w14:textId="77777777" w:rsidR="00A73655" w:rsidRPr="002961A0" w:rsidRDefault="00A73655" w:rsidP="00A73655">
      <w:pPr>
        <w:spacing w:after="0" w:line="240" w:lineRule="auto"/>
        <w:ind w:firstLine="284"/>
        <w:jc w:val="center"/>
        <w:rPr>
          <w:rFonts w:ascii="Garamond" w:hAnsi="Garamond" w:cs="Times New Roman"/>
          <w:b/>
          <w:sz w:val="24"/>
          <w:szCs w:val="24"/>
        </w:rPr>
      </w:pPr>
      <w:r w:rsidRPr="002961A0">
        <w:rPr>
          <w:rFonts w:ascii="Garamond" w:hAnsi="Garamond" w:cs="Times New Roman"/>
          <w:b/>
          <w:sz w:val="24"/>
          <w:szCs w:val="24"/>
        </w:rPr>
        <w:t>Nr. 47/2021</w:t>
      </w:r>
    </w:p>
    <w:p w14:paraId="13CAB8E0"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6C844434" w14:textId="3FB1CA53" w:rsidR="00A73655" w:rsidRPr="002961A0" w:rsidRDefault="00A73655" w:rsidP="002D509C">
      <w:pPr>
        <w:spacing w:after="0" w:line="240" w:lineRule="auto"/>
        <w:ind w:firstLine="284"/>
        <w:jc w:val="center"/>
        <w:rPr>
          <w:rFonts w:ascii="Garamond" w:hAnsi="Garamond" w:cs="Times New Roman"/>
          <w:b/>
          <w:bCs/>
          <w:sz w:val="24"/>
          <w:szCs w:val="24"/>
        </w:rPr>
      </w:pPr>
      <w:r w:rsidRPr="002961A0">
        <w:rPr>
          <w:rFonts w:ascii="Garamond" w:hAnsi="Garamond" w:cs="Times New Roman"/>
          <w:b/>
          <w:bCs/>
          <w:sz w:val="24"/>
          <w:szCs w:val="24"/>
        </w:rPr>
        <w:t>PËR DISA SHTESA DHE NDRYSHIME NË LIGJIN NR. 95/2016</w:t>
      </w:r>
      <w:r w:rsidR="00BF3044">
        <w:rPr>
          <w:rFonts w:ascii="Garamond" w:hAnsi="Garamond" w:cs="Times New Roman"/>
          <w:b/>
          <w:bCs/>
          <w:sz w:val="24"/>
          <w:szCs w:val="24"/>
        </w:rPr>
        <w:t>,</w:t>
      </w:r>
      <w:r w:rsidRPr="002961A0">
        <w:rPr>
          <w:rFonts w:ascii="Garamond" w:hAnsi="Garamond" w:cs="Times New Roman"/>
          <w:b/>
          <w:bCs/>
          <w:sz w:val="24"/>
          <w:szCs w:val="24"/>
        </w:rPr>
        <w:t xml:space="preserve"> “PËR ORGANIZIMIN DHE FUNKSIONIMIN E INSTITUCIONEVE PËR TË LUFTUAR KORRUPSIONIN DHE KRIMIN E ORGANIZUAR”</w:t>
      </w:r>
    </w:p>
    <w:p w14:paraId="29398204"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1E3DA880"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 xml:space="preserve">Në mbështetje të neneve 81 dhe 83, pika 1, të Kushtetutës, me propozimin e një deputeti, </w:t>
      </w:r>
    </w:p>
    <w:p w14:paraId="3E75F032"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4D8C82C2" w14:textId="77777777" w:rsidR="00A73655" w:rsidRPr="002961A0" w:rsidRDefault="00A73655" w:rsidP="00A73655">
      <w:pPr>
        <w:spacing w:after="0" w:line="240" w:lineRule="auto"/>
        <w:ind w:firstLine="284"/>
        <w:jc w:val="center"/>
        <w:rPr>
          <w:rFonts w:ascii="Garamond" w:hAnsi="Garamond" w:cs="Times New Roman"/>
          <w:bCs/>
          <w:sz w:val="24"/>
          <w:szCs w:val="24"/>
        </w:rPr>
      </w:pPr>
      <w:r w:rsidRPr="002961A0">
        <w:rPr>
          <w:rFonts w:ascii="Garamond" w:hAnsi="Garamond" w:cs="Times New Roman"/>
          <w:bCs/>
          <w:sz w:val="24"/>
          <w:szCs w:val="24"/>
        </w:rPr>
        <w:t>KUVENDI</w:t>
      </w:r>
    </w:p>
    <w:p w14:paraId="22812917" w14:textId="77777777" w:rsidR="00A73655" w:rsidRPr="002961A0" w:rsidRDefault="00A73655" w:rsidP="00A73655">
      <w:pPr>
        <w:spacing w:after="0" w:line="240" w:lineRule="auto"/>
        <w:ind w:firstLine="284"/>
        <w:jc w:val="center"/>
        <w:rPr>
          <w:rFonts w:ascii="Garamond" w:hAnsi="Garamond" w:cs="Times New Roman"/>
          <w:bCs/>
          <w:sz w:val="24"/>
          <w:szCs w:val="24"/>
        </w:rPr>
      </w:pPr>
      <w:r w:rsidRPr="002961A0">
        <w:rPr>
          <w:rFonts w:ascii="Garamond" w:hAnsi="Garamond" w:cs="Times New Roman"/>
          <w:bCs/>
          <w:sz w:val="24"/>
          <w:szCs w:val="24"/>
        </w:rPr>
        <w:t>I REPUBLIKËS SË SHQIPËRISË</w:t>
      </w:r>
    </w:p>
    <w:p w14:paraId="50121E50" w14:textId="77777777" w:rsidR="00A73655" w:rsidRPr="002961A0" w:rsidRDefault="00A73655" w:rsidP="00A73655">
      <w:pPr>
        <w:spacing w:after="0" w:line="240" w:lineRule="auto"/>
        <w:ind w:firstLine="284"/>
        <w:jc w:val="center"/>
        <w:rPr>
          <w:rFonts w:ascii="Garamond" w:hAnsi="Garamond" w:cs="Times New Roman"/>
          <w:bCs/>
          <w:sz w:val="24"/>
          <w:szCs w:val="24"/>
        </w:rPr>
      </w:pPr>
    </w:p>
    <w:p w14:paraId="6221BD6D" w14:textId="77777777" w:rsidR="00A73655" w:rsidRPr="002961A0" w:rsidRDefault="00A73655" w:rsidP="00A73655">
      <w:pPr>
        <w:spacing w:after="0" w:line="240" w:lineRule="auto"/>
        <w:ind w:firstLine="284"/>
        <w:jc w:val="center"/>
        <w:rPr>
          <w:rFonts w:ascii="Garamond" w:hAnsi="Garamond" w:cs="Times New Roman"/>
          <w:bCs/>
          <w:sz w:val="24"/>
          <w:szCs w:val="24"/>
        </w:rPr>
      </w:pPr>
      <w:r w:rsidRPr="002961A0">
        <w:rPr>
          <w:rFonts w:ascii="Garamond" w:hAnsi="Garamond" w:cs="Times New Roman"/>
          <w:bCs/>
          <w:sz w:val="24"/>
          <w:szCs w:val="24"/>
        </w:rPr>
        <w:t>VENDOSI:</w:t>
      </w:r>
    </w:p>
    <w:p w14:paraId="436CDAAF"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420E4E7B" w14:textId="22ABABFE"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Në ligjin nr. 95/2016</w:t>
      </w:r>
      <w:r w:rsidR="00BF3044">
        <w:rPr>
          <w:rFonts w:ascii="Garamond" w:hAnsi="Garamond" w:cs="Times New Roman"/>
          <w:bCs/>
          <w:sz w:val="24"/>
          <w:szCs w:val="24"/>
        </w:rPr>
        <w:t>,</w:t>
      </w:r>
      <w:bookmarkStart w:id="0" w:name="_GoBack"/>
      <w:bookmarkEnd w:id="0"/>
      <w:r w:rsidRPr="002961A0">
        <w:rPr>
          <w:rFonts w:ascii="Garamond" w:hAnsi="Garamond" w:cs="Times New Roman"/>
          <w:bCs/>
          <w:sz w:val="24"/>
          <w:szCs w:val="24"/>
        </w:rPr>
        <w:t xml:space="preserve"> “Për organizimin dhe funksionimin e institucioneve për të luftuar korrupsionin dhe krimin e organizuar” bëhen këto shtesa e ndryshime: </w:t>
      </w:r>
    </w:p>
    <w:p w14:paraId="39E59588"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37A65BDF" w14:textId="77777777" w:rsidR="00A73655" w:rsidRPr="002961A0" w:rsidRDefault="00A73655" w:rsidP="00A73655">
      <w:pPr>
        <w:spacing w:after="0" w:line="240" w:lineRule="auto"/>
        <w:ind w:firstLine="284"/>
        <w:jc w:val="center"/>
        <w:rPr>
          <w:rFonts w:ascii="Garamond" w:hAnsi="Garamond" w:cs="Times New Roman"/>
          <w:bCs/>
          <w:sz w:val="24"/>
          <w:szCs w:val="24"/>
        </w:rPr>
      </w:pPr>
      <w:r w:rsidRPr="002961A0">
        <w:rPr>
          <w:rFonts w:ascii="Garamond" w:hAnsi="Garamond" w:cs="Times New Roman"/>
          <w:bCs/>
          <w:sz w:val="24"/>
          <w:szCs w:val="24"/>
        </w:rPr>
        <w:t>Neni 1</w:t>
      </w:r>
    </w:p>
    <w:p w14:paraId="041F4F36"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402E6BE3"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ab/>
        <w:t>Në nenin 8, pika 1, togfjalëshi “por nuk mund të tejkalojë kompetencën e përcaktuar nga neni 135, pika 2, të Kushtetutës” shfuqizohet.</w:t>
      </w:r>
    </w:p>
    <w:p w14:paraId="4FEDAFD1"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6C7EC249" w14:textId="77777777" w:rsidR="00A73655" w:rsidRPr="002961A0" w:rsidRDefault="00A73655" w:rsidP="00A73655">
      <w:pPr>
        <w:spacing w:after="0" w:line="240" w:lineRule="auto"/>
        <w:ind w:firstLine="284"/>
        <w:jc w:val="center"/>
        <w:rPr>
          <w:rFonts w:ascii="Garamond" w:hAnsi="Garamond" w:cs="Times New Roman"/>
          <w:bCs/>
          <w:sz w:val="24"/>
          <w:szCs w:val="24"/>
        </w:rPr>
      </w:pPr>
      <w:r w:rsidRPr="002961A0">
        <w:rPr>
          <w:rFonts w:ascii="Garamond" w:hAnsi="Garamond" w:cs="Times New Roman"/>
          <w:bCs/>
          <w:sz w:val="24"/>
          <w:szCs w:val="24"/>
        </w:rPr>
        <w:t>Neni 2</w:t>
      </w:r>
    </w:p>
    <w:p w14:paraId="55F050CC"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7F5879B2" w14:textId="3E2D79A1"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Pas nenit 20 shtohet neni 20/1 me këtë përmbajtje:</w:t>
      </w:r>
    </w:p>
    <w:p w14:paraId="0041AED5"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72DCDCF2" w14:textId="77777777" w:rsidR="00A73655" w:rsidRPr="002961A0" w:rsidRDefault="00A73655" w:rsidP="00A73655">
      <w:pPr>
        <w:spacing w:after="0" w:line="240" w:lineRule="auto"/>
        <w:ind w:firstLine="284"/>
        <w:jc w:val="center"/>
        <w:rPr>
          <w:rFonts w:ascii="Garamond" w:hAnsi="Garamond" w:cs="Times New Roman"/>
          <w:bCs/>
          <w:sz w:val="24"/>
          <w:szCs w:val="24"/>
        </w:rPr>
      </w:pPr>
      <w:r w:rsidRPr="002961A0">
        <w:rPr>
          <w:rFonts w:ascii="Garamond" w:hAnsi="Garamond" w:cs="Times New Roman"/>
          <w:bCs/>
          <w:sz w:val="24"/>
          <w:szCs w:val="24"/>
        </w:rPr>
        <w:t>“Neni 20/1</w:t>
      </w:r>
    </w:p>
    <w:p w14:paraId="1E151944" w14:textId="77777777" w:rsidR="00A73655" w:rsidRPr="002961A0" w:rsidRDefault="00A73655" w:rsidP="00A73655">
      <w:pPr>
        <w:spacing w:after="0" w:line="240" w:lineRule="auto"/>
        <w:ind w:firstLine="284"/>
        <w:jc w:val="center"/>
        <w:rPr>
          <w:rFonts w:ascii="Garamond" w:hAnsi="Garamond" w:cs="Times New Roman"/>
          <w:bCs/>
          <w:sz w:val="24"/>
          <w:szCs w:val="24"/>
        </w:rPr>
      </w:pPr>
    </w:p>
    <w:p w14:paraId="2A771667"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1. Me qëllim funksionimin normal të bërthamës komanduese elektronike në Prokurorinë e Posaçme caktohen specialistë të fushës, të cilët gëzojnë  statusin e oficerit të Policisë Gjyqësore.</w:t>
      </w:r>
    </w:p>
    <w:p w14:paraId="35A338F2"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2. Paga e specialistit të bërthamës komanduese elektronike është e njëjtë me pagën e oficerit nga shërbimet e Policisë Gjyqësore, sipas përcaktimit të nenit 39/1 të këtij ligji.</w:t>
      </w:r>
    </w:p>
    <w:p w14:paraId="51CC7959"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3. Specialistët e bërthamës komanduese elektronike përfitojnë të njëjtin trajtim si punonjësit e Byrosë Kombëtare të Hetimit, sipas përcaktimit të nenit 40/1 të këtij ligji.”.</w:t>
      </w:r>
    </w:p>
    <w:p w14:paraId="2C583894"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4F7F5929" w14:textId="77777777" w:rsidR="00A73655" w:rsidRPr="002961A0" w:rsidRDefault="00A73655" w:rsidP="00A73655">
      <w:pPr>
        <w:spacing w:after="0" w:line="240" w:lineRule="auto"/>
        <w:ind w:firstLine="284"/>
        <w:jc w:val="center"/>
        <w:rPr>
          <w:rFonts w:ascii="Garamond" w:hAnsi="Garamond" w:cs="Times New Roman"/>
          <w:bCs/>
          <w:sz w:val="24"/>
          <w:szCs w:val="24"/>
        </w:rPr>
      </w:pPr>
      <w:r w:rsidRPr="002961A0">
        <w:rPr>
          <w:rFonts w:ascii="Garamond" w:hAnsi="Garamond" w:cs="Times New Roman"/>
          <w:bCs/>
          <w:sz w:val="24"/>
          <w:szCs w:val="24"/>
        </w:rPr>
        <w:t>Neni 3</w:t>
      </w:r>
    </w:p>
    <w:p w14:paraId="638C5A1A"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1A6979FB"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Në nenin 21 bëhen shtesat e mëposhtme:</w:t>
      </w:r>
    </w:p>
    <w:p w14:paraId="5B794030"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1. Në pikën 3 pas togfjalëshit “Punonjësit e këtij sektori” shtohet togfjalëshi “gëzojnë statusin e oficerit të Policisë Gjyqësore dhe”.</w:t>
      </w:r>
    </w:p>
    <w:p w14:paraId="55A05F82"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2. Pas pikës 3 shtohen pikat 4 dhe 5 me këtë përmbajtje:</w:t>
      </w:r>
    </w:p>
    <w:p w14:paraId="047CD18D"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“4. Paga e punonjësve të këtij sektori është e njëjtë me pagën e oficerit nga shërbimet e Policisë Gjyqësore, sipas përcaktimit të nenit 39/1 të këtij ligji.</w:t>
      </w:r>
    </w:p>
    <w:p w14:paraId="437FC119"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ab/>
        <w:t xml:space="preserve">5. Punonjësit e këtij sektori përfitojnë të njëjtin trajtim si punonjësit e Byrosë Kombëtare të Hetimit, sipas përcaktimit të nenit 40/1 të këtij ligji.”. </w:t>
      </w:r>
    </w:p>
    <w:p w14:paraId="171FC2BD" w14:textId="77777777" w:rsidR="00A73655" w:rsidRDefault="00A73655" w:rsidP="00A73655">
      <w:pPr>
        <w:spacing w:after="0" w:line="240" w:lineRule="auto"/>
        <w:ind w:firstLine="284"/>
        <w:jc w:val="center"/>
        <w:rPr>
          <w:rFonts w:ascii="Garamond" w:hAnsi="Garamond" w:cs="Times New Roman"/>
          <w:bCs/>
          <w:sz w:val="24"/>
          <w:szCs w:val="24"/>
        </w:rPr>
      </w:pPr>
    </w:p>
    <w:p w14:paraId="387E7A4B" w14:textId="77777777" w:rsidR="00A73655" w:rsidRPr="002961A0" w:rsidRDefault="00A73655" w:rsidP="00A73655">
      <w:pPr>
        <w:spacing w:after="0" w:line="240" w:lineRule="auto"/>
        <w:ind w:firstLine="284"/>
        <w:jc w:val="center"/>
        <w:rPr>
          <w:rFonts w:ascii="Garamond" w:hAnsi="Garamond" w:cs="Times New Roman"/>
          <w:bCs/>
          <w:sz w:val="24"/>
          <w:szCs w:val="24"/>
        </w:rPr>
      </w:pPr>
      <w:r w:rsidRPr="002961A0">
        <w:rPr>
          <w:rFonts w:ascii="Garamond" w:hAnsi="Garamond" w:cs="Times New Roman"/>
          <w:bCs/>
          <w:sz w:val="24"/>
          <w:szCs w:val="24"/>
        </w:rPr>
        <w:t>Neni 4</w:t>
      </w:r>
    </w:p>
    <w:p w14:paraId="67265A79"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4569BBE2"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Pas nenit 35 shtohet neni 35/1 me këtë përmbajtje:</w:t>
      </w:r>
    </w:p>
    <w:p w14:paraId="0459A479"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7E07617D" w14:textId="77777777" w:rsidR="00A73655" w:rsidRPr="002961A0" w:rsidRDefault="00A73655" w:rsidP="00A73655">
      <w:pPr>
        <w:spacing w:after="0" w:line="240" w:lineRule="auto"/>
        <w:ind w:firstLine="284"/>
        <w:jc w:val="center"/>
        <w:rPr>
          <w:rFonts w:ascii="Garamond" w:hAnsi="Garamond" w:cs="Times New Roman"/>
          <w:bCs/>
          <w:sz w:val="24"/>
          <w:szCs w:val="24"/>
        </w:rPr>
      </w:pPr>
      <w:r w:rsidRPr="002961A0">
        <w:rPr>
          <w:rFonts w:ascii="Garamond" w:hAnsi="Garamond" w:cs="Times New Roman"/>
          <w:bCs/>
          <w:sz w:val="24"/>
          <w:szCs w:val="24"/>
        </w:rPr>
        <w:t>“Neni 35/1</w:t>
      </w:r>
    </w:p>
    <w:p w14:paraId="7C33E6B4" w14:textId="2053F3B0" w:rsidR="00A73655" w:rsidRPr="002961A0" w:rsidRDefault="00A73655" w:rsidP="00A73655">
      <w:pPr>
        <w:spacing w:after="0" w:line="240" w:lineRule="auto"/>
        <w:ind w:firstLine="284"/>
        <w:jc w:val="center"/>
        <w:rPr>
          <w:rFonts w:ascii="Garamond" w:hAnsi="Garamond" w:cs="Times New Roman"/>
          <w:b/>
          <w:bCs/>
          <w:sz w:val="24"/>
          <w:szCs w:val="24"/>
        </w:rPr>
      </w:pPr>
      <w:r w:rsidRPr="002961A0">
        <w:rPr>
          <w:rFonts w:ascii="Garamond" w:hAnsi="Garamond" w:cs="Times New Roman"/>
          <w:b/>
          <w:bCs/>
          <w:sz w:val="24"/>
          <w:szCs w:val="24"/>
        </w:rPr>
        <w:lastRenderedPageBreak/>
        <w:t xml:space="preserve">Paga e </w:t>
      </w:r>
      <w:r w:rsidR="00B82710">
        <w:rPr>
          <w:rFonts w:ascii="Garamond" w:hAnsi="Garamond" w:cs="Times New Roman"/>
          <w:b/>
          <w:bCs/>
          <w:sz w:val="24"/>
          <w:szCs w:val="24"/>
        </w:rPr>
        <w:t>d</w:t>
      </w:r>
      <w:r w:rsidRPr="002961A0">
        <w:rPr>
          <w:rFonts w:ascii="Garamond" w:hAnsi="Garamond" w:cs="Times New Roman"/>
          <w:b/>
          <w:bCs/>
          <w:sz w:val="24"/>
          <w:szCs w:val="24"/>
        </w:rPr>
        <w:t>rejtorit të Byrosë Kombëtare të Hetimit</w:t>
      </w:r>
    </w:p>
    <w:p w14:paraId="6E266F9D"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5394CD59" w14:textId="72CCB400"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 xml:space="preserve">1. Paga e </w:t>
      </w:r>
      <w:r w:rsidR="00B82710">
        <w:rPr>
          <w:rFonts w:ascii="Garamond" w:hAnsi="Garamond" w:cs="Times New Roman"/>
          <w:bCs/>
          <w:sz w:val="24"/>
          <w:szCs w:val="24"/>
        </w:rPr>
        <w:t>d</w:t>
      </w:r>
      <w:r w:rsidRPr="002961A0">
        <w:rPr>
          <w:rFonts w:ascii="Garamond" w:hAnsi="Garamond" w:cs="Times New Roman"/>
          <w:bCs/>
          <w:sz w:val="24"/>
          <w:szCs w:val="24"/>
        </w:rPr>
        <w:t xml:space="preserve">rejtorit të Byrosë Kombëtare të Hetimit përbëhet nga paga bazë, shtesa për vjetërsi dhe shtesa për vështirësi pune. </w:t>
      </w:r>
    </w:p>
    <w:p w14:paraId="0E96BE28"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2. Paga bazë është e barabartë me pagën bruto fillestare të prokurorit pranë Prokurorisë së Posaçme, sipas legjislacionit në fuqi për statusin e gjyqtarëve dhe prokurorëve në Republikën e Shqipërisë.</w:t>
      </w:r>
    </w:p>
    <w:p w14:paraId="4809AA72"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 xml:space="preserve">3. Shtesa për vjetërsi llogaritet në masën 2 për qind të pagës referuese bazë, sipas përcaktimit të legjislacionit në fuqi për statusin e gjyqtarëve dhe prokurorëve, për çdo vit shërbimi në funksion, por jo më shumë se 25 vjet shërbim. </w:t>
      </w:r>
    </w:p>
    <w:p w14:paraId="35DCADCF"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4. Shtesë për vështirësi pune llogaritet në masën 70 për qind të pagës bruto fillestare të prokurorit pranë Prokurorisë së Posaçme.”.</w:t>
      </w:r>
    </w:p>
    <w:p w14:paraId="6E04A23B"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42D0AEF0" w14:textId="77777777" w:rsidR="00A73655" w:rsidRPr="002961A0" w:rsidRDefault="00A73655" w:rsidP="00A73655">
      <w:pPr>
        <w:spacing w:after="0" w:line="240" w:lineRule="auto"/>
        <w:ind w:firstLine="284"/>
        <w:jc w:val="center"/>
        <w:rPr>
          <w:rFonts w:ascii="Garamond" w:hAnsi="Garamond" w:cs="Times New Roman"/>
          <w:bCs/>
          <w:sz w:val="24"/>
          <w:szCs w:val="24"/>
        </w:rPr>
      </w:pPr>
      <w:r w:rsidRPr="002961A0">
        <w:rPr>
          <w:rFonts w:ascii="Garamond" w:hAnsi="Garamond" w:cs="Times New Roman"/>
          <w:bCs/>
          <w:sz w:val="24"/>
          <w:szCs w:val="24"/>
        </w:rPr>
        <w:t>Neni 5</w:t>
      </w:r>
    </w:p>
    <w:p w14:paraId="5AD4109E"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148E58AA"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Pas nenit 36 shtohet neni 36/1 me këtë përmbajtje:</w:t>
      </w:r>
    </w:p>
    <w:p w14:paraId="33EC2E60"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06BBF0B2" w14:textId="77777777" w:rsidR="00A73655" w:rsidRPr="002961A0" w:rsidRDefault="00A73655" w:rsidP="00A73655">
      <w:pPr>
        <w:spacing w:after="0" w:line="240" w:lineRule="auto"/>
        <w:ind w:firstLine="284"/>
        <w:jc w:val="center"/>
        <w:rPr>
          <w:rFonts w:ascii="Garamond" w:hAnsi="Garamond" w:cs="Times New Roman"/>
          <w:bCs/>
          <w:sz w:val="24"/>
          <w:szCs w:val="24"/>
        </w:rPr>
      </w:pPr>
      <w:r w:rsidRPr="002961A0">
        <w:rPr>
          <w:rFonts w:ascii="Garamond" w:hAnsi="Garamond" w:cs="Times New Roman"/>
          <w:bCs/>
          <w:sz w:val="24"/>
          <w:szCs w:val="24"/>
        </w:rPr>
        <w:t>“Neni 36/1</w:t>
      </w:r>
    </w:p>
    <w:p w14:paraId="730D8BA4" w14:textId="77777777" w:rsidR="00A73655" w:rsidRPr="002961A0" w:rsidRDefault="00A73655" w:rsidP="00A73655">
      <w:pPr>
        <w:spacing w:after="0" w:line="240" w:lineRule="auto"/>
        <w:ind w:firstLine="284"/>
        <w:jc w:val="center"/>
        <w:rPr>
          <w:rFonts w:ascii="Garamond" w:hAnsi="Garamond" w:cs="Times New Roman"/>
          <w:b/>
          <w:bCs/>
          <w:sz w:val="24"/>
          <w:szCs w:val="24"/>
        </w:rPr>
      </w:pPr>
      <w:r w:rsidRPr="002961A0">
        <w:rPr>
          <w:rFonts w:ascii="Garamond" w:hAnsi="Garamond" w:cs="Times New Roman"/>
          <w:b/>
          <w:bCs/>
          <w:sz w:val="24"/>
          <w:szCs w:val="24"/>
        </w:rPr>
        <w:t>Paga e zëvendësdrejtorit të Byrosë Kombëtare të Hetimit</w:t>
      </w:r>
    </w:p>
    <w:p w14:paraId="69B30E82"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15407BDA"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 xml:space="preserve">1. Paga e zëvendësdrejtorit të Byrosë Kombëtare të Hetimit përbëhet nga paga bazë, shtesa për vjetërsi dhe shtesa për vështirësi pune. </w:t>
      </w:r>
    </w:p>
    <w:p w14:paraId="65DC1FE0"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2. Paga bazë është e barabartë me 80 për qind të pagës bruto fillestare të prokurorit pranë Prokurorisë së Posaçme, sipas legjislacionit në fuqi për statusin e gjyqtarëve dhe prokurorëve në Republikën e Shqipërisë.</w:t>
      </w:r>
    </w:p>
    <w:p w14:paraId="48BFD1BB"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 xml:space="preserve">3. Shtesa për vjetërsi llogaritet në masën 2 për qind të pagës referuese bazë, sipas përcaktimit të legjislacionit në fuqi për statusin e gjyqtarëve dhe prokurorëve, për çdo vit shërbimi në funksion, por jo më shumë se 25 vjet shërbim. </w:t>
      </w:r>
    </w:p>
    <w:p w14:paraId="01DDC85B"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4. Shtesa për vështirësi pune llogaritet në masën 70 për qind të pagës bruto fillestare të prokurorit pranë Prokurorisë së Posaçme.”</w:t>
      </w:r>
    </w:p>
    <w:p w14:paraId="345C013C"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48A81ACA" w14:textId="77777777" w:rsidR="00A73655" w:rsidRPr="002961A0" w:rsidRDefault="00A73655" w:rsidP="00A73655">
      <w:pPr>
        <w:spacing w:after="0" w:line="240" w:lineRule="auto"/>
        <w:ind w:firstLine="284"/>
        <w:jc w:val="center"/>
        <w:rPr>
          <w:rFonts w:ascii="Garamond" w:hAnsi="Garamond" w:cs="Times New Roman"/>
          <w:bCs/>
          <w:sz w:val="24"/>
          <w:szCs w:val="24"/>
        </w:rPr>
      </w:pPr>
      <w:r w:rsidRPr="002961A0">
        <w:rPr>
          <w:rFonts w:ascii="Garamond" w:hAnsi="Garamond" w:cs="Times New Roman"/>
          <w:bCs/>
          <w:sz w:val="24"/>
          <w:szCs w:val="24"/>
        </w:rPr>
        <w:t>Neni 6</w:t>
      </w:r>
    </w:p>
    <w:p w14:paraId="74188681"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6BECFBDF"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Pas nenit 38 shtohet nenit 38/1 me këtë përmbajtje:</w:t>
      </w:r>
    </w:p>
    <w:p w14:paraId="7D878156" w14:textId="77777777" w:rsidR="00A73655" w:rsidRPr="002961A0" w:rsidRDefault="00A73655" w:rsidP="00A73655">
      <w:pPr>
        <w:spacing w:after="0" w:line="240" w:lineRule="auto"/>
        <w:ind w:firstLine="284"/>
        <w:jc w:val="center"/>
        <w:rPr>
          <w:rFonts w:ascii="Garamond" w:hAnsi="Garamond" w:cs="Times New Roman"/>
          <w:bCs/>
          <w:sz w:val="24"/>
          <w:szCs w:val="24"/>
        </w:rPr>
      </w:pPr>
    </w:p>
    <w:p w14:paraId="5279ACAA" w14:textId="77777777" w:rsidR="00A73655" w:rsidRPr="002961A0" w:rsidRDefault="00A73655" w:rsidP="00A73655">
      <w:pPr>
        <w:spacing w:after="0" w:line="240" w:lineRule="auto"/>
        <w:ind w:firstLine="284"/>
        <w:jc w:val="center"/>
        <w:rPr>
          <w:rFonts w:ascii="Garamond" w:hAnsi="Garamond" w:cs="Times New Roman"/>
          <w:bCs/>
          <w:sz w:val="24"/>
          <w:szCs w:val="24"/>
        </w:rPr>
      </w:pPr>
      <w:r w:rsidRPr="002961A0">
        <w:rPr>
          <w:rFonts w:ascii="Garamond" w:hAnsi="Garamond" w:cs="Times New Roman"/>
          <w:bCs/>
          <w:sz w:val="24"/>
          <w:szCs w:val="24"/>
        </w:rPr>
        <w:t>“Neni 38/1</w:t>
      </w:r>
    </w:p>
    <w:p w14:paraId="20E1C94E" w14:textId="77777777" w:rsidR="00A73655" w:rsidRPr="002961A0" w:rsidRDefault="00A73655" w:rsidP="00A73655">
      <w:pPr>
        <w:spacing w:after="0" w:line="240" w:lineRule="auto"/>
        <w:ind w:firstLine="284"/>
        <w:jc w:val="center"/>
        <w:rPr>
          <w:rFonts w:ascii="Garamond" w:hAnsi="Garamond" w:cs="Times New Roman"/>
          <w:b/>
          <w:bCs/>
          <w:sz w:val="24"/>
          <w:szCs w:val="24"/>
        </w:rPr>
      </w:pPr>
      <w:r w:rsidRPr="002961A0">
        <w:rPr>
          <w:rFonts w:ascii="Garamond" w:hAnsi="Garamond" w:cs="Times New Roman"/>
          <w:b/>
          <w:bCs/>
          <w:sz w:val="24"/>
          <w:szCs w:val="24"/>
        </w:rPr>
        <w:t>Paga e hetuesit të Byrosë Kombëtare të Hetimit</w:t>
      </w:r>
    </w:p>
    <w:p w14:paraId="10F47D1F"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0E70C231"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 xml:space="preserve">1. Paga e hetuesit të Byrosë Kombëtare të Hetimit përbëhet nga paga bazë, shtesa për vjetërsi dhe shtesa për vështirësi pune. </w:t>
      </w:r>
    </w:p>
    <w:p w14:paraId="16D6808F"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2. Paga bazë është e barabartë me 60 për qind të pagës bruto fillestare të prokurorit pranë Prokurorisë së Posaçme, sipas legjislacionit në fuqi për statusin e gjyqtarëve dhe prokurorëve në Republikën e Shqipërisë.</w:t>
      </w:r>
    </w:p>
    <w:p w14:paraId="3E0EAE9D"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 xml:space="preserve">3. Shtesa për vjetërsi llogaritet në masën 2 për qind të pagës referuese bazë, sipas përcaktimit të legjislacionit në fuqi për statusin e gjyqtarëve dhe prokurorëve, për çdo vit shërbimi në funksion, por jo më shumë se 25 vjet shërbim. </w:t>
      </w:r>
    </w:p>
    <w:p w14:paraId="544D8D82" w14:textId="322249AE"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4. Shtesa për vështirësi pune llogaritet në masën 70 për qind të pagës bruto fillestare të prokurorit pranë Prokurorisë së Posaçme.”.</w:t>
      </w:r>
      <w:r w:rsidR="00B82710">
        <w:rPr>
          <w:rFonts w:ascii="Garamond" w:hAnsi="Garamond" w:cs="Times New Roman"/>
          <w:bCs/>
          <w:sz w:val="24"/>
          <w:szCs w:val="24"/>
        </w:rPr>
        <w:t xml:space="preserve"> </w:t>
      </w:r>
    </w:p>
    <w:p w14:paraId="3E3A9137"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67E1AE6A" w14:textId="77777777" w:rsidR="00A73655" w:rsidRPr="002961A0" w:rsidRDefault="00A73655" w:rsidP="00A73655">
      <w:pPr>
        <w:spacing w:after="0" w:line="240" w:lineRule="auto"/>
        <w:ind w:firstLine="284"/>
        <w:jc w:val="center"/>
        <w:rPr>
          <w:rFonts w:ascii="Garamond" w:hAnsi="Garamond" w:cs="Times New Roman"/>
          <w:bCs/>
          <w:sz w:val="24"/>
          <w:szCs w:val="24"/>
        </w:rPr>
      </w:pPr>
      <w:r w:rsidRPr="002961A0">
        <w:rPr>
          <w:rFonts w:ascii="Garamond" w:hAnsi="Garamond" w:cs="Times New Roman"/>
          <w:bCs/>
          <w:sz w:val="24"/>
          <w:szCs w:val="24"/>
        </w:rPr>
        <w:t>Neni 7</w:t>
      </w:r>
    </w:p>
    <w:p w14:paraId="57ED04A1"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3AD77273"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lastRenderedPageBreak/>
        <w:t>Pas nenit 39 shtohet nenit 39/1 me këtë përmbajtje:</w:t>
      </w:r>
    </w:p>
    <w:p w14:paraId="764E7712"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3B3AF0D0" w14:textId="77777777" w:rsidR="00A73655" w:rsidRPr="002961A0" w:rsidRDefault="00A73655" w:rsidP="00A73655">
      <w:pPr>
        <w:spacing w:after="0" w:line="240" w:lineRule="auto"/>
        <w:ind w:firstLine="284"/>
        <w:jc w:val="center"/>
        <w:rPr>
          <w:rFonts w:ascii="Garamond" w:hAnsi="Garamond" w:cs="Times New Roman"/>
          <w:bCs/>
          <w:sz w:val="24"/>
          <w:szCs w:val="24"/>
        </w:rPr>
      </w:pPr>
      <w:r w:rsidRPr="002961A0">
        <w:rPr>
          <w:rFonts w:ascii="Garamond" w:hAnsi="Garamond" w:cs="Times New Roman"/>
          <w:bCs/>
          <w:sz w:val="24"/>
          <w:szCs w:val="24"/>
        </w:rPr>
        <w:t>“Neni 39/1</w:t>
      </w:r>
    </w:p>
    <w:p w14:paraId="5F353E64" w14:textId="77777777" w:rsidR="00A73655" w:rsidRPr="002961A0" w:rsidRDefault="00A73655" w:rsidP="00A73655">
      <w:pPr>
        <w:spacing w:after="0" w:line="240" w:lineRule="auto"/>
        <w:ind w:firstLine="284"/>
        <w:jc w:val="center"/>
        <w:rPr>
          <w:rFonts w:ascii="Garamond" w:hAnsi="Garamond" w:cs="Times New Roman"/>
          <w:b/>
          <w:bCs/>
          <w:sz w:val="24"/>
          <w:szCs w:val="24"/>
        </w:rPr>
      </w:pPr>
      <w:r w:rsidRPr="002961A0">
        <w:rPr>
          <w:rFonts w:ascii="Garamond" w:hAnsi="Garamond" w:cs="Times New Roman"/>
          <w:b/>
          <w:bCs/>
          <w:sz w:val="24"/>
          <w:szCs w:val="24"/>
        </w:rPr>
        <w:t>Paga e oficerit nga shërbimet e Policisë Gjyqësore</w:t>
      </w:r>
    </w:p>
    <w:p w14:paraId="18A77293"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6AE3289F" w14:textId="035CCE95"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1. Paga e oficerit nga shërbimet e Policisë Gjyqësore të Byrosë Kombëtare të Hetimit përbëhet nga paga bazë, shtesa për vjetërsi dhe shtesa për vështirësi pune</w:t>
      </w:r>
      <w:r w:rsidR="00420BE7">
        <w:rPr>
          <w:rFonts w:ascii="Garamond" w:hAnsi="Garamond" w:cs="Times New Roman"/>
          <w:bCs/>
          <w:sz w:val="24"/>
          <w:szCs w:val="24"/>
        </w:rPr>
        <w:t>.</w:t>
      </w:r>
      <w:r w:rsidRPr="002961A0">
        <w:rPr>
          <w:rFonts w:ascii="Garamond" w:hAnsi="Garamond" w:cs="Times New Roman"/>
          <w:bCs/>
          <w:sz w:val="24"/>
          <w:szCs w:val="24"/>
        </w:rPr>
        <w:t xml:space="preserve"> </w:t>
      </w:r>
    </w:p>
    <w:p w14:paraId="279A56F2"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2. Paga bazë është e barabartë me 60 për qind të pagës bruto fillestare të prokurorit pranë Prokurorisë së Posaçme, sipas legjislacionit në fuqi për statusin e gjyqtarëve dhe prokurorëve në Republikën e Shqipërisë.</w:t>
      </w:r>
    </w:p>
    <w:p w14:paraId="67064D11"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 xml:space="preserve">3. Shtesa për vjetërsi llogaritet në masën 2 për qind të pagës referuese bazë, sipas përcaktimit të legjislacionit në fuqi për statusin e gjyqtarëve dhe prokurorëve, për çdo vit shërbimi në funksion, por jo më shumë se 25 vjet shërbim. </w:t>
      </w:r>
    </w:p>
    <w:p w14:paraId="77C76621"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4. Shtesa për vështirësi pune llogaritet në masën 50 për qind të pagës bruto fillestare të prokurorit pranë Prokurorisë së Posaçme.”.</w:t>
      </w:r>
    </w:p>
    <w:p w14:paraId="37A601D7"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76A166B3" w14:textId="77777777" w:rsidR="00A73655" w:rsidRPr="002961A0" w:rsidRDefault="00A73655" w:rsidP="00A73655">
      <w:pPr>
        <w:spacing w:after="0" w:line="240" w:lineRule="auto"/>
        <w:ind w:firstLine="284"/>
        <w:jc w:val="center"/>
        <w:rPr>
          <w:rFonts w:ascii="Garamond" w:hAnsi="Garamond" w:cs="Times New Roman"/>
          <w:bCs/>
          <w:sz w:val="24"/>
          <w:szCs w:val="24"/>
        </w:rPr>
      </w:pPr>
      <w:r w:rsidRPr="002961A0">
        <w:rPr>
          <w:rFonts w:ascii="Garamond" w:hAnsi="Garamond" w:cs="Times New Roman"/>
          <w:bCs/>
          <w:sz w:val="24"/>
          <w:szCs w:val="24"/>
        </w:rPr>
        <w:t>Neni 8</w:t>
      </w:r>
    </w:p>
    <w:p w14:paraId="28EDD9D0" w14:textId="77777777" w:rsidR="00A73655" w:rsidRPr="002961A0" w:rsidRDefault="00A73655" w:rsidP="00A73655">
      <w:pPr>
        <w:spacing w:after="0" w:line="240" w:lineRule="auto"/>
        <w:ind w:firstLine="284"/>
        <w:rPr>
          <w:rFonts w:ascii="Garamond" w:hAnsi="Garamond" w:cs="Times New Roman"/>
          <w:bCs/>
          <w:sz w:val="24"/>
          <w:szCs w:val="24"/>
        </w:rPr>
      </w:pPr>
    </w:p>
    <w:p w14:paraId="47C9D2E9" w14:textId="77777777" w:rsidR="00A73655" w:rsidRPr="002961A0" w:rsidRDefault="00A73655" w:rsidP="00A73655">
      <w:pPr>
        <w:spacing w:after="0" w:line="240" w:lineRule="auto"/>
        <w:ind w:firstLine="284"/>
        <w:rPr>
          <w:rFonts w:ascii="Garamond" w:hAnsi="Garamond" w:cs="Times New Roman"/>
          <w:bCs/>
          <w:sz w:val="24"/>
          <w:szCs w:val="24"/>
        </w:rPr>
      </w:pPr>
      <w:r w:rsidRPr="002961A0">
        <w:rPr>
          <w:rFonts w:ascii="Garamond" w:hAnsi="Garamond" w:cs="Times New Roman"/>
          <w:bCs/>
          <w:sz w:val="24"/>
          <w:szCs w:val="24"/>
        </w:rPr>
        <w:t>Pas nenit 40 shtohet neni 40/1 me këtë përmbajtje:</w:t>
      </w:r>
    </w:p>
    <w:p w14:paraId="24AD0006"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1BE6B5AE" w14:textId="77777777" w:rsidR="00A73655" w:rsidRPr="002961A0" w:rsidRDefault="00A73655" w:rsidP="00A73655">
      <w:pPr>
        <w:spacing w:after="0" w:line="240" w:lineRule="auto"/>
        <w:ind w:firstLine="284"/>
        <w:jc w:val="center"/>
        <w:rPr>
          <w:rFonts w:ascii="Garamond" w:hAnsi="Garamond" w:cs="Times New Roman"/>
          <w:bCs/>
          <w:sz w:val="24"/>
          <w:szCs w:val="24"/>
        </w:rPr>
      </w:pPr>
      <w:r w:rsidRPr="002961A0">
        <w:rPr>
          <w:rFonts w:ascii="Garamond" w:hAnsi="Garamond" w:cs="Times New Roman"/>
          <w:bCs/>
          <w:sz w:val="24"/>
          <w:szCs w:val="24"/>
        </w:rPr>
        <w:t>“Neni 40/1</w:t>
      </w:r>
    </w:p>
    <w:p w14:paraId="7CD4A355" w14:textId="77777777" w:rsidR="00A73655" w:rsidRPr="002961A0" w:rsidRDefault="00A73655" w:rsidP="00A73655">
      <w:pPr>
        <w:spacing w:after="0" w:line="240" w:lineRule="auto"/>
        <w:ind w:firstLine="284"/>
        <w:jc w:val="center"/>
        <w:rPr>
          <w:rFonts w:ascii="Garamond" w:hAnsi="Garamond" w:cs="Times New Roman"/>
          <w:b/>
          <w:bCs/>
          <w:sz w:val="24"/>
          <w:szCs w:val="24"/>
        </w:rPr>
      </w:pPr>
      <w:r w:rsidRPr="002961A0">
        <w:rPr>
          <w:rFonts w:ascii="Garamond" w:hAnsi="Garamond" w:cs="Times New Roman"/>
          <w:b/>
          <w:bCs/>
          <w:sz w:val="24"/>
          <w:szCs w:val="24"/>
        </w:rPr>
        <w:t>Trajtimi i punonjësve të Byrosë Kombëtare të Hetimit</w:t>
      </w:r>
    </w:p>
    <w:p w14:paraId="048AECE4" w14:textId="77777777" w:rsidR="00A73655" w:rsidRPr="002961A0" w:rsidRDefault="00A73655" w:rsidP="00A73655">
      <w:pPr>
        <w:spacing w:after="0" w:line="240" w:lineRule="auto"/>
        <w:ind w:firstLine="284"/>
        <w:jc w:val="center"/>
        <w:rPr>
          <w:rFonts w:ascii="Garamond" w:hAnsi="Garamond" w:cs="Times New Roman"/>
          <w:bCs/>
          <w:sz w:val="24"/>
          <w:szCs w:val="24"/>
        </w:rPr>
      </w:pPr>
    </w:p>
    <w:p w14:paraId="60AEA7CA"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1. Drejtori, zëvendësdrejtori, hetuesit e Byrosë Kombëtare të Hetimit dhe oficerët nga shërbimet e Policisë Gjyqësore të Byrosë Kombëtare të Hetimit përfitojnë të njëjtin trajtim që përfitojnë punonjësit e Policisë së Shtetit, sipas legjislacionit në fuqi për Policinë e Shtetit.</w:t>
      </w:r>
    </w:p>
    <w:p w14:paraId="2767DCBB"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 xml:space="preserve">2. Trajtimi i punonjësve, sipas pikës 1 të këtij neni, përfshin të drejtën e pushimit vjetor dhe pushimeve të tjera të pagueshme, lejen pa të drejtë page, trajtimin financiar gjatë qëndrimit në punë, të drejtën për sigurim shëndetësor të veçantë, të drejtën për përfitim të kredisë me interesa të buta, kompensimin për strehim, sigurimin e jetës, mbrojtjen e veçantë, si dhe trajtimin e familjarëve të punonjësve që humbasin jetën për shkak të detyrës. </w:t>
      </w:r>
    </w:p>
    <w:p w14:paraId="568BBE6F"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 xml:space="preserve">3. Këshilli i Ministrave miraton rregullat, procedurat dhe kriteret për trajtimin e punonjësve, sipas pikave 1 dhe 2 të këtij neni, me të njëjtin trajtim që përfitojnë punonjësit e Policisë së Shtetit, sipas legjislacionit në fuqi për Policinë e Shtetit.”.  </w:t>
      </w:r>
    </w:p>
    <w:p w14:paraId="4A15939F"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38CD18CC" w14:textId="77777777" w:rsidR="00A73655" w:rsidRPr="002961A0" w:rsidRDefault="00A73655" w:rsidP="00A73655">
      <w:pPr>
        <w:spacing w:after="0" w:line="240" w:lineRule="auto"/>
        <w:ind w:firstLine="284"/>
        <w:jc w:val="center"/>
        <w:rPr>
          <w:rFonts w:ascii="Garamond" w:hAnsi="Garamond" w:cs="Times New Roman"/>
          <w:bCs/>
          <w:sz w:val="24"/>
          <w:szCs w:val="24"/>
        </w:rPr>
      </w:pPr>
      <w:r w:rsidRPr="002961A0">
        <w:rPr>
          <w:rFonts w:ascii="Garamond" w:hAnsi="Garamond" w:cs="Times New Roman"/>
          <w:bCs/>
          <w:sz w:val="24"/>
          <w:szCs w:val="24"/>
        </w:rPr>
        <w:t>Neni 9</w:t>
      </w:r>
    </w:p>
    <w:p w14:paraId="2F3D2260"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575C95AA"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Në nenin 44, pika 2, pas togfjalëshit “pranë Prokurorisë së Posaçme” shtohet togfjalëshi “dhe punonjësit e administratës së Byrosë Kombëtare të Hetimit”.</w:t>
      </w:r>
    </w:p>
    <w:p w14:paraId="15E67DF7" w14:textId="77777777" w:rsidR="00A73655" w:rsidRDefault="00A73655" w:rsidP="00A73655">
      <w:pPr>
        <w:spacing w:after="0" w:line="240" w:lineRule="auto"/>
        <w:ind w:firstLine="284"/>
        <w:jc w:val="center"/>
        <w:rPr>
          <w:rFonts w:ascii="Garamond" w:hAnsi="Garamond" w:cs="Times New Roman"/>
          <w:bCs/>
          <w:sz w:val="24"/>
          <w:szCs w:val="24"/>
        </w:rPr>
      </w:pPr>
    </w:p>
    <w:p w14:paraId="467B3317" w14:textId="77777777" w:rsidR="00A73655" w:rsidRPr="002961A0" w:rsidRDefault="00A73655" w:rsidP="00A73655">
      <w:pPr>
        <w:spacing w:after="0" w:line="240" w:lineRule="auto"/>
        <w:ind w:firstLine="284"/>
        <w:jc w:val="center"/>
        <w:rPr>
          <w:rFonts w:ascii="Garamond" w:hAnsi="Garamond" w:cs="Times New Roman"/>
          <w:bCs/>
          <w:sz w:val="24"/>
          <w:szCs w:val="24"/>
        </w:rPr>
      </w:pPr>
      <w:r w:rsidRPr="002961A0">
        <w:rPr>
          <w:rFonts w:ascii="Garamond" w:hAnsi="Garamond" w:cs="Times New Roman"/>
          <w:bCs/>
          <w:sz w:val="24"/>
          <w:szCs w:val="24"/>
        </w:rPr>
        <w:t>Neni 10</w:t>
      </w:r>
    </w:p>
    <w:p w14:paraId="7F63C255"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312333EF"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Pas nenit 44 shtohet neni 44/1 me këtë përmbajtje</w:t>
      </w:r>
    </w:p>
    <w:p w14:paraId="2E8C37CF"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5445CDD3" w14:textId="77777777" w:rsidR="00A73655" w:rsidRPr="002961A0" w:rsidRDefault="00A73655" w:rsidP="00A73655">
      <w:pPr>
        <w:spacing w:after="0" w:line="240" w:lineRule="auto"/>
        <w:ind w:firstLine="284"/>
        <w:jc w:val="center"/>
        <w:rPr>
          <w:rFonts w:ascii="Garamond" w:hAnsi="Garamond" w:cs="Times New Roman"/>
          <w:bCs/>
          <w:sz w:val="24"/>
          <w:szCs w:val="24"/>
        </w:rPr>
      </w:pPr>
      <w:r w:rsidRPr="002961A0">
        <w:rPr>
          <w:rFonts w:ascii="Garamond" w:hAnsi="Garamond" w:cs="Times New Roman"/>
          <w:bCs/>
          <w:sz w:val="24"/>
          <w:szCs w:val="24"/>
        </w:rPr>
        <w:t>Neni 44/1</w:t>
      </w:r>
    </w:p>
    <w:p w14:paraId="14F5F863" w14:textId="77777777" w:rsidR="00A73655" w:rsidRPr="002961A0" w:rsidRDefault="00A73655" w:rsidP="00A73655">
      <w:pPr>
        <w:spacing w:after="0" w:line="240" w:lineRule="auto"/>
        <w:ind w:firstLine="284"/>
        <w:jc w:val="center"/>
        <w:rPr>
          <w:rFonts w:ascii="Garamond" w:hAnsi="Garamond" w:cs="Times New Roman"/>
          <w:b/>
          <w:bCs/>
          <w:sz w:val="24"/>
          <w:szCs w:val="24"/>
        </w:rPr>
      </w:pPr>
      <w:r w:rsidRPr="002961A0">
        <w:rPr>
          <w:rFonts w:ascii="Garamond" w:hAnsi="Garamond" w:cs="Times New Roman"/>
          <w:b/>
          <w:bCs/>
          <w:sz w:val="24"/>
          <w:szCs w:val="24"/>
        </w:rPr>
        <w:t>Shpërblimi për vështirësi pune</w:t>
      </w:r>
    </w:p>
    <w:p w14:paraId="3B46B48C" w14:textId="77777777" w:rsidR="00A73655" w:rsidRPr="002961A0" w:rsidRDefault="00A73655" w:rsidP="00A73655">
      <w:pPr>
        <w:spacing w:after="0" w:line="240" w:lineRule="auto"/>
        <w:ind w:firstLine="284"/>
        <w:jc w:val="center"/>
        <w:rPr>
          <w:rFonts w:ascii="Garamond" w:hAnsi="Garamond" w:cs="Times New Roman"/>
          <w:b/>
          <w:bCs/>
          <w:sz w:val="24"/>
          <w:szCs w:val="24"/>
        </w:rPr>
      </w:pPr>
    </w:p>
    <w:p w14:paraId="22893CBF"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1. Nëpunësi civil gjyqësor në gjykatat e posaçme për gjykimin e veprave penale të korrupsionit dhe krimit të organizuar përfiton shtesë për vështirësi pune në masën 50 për qind të pagës përkatëse.</w:t>
      </w:r>
    </w:p>
    <w:p w14:paraId="05EC35B8"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lastRenderedPageBreak/>
        <w:t xml:space="preserve">2. Nëpunësi civil në prokurorinë e posaçme dhe në Byronë Kombëtare të Hetimit përfiton shtesë për vështirësi pune në masën 50 për qind të pagës përkatëse. Kanë të drejtë të përfitojnë shtesë për vështirësi pune në masën 50 për qind të pagës përkatëse edhe punonjësit e tjerë të Prokurorisë së Posaçme dhe të Byrosë Kombëtare të Hetimit, që duhet të plotësojnë kushtet e sigurisë para caktimit në detyrë ose emërimit, sipas nenit 6 të këtij ligji. </w:t>
      </w:r>
    </w:p>
    <w:p w14:paraId="51D58E83"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08C91A0D" w14:textId="77777777" w:rsidR="00A73655" w:rsidRPr="002961A0" w:rsidRDefault="00A73655" w:rsidP="00A73655">
      <w:pPr>
        <w:spacing w:after="0" w:line="240" w:lineRule="auto"/>
        <w:ind w:firstLine="284"/>
        <w:jc w:val="center"/>
        <w:rPr>
          <w:rFonts w:ascii="Garamond" w:hAnsi="Garamond" w:cs="Times New Roman"/>
          <w:bCs/>
          <w:sz w:val="24"/>
          <w:szCs w:val="24"/>
        </w:rPr>
      </w:pPr>
      <w:r w:rsidRPr="002961A0">
        <w:rPr>
          <w:rFonts w:ascii="Garamond" w:hAnsi="Garamond" w:cs="Times New Roman"/>
          <w:bCs/>
          <w:sz w:val="24"/>
          <w:szCs w:val="24"/>
        </w:rPr>
        <w:t>Neni 11</w:t>
      </w:r>
    </w:p>
    <w:p w14:paraId="25F90BC3" w14:textId="77777777" w:rsidR="00A73655" w:rsidRPr="002961A0" w:rsidRDefault="00A73655" w:rsidP="00A73655">
      <w:pPr>
        <w:spacing w:after="0" w:line="240" w:lineRule="auto"/>
        <w:ind w:firstLine="284"/>
        <w:jc w:val="center"/>
        <w:rPr>
          <w:rFonts w:ascii="Garamond" w:hAnsi="Garamond" w:cs="Times New Roman"/>
          <w:b/>
          <w:bCs/>
          <w:sz w:val="24"/>
          <w:szCs w:val="24"/>
        </w:rPr>
      </w:pPr>
      <w:r w:rsidRPr="002961A0">
        <w:rPr>
          <w:rFonts w:ascii="Garamond" w:hAnsi="Garamond" w:cs="Times New Roman"/>
          <w:b/>
          <w:bCs/>
          <w:sz w:val="24"/>
          <w:szCs w:val="24"/>
        </w:rPr>
        <w:t>Dispozitë kalimtare</w:t>
      </w:r>
    </w:p>
    <w:p w14:paraId="5E4503AA" w14:textId="77777777" w:rsidR="00A73655" w:rsidRPr="002961A0" w:rsidRDefault="00A73655" w:rsidP="00A73655">
      <w:pPr>
        <w:spacing w:after="0" w:line="240" w:lineRule="auto"/>
        <w:ind w:firstLine="284"/>
        <w:jc w:val="center"/>
        <w:rPr>
          <w:rFonts w:ascii="Garamond" w:hAnsi="Garamond" w:cs="Times New Roman"/>
          <w:bCs/>
          <w:sz w:val="24"/>
          <w:szCs w:val="24"/>
        </w:rPr>
      </w:pPr>
    </w:p>
    <w:p w14:paraId="18AA8A12"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Drejtori, zëvendësdrejtori, hetuesit e Byrosë Kombëtare të Hetimit, oficerët nga shërbimet e Policisë Gjyqësore të Byrosë Kombëtare të Hetimit, punonjësit e sektorit të hetimit financiar, si dhe punonjësit e bërthamës komanduese elektronike përfitojnë pagën, sipas përcaktimeve të këtij ligji, nga data e emërimit të tyre në detyrë.</w:t>
      </w:r>
    </w:p>
    <w:p w14:paraId="617F8AEF"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7501EE14" w14:textId="77777777" w:rsidR="00A73655" w:rsidRPr="002961A0" w:rsidRDefault="00A73655" w:rsidP="00A73655">
      <w:pPr>
        <w:spacing w:after="0" w:line="240" w:lineRule="auto"/>
        <w:ind w:firstLine="284"/>
        <w:jc w:val="center"/>
        <w:rPr>
          <w:rFonts w:ascii="Garamond" w:hAnsi="Garamond" w:cs="Times New Roman"/>
          <w:bCs/>
          <w:sz w:val="24"/>
          <w:szCs w:val="24"/>
        </w:rPr>
      </w:pPr>
      <w:r w:rsidRPr="002961A0">
        <w:rPr>
          <w:rFonts w:ascii="Garamond" w:hAnsi="Garamond" w:cs="Times New Roman"/>
          <w:bCs/>
          <w:sz w:val="24"/>
          <w:szCs w:val="24"/>
        </w:rPr>
        <w:t>Neni 12</w:t>
      </w:r>
    </w:p>
    <w:p w14:paraId="66176DC0" w14:textId="77777777" w:rsidR="00A73655" w:rsidRPr="002961A0" w:rsidRDefault="00A73655" w:rsidP="00A73655">
      <w:pPr>
        <w:spacing w:after="0" w:line="240" w:lineRule="auto"/>
        <w:ind w:firstLine="284"/>
        <w:jc w:val="both"/>
        <w:rPr>
          <w:rFonts w:ascii="Garamond" w:hAnsi="Garamond" w:cs="Times New Roman"/>
          <w:bCs/>
          <w:sz w:val="24"/>
          <w:szCs w:val="24"/>
        </w:rPr>
      </w:pPr>
    </w:p>
    <w:p w14:paraId="2BDA3B96" w14:textId="77777777"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Ky ligj hyn në fuqi 15 ditë pas botimit në Fletoren Zyrtare.</w:t>
      </w:r>
    </w:p>
    <w:p w14:paraId="6E2CC55A" w14:textId="77777777" w:rsidR="00A73655" w:rsidRDefault="00A73655" w:rsidP="00A73655">
      <w:pPr>
        <w:spacing w:after="0" w:line="240" w:lineRule="auto"/>
        <w:ind w:firstLine="284"/>
        <w:jc w:val="both"/>
        <w:rPr>
          <w:rFonts w:ascii="Garamond" w:hAnsi="Garamond" w:cs="Times New Roman"/>
          <w:bCs/>
          <w:sz w:val="24"/>
          <w:szCs w:val="24"/>
        </w:rPr>
      </w:pPr>
    </w:p>
    <w:p w14:paraId="469C020F" w14:textId="77777777" w:rsidR="00A73655" w:rsidRPr="002961A0" w:rsidRDefault="00A73655" w:rsidP="00A73655">
      <w:pPr>
        <w:spacing w:after="0" w:line="240" w:lineRule="auto"/>
        <w:ind w:firstLine="284"/>
        <w:jc w:val="right"/>
        <w:rPr>
          <w:rFonts w:ascii="Garamond" w:hAnsi="Garamond" w:cs="Times New Roman"/>
          <w:bCs/>
          <w:sz w:val="24"/>
          <w:szCs w:val="24"/>
        </w:rPr>
      </w:pPr>
      <w:r>
        <w:rPr>
          <w:rFonts w:ascii="Garamond" w:hAnsi="Garamond" w:cs="Times New Roman"/>
          <w:bCs/>
          <w:sz w:val="24"/>
          <w:szCs w:val="24"/>
        </w:rPr>
        <w:t>KRYETAR</w:t>
      </w:r>
    </w:p>
    <w:p w14:paraId="6A07D6BC" w14:textId="77777777" w:rsidR="00A73655" w:rsidRPr="002961A0" w:rsidRDefault="00A73655" w:rsidP="00A73655">
      <w:pPr>
        <w:spacing w:after="0" w:line="240" w:lineRule="auto"/>
        <w:ind w:firstLine="284"/>
        <w:jc w:val="right"/>
        <w:rPr>
          <w:rFonts w:ascii="Garamond" w:hAnsi="Garamond" w:cs="Times New Roman"/>
          <w:b/>
          <w:bCs/>
          <w:sz w:val="24"/>
          <w:szCs w:val="24"/>
        </w:rPr>
      </w:pPr>
      <w:r w:rsidRPr="002961A0">
        <w:rPr>
          <w:rFonts w:ascii="Garamond" w:hAnsi="Garamond" w:cs="Times New Roman"/>
          <w:b/>
          <w:bCs/>
          <w:sz w:val="24"/>
          <w:szCs w:val="24"/>
        </w:rPr>
        <w:t>Gramoz Ruçi</w:t>
      </w:r>
    </w:p>
    <w:p w14:paraId="49C5C99B" w14:textId="77777777" w:rsidR="00A73655" w:rsidRPr="002961A0" w:rsidRDefault="00A73655" w:rsidP="00A73655">
      <w:pPr>
        <w:spacing w:after="0" w:line="240" w:lineRule="auto"/>
        <w:ind w:firstLine="284"/>
        <w:jc w:val="right"/>
        <w:rPr>
          <w:rFonts w:ascii="Garamond" w:hAnsi="Garamond" w:cs="Times New Roman"/>
          <w:b/>
          <w:bCs/>
          <w:sz w:val="24"/>
          <w:szCs w:val="24"/>
        </w:rPr>
      </w:pPr>
    </w:p>
    <w:p w14:paraId="43D41AF2" w14:textId="68715E6B" w:rsidR="00A73655" w:rsidRPr="002961A0" w:rsidRDefault="00A73655" w:rsidP="00A73655">
      <w:pPr>
        <w:spacing w:after="0" w:line="240" w:lineRule="auto"/>
        <w:ind w:firstLine="284"/>
        <w:jc w:val="both"/>
        <w:rPr>
          <w:rFonts w:ascii="Garamond" w:hAnsi="Garamond" w:cs="Times New Roman"/>
          <w:bCs/>
          <w:sz w:val="24"/>
          <w:szCs w:val="24"/>
        </w:rPr>
      </w:pPr>
      <w:r w:rsidRPr="002961A0">
        <w:rPr>
          <w:rFonts w:ascii="Garamond" w:hAnsi="Garamond" w:cs="Times New Roman"/>
          <w:bCs/>
          <w:sz w:val="24"/>
          <w:szCs w:val="24"/>
        </w:rPr>
        <w:t>Miratuar në datën 23.3.2021</w:t>
      </w:r>
      <w:r w:rsidR="00B82710">
        <w:rPr>
          <w:rFonts w:ascii="Garamond" w:hAnsi="Garamond" w:cs="Times New Roman"/>
          <w:bCs/>
          <w:sz w:val="24"/>
          <w:szCs w:val="24"/>
        </w:rPr>
        <w:t>.</w:t>
      </w:r>
    </w:p>
    <w:p w14:paraId="2AC9628E" w14:textId="77777777" w:rsidR="00213234" w:rsidRPr="00A73655" w:rsidRDefault="00213234" w:rsidP="00A73655"/>
    <w:sectPr w:rsidR="00213234" w:rsidRPr="00A73655" w:rsidSect="00F332DD">
      <w:footerReference w:type="default" r:id="rId13"/>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0F9B81" w14:textId="77777777" w:rsidR="00BF3044" w:rsidRDefault="00BF3044" w:rsidP="00420682">
      <w:pPr>
        <w:spacing w:after="0" w:line="240" w:lineRule="auto"/>
      </w:pPr>
      <w:r>
        <w:separator/>
      </w:r>
    </w:p>
  </w:endnote>
  <w:endnote w:type="continuationSeparator" w:id="0">
    <w:p w14:paraId="231F7FC3" w14:textId="77777777" w:rsidR="00BF3044" w:rsidRDefault="00BF3044" w:rsidP="00420682">
      <w:pPr>
        <w:spacing w:after="0" w:line="240" w:lineRule="auto"/>
      </w:pPr>
      <w:r>
        <w:continuationSeparator/>
      </w:r>
    </w:p>
  </w:endnote>
  <w:endnote w:type="continuationNotice" w:id="1">
    <w:p w14:paraId="48915FD2" w14:textId="77777777" w:rsidR="00BF3044" w:rsidRDefault="00BF30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8408046"/>
      <w:docPartObj>
        <w:docPartGallery w:val="Page Numbers (Bottom of Page)"/>
        <w:docPartUnique/>
      </w:docPartObj>
    </w:sdtPr>
    <w:sdtEndPr>
      <w:rPr>
        <w:rFonts w:ascii="Times New Roman" w:hAnsi="Times New Roman" w:cs="Times New Roman"/>
        <w:noProof/>
        <w:sz w:val="24"/>
        <w:szCs w:val="24"/>
      </w:rPr>
    </w:sdtEndPr>
    <w:sdtContent>
      <w:p w14:paraId="2AC96293" w14:textId="77777777" w:rsidR="00BF3044" w:rsidRPr="00F332DD" w:rsidRDefault="00BF3044">
        <w:pPr>
          <w:pStyle w:val="Footer"/>
          <w:jc w:val="center"/>
          <w:rPr>
            <w:rFonts w:ascii="Times New Roman" w:hAnsi="Times New Roman" w:cs="Times New Roman"/>
            <w:sz w:val="24"/>
            <w:szCs w:val="24"/>
          </w:rPr>
        </w:pPr>
        <w:r w:rsidRPr="00F332DD">
          <w:rPr>
            <w:rFonts w:ascii="Times New Roman" w:hAnsi="Times New Roman" w:cs="Times New Roman"/>
            <w:sz w:val="24"/>
            <w:szCs w:val="24"/>
          </w:rPr>
          <w:fldChar w:fldCharType="begin"/>
        </w:r>
        <w:r w:rsidRPr="00F332DD">
          <w:rPr>
            <w:rFonts w:ascii="Times New Roman" w:hAnsi="Times New Roman" w:cs="Times New Roman"/>
            <w:sz w:val="24"/>
            <w:szCs w:val="24"/>
          </w:rPr>
          <w:instrText xml:space="preserve"> PAGE   \* MERGEFORMAT </w:instrText>
        </w:r>
        <w:r w:rsidRPr="00F332DD">
          <w:rPr>
            <w:rFonts w:ascii="Times New Roman" w:hAnsi="Times New Roman" w:cs="Times New Roman"/>
            <w:sz w:val="24"/>
            <w:szCs w:val="24"/>
          </w:rPr>
          <w:fldChar w:fldCharType="separate"/>
        </w:r>
        <w:r w:rsidR="00EF4F2D">
          <w:rPr>
            <w:rFonts w:ascii="Times New Roman" w:hAnsi="Times New Roman" w:cs="Times New Roman"/>
            <w:noProof/>
            <w:sz w:val="24"/>
            <w:szCs w:val="24"/>
          </w:rPr>
          <w:t>2</w:t>
        </w:r>
        <w:r w:rsidRPr="00F332DD">
          <w:rPr>
            <w:rFonts w:ascii="Times New Roman" w:hAnsi="Times New Roman" w:cs="Times New Roman"/>
            <w:noProof/>
            <w:sz w:val="24"/>
            <w:szCs w:val="24"/>
          </w:rPr>
          <w:fldChar w:fldCharType="end"/>
        </w:r>
      </w:p>
    </w:sdtContent>
  </w:sdt>
  <w:p w14:paraId="2AC96294" w14:textId="77777777" w:rsidR="00BF3044" w:rsidRDefault="00BF30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C9382D" w14:textId="77777777" w:rsidR="00BF3044" w:rsidRDefault="00BF3044" w:rsidP="00420682">
      <w:pPr>
        <w:spacing w:after="0" w:line="240" w:lineRule="auto"/>
      </w:pPr>
      <w:r>
        <w:separator/>
      </w:r>
    </w:p>
  </w:footnote>
  <w:footnote w:type="continuationSeparator" w:id="0">
    <w:p w14:paraId="791427BA" w14:textId="77777777" w:rsidR="00BF3044" w:rsidRDefault="00BF3044" w:rsidP="00420682">
      <w:pPr>
        <w:spacing w:after="0" w:line="240" w:lineRule="auto"/>
      </w:pPr>
      <w:r>
        <w:continuationSeparator/>
      </w:r>
    </w:p>
  </w:footnote>
  <w:footnote w:type="continuationNotice" w:id="1">
    <w:p w14:paraId="1214BE33" w14:textId="77777777" w:rsidR="00BF3044" w:rsidRDefault="00BF304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3592C"/>
    <w:rsid w:val="00043C57"/>
    <w:rsid w:val="00055AB5"/>
    <w:rsid w:val="00060376"/>
    <w:rsid w:val="000765C2"/>
    <w:rsid w:val="00096985"/>
    <w:rsid w:val="000A3B4D"/>
    <w:rsid w:val="000D199E"/>
    <w:rsid w:val="000E5BA6"/>
    <w:rsid w:val="00106F6D"/>
    <w:rsid w:val="0012550D"/>
    <w:rsid w:val="00146D52"/>
    <w:rsid w:val="00151FD2"/>
    <w:rsid w:val="00153CC5"/>
    <w:rsid w:val="00155BCF"/>
    <w:rsid w:val="00166898"/>
    <w:rsid w:val="001816AF"/>
    <w:rsid w:val="001942D4"/>
    <w:rsid w:val="001A2E2B"/>
    <w:rsid w:val="001B4158"/>
    <w:rsid w:val="001B796E"/>
    <w:rsid w:val="001C0806"/>
    <w:rsid w:val="001C445C"/>
    <w:rsid w:val="001C5CDE"/>
    <w:rsid w:val="001C6A0A"/>
    <w:rsid w:val="001C7EC0"/>
    <w:rsid w:val="001D2895"/>
    <w:rsid w:val="001F194A"/>
    <w:rsid w:val="002009A1"/>
    <w:rsid w:val="0020160E"/>
    <w:rsid w:val="0020170B"/>
    <w:rsid w:val="0020507F"/>
    <w:rsid w:val="00213234"/>
    <w:rsid w:val="00214854"/>
    <w:rsid w:val="0021715D"/>
    <w:rsid w:val="00231BE2"/>
    <w:rsid w:val="00233280"/>
    <w:rsid w:val="0024206A"/>
    <w:rsid w:val="00243B60"/>
    <w:rsid w:val="0024734C"/>
    <w:rsid w:val="00266AB2"/>
    <w:rsid w:val="00266C06"/>
    <w:rsid w:val="002A47D7"/>
    <w:rsid w:val="002D3C2C"/>
    <w:rsid w:val="002D509C"/>
    <w:rsid w:val="002F13A9"/>
    <w:rsid w:val="002F5953"/>
    <w:rsid w:val="002F6CA2"/>
    <w:rsid w:val="002F79A6"/>
    <w:rsid w:val="00364905"/>
    <w:rsid w:val="0038331D"/>
    <w:rsid w:val="00397541"/>
    <w:rsid w:val="003A38DC"/>
    <w:rsid w:val="003A63A5"/>
    <w:rsid w:val="003C48FF"/>
    <w:rsid w:val="003F29A8"/>
    <w:rsid w:val="0041300C"/>
    <w:rsid w:val="00420682"/>
    <w:rsid w:val="00420BE7"/>
    <w:rsid w:val="00431C68"/>
    <w:rsid w:val="00433BCD"/>
    <w:rsid w:val="00445610"/>
    <w:rsid w:val="00455BBA"/>
    <w:rsid w:val="00460BC4"/>
    <w:rsid w:val="004647DB"/>
    <w:rsid w:val="00477804"/>
    <w:rsid w:val="004A5884"/>
    <w:rsid w:val="004B12D2"/>
    <w:rsid w:val="004B6ED9"/>
    <w:rsid w:val="004C2DFD"/>
    <w:rsid w:val="004E7290"/>
    <w:rsid w:val="004E7E53"/>
    <w:rsid w:val="004F447A"/>
    <w:rsid w:val="004F7030"/>
    <w:rsid w:val="005201B5"/>
    <w:rsid w:val="00522FFB"/>
    <w:rsid w:val="005242C0"/>
    <w:rsid w:val="00531A97"/>
    <w:rsid w:val="00535CE3"/>
    <w:rsid w:val="00542102"/>
    <w:rsid w:val="00550FA3"/>
    <w:rsid w:val="0055575B"/>
    <w:rsid w:val="005726F2"/>
    <w:rsid w:val="00573EE3"/>
    <w:rsid w:val="005767F6"/>
    <w:rsid w:val="0059342C"/>
    <w:rsid w:val="005B6E3F"/>
    <w:rsid w:val="005C5C4C"/>
    <w:rsid w:val="0060535D"/>
    <w:rsid w:val="00611F88"/>
    <w:rsid w:val="0062077A"/>
    <w:rsid w:val="00621A17"/>
    <w:rsid w:val="006465EF"/>
    <w:rsid w:val="00646924"/>
    <w:rsid w:val="00663243"/>
    <w:rsid w:val="0067406E"/>
    <w:rsid w:val="00677E6C"/>
    <w:rsid w:val="006D0051"/>
    <w:rsid w:val="006D51DA"/>
    <w:rsid w:val="006F4D55"/>
    <w:rsid w:val="00726525"/>
    <w:rsid w:val="00736DC8"/>
    <w:rsid w:val="007403CF"/>
    <w:rsid w:val="007654B3"/>
    <w:rsid w:val="00770FAD"/>
    <w:rsid w:val="00771BE4"/>
    <w:rsid w:val="00774741"/>
    <w:rsid w:val="00795061"/>
    <w:rsid w:val="007A2E0E"/>
    <w:rsid w:val="007C083E"/>
    <w:rsid w:val="007D742E"/>
    <w:rsid w:val="007E2515"/>
    <w:rsid w:val="00807967"/>
    <w:rsid w:val="00811138"/>
    <w:rsid w:val="00840462"/>
    <w:rsid w:val="0085472C"/>
    <w:rsid w:val="008620E4"/>
    <w:rsid w:val="0086360A"/>
    <w:rsid w:val="008720AB"/>
    <w:rsid w:val="0087264B"/>
    <w:rsid w:val="008914C1"/>
    <w:rsid w:val="00892C77"/>
    <w:rsid w:val="008A1646"/>
    <w:rsid w:val="008C15C7"/>
    <w:rsid w:val="008C5C4E"/>
    <w:rsid w:val="008D12D7"/>
    <w:rsid w:val="00900D7B"/>
    <w:rsid w:val="0091014E"/>
    <w:rsid w:val="009104DF"/>
    <w:rsid w:val="00935B2A"/>
    <w:rsid w:val="00970D95"/>
    <w:rsid w:val="00974717"/>
    <w:rsid w:val="00976A3C"/>
    <w:rsid w:val="00991D86"/>
    <w:rsid w:val="0099741A"/>
    <w:rsid w:val="009A11D2"/>
    <w:rsid w:val="009A6F98"/>
    <w:rsid w:val="00A06D12"/>
    <w:rsid w:val="00A15DE9"/>
    <w:rsid w:val="00A34D9D"/>
    <w:rsid w:val="00A431DD"/>
    <w:rsid w:val="00A645A6"/>
    <w:rsid w:val="00A73655"/>
    <w:rsid w:val="00A842A3"/>
    <w:rsid w:val="00AA32E0"/>
    <w:rsid w:val="00AC2686"/>
    <w:rsid w:val="00AF0CE9"/>
    <w:rsid w:val="00B03A16"/>
    <w:rsid w:val="00B34648"/>
    <w:rsid w:val="00B54D96"/>
    <w:rsid w:val="00B6427E"/>
    <w:rsid w:val="00B67778"/>
    <w:rsid w:val="00B82710"/>
    <w:rsid w:val="00B8668D"/>
    <w:rsid w:val="00BA1706"/>
    <w:rsid w:val="00BA5571"/>
    <w:rsid w:val="00BB15C8"/>
    <w:rsid w:val="00BC6D25"/>
    <w:rsid w:val="00BD4611"/>
    <w:rsid w:val="00BF3044"/>
    <w:rsid w:val="00C10624"/>
    <w:rsid w:val="00C4191B"/>
    <w:rsid w:val="00C446ED"/>
    <w:rsid w:val="00C60CAD"/>
    <w:rsid w:val="00C6573D"/>
    <w:rsid w:val="00C66EEC"/>
    <w:rsid w:val="00C90FD7"/>
    <w:rsid w:val="00CA0828"/>
    <w:rsid w:val="00CA26E1"/>
    <w:rsid w:val="00CC7CA2"/>
    <w:rsid w:val="00CF5B26"/>
    <w:rsid w:val="00D23C4B"/>
    <w:rsid w:val="00D4469F"/>
    <w:rsid w:val="00D449CB"/>
    <w:rsid w:val="00D45AC2"/>
    <w:rsid w:val="00D60C6B"/>
    <w:rsid w:val="00D725EB"/>
    <w:rsid w:val="00DA56D4"/>
    <w:rsid w:val="00DC03DB"/>
    <w:rsid w:val="00DC0BDC"/>
    <w:rsid w:val="00DC0BE7"/>
    <w:rsid w:val="00DF3DE7"/>
    <w:rsid w:val="00E00ECF"/>
    <w:rsid w:val="00E07791"/>
    <w:rsid w:val="00E32B8C"/>
    <w:rsid w:val="00E370B3"/>
    <w:rsid w:val="00E452DA"/>
    <w:rsid w:val="00E6234F"/>
    <w:rsid w:val="00E63306"/>
    <w:rsid w:val="00E72BC5"/>
    <w:rsid w:val="00E76B9D"/>
    <w:rsid w:val="00E92E6E"/>
    <w:rsid w:val="00EC55E7"/>
    <w:rsid w:val="00EC57E8"/>
    <w:rsid w:val="00EE7E5D"/>
    <w:rsid w:val="00EF4F2D"/>
    <w:rsid w:val="00F0515A"/>
    <w:rsid w:val="00F07F7F"/>
    <w:rsid w:val="00F234B6"/>
    <w:rsid w:val="00F332DD"/>
    <w:rsid w:val="00F52125"/>
    <w:rsid w:val="00F537D2"/>
    <w:rsid w:val="00F630AC"/>
    <w:rsid w:val="00F66D80"/>
    <w:rsid w:val="00F84F9C"/>
    <w:rsid w:val="00FB5CED"/>
    <w:rsid w:val="00FC484A"/>
    <w:rsid w:val="00FC631E"/>
    <w:rsid w:val="00FF2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961FE"/>
  <w15:docId w15:val="{E75FB4B0-C4DA-41A9-90BC-26B6663F3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795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5061"/>
  </w:style>
  <w:style w:type="paragraph" w:styleId="Footer">
    <w:name w:val="footer"/>
    <w:basedOn w:val="Normal"/>
    <w:link w:val="FooterChar"/>
    <w:uiPriority w:val="99"/>
    <w:unhideWhenUsed/>
    <w:rsid w:val="00795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50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Nr_x002e__x0020_akti>
    <Data_x0020_e_x0020_Krijimit xmlns="0e656187-b300-4fb0-8bf4-3a50f872073c">2021-05-14T08:18:35Z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http://qbz.gov.al/resource/authority/document-type/ligj</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2021-05-11T22:00:00Z</Date_x0020_protokolli>
    <Titulli xmlns="0e656187-b300-4fb0-8bf4-3a50f872073c">Për disa shtesa dhe ndryshime në ligjin nr. 95/2016 “Për organizimin dhe funksionimin e institucioneve për të luftuar korrupsionin dhe krimin e organizuar</Titulli>
    <Modifikuesi xmlns="0e656187-b300-4fb0-8bf4-3a50f872073c">valjeta.kaftalli</Modifikuesi>
    <Nr_x002e__x0020_prot_x0020_QBZ xmlns="0e656187-b300-4fb0-8bf4-3a50f872073c">696/6</Nr_x002e__x0020_prot_x0020_QBZ>
    <Data_x0020_e_x0020_Modifikimit xmlns="0e656187-b300-4fb0-8bf4-3a50f872073c">2021-05-14T09:17:53Z</Data_x0020_e_x0020_Modifikimit>
    <Dekretuar xmlns="0e656187-b300-4fb0-8bf4-3a50f872073c">false</Dekretuar>
    <Data xmlns="0e656187-b300-4fb0-8bf4-3a50f872073c">2021-03-22T23:00:00Z</Data>
    <Nr_x002e__x0020_protokolli_x0020_i_x0020_aktit xmlns="0e656187-b300-4fb0-8bf4-3a50f872073c">1140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C116EF7822C479EB790907E13F2B5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C116EF7822C479EB790907E13F2B5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6DCBF-78EE-4973-8DF8-AB3E29218223}">
  <ds:schemaRefs>
    <ds:schemaRef ds:uri="http://www.w3.org/XML/1998/namespace"/>
    <ds:schemaRef ds:uri="http://schemas.microsoft.com/office/2006/metadata/properties"/>
    <ds:schemaRef ds:uri="http://schemas.microsoft.com/office/2006/documentManagement/types"/>
    <ds:schemaRef ds:uri="http://purl.org/dc/dcmitype/"/>
    <ds:schemaRef ds:uri="http://purl.org/dc/elements/1.1/"/>
    <ds:schemaRef ds:uri="0e656187-b300-4fb0-8bf4-3a50f872073c"/>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6AF21258-9F74-479B-B7A9-A5497AF8D05F}">
  <ds:schemaRefs>
    <ds:schemaRef ds:uri="http://schemas.microsoft.com/sharepoint/v3/contenttype/forms"/>
  </ds:schemaRefs>
</ds:datastoreItem>
</file>

<file path=customXml/itemProps3.xml><?xml version="1.0" encoding="utf-8"?>
<ds:datastoreItem xmlns:ds="http://schemas.openxmlformats.org/officeDocument/2006/customXml" ds:itemID="{A8322DEC-0748-4919-9555-6E1D1A2077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70A17AC-EE0E-4396-A4D8-EF86B427A6FF}">
  <ds:schemaRefs>
    <ds:schemaRef ds:uri="http://schemas.microsoft.com/sharepoint/v3/contenttype/forms"/>
  </ds:schemaRefs>
</ds:datastoreItem>
</file>

<file path=customXml/itemProps5.xml><?xml version="1.0" encoding="utf-8"?>
<ds:datastoreItem xmlns:ds="http://schemas.openxmlformats.org/officeDocument/2006/customXml" ds:itemID="{8017C06C-11EC-4316-926B-7BE2476DF1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A5A03BC-3875-451F-8A12-638FCC29B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1146</Words>
  <Characters>6536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Për disa shtesa dhe ndryshime në ligjin nr. 95/2016 “Për organizimin dhe funksionimin e institucioneve për të luftuar korrupsionin dhe krimin e organizuar</vt:lpstr>
    </vt:vector>
  </TitlesOfParts>
  <Company/>
  <LinksUpToDate>false</LinksUpToDate>
  <CharactersWithSpaces>7667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ligjin nr. 95/2016 “Për organizimin dhe funksionimin e institucioneve për të luftuar korrupsionin dhe krimin e organizuar</dc:title>
  <dc:creator>gazmend.hanku</dc:creator>
  <cp:lastModifiedBy>Alma Lisaku</cp:lastModifiedBy>
  <cp:revision>9</cp:revision>
  <cp:lastPrinted>2021-03-29T10:18:00Z</cp:lastPrinted>
  <dcterms:created xsi:type="dcterms:W3CDTF">2021-05-14T08:23:00Z</dcterms:created>
  <dcterms:modified xsi:type="dcterms:W3CDTF">2021-05-14T10:59:00Z</dcterms:modified>
</cp:coreProperties>
</file>