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E75313" w14:textId="77777777" w:rsidR="00E80DE0" w:rsidRPr="00F45372" w:rsidRDefault="00E80DE0" w:rsidP="00E80DE0">
      <w:pPr>
        <w:spacing w:after="0" w:line="240" w:lineRule="auto"/>
        <w:ind w:firstLine="284"/>
        <w:jc w:val="center"/>
        <w:rPr>
          <w:rFonts w:ascii="Garamond" w:hAnsi="Garamond" w:cs="Times New Roman"/>
          <w:b/>
          <w:sz w:val="24"/>
          <w:szCs w:val="24"/>
        </w:rPr>
      </w:pPr>
      <w:r w:rsidRPr="00F45372">
        <w:rPr>
          <w:rFonts w:ascii="Garamond" w:hAnsi="Garamond" w:cs="Times New Roman"/>
          <w:b/>
          <w:sz w:val="24"/>
          <w:szCs w:val="24"/>
        </w:rPr>
        <w:t>LIGJ</w:t>
      </w:r>
    </w:p>
    <w:p w14:paraId="136AB687" w14:textId="77777777" w:rsidR="00E80DE0" w:rsidRPr="00F45372" w:rsidRDefault="00E80DE0" w:rsidP="00E80DE0">
      <w:pPr>
        <w:spacing w:after="0" w:line="240" w:lineRule="auto"/>
        <w:ind w:firstLine="284"/>
        <w:jc w:val="center"/>
        <w:rPr>
          <w:rFonts w:ascii="Garamond" w:hAnsi="Garamond" w:cs="Times New Roman"/>
          <w:b/>
          <w:sz w:val="24"/>
          <w:szCs w:val="24"/>
        </w:rPr>
      </w:pPr>
      <w:r w:rsidRPr="00F45372">
        <w:rPr>
          <w:rFonts w:ascii="Garamond" w:hAnsi="Garamond" w:cs="Times New Roman"/>
          <w:b/>
          <w:sz w:val="24"/>
          <w:szCs w:val="24"/>
        </w:rPr>
        <w:t>Nr. 49/2021</w:t>
      </w:r>
    </w:p>
    <w:p w14:paraId="7FE91C7A" w14:textId="77777777" w:rsidR="00E80DE0" w:rsidRPr="00F45372" w:rsidRDefault="00E80DE0" w:rsidP="00E80DE0">
      <w:pPr>
        <w:spacing w:after="0" w:line="240" w:lineRule="auto"/>
        <w:ind w:firstLine="284"/>
        <w:jc w:val="both"/>
        <w:rPr>
          <w:rFonts w:ascii="Garamond" w:hAnsi="Garamond" w:cs="Times New Roman"/>
          <w:bCs/>
          <w:sz w:val="24"/>
          <w:szCs w:val="24"/>
        </w:rPr>
      </w:pPr>
    </w:p>
    <w:p w14:paraId="2CF66071" w14:textId="0CC1C0D1" w:rsidR="00E80DE0" w:rsidRPr="00F45372" w:rsidRDefault="00E80DE0" w:rsidP="00E80DE0">
      <w:pPr>
        <w:spacing w:after="0" w:line="240" w:lineRule="auto"/>
        <w:ind w:firstLine="284"/>
        <w:jc w:val="center"/>
        <w:rPr>
          <w:rFonts w:ascii="Garamond" w:hAnsi="Garamond" w:cs="Times New Roman"/>
          <w:b/>
          <w:bCs/>
          <w:sz w:val="24"/>
          <w:szCs w:val="24"/>
        </w:rPr>
      </w:pPr>
      <w:r w:rsidRPr="00F45372">
        <w:rPr>
          <w:rFonts w:ascii="Garamond" w:hAnsi="Garamond" w:cs="Times New Roman"/>
          <w:b/>
          <w:bCs/>
          <w:sz w:val="24"/>
          <w:szCs w:val="24"/>
        </w:rPr>
        <w:t>PËR DISA SHTESA DHE NDRYSHIME NË LIGJIN NR. 49/2012</w:t>
      </w:r>
      <w:r w:rsidR="00F45372">
        <w:rPr>
          <w:rFonts w:ascii="Garamond" w:hAnsi="Garamond" w:cs="Times New Roman"/>
          <w:b/>
          <w:bCs/>
          <w:sz w:val="24"/>
          <w:szCs w:val="24"/>
        </w:rPr>
        <w:t>,</w:t>
      </w:r>
      <w:r w:rsidRPr="00F45372">
        <w:rPr>
          <w:rFonts w:ascii="Garamond" w:hAnsi="Garamond" w:cs="Times New Roman"/>
          <w:b/>
          <w:bCs/>
          <w:sz w:val="24"/>
          <w:szCs w:val="24"/>
        </w:rPr>
        <w:t xml:space="preserve"> “PËR GJYKATAT ADMINISTRATIVE DHE GJYKIMIN E MOSMARRËVESHJEVE ADMINISTRATIVE”, TË NDRYSHUAR</w:t>
      </w:r>
    </w:p>
    <w:p w14:paraId="02DEAD17" w14:textId="77777777" w:rsidR="00E80DE0" w:rsidRPr="00F45372" w:rsidRDefault="00E80DE0" w:rsidP="00E80DE0">
      <w:pPr>
        <w:spacing w:after="0" w:line="240" w:lineRule="auto"/>
        <w:ind w:firstLine="284"/>
        <w:jc w:val="both"/>
        <w:rPr>
          <w:rFonts w:ascii="Garamond" w:hAnsi="Garamond" w:cs="Times New Roman"/>
          <w:bCs/>
          <w:sz w:val="24"/>
          <w:szCs w:val="24"/>
        </w:rPr>
      </w:pPr>
    </w:p>
    <w:p w14:paraId="33A2FD42" w14:textId="77777777" w:rsidR="00E80DE0" w:rsidRPr="00F45372" w:rsidRDefault="00E80DE0" w:rsidP="00E80DE0">
      <w:pPr>
        <w:spacing w:after="0" w:line="240" w:lineRule="auto"/>
        <w:ind w:firstLine="284"/>
        <w:jc w:val="both"/>
        <w:rPr>
          <w:rFonts w:ascii="Garamond" w:hAnsi="Garamond" w:cs="Times New Roman"/>
          <w:bCs/>
          <w:sz w:val="24"/>
          <w:szCs w:val="24"/>
        </w:rPr>
      </w:pPr>
      <w:r w:rsidRPr="00F45372">
        <w:rPr>
          <w:rFonts w:ascii="Garamond" w:hAnsi="Garamond" w:cs="Times New Roman"/>
          <w:bCs/>
          <w:sz w:val="24"/>
          <w:szCs w:val="24"/>
        </w:rPr>
        <w:t xml:space="preserve">Në mbështetje të neneve 81 dhe 83, pika 1, të Kushtetutës, me propozimin e një deputeti, </w:t>
      </w:r>
    </w:p>
    <w:p w14:paraId="0EDAA5C6" w14:textId="77777777" w:rsidR="00E80DE0" w:rsidRPr="00F45372" w:rsidRDefault="00E80DE0" w:rsidP="00E80DE0">
      <w:pPr>
        <w:spacing w:after="0" w:line="240" w:lineRule="auto"/>
        <w:ind w:firstLine="284"/>
        <w:jc w:val="center"/>
        <w:rPr>
          <w:rFonts w:ascii="Garamond" w:hAnsi="Garamond" w:cs="Times New Roman"/>
          <w:bCs/>
          <w:sz w:val="24"/>
          <w:szCs w:val="24"/>
        </w:rPr>
      </w:pPr>
    </w:p>
    <w:p w14:paraId="75164A69" w14:textId="77777777" w:rsidR="00E80DE0" w:rsidRPr="00F45372" w:rsidRDefault="00E80DE0" w:rsidP="00E80DE0">
      <w:pPr>
        <w:spacing w:after="0" w:line="240" w:lineRule="auto"/>
        <w:ind w:firstLine="284"/>
        <w:jc w:val="center"/>
        <w:rPr>
          <w:rFonts w:ascii="Garamond" w:hAnsi="Garamond" w:cs="Times New Roman"/>
          <w:bCs/>
          <w:sz w:val="24"/>
          <w:szCs w:val="24"/>
        </w:rPr>
      </w:pPr>
      <w:r w:rsidRPr="00F45372">
        <w:rPr>
          <w:rFonts w:ascii="Garamond" w:hAnsi="Garamond" w:cs="Times New Roman"/>
          <w:bCs/>
          <w:sz w:val="24"/>
          <w:szCs w:val="24"/>
        </w:rPr>
        <w:t>KUVENDI</w:t>
      </w:r>
    </w:p>
    <w:p w14:paraId="733181CC" w14:textId="77777777" w:rsidR="00E80DE0" w:rsidRPr="00F45372" w:rsidRDefault="00E80DE0" w:rsidP="00E80DE0">
      <w:pPr>
        <w:spacing w:after="0" w:line="240" w:lineRule="auto"/>
        <w:ind w:firstLine="284"/>
        <w:jc w:val="center"/>
        <w:rPr>
          <w:rFonts w:ascii="Garamond" w:hAnsi="Garamond" w:cs="Times New Roman"/>
          <w:bCs/>
          <w:sz w:val="24"/>
          <w:szCs w:val="24"/>
        </w:rPr>
      </w:pPr>
      <w:r w:rsidRPr="00F45372">
        <w:rPr>
          <w:rFonts w:ascii="Garamond" w:hAnsi="Garamond" w:cs="Times New Roman"/>
          <w:bCs/>
          <w:sz w:val="24"/>
          <w:szCs w:val="24"/>
        </w:rPr>
        <w:t>I REPUBLIKËS SË SHQIPËRISË</w:t>
      </w:r>
    </w:p>
    <w:p w14:paraId="4D4D5F6D" w14:textId="77777777" w:rsidR="00E80DE0" w:rsidRPr="00F45372" w:rsidRDefault="00E80DE0" w:rsidP="00E80DE0">
      <w:pPr>
        <w:spacing w:after="0" w:line="240" w:lineRule="auto"/>
        <w:ind w:firstLine="284"/>
        <w:jc w:val="center"/>
        <w:rPr>
          <w:rFonts w:ascii="Garamond" w:hAnsi="Garamond" w:cs="Times New Roman"/>
          <w:bCs/>
          <w:sz w:val="24"/>
          <w:szCs w:val="24"/>
        </w:rPr>
      </w:pPr>
    </w:p>
    <w:p w14:paraId="2C52BD3A" w14:textId="77777777" w:rsidR="00E80DE0" w:rsidRPr="00F45372" w:rsidRDefault="00E80DE0" w:rsidP="00E80DE0">
      <w:pPr>
        <w:spacing w:after="0" w:line="240" w:lineRule="auto"/>
        <w:ind w:firstLine="284"/>
        <w:jc w:val="center"/>
        <w:rPr>
          <w:rFonts w:ascii="Garamond" w:hAnsi="Garamond" w:cs="Times New Roman"/>
          <w:bCs/>
          <w:sz w:val="24"/>
          <w:szCs w:val="24"/>
        </w:rPr>
      </w:pPr>
      <w:r w:rsidRPr="00F45372">
        <w:rPr>
          <w:rFonts w:ascii="Garamond" w:hAnsi="Garamond" w:cs="Times New Roman"/>
          <w:bCs/>
          <w:sz w:val="24"/>
          <w:szCs w:val="24"/>
        </w:rPr>
        <w:t>VENDOSI:</w:t>
      </w:r>
    </w:p>
    <w:p w14:paraId="7D3231BC" w14:textId="77777777" w:rsidR="00E80DE0" w:rsidRPr="00F45372" w:rsidRDefault="00E80DE0" w:rsidP="00E80DE0">
      <w:pPr>
        <w:spacing w:after="0" w:line="240" w:lineRule="auto"/>
        <w:ind w:firstLine="284"/>
        <w:jc w:val="center"/>
        <w:rPr>
          <w:rFonts w:ascii="Garamond" w:hAnsi="Garamond" w:cs="Times New Roman"/>
          <w:bCs/>
          <w:sz w:val="24"/>
          <w:szCs w:val="24"/>
        </w:rPr>
      </w:pPr>
    </w:p>
    <w:p w14:paraId="09AAE712" w14:textId="000ECEB2" w:rsidR="00E80DE0" w:rsidRPr="00F45372" w:rsidRDefault="00E80DE0" w:rsidP="00E80DE0">
      <w:pPr>
        <w:spacing w:after="0" w:line="240" w:lineRule="auto"/>
        <w:ind w:firstLine="284"/>
        <w:jc w:val="both"/>
        <w:rPr>
          <w:rFonts w:ascii="Garamond" w:hAnsi="Garamond" w:cs="Times New Roman"/>
          <w:bCs/>
          <w:sz w:val="24"/>
          <w:szCs w:val="24"/>
        </w:rPr>
      </w:pPr>
      <w:r w:rsidRPr="00F45372">
        <w:rPr>
          <w:rFonts w:ascii="Garamond" w:hAnsi="Garamond" w:cs="Times New Roman"/>
          <w:bCs/>
          <w:sz w:val="24"/>
          <w:szCs w:val="24"/>
        </w:rPr>
        <w:tab/>
        <w:t>Në ligjin nr. 49/2012</w:t>
      </w:r>
      <w:r w:rsidR="00F45372">
        <w:rPr>
          <w:rFonts w:ascii="Garamond" w:hAnsi="Garamond" w:cs="Times New Roman"/>
          <w:bCs/>
          <w:sz w:val="24"/>
          <w:szCs w:val="24"/>
        </w:rPr>
        <w:t>,</w:t>
      </w:r>
      <w:r w:rsidRPr="00F45372">
        <w:rPr>
          <w:rFonts w:ascii="Garamond" w:hAnsi="Garamond" w:cs="Times New Roman"/>
          <w:bCs/>
          <w:sz w:val="24"/>
          <w:szCs w:val="24"/>
        </w:rPr>
        <w:t xml:space="preserve"> “Për gjykatat administrative dhe gjykimin e mosmarrëveshjeve administrative”, të ndryshuar, bëhen këto shtesa dhe ndryshime: </w:t>
      </w:r>
    </w:p>
    <w:p w14:paraId="7C6F550F" w14:textId="77777777" w:rsidR="00E80DE0" w:rsidRPr="00F45372" w:rsidRDefault="00E80DE0" w:rsidP="00E80DE0">
      <w:pPr>
        <w:spacing w:after="0" w:line="240" w:lineRule="auto"/>
        <w:ind w:firstLine="284"/>
        <w:jc w:val="both"/>
        <w:rPr>
          <w:rFonts w:ascii="Garamond" w:hAnsi="Garamond" w:cs="Times New Roman"/>
          <w:bCs/>
          <w:sz w:val="24"/>
          <w:szCs w:val="24"/>
        </w:rPr>
      </w:pPr>
    </w:p>
    <w:p w14:paraId="561F1124" w14:textId="77777777" w:rsidR="00E80DE0" w:rsidRPr="00F45372" w:rsidRDefault="00E80DE0" w:rsidP="00E80DE0">
      <w:pPr>
        <w:spacing w:after="0" w:line="240" w:lineRule="auto"/>
        <w:ind w:firstLine="284"/>
        <w:jc w:val="center"/>
        <w:rPr>
          <w:rFonts w:ascii="Garamond" w:hAnsi="Garamond" w:cs="Times New Roman"/>
          <w:bCs/>
          <w:sz w:val="24"/>
          <w:szCs w:val="24"/>
        </w:rPr>
      </w:pPr>
      <w:r w:rsidRPr="00F45372">
        <w:rPr>
          <w:rFonts w:ascii="Garamond" w:hAnsi="Garamond" w:cs="Times New Roman"/>
          <w:bCs/>
          <w:sz w:val="24"/>
          <w:szCs w:val="24"/>
        </w:rPr>
        <w:t>Neni 1</w:t>
      </w:r>
    </w:p>
    <w:p w14:paraId="00E1731D" w14:textId="77777777" w:rsidR="00E80DE0" w:rsidRPr="00F45372" w:rsidRDefault="00E80DE0" w:rsidP="00E80DE0">
      <w:pPr>
        <w:spacing w:after="0" w:line="240" w:lineRule="auto"/>
        <w:ind w:firstLine="284"/>
        <w:jc w:val="both"/>
        <w:rPr>
          <w:rFonts w:ascii="Garamond" w:hAnsi="Garamond" w:cs="Times New Roman"/>
          <w:bCs/>
          <w:sz w:val="24"/>
          <w:szCs w:val="24"/>
        </w:rPr>
      </w:pPr>
      <w:r w:rsidRPr="00F45372">
        <w:rPr>
          <w:rFonts w:ascii="Garamond" w:hAnsi="Garamond" w:cs="Times New Roman"/>
          <w:bCs/>
          <w:sz w:val="24"/>
          <w:szCs w:val="24"/>
        </w:rPr>
        <w:tab/>
      </w:r>
    </w:p>
    <w:p w14:paraId="6409DBA0" w14:textId="77777777" w:rsidR="00E80DE0" w:rsidRPr="00F45372" w:rsidRDefault="00E80DE0" w:rsidP="00E80DE0">
      <w:pPr>
        <w:spacing w:after="0" w:line="240" w:lineRule="auto"/>
        <w:ind w:firstLine="284"/>
        <w:jc w:val="both"/>
        <w:rPr>
          <w:rFonts w:ascii="Garamond" w:hAnsi="Garamond" w:cs="Times New Roman"/>
          <w:bCs/>
          <w:sz w:val="24"/>
          <w:szCs w:val="24"/>
        </w:rPr>
      </w:pPr>
      <w:r w:rsidRPr="00F45372">
        <w:rPr>
          <w:rFonts w:ascii="Garamond" w:hAnsi="Garamond" w:cs="Times New Roman"/>
          <w:bCs/>
          <w:sz w:val="24"/>
          <w:szCs w:val="24"/>
        </w:rPr>
        <w:t>Në nenin 12 pika 3 ndryshohet si më poshtë:</w:t>
      </w:r>
    </w:p>
    <w:p w14:paraId="693B7CE3" w14:textId="77777777" w:rsidR="00E80DE0" w:rsidRPr="00F45372" w:rsidRDefault="00E80DE0" w:rsidP="00E80DE0">
      <w:pPr>
        <w:spacing w:after="0" w:line="240" w:lineRule="auto"/>
        <w:ind w:firstLine="284"/>
        <w:jc w:val="both"/>
        <w:rPr>
          <w:rFonts w:ascii="Garamond" w:hAnsi="Garamond" w:cs="Times New Roman"/>
          <w:bCs/>
          <w:sz w:val="24"/>
          <w:szCs w:val="24"/>
        </w:rPr>
      </w:pPr>
      <w:r w:rsidRPr="00F45372">
        <w:rPr>
          <w:rFonts w:ascii="Garamond" w:hAnsi="Garamond" w:cs="Times New Roman"/>
          <w:bCs/>
          <w:sz w:val="24"/>
          <w:szCs w:val="24"/>
        </w:rPr>
        <w:t>“3. Kolegji Administrativ i Gjykatës së Lartë gjykon me 3 gjyqtarë të gjitha çështjet, me përjashtim të rekurseve të paraqitura kundër vendimeve të Gjykatës Administrative të Apelit që kanë shqyrtuar padi ndaj aktit nënligjor normativ, si dhe gjykimeve në seancë gjyqësore për njësimin ose zhvillimin e praktikës gjyqësore, të cilat gjykohen me 5 gjyqtarë.”.</w:t>
      </w:r>
    </w:p>
    <w:p w14:paraId="2A330E1F" w14:textId="77777777" w:rsidR="00E80DE0" w:rsidRPr="00F45372" w:rsidRDefault="00E80DE0" w:rsidP="00E80DE0">
      <w:pPr>
        <w:spacing w:after="0" w:line="240" w:lineRule="auto"/>
        <w:ind w:firstLine="284"/>
        <w:jc w:val="both"/>
        <w:rPr>
          <w:rFonts w:ascii="Garamond" w:hAnsi="Garamond" w:cs="Times New Roman"/>
          <w:bCs/>
          <w:sz w:val="24"/>
          <w:szCs w:val="24"/>
        </w:rPr>
      </w:pPr>
    </w:p>
    <w:p w14:paraId="03B18632" w14:textId="77777777" w:rsidR="00E80DE0" w:rsidRPr="00F45372" w:rsidRDefault="00E80DE0" w:rsidP="00E80DE0">
      <w:pPr>
        <w:spacing w:after="0" w:line="240" w:lineRule="auto"/>
        <w:ind w:firstLine="284"/>
        <w:jc w:val="center"/>
        <w:rPr>
          <w:rFonts w:ascii="Garamond" w:hAnsi="Garamond" w:cs="Times New Roman"/>
          <w:bCs/>
          <w:sz w:val="24"/>
          <w:szCs w:val="24"/>
        </w:rPr>
      </w:pPr>
      <w:r w:rsidRPr="00F45372">
        <w:rPr>
          <w:rFonts w:ascii="Garamond" w:hAnsi="Garamond" w:cs="Times New Roman"/>
          <w:bCs/>
          <w:sz w:val="24"/>
          <w:szCs w:val="24"/>
        </w:rPr>
        <w:t>Neni 2</w:t>
      </w:r>
    </w:p>
    <w:p w14:paraId="4C75D1DA" w14:textId="77777777" w:rsidR="00E80DE0" w:rsidRPr="00F45372" w:rsidRDefault="00E80DE0" w:rsidP="00E80DE0">
      <w:pPr>
        <w:spacing w:after="0" w:line="240" w:lineRule="auto"/>
        <w:ind w:firstLine="284"/>
        <w:jc w:val="both"/>
        <w:rPr>
          <w:rFonts w:ascii="Garamond" w:hAnsi="Garamond" w:cs="Times New Roman"/>
          <w:bCs/>
          <w:sz w:val="24"/>
          <w:szCs w:val="24"/>
        </w:rPr>
      </w:pPr>
    </w:p>
    <w:p w14:paraId="5F00800B" w14:textId="77777777" w:rsidR="00E80DE0" w:rsidRPr="00F45372" w:rsidRDefault="00E80DE0" w:rsidP="00E80DE0">
      <w:pPr>
        <w:spacing w:after="0" w:line="240" w:lineRule="auto"/>
        <w:ind w:firstLine="284"/>
        <w:jc w:val="both"/>
        <w:rPr>
          <w:rFonts w:ascii="Garamond" w:hAnsi="Garamond" w:cs="Times New Roman"/>
          <w:bCs/>
          <w:sz w:val="24"/>
          <w:szCs w:val="24"/>
        </w:rPr>
      </w:pPr>
      <w:r w:rsidRPr="00F45372">
        <w:rPr>
          <w:rFonts w:ascii="Garamond" w:hAnsi="Garamond" w:cs="Times New Roman"/>
          <w:bCs/>
          <w:sz w:val="24"/>
          <w:szCs w:val="24"/>
        </w:rPr>
        <w:tab/>
        <w:t>Në nenin 43 pika 2 ndryshohet si më poshtë:</w:t>
      </w:r>
    </w:p>
    <w:p w14:paraId="313D1CC2" w14:textId="77777777" w:rsidR="00E80DE0" w:rsidRPr="00F45372" w:rsidRDefault="00E80DE0" w:rsidP="00E80DE0">
      <w:pPr>
        <w:spacing w:after="0" w:line="240" w:lineRule="auto"/>
        <w:ind w:firstLine="284"/>
        <w:jc w:val="both"/>
        <w:rPr>
          <w:rFonts w:ascii="Garamond" w:hAnsi="Garamond" w:cs="Times New Roman"/>
          <w:bCs/>
          <w:sz w:val="24"/>
          <w:szCs w:val="24"/>
        </w:rPr>
      </w:pPr>
      <w:r w:rsidRPr="00F45372">
        <w:rPr>
          <w:rFonts w:ascii="Garamond" w:hAnsi="Garamond" w:cs="Times New Roman"/>
          <w:bCs/>
          <w:sz w:val="24"/>
          <w:szCs w:val="24"/>
        </w:rPr>
        <w:t>“2. Vendimi për shfuqizimin e aktit nënligjor normativ, pas përfundimit të gjykimit në Gjykatën e Lartë, publikohet i plotë në të njëjtën mënyrë me atë të parashikuar nga legjislacioni në fuqi për botimin e aktit.”.</w:t>
      </w:r>
    </w:p>
    <w:p w14:paraId="1085147F" w14:textId="77777777" w:rsidR="00E80DE0" w:rsidRPr="00F45372" w:rsidRDefault="00E80DE0" w:rsidP="00E80DE0">
      <w:pPr>
        <w:spacing w:after="0" w:line="240" w:lineRule="auto"/>
        <w:ind w:firstLine="284"/>
        <w:jc w:val="center"/>
        <w:rPr>
          <w:rFonts w:ascii="Garamond" w:hAnsi="Garamond" w:cs="Times New Roman"/>
          <w:bCs/>
          <w:sz w:val="24"/>
          <w:szCs w:val="24"/>
        </w:rPr>
      </w:pPr>
    </w:p>
    <w:p w14:paraId="5C7013B1" w14:textId="77777777" w:rsidR="00E80DE0" w:rsidRPr="00F45372" w:rsidRDefault="00E80DE0" w:rsidP="00E80DE0">
      <w:pPr>
        <w:spacing w:after="0" w:line="240" w:lineRule="auto"/>
        <w:ind w:firstLine="284"/>
        <w:jc w:val="center"/>
        <w:rPr>
          <w:rFonts w:ascii="Garamond" w:hAnsi="Garamond" w:cs="Times New Roman"/>
          <w:bCs/>
          <w:sz w:val="24"/>
          <w:szCs w:val="24"/>
        </w:rPr>
      </w:pPr>
      <w:r w:rsidRPr="00F45372">
        <w:rPr>
          <w:rFonts w:ascii="Garamond" w:hAnsi="Garamond" w:cs="Times New Roman"/>
          <w:bCs/>
          <w:sz w:val="24"/>
          <w:szCs w:val="24"/>
        </w:rPr>
        <w:t>Neni 3</w:t>
      </w:r>
    </w:p>
    <w:p w14:paraId="52B0590C" w14:textId="77777777" w:rsidR="00E80DE0" w:rsidRPr="00F45372" w:rsidRDefault="00E80DE0" w:rsidP="00E80DE0">
      <w:pPr>
        <w:spacing w:after="0" w:line="240" w:lineRule="auto"/>
        <w:ind w:firstLine="284"/>
        <w:jc w:val="both"/>
        <w:rPr>
          <w:rFonts w:ascii="Garamond" w:hAnsi="Garamond" w:cs="Times New Roman"/>
          <w:bCs/>
          <w:sz w:val="24"/>
          <w:szCs w:val="24"/>
        </w:rPr>
      </w:pPr>
    </w:p>
    <w:p w14:paraId="525502D7" w14:textId="77777777" w:rsidR="00E80DE0" w:rsidRPr="00F45372" w:rsidRDefault="00E80DE0" w:rsidP="00E80DE0">
      <w:pPr>
        <w:spacing w:after="0" w:line="240" w:lineRule="auto"/>
        <w:ind w:firstLine="284"/>
        <w:jc w:val="both"/>
        <w:rPr>
          <w:rFonts w:ascii="Garamond" w:hAnsi="Garamond" w:cs="Times New Roman"/>
          <w:bCs/>
          <w:sz w:val="24"/>
          <w:szCs w:val="24"/>
        </w:rPr>
      </w:pPr>
      <w:r w:rsidRPr="00F45372">
        <w:rPr>
          <w:rFonts w:ascii="Garamond" w:hAnsi="Garamond" w:cs="Times New Roman"/>
          <w:bCs/>
          <w:sz w:val="24"/>
          <w:szCs w:val="24"/>
        </w:rPr>
        <w:t>Në nenin 48 pas pikës 1 shtohet pika 1/1 me këtë përmbajtje:</w:t>
      </w:r>
    </w:p>
    <w:p w14:paraId="225AD803" w14:textId="77777777" w:rsidR="00E80DE0" w:rsidRPr="00F45372" w:rsidRDefault="00E80DE0" w:rsidP="00E80DE0">
      <w:pPr>
        <w:spacing w:after="0" w:line="240" w:lineRule="auto"/>
        <w:ind w:firstLine="284"/>
        <w:jc w:val="both"/>
        <w:rPr>
          <w:rFonts w:ascii="Garamond" w:hAnsi="Garamond" w:cs="Times New Roman"/>
          <w:bCs/>
          <w:sz w:val="24"/>
          <w:szCs w:val="24"/>
        </w:rPr>
      </w:pPr>
      <w:r w:rsidRPr="00F45372">
        <w:rPr>
          <w:rFonts w:ascii="Garamond" w:hAnsi="Garamond" w:cs="Times New Roman"/>
          <w:bCs/>
          <w:sz w:val="24"/>
          <w:szCs w:val="24"/>
        </w:rPr>
        <w:t xml:space="preserve">“1/1. Relatori i çështjes në Gjykatën Administrative të Apelit, kur çmon se të metat e ankimit nuk janë konstatuar nga gjyqtari i vetëm sipas nenit 46 të këtij ligji, me vendim njofton palën për të plotësuar të metat brenda 5 ditëve, duke e informuar për pasojat ligjore në rastin e mosplotësimit të të metave të ankimit brenda afatit të caktuar. Kur të metat e ankimit nuk plotësohen brenda afatit të caktuar, relatori, në dhomë këshillimi, vendos kthimin e ankimit. Kundër vendimit të relatorit të çështjes në Gjykatën Administrative të Apelit për kthimin e ankimit lejohet rekurs i veçantë.”. </w:t>
      </w:r>
    </w:p>
    <w:p w14:paraId="121D9FC4" w14:textId="77777777" w:rsidR="00E80DE0" w:rsidRPr="00F45372" w:rsidRDefault="00E80DE0" w:rsidP="00E80DE0">
      <w:pPr>
        <w:spacing w:after="0" w:line="240" w:lineRule="auto"/>
        <w:ind w:firstLine="284"/>
        <w:jc w:val="both"/>
        <w:rPr>
          <w:rFonts w:ascii="Garamond" w:hAnsi="Garamond" w:cs="Times New Roman"/>
          <w:bCs/>
          <w:sz w:val="24"/>
          <w:szCs w:val="24"/>
        </w:rPr>
      </w:pPr>
    </w:p>
    <w:p w14:paraId="1586F048" w14:textId="77777777" w:rsidR="00E80DE0" w:rsidRPr="00F45372" w:rsidRDefault="00E80DE0" w:rsidP="00E80DE0">
      <w:pPr>
        <w:spacing w:after="0" w:line="240" w:lineRule="auto"/>
        <w:ind w:firstLine="284"/>
        <w:jc w:val="center"/>
        <w:rPr>
          <w:rFonts w:ascii="Garamond" w:hAnsi="Garamond" w:cs="Times New Roman"/>
          <w:bCs/>
          <w:sz w:val="24"/>
          <w:szCs w:val="24"/>
        </w:rPr>
      </w:pPr>
      <w:r w:rsidRPr="00F45372">
        <w:rPr>
          <w:rFonts w:ascii="Garamond" w:hAnsi="Garamond" w:cs="Times New Roman"/>
          <w:bCs/>
          <w:sz w:val="24"/>
          <w:szCs w:val="24"/>
        </w:rPr>
        <w:t>Neni 4</w:t>
      </w:r>
    </w:p>
    <w:p w14:paraId="74BCB7F8" w14:textId="77777777" w:rsidR="00E80DE0" w:rsidRPr="00F45372" w:rsidRDefault="00E80DE0" w:rsidP="00E80DE0">
      <w:pPr>
        <w:spacing w:after="0" w:line="240" w:lineRule="auto"/>
        <w:ind w:firstLine="284"/>
        <w:jc w:val="both"/>
        <w:rPr>
          <w:rFonts w:ascii="Garamond" w:hAnsi="Garamond" w:cs="Times New Roman"/>
          <w:bCs/>
          <w:sz w:val="24"/>
          <w:szCs w:val="24"/>
        </w:rPr>
      </w:pPr>
    </w:p>
    <w:p w14:paraId="06EA9FAE" w14:textId="77777777" w:rsidR="00E80DE0" w:rsidRPr="00F45372" w:rsidRDefault="00E80DE0" w:rsidP="00E80DE0">
      <w:pPr>
        <w:spacing w:after="0" w:line="240" w:lineRule="auto"/>
        <w:ind w:firstLine="284"/>
        <w:jc w:val="both"/>
        <w:rPr>
          <w:rFonts w:ascii="Garamond" w:hAnsi="Garamond" w:cs="Times New Roman"/>
          <w:bCs/>
          <w:sz w:val="24"/>
          <w:szCs w:val="24"/>
        </w:rPr>
      </w:pPr>
      <w:r w:rsidRPr="00F45372">
        <w:rPr>
          <w:rFonts w:ascii="Garamond" w:hAnsi="Garamond" w:cs="Times New Roman"/>
          <w:bCs/>
          <w:sz w:val="24"/>
          <w:szCs w:val="24"/>
        </w:rPr>
        <w:t>Pas nenit 56 shtohet neni 56/a me këtë përmbajtje:</w:t>
      </w:r>
    </w:p>
    <w:p w14:paraId="71FC8FFA" w14:textId="77777777" w:rsidR="00E80DE0" w:rsidRPr="00F45372" w:rsidRDefault="00E80DE0" w:rsidP="00E80DE0">
      <w:pPr>
        <w:spacing w:after="0" w:line="240" w:lineRule="auto"/>
        <w:ind w:firstLine="284"/>
        <w:jc w:val="both"/>
        <w:rPr>
          <w:rFonts w:ascii="Garamond" w:hAnsi="Garamond" w:cs="Times New Roman"/>
          <w:bCs/>
          <w:sz w:val="24"/>
          <w:szCs w:val="24"/>
        </w:rPr>
      </w:pPr>
      <w:r w:rsidRPr="00F45372">
        <w:rPr>
          <w:rFonts w:ascii="Garamond" w:hAnsi="Garamond" w:cs="Times New Roman"/>
          <w:bCs/>
          <w:sz w:val="24"/>
          <w:szCs w:val="24"/>
        </w:rPr>
        <w:t xml:space="preserve"> </w:t>
      </w:r>
    </w:p>
    <w:p w14:paraId="012C6BC0" w14:textId="77777777" w:rsidR="00E80DE0" w:rsidRPr="00F45372" w:rsidRDefault="00E80DE0" w:rsidP="00E80DE0">
      <w:pPr>
        <w:spacing w:after="0" w:line="240" w:lineRule="auto"/>
        <w:ind w:firstLine="284"/>
        <w:jc w:val="center"/>
        <w:rPr>
          <w:rFonts w:ascii="Garamond" w:hAnsi="Garamond" w:cs="Times New Roman"/>
          <w:bCs/>
          <w:sz w:val="24"/>
          <w:szCs w:val="24"/>
        </w:rPr>
      </w:pPr>
      <w:r w:rsidRPr="00F45372">
        <w:rPr>
          <w:rFonts w:ascii="Garamond" w:hAnsi="Garamond" w:cs="Times New Roman"/>
          <w:bCs/>
          <w:sz w:val="24"/>
          <w:szCs w:val="24"/>
        </w:rPr>
        <w:t>“Neni 56/a</w:t>
      </w:r>
    </w:p>
    <w:p w14:paraId="202E5707" w14:textId="77777777" w:rsidR="00E80DE0" w:rsidRPr="00F45372" w:rsidRDefault="00E80DE0" w:rsidP="00E80DE0">
      <w:pPr>
        <w:spacing w:after="0" w:line="240" w:lineRule="auto"/>
        <w:ind w:firstLine="284"/>
        <w:jc w:val="center"/>
        <w:rPr>
          <w:rFonts w:ascii="Garamond" w:hAnsi="Garamond" w:cs="Times New Roman"/>
          <w:b/>
          <w:bCs/>
          <w:sz w:val="24"/>
          <w:szCs w:val="24"/>
        </w:rPr>
      </w:pPr>
      <w:r w:rsidRPr="00F45372">
        <w:rPr>
          <w:rFonts w:ascii="Garamond" w:hAnsi="Garamond" w:cs="Times New Roman"/>
          <w:b/>
          <w:bCs/>
          <w:sz w:val="24"/>
          <w:szCs w:val="24"/>
        </w:rPr>
        <w:t>Përmbajtja e rekursit</w:t>
      </w:r>
    </w:p>
    <w:p w14:paraId="2CCD7CD0" w14:textId="77777777" w:rsidR="00E80DE0" w:rsidRPr="00F45372" w:rsidRDefault="00E80DE0" w:rsidP="00E80DE0">
      <w:pPr>
        <w:spacing w:after="0" w:line="240" w:lineRule="auto"/>
        <w:ind w:firstLine="284"/>
        <w:jc w:val="both"/>
        <w:rPr>
          <w:rFonts w:ascii="Garamond" w:hAnsi="Garamond" w:cs="Times New Roman"/>
          <w:bCs/>
          <w:sz w:val="24"/>
          <w:szCs w:val="24"/>
        </w:rPr>
      </w:pPr>
      <w:r w:rsidRPr="00F45372">
        <w:rPr>
          <w:rFonts w:ascii="Garamond" w:hAnsi="Garamond" w:cs="Times New Roman"/>
          <w:bCs/>
          <w:sz w:val="24"/>
          <w:szCs w:val="24"/>
        </w:rPr>
        <w:t xml:space="preserve"> </w:t>
      </w:r>
    </w:p>
    <w:p w14:paraId="623A11A9" w14:textId="77777777" w:rsidR="00E80DE0" w:rsidRPr="00F45372" w:rsidRDefault="00E80DE0" w:rsidP="00E80DE0">
      <w:pPr>
        <w:spacing w:after="0" w:line="240" w:lineRule="auto"/>
        <w:ind w:firstLine="284"/>
        <w:jc w:val="both"/>
        <w:rPr>
          <w:rFonts w:ascii="Garamond" w:hAnsi="Garamond" w:cs="Times New Roman"/>
          <w:bCs/>
          <w:sz w:val="24"/>
          <w:szCs w:val="24"/>
        </w:rPr>
      </w:pPr>
      <w:r w:rsidRPr="00F45372">
        <w:rPr>
          <w:rFonts w:ascii="Garamond" w:hAnsi="Garamond" w:cs="Times New Roman"/>
          <w:bCs/>
          <w:sz w:val="24"/>
          <w:szCs w:val="24"/>
        </w:rPr>
        <w:t>1. Rekursi duhet të përmbajë:</w:t>
      </w:r>
    </w:p>
    <w:p w14:paraId="68C47DA3" w14:textId="77777777" w:rsidR="00E80DE0" w:rsidRPr="00F45372" w:rsidRDefault="00E80DE0" w:rsidP="00E80DE0">
      <w:pPr>
        <w:spacing w:after="0" w:line="240" w:lineRule="auto"/>
        <w:ind w:firstLine="284"/>
        <w:jc w:val="both"/>
        <w:rPr>
          <w:rFonts w:ascii="Garamond" w:hAnsi="Garamond" w:cs="Times New Roman"/>
          <w:bCs/>
          <w:sz w:val="24"/>
          <w:szCs w:val="24"/>
        </w:rPr>
      </w:pPr>
      <w:r w:rsidRPr="00F45372">
        <w:rPr>
          <w:rFonts w:ascii="Garamond" w:hAnsi="Garamond" w:cs="Times New Roman"/>
          <w:bCs/>
          <w:sz w:val="24"/>
          <w:szCs w:val="24"/>
        </w:rPr>
        <w:lastRenderedPageBreak/>
        <w:t>a) palët ndërgjyqëse;</w:t>
      </w:r>
    </w:p>
    <w:p w14:paraId="5514B453" w14:textId="77777777" w:rsidR="00E80DE0" w:rsidRPr="00F45372" w:rsidRDefault="00E80DE0" w:rsidP="00E80DE0">
      <w:pPr>
        <w:spacing w:after="0" w:line="240" w:lineRule="auto"/>
        <w:ind w:firstLine="284"/>
        <w:jc w:val="both"/>
        <w:rPr>
          <w:rFonts w:ascii="Garamond" w:hAnsi="Garamond" w:cs="Times New Roman"/>
          <w:bCs/>
          <w:sz w:val="24"/>
          <w:szCs w:val="24"/>
        </w:rPr>
      </w:pPr>
      <w:r w:rsidRPr="00F45372">
        <w:rPr>
          <w:rFonts w:ascii="Garamond" w:hAnsi="Garamond" w:cs="Times New Roman"/>
          <w:bCs/>
          <w:sz w:val="24"/>
          <w:szCs w:val="24"/>
        </w:rPr>
        <w:t>b) vendimin që kundërshtohet;</w:t>
      </w:r>
    </w:p>
    <w:p w14:paraId="1656B364" w14:textId="77777777" w:rsidR="00E80DE0" w:rsidRPr="00F45372" w:rsidRDefault="00E80DE0" w:rsidP="00E80DE0">
      <w:pPr>
        <w:spacing w:after="0" w:line="240" w:lineRule="auto"/>
        <w:ind w:firstLine="284"/>
        <w:jc w:val="both"/>
        <w:rPr>
          <w:rFonts w:ascii="Garamond" w:hAnsi="Garamond" w:cs="Times New Roman"/>
          <w:bCs/>
          <w:sz w:val="24"/>
          <w:szCs w:val="24"/>
        </w:rPr>
      </w:pPr>
      <w:r w:rsidRPr="00F45372">
        <w:rPr>
          <w:rFonts w:ascii="Garamond" w:hAnsi="Garamond" w:cs="Times New Roman"/>
          <w:bCs/>
          <w:sz w:val="24"/>
          <w:szCs w:val="24"/>
        </w:rPr>
        <w:t>c) paraqitjen e përmbledhur të fakteve të çështjes;</w:t>
      </w:r>
    </w:p>
    <w:p w14:paraId="172CB1A3" w14:textId="77777777" w:rsidR="00E80DE0" w:rsidRPr="00F45372" w:rsidRDefault="00E80DE0" w:rsidP="00E80DE0">
      <w:pPr>
        <w:spacing w:after="0" w:line="240" w:lineRule="auto"/>
        <w:ind w:firstLine="284"/>
        <w:jc w:val="both"/>
        <w:rPr>
          <w:rFonts w:ascii="Garamond" w:hAnsi="Garamond" w:cs="Times New Roman"/>
          <w:bCs/>
          <w:sz w:val="24"/>
          <w:szCs w:val="24"/>
        </w:rPr>
      </w:pPr>
      <w:r w:rsidRPr="00F45372">
        <w:rPr>
          <w:rFonts w:ascii="Garamond" w:hAnsi="Garamond" w:cs="Times New Roman"/>
          <w:bCs/>
          <w:sz w:val="24"/>
          <w:szCs w:val="24"/>
        </w:rPr>
        <w:t>ç) shkaqet për të cilat kërkohet prishja e vendimit, si dhe argumentet që mbështesin pretendimin se ekzistojnë shkaqe për rekurs sipas parashikimeve të nenit 58 të këtij ligji;</w:t>
      </w:r>
    </w:p>
    <w:p w14:paraId="28A7776F" w14:textId="77777777" w:rsidR="00E80DE0" w:rsidRPr="00F45372" w:rsidRDefault="00E80DE0" w:rsidP="00E80DE0">
      <w:pPr>
        <w:spacing w:after="0" w:line="240" w:lineRule="auto"/>
        <w:ind w:firstLine="284"/>
        <w:jc w:val="both"/>
        <w:rPr>
          <w:rFonts w:ascii="Garamond" w:hAnsi="Garamond" w:cs="Times New Roman"/>
          <w:bCs/>
          <w:sz w:val="24"/>
          <w:szCs w:val="24"/>
        </w:rPr>
      </w:pPr>
      <w:r w:rsidRPr="00F45372">
        <w:rPr>
          <w:rFonts w:ascii="Garamond" w:hAnsi="Garamond" w:cs="Times New Roman"/>
          <w:bCs/>
          <w:sz w:val="24"/>
          <w:szCs w:val="24"/>
        </w:rPr>
        <w:t>d) prokurën e avokatit që përfaqëson palën.</w:t>
      </w:r>
    </w:p>
    <w:p w14:paraId="3B9DA029" w14:textId="77777777" w:rsidR="00E80DE0" w:rsidRPr="00F45372" w:rsidRDefault="00E80DE0" w:rsidP="00E80DE0">
      <w:pPr>
        <w:spacing w:after="0" w:line="240" w:lineRule="auto"/>
        <w:ind w:firstLine="284"/>
        <w:jc w:val="both"/>
        <w:rPr>
          <w:rFonts w:ascii="Garamond" w:hAnsi="Garamond" w:cs="Times New Roman"/>
          <w:bCs/>
          <w:sz w:val="24"/>
          <w:szCs w:val="24"/>
        </w:rPr>
      </w:pPr>
      <w:r w:rsidRPr="00F45372">
        <w:rPr>
          <w:rFonts w:ascii="Garamond" w:hAnsi="Garamond" w:cs="Times New Roman"/>
          <w:bCs/>
          <w:sz w:val="24"/>
          <w:szCs w:val="24"/>
        </w:rPr>
        <w:t>2. Rekursi mund të paraqitet në përputhje me formatin e miratuar me vendim të Këshillit të Gjykatës së Lartë.”</w:t>
      </w:r>
    </w:p>
    <w:p w14:paraId="29161FA2" w14:textId="77777777" w:rsidR="00E80DE0" w:rsidRPr="00F45372" w:rsidRDefault="00E80DE0" w:rsidP="00E80DE0">
      <w:pPr>
        <w:spacing w:after="0" w:line="240" w:lineRule="auto"/>
        <w:ind w:firstLine="284"/>
        <w:jc w:val="both"/>
        <w:rPr>
          <w:rFonts w:ascii="Garamond" w:hAnsi="Garamond" w:cs="Times New Roman"/>
          <w:bCs/>
          <w:sz w:val="24"/>
          <w:szCs w:val="24"/>
        </w:rPr>
      </w:pPr>
    </w:p>
    <w:p w14:paraId="50C8626B" w14:textId="77777777" w:rsidR="00E80DE0" w:rsidRPr="00F45372" w:rsidRDefault="00E80DE0" w:rsidP="00E80DE0">
      <w:pPr>
        <w:spacing w:after="0" w:line="240" w:lineRule="auto"/>
        <w:ind w:firstLine="284"/>
        <w:jc w:val="center"/>
        <w:rPr>
          <w:rFonts w:ascii="Garamond" w:hAnsi="Garamond" w:cs="Times New Roman"/>
          <w:bCs/>
          <w:sz w:val="24"/>
          <w:szCs w:val="24"/>
        </w:rPr>
      </w:pPr>
      <w:r w:rsidRPr="00F45372">
        <w:rPr>
          <w:rFonts w:ascii="Garamond" w:hAnsi="Garamond" w:cs="Times New Roman"/>
          <w:bCs/>
          <w:sz w:val="24"/>
          <w:szCs w:val="24"/>
        </w:rPr>
        <w:t>Neni 5</w:t>
      </w:r>
    </w:p>
    <w:p w14:paraId="3274712C" w14:textId="77777777" w:rsidR="00E80DE0" w:rsidRPr="00F45372" w:rsidRDefault="00E80DE0" w:rsidP="00E80DE0">
      <w:pPr>
        <w:spacing w:after="0" w:line="240" w:lineRule="auto"/>
        <w:ind w:firstLine="284"/>
        <w:jc w:val="both"/>
        <w:rPr>
          <w:rFonts w:ascii="Garamond" w:hAnsi="Garamond" w:cs="Times New Roman"/>
          <w:bCs/>
          <w:sz w:val="24"/>
          <w:szCs w:val="24"/>
        </w:rPr>
      </w:pPr>
    </w:p>
    <w:p w14:paraId="382677B5" w14:textId="77777777" w:rsidR="00E80DE0" w:rsidRPr="00F45372" w:rsidRDefault="00E80DE0" w:rsidP="00E80DE0">
      <w:pPr>
        <w:spacing w:after="0" w:line="240" w:lineRule="auto"/>
        <w:ind w:firstLine="284"/>
        <w:jc w:val="both"/>
        <w:rPr>
          <w:rFonts w:ascii="Garamond" w:hAnsi="Garamond" w:cs="Times New Roman"/>
          <w:bCs/>
          <w:sz w:val="24"/>
          <w:szCs w:val="24"/>
        </w:rPr>
      </w:pPr>
      <w:r w:rsidRPr="00F45372">
        <w:rPr>
          <w:rFonts w:ascii="Garamond" w:hAnsi="Garamond" w:cs="Times New Roman"/>
          <w:bCs/>
          <w:sz w:val="24"/>
          <w:szCs w:val="24"/>
        </w:rPr>
        <w:t>Në nenin 57 bëhen ndryshimet e mëposhtme:</w:t>
      </w:r>
    </w:p>
    <w:p w14:paraId="36CB229C" w14:textId="77777777" w:rsidR="00E80DE0" w:rsidRPr="00F45372" w:rsidRDefault="00E80DE0" w:rsidP="00E80DE0">
      <w:pPr>
        <w:spacing w:after="0" w:line="240" w:lineRule="auto"/>
        <w:ind w:firstLine="284"/>
        <w:jc w:val="both"/>
        <w:rPr>
          <w:rFonts w:ascii="Garamond" w:hAnsi="Garamond" w:cs="Times New Roman"/>
          <w:bCs/>
          <w:sz w:val="24"/>
          <w:szCs w:val="24"/>
        </w:rPr>
      </w:pPr>
      <w:r w:rsidRPr="00F45372">
        <w:rPr>
          <w:rFonts w:ascii="Garamond" w:hAnsi="Garamond" w:cs="Times New Roman"/>
          <w:bCs/>
          <w:sz w:val="24"/>
          <w:szCs w:val="24"/>
        </w:rPr>
        <w:t>1. Në pikën 1 shkronja “b” shfuqizohet.</w:t>
      </w:r>
    </w:p>
    <w:p w14:paraId="29FB9BEE" w14:textId="77777777" w:rsidR="00E80DE0" w:rsidRPr="00F45372" w:rsidRDefault="00E80DE0" w:rsidP="00E80DE0">
      <w:pPr>
        <w:spacing w:after="0" w:line="240" w:lineRule="auto"/>
        <w:ind w:firstLine="284"/>
        <w:jc w:val="both"/>
        <w:rPr>
          <w:rFonts w:ascii="Garamond" w:hAnsi="Garamond" w:cs="Times New Roman"/>
          <w:bCs/>
          <w:sz w:val="24"/>
          <w:szCs w:val="24"/>
        </w:rPr>
      </w:pPr>
      <w:r w:rsidRPr="00F45372">
        <w:rPr>
          <w:rFonts w:ascii="Garamond" w:hAnsi="Garamond" w:cs="Times New Roman"/>
          <w:bCs/>
          <w:sz w:val="24"/>
          <w:szCs w:val="24"/>
        </w:rPr>
        <w:t>2. Pika 2 ndryshohet si më poshtë:</w:t>
      </w:r>
    </w:p>
    <w:p w14:paraId="3499CA76" w14:textId="3A8B4ACF" w:rsidR="00E80DE0" w:rsidRPr="00F45372" w:rsidRDefault="00E80DE0" w:rsidP="00E80DE0">
      <w:pPr>
        <w:spacing w:after="0" w:line="240" w:lineRule="auto"/>
        <w:ind w:firstLine="284"/>
        <w:jc w:val="both"/>
        <w:rPr>
          <w:rFonts w:ascii="Garamond" w:hAnsi="Garamond" w:cs="Times New Roman"/>
          <w:bCs/>
          <w:sz w:val="24"/>
          <w:szCs w:val="24"/>
        </w:rPr>
      </w:pPr>
      <w:r w:rsidRPr="00F45372">
        <w:rPr>
          <w:rFonts w:ascii="Garamond" w:hAnsi="Garamond" w:cs="Times New Roman"/>
          <w:bCs/>
          <w:sz w:val="24"/>
          <w:szCs w:val="24"/>
        </w:rPr>
        <w:t>“2. Në rast se rekursi nuk plotëson kushtet e parashikuara në pikën 1 të këtij neni, si dhe kur ai nuk është nënshkruar ose nuk është paraqitur në përputhje me nenin 56/a të këtij ligji, gjyqtari i vetëm ose relatori që ka dhënë vendimin njofton palën që të ndreqë të metat brenda 5 ditëve. Shqyrtimi i rekursit sipas këtij neni bëhet në dhomë këshillimi.”.</w:t>
      </w:r>
      <w:r w:rsidR="00F45372">
        <w:rPr>
          <w:rFonts w:ascii="Garamond" w:hAnsi="Garamond" w:cs="Times New Roman"/>
          <w:bCs/>
          <w:sz w:val="24"/>
          <w:szCs w:val="24"/>
        </w:rPr>
        <w:t xml:space="preserve"> </w:t>
      </w:r>
    </w:p>
    <w:p w14:paraId="0AF8D1E9" w14:textId="77777777" w:rsidR="00E80DE0" w:rsidRPr="00F45372" w:rsidRDefault="00E80DE0" w:rsidP="00E80DE0">
      <w:pPr>
        <w:spacing w:after="0" w:line="240" w:lineRule="auto"/>
        <w:ind w:firstLine="284"/>
        <w:jc w:val="both"/>
        <w:rPr>
          <w:rFonts w:ascii="Garamond" w:hAnsi="Garamond" w:cs="Times New Roman"/>
          <w:bCs/>
          <w:sz w:val="24"/>
          <w:szCs w:val="24"/>
        </w:rPr>
      </w:pPr>
      <w:r w:rsidRPr="00F45372">
        <w:rPr>
          <w:rFonts w:ascii="Garamond" w:hAnsi="Garamond" w:cs="Times New Roman"/>
          <w:bCs/>
          <w:sz w:val="24"/>
          <w:szCs w:val="24"/>
        </w:rPr>
        <w:t xml:space="preserve">3. Në pikën 3 fjalia e dytë ndryshohet si më poshtë: </w:t>
      </w:r>
    </w:p>
    <w:p w14:paraId="06997E3D" w14:textId="77777777" w:rsidR="00E80DE0" w:rsidRPr="00F45372" w:rsidRDefault="00E80DE0" w:rsidP="00E80DE0">
      <w:pPr>
        <w:spacing w:after="0" w:line="240" w:lineRule="auto"/>
        <w:ind w:firstLine="284"/>
        <w:jc w:val="both"/>
        <w:rPr>
          <w:rFonts w:ascii="Garamond" w:hAnsi="Garamond" w:cs="Times New Roman"/>
          <w:bCs/>
          <w:sz w:val="24"/>
          <w:szCs w:val="24"/>
        </w:rPr>
      </w:pPr>
      <w:r w:rsidRPr="00F45372">
        <w:rPr>
          <w:rFonts w:ascii="Garamond" w:hAnsi="Garamond" w:cs="Times New Roman"/>
          <w:bCs/>
          <w:sz w:val="24"/>
          <w:szCs w:val="24"/>
        </w:rPr>
        <w:t xml:space="preserve">“Kundër vendimit të gjyqtarit për kthimin e rekursit mund të bëhet rekurs i veçantë.”. </w:t>
      </w:r>
    </w:p>
    <w:p w14:paraId="498C8C2D" w14:textId="77777777" w:rsidR="00E80DE0" w:rsidRPr="00F45372" w:rsidRDefault="00E80DE0" w:rsidP="00E80DE0">
      <w:pPr>
        <w:spacing w:after="0" w:line="240" w:lineRule="auto"/>
        <w:ind w:firstLine="284"/>
        <w:jc w:val="both"/>
        <w:rPr>
          <w:rFonts w:ascii="Garamond" w:hAnsi="Garamond" w:cs="Times New Roman"/>
          <w:bCs/>
          <w:sz w:val="24"/>
          <w:szCs w:val="24"/>
        </w:rPr>
      </w:pPr>
      <w:r w:rsidRPr="00F45372">
        <w:rPr>
          <w:rFonts w:ascii="Garamond" w:hAnsi="Garamond" w:cs="Times New Roman"/>
          <w:bCs/>
          <w:sz w:val="24"/>
          <w:szCs w:val="24"/>
        </w:rPr>
        <w:t xml:space="preserve"> </w:t>
      </w:r>
    </w:p>
    <w:p w14:paraId="2FEA8605" w14:textId="77777777" w:rsidR="00E80DE0" w:rsidRPr="00F45372" w:rsidRDefault="00E80DE0" w:rsidP="00E80DE0">
      <w:pPr>
        <w:spacing w:after="0" w:line="240" w:lineRule="auto"/>
        <w:ind w:firstLine="284"/>
        <w:jc w:val="center"/>
        <w:rPr>
          <w:rFonts w:ascii="Garamond" w:hAnsi="Garamond" w:cs="Times New Roman"/>
          <w:bCs/>
          <w:sz w:val="24"/>
          <w:szCs w:val="24"/>
        </w:rPr>
      </w:pPr>
      <w:r w:rsidRPr="00F45372">
        <w:rPr>
          <w:rFonts w:ascii="Garamond" w:hAnsi="Garamond" w:cs="Times New Roman"/>
          <w:bCs/>
          <w:sz w:val="24"/>
          <w:szCs w:val="24"/>
        </w:rPr>
        <w:t>Neni 6</w:t>
      </w:r>
    </w:p>
    <w:p w14:paraId="53244854" w14:textId="77777777" w:rsidR="00E80DE0" w:rsidRPr="00F45372" w:rsidRDefault="00E80DE0" w:rsidP="00E80DE0">
      <w:pPr>
        <w:spacing w:after="0" w:line="240" w:lineRule="auto"/>
        <w:ind w:firstLine="284"/>
        <w:jc w:val="both"/>
        <w:rPr>
          <w:rFonts w:ascii="Garamond" w:hAnsi="Garamond" w:cs="Times New Roman"/>
          <w:bCs/>
          <w:sz w:val="24"/>
          <w:szCs w:val="24"/>
        </w:rPr>
      </w:pPr>
    </w:p>
    <w:p w14:paraId="31F7A88A" w14:textId="77777777" w:rsidR="00E80DE0" w:rsidRPr="00F45372" w:rsidRDefault="00E80DE0" w:rsidP="00E80DE0">
      <w:pPr>
        <w:spacing w:after="0" w:line="240" w:lineRule="auto"/>
        <w:ind w:firstLine="284"/>
        <w:jc w:val="both"/>
        <w:rPr>
          <w:rFonts w:ascii="Garamond" w:hAnsi="Garamond" w:cs="Times New Roman"/>
          <w:bCs/>
          <w:sz w:val="24"/>
          <w:szCs w:val="24"/>
        </w:rPr>
      </w:pPr>
      <w:r w:rsidRPr="00F45372">
        <w:rPr>
          <w:rFonts w:ascii="Garamond" w:hAnsi="Garamond" w:cs="Times New Roman"/>
          <w:bCs/>
          <w:sz w:val="24"/>
          <w:szCs w:val="24"/>
        </w:rPr>
        <w:t>Në nenin 60 bëhen këto shtesa dhe ndryshime:</w:t>
      </w:r>
    </w:p>
    <w:p w14:paraId="050990CD" w14:textId="77777777" w:rsidR="00E80DE0" w:rsidRPr="00F45372" w:rsidRDefault="00E80DE0" w:rsidP="00E80DE0">
      <w:pPr>
        <w:spacing w:after="0" w:line="240" w:lineRule="auto"/>
        <w:ind w:firstLine="284"/>
        <w:jc w:val="both"/>
        <w:rPr>
          <w:rFonts w:ascii="Garamond" w:hAnsi="Garamond" w:cs="Times New Roman"/>
          <w:bCs/>
          <w:sz w:val="24"/>
          <w:szCs w:val="24"/>
        </w:rPr>
      </w:pPr>
      <w:r w:rsidRPr="00F45372">
        <w:rPr>
          <w:rFonts w:ascii="Garamond" w:hAnsi="Garamond" w:cs="Times New Roman"/>
          <w:bCs/>
          <w:sz w:val="24"/>
          <w:szCs w:val="24"/>
        </w:rPr>
        <w:t>1. Pika 1 ndryshohet si më poshtë:</w:t>
      </w:r>
    </w:p>
    <w:p w14:paraId="5B04B3B4" w14:textId="77777777" w:rsidR="00E80DE0" w:rsidRPr="00F45372" w:rsidRDefault="00E80DE0" w:rsidP="00E80DE0">
      <w:pPr>
        <w:spacing w:after="0" w:line="240" w:lineRule="auto"/>
        <w:ind w:firstLine="284"/>
        <w:jc w:val="both"/>
        <w:rPr>
          <w:rFonts w:ascii="Garamond" w:hAnsi="Garamond" w:cs="Times New Roman"/>
          <w:bCs/>
          <w:sz w:val="24"/>
          <w:szCs w:val="24"/>
        </w:rPr>
      </w:pPr>
      <w:r w:rsidRPr="00F45372">
        <w:rPr>
          <w:rFonts w:ascii="Garamond" w:hAnsi="Garamond" w:cs="Times New Roman"/>
          <w:bCs/>
          <w:sz w:val="24"/>
          <w:szCs w:val="24"/>
        </w:rPr>
        <w:t>“1. Gjykata administrative, që ka dhënë vendimin e kundërshtuar, dërgon rekursin së bashku me aktet që i bashkëlidhen atij, vendimin e gjyqtarit ose relatorit për pranimin e rekursit, aktet e komunikimit të rekursit, kundërrekursin, si dhe dosjen e gjykimit në Gjykatën e Lartë brenda 10 ditëve nga data e përfundimit të komunikimeve.”.</w:t>
      </w:r>
    </w:p>
    <w:p w14:paraId="5E6EF92C" w14:textId="77777777" w:rsidR="00E80DE0" w:rsidRPr="00F45372" w:rsidRDefault="00E80DE0" w:rsidP="00E80DE0">
      <w:pPr>
        <w:spacing w:after="0" w:line="240" w:lineRule="auto"/>
        <w:ind w:firstLine="284"/>
        <w:jc w:val="both"/>
        <w:rPr>
          <w:rFonts w:ascii="Garamond" w:hAnsi="Garamond" w:cs="Times New Roman"/>
          <w:bCs/>
          <w:sz w:val="24"/>
          <w:szCs w:val="24"/>
        </w:rPr>
      </w:pPr>
      <w:r w:rsidRPr="00F45372">
        <w:rPr>
          <w:rFonts w:ascii="Garamond" w:hAnsi="Garamond" w:cs="Times New Roman"/>
          <w:bCs/>
          <w:sz w:val="24"/>
          <w:szCs w:val="24"/>
        </w:rPr>
        <w:t>2. Pas pikës 1 shtohet pika 1/1 me këtë përmbajtje:</w:t>
      </w:r>
    </w:p>
    <w:p w14:paraId="625A05B1" w14:textId="77777777" w:rsidR="00E80DE0" w:rsidRPr="00F45372" w:rsidRDefault="00E80DE0" w:rsidP="00E80DE0">
      <w:pPr>
        <w:spacing w:after="0" w:line="240" w:lineRule="auto"/>
        <w:ind w:firstLine="284"/>
        <w:jc w:val="both"/>
        <w:rPr>
          <w:rFonts w:ascii="Garamond" w:hAnsi="Garamond" w:cs="Times New Roman"/>
          <w:bCs/>
          <w:sz w:val="24"/>
          <w:szCs w:val="24"/>
        </w:rPr>
      </w:pPr>
      <w:r w:rsidRPr="00F45372">
        <w:rPr>
          <w:rFonts w:ascii="Garamond" w:hAnsi="Garamond" w:cs="Times New Roman"/>
          <w:bCs/>
          <w:sz w:val="24"/>
          <w:szCs w:val="24"/>
        </w:rPr>
        <w:t>“1/1. Kur të metat e rekursit nuk janë konstatuar nga gjykata më e ulët, relatori i çështjes në Gjykatën e Lartë me vendim njofton palën për të plotësuar të metat brenda 5 ditëve. Kur të metat e rekursit nuk plotësohen brenda afatit të caktuar, relatori, në dhomë këshillimi, vendos kthimin e rekursit. Kundër vendimit të relatorit të çështjes në Gjykatën e Lartë për kthimin e rekursit nuk lejohet ankim.”.</w:t>
      </w:r>
    </w:p>
    <w:p w14:paraId="3299490B" w14:textId="77777777" w:rsidR="00E80DE0" w:rsidRPr="00F45372" w:rsidRDefault="00E80DE0" w:rsidP="00E80DE0">
      <w:pPr>
        <w:spacing w:after="0" w:line="240" w:lineRule="auto"/>
        <w:ind w:firstLine="284"/>
        <w:jc w:val="both"/>
        <w:rPr>
          <w:rFonts w:ascii="Garamond" w:hAnsi="Garamond" w:cs="Times New Roman"/>
          <w:bCs/>
          <w:sz w:val="24"/>
          <w:szCs w:val="24"/>
        </w:rPr>
      </w:pPr>
      <w:r w:rsidRPr="00F45372">
        <w:rPr>
          <w:rFonts w:ascii="Garamond" w:hAnsi="Garamond" w:cs="Times New Roman"/>
          <w:bCs/>
          <w:sz w:val="24"/>
          <w:szCs w:val="24"/>
        </w:rPr>
        <w:t>3. Në fund të pikës 2 shtohet fjalia me këtë përmbajtje:</w:t>
      </w:r>
    </w:p>
    <w:p w14:paraId="3D93FA7F" w14:textId="77777777" w:rsidR="00E80DE0" w:rsidRPr="00F45372" w:rsidRDefault="00E80DE0" w:rsidP="00E80DE0">
      <w:pPr>
        <w:spacing w:after="0" w:line="240" w:lineRule="auto"/>
        <w:ind w:firstLine="284"/>
        <w:jc w:val="both"/>
        <w:rPr>
          <w:rFonts w:ascii="Garamond" w:hAnsi="Garamond" w:cs="Times New Roman"/>
          <w:bCs/>
          <w:sz w:val="24"/>
          <w:szCs w:val="24"/>
        </w:rPr>
      </w:pPr>
      <w:r w:rsidRPr="00F45372">
        <w:rPr>
          <w:rFonts w:ascii="Garamond" w:hAnsi="Garamond" w:cs="Times New Roman"/>
          <w:bCs/>
          <w:sz w:val="24"/>
          <w:szCs w:val="24"/>
        </w:rPr>
        <w:t>“Ky afat është 45 ditë kur rekursi është paraqitur ndaj një vendimi të Gjykatës Administrative të Apelit lidhur me gjykimin e aktit nënligjor normativ.”.</w:t>
      </w:r>
    </w:p>
    <w:p w14:paraId="70FDA942" w14:textId="77777777" w:rsidR="00E80DE0" w:rsidRPr="00F45372" w:rsidRDefault="00E80DE0" w:rsidP="00E80DE0">
      <w:pPr>
        <w:spacing w:after="0" w:line="240" w:lineRule="auto"/>
        <w:ind w:firstLine="284"/>
        <w:jc w:val="both"/>
        <w:rPr>
          <w:rFonts w:ascii="Garamond" w:hAnsi="Garamond" w:cs="Times New Roman"/>
          <w:bCs/>
          <w:sz w:val="24"/>
          <w:szCs w:val="24"/>
        </w:rPr>
      </w:pPr>
    </w:p>
    <w:p w14:paraId="4E5341FC" w14:textId="77777777" w:rsidR="00E80DE0" w:rsidRPr="00F45372" w:rsidRDefault="00E80DE0" w:rsidP="00E80DE0">
      <w:pPr>
        <w:spacing w:after="0" w:line="240" w:lineRule="auto"/>
        <w:ind w:firstLine="284"/>
        <w:jc w:val="center"/>
        <w:rPr>
          <w:rFonts w:ascii="Garamond" w:hAnsi="Garamond" w:cs="Times New Roman"/>
          <w:bCs/>
          <w:sz w:val="24"/>
          <w:szCs w:val="24"/>
        </w:rPr>
      </w:pPr>
      <w:r w:rsidRPr="00F45372">
        <w:rPr>
          <w:rFonts w:ascii="Garamond" w:hAnsi="Garamond" w:cs="Times New Roman"/>
          <w:bCs/>
          <w:sz w:val="24"/>
          <w:szCs w:val="24"/>
        </w:rPr>
        <w:t>Neni 7</w:t>
      </w:r>
    </w:p>
    <w:p w14:paraId="6B1747DF" w14:textId="77777777" w:rsidR="00E80DE0" w:rsidRPr="00F45372" w:rsidRDefault="00E80DE0" w:rsidP="00E80DE0">
      <w:pPr>
        <w:spacing w:after="0" w:line="240" w:lineRule="auto"/>
        <w:ind w:firstLine="284"/>
        <w:jc w:val="both"/>
        <w:rPr>
          <w:rFonts w:ascii="Garamond" w:hAnsi="Garamond" w:cs="Times New Roman"/>
          <w:bCs/>
          <w:sz w:val="24"/>
          <w:szCs w:val="24"/>
        </w:rPr>
      </w:pPr>
    </w:p>
    <w:p w14:paraId="772D225B" w14:textId="77777777" w:rsidR="00E80DE0" w:rsidRPr="00F45372" w:rsidRDefault="00E80DE0" w:rsidP="00E80DE0">
      <w:pPr>
        <w:spacing w:after="0" w:line="240" w:lineRule="auto"/>
        <w:ind w:firstLine="284"/>
        <w:jc w:val="both"/>
        <w:rPr>
          <w:rFonts w:ascii="Garamond" w:hAnsi="Garamond" w:cs="Times New Roman"/>
          <w:bCs/>
          <w:sz w:val="24"/>
          <w:szCs w:val="24"/>
        </w:rPr>
      </w:pPr>
      <w:r w:rsidRPr="00F45372">
        <w:rPr>
          <w:rFonts w:ascii="Garamond" w:hAnsi="Garamond" w:cs="Times New Roman"/>
          <w:bCs/>
          <w:sz w:val="24"/>
          <w:szCs w:val="24"/>
        </w:rPr>
        <w:t>Neni 60/1 shfuqizohet.</w:t>
      </w:r>
    </w:p>
    <w:p w14:paraId="198BF014" w14:textId="77777777" w:rsidR="00E80DE0" w:rsidRPr="00F45372" w:rsidRDefault="00E80DE0" w:rsidP="00E80DE0">
      <w:pPr>
        <w:spacing w:after="0" w:line="240" w:lineRule="auto"/>
        <w:ind w:firstLine="284"/>
        <w:jc w:val="both"/>
        <w:rPr>
          <w:rFonts w:ascii="Garamond" w:hAnsi="Garamond" w:cs="Times New Roman"/>
          <w:bCs/>
          <w:sz w:val="24"/>
          <w:szCs w:val="24"/>
        </w:rPr>
      </w:pPr>
    </w:p>
    <w:p w14:paraId="2885DBDA" w14:textId="77777777" w:rsidR="00E80DE0" w:rsidRPr="00F45372" w:rsidRDefault="00E80DE0" w:rsidP="00E80DE0">
      <w:pPr>
        <w:spacing w:after="0" w:line="240" w:lineRule="auto"/>
        <w:ind w:firstLine="284"/>
        <w:jc w:val="center"/>
        <w:rPr>
          <w:rFonts w:ascii="Garamond" w:hAnsi="Garamond" w:cs="Times New Roman"/>
          <w:bCs/>
          <w:sz w:val="24"/>
          <w:szCs w:val="24"/>
        </w:rPr>
      </w:pPr>
      <w:r w:rsidRPr="00F45372">
        <w:rPr>
          <w:rFonts w:ascii="Garamond" w:hAnsi="Garamond" w:cs="Times New Roman"/>
          <w:bCs/>
          <w:sz w:val="24"/>
          <w:szCs w:val="24"/>
        </w:rPr>
        <w:t>Neni 8</w:t>
      </w:r>
    </w:p>
    <w:p w14:paraId="324FF098" w14:textId="77777777" w:rsidR="00E80DE0" w:rsidRPr="00F45372" w:rsidRDefault="00E80DE0" w:rsidP="00E80DE0">
      <w:pPr>
        <w:spacing w:after="0" w:line="240" w:lineRule="auto"/>
        <w:ind w:firstLine="284"/>
        <w:jc w:val="both"/>
        <w:rPr>
          <w:rFonts w:ascii="Garamond" w:hAnsi="Garamond" w:cs="Times New Roman"/>
          <w:bCs/>
          <w:sz w:val="24"/>
          <w:szCs w:val="24"/>
        </w:rPr>
      </w:pPr>
    </w:p>
    <w:p w14:paraId="3FCDCC1D" w14:textId="77777777" w:rsidR="00E80DE0" w:rsidRPr="00F45372" w:rsidRDefault="00E80DE0" w:rsidP="00E80DE0">
      <w:pPr>
        <w:spacing w:after="0" w:line="240" w:lineRule="auto"/>
        <w:ind w:firstLine="284"/>
        <w:jc w:val="both"/>
        <w:rPr>
          <w:rFonts w:ascii="Garamond" w:hAnsi="Garamond" w:cs="Times New Roman"/>
          <w:bCs/>
          <w:sz w:val="24"/>
          <w:szCs w:val="24"/>
        </w:rPr>
      </w:pPr>
      <w:r w:rsidRPr="00F45372">
        <w:rPr>
          <w:rFonts w:ascii="Garamond" w:hAnsi="Garamond" w:cs="Times New Roman"/>
          <w:bCs/>
          <w:sz w:val="24"/>
          <w:szCs w:val="24"/>
        </w:rPr>
        <w:t>Në nenin 61, pika 2, numri “21” zëvendësohet me numrin “15”.</w:t>
      </w:r>
    </w:p>
    <w:p w14:paraId="551C46A8" w14:textId="77777777" w:rsidR="00E80DE0" w:rsidRPr="00F45372" w:rsidRDefault="00E80DE0" w:rsidP="00E80DE0">
      <w:pPr>
        <w:spacing w:after="0" w:line="240" w:lineRule="auto"/>
        <w:ind w:firstLine="284"/>
        <w:jc w:val="both"/>
        <w:rPr>
          <w:rFonts w:ascii="Garamond" w:hAnsi="Garamond" w:cs="Times New Roman"/>
          <w:bCs/>
          <w:sz w:val="24"/>
          <w:szCs w:val="24"/>
        </w:rPr>
      </w:pPr>
    </w:p>
    <w:p w14:paraId="38CF77DE" w14:textId="77777777" w:rsidR="00E80DE0" w:rsidRPr="00F45372" w:rsidRDefault="00E80DE0" w:rsidP="00E80DE0">
      <w:pPr>
        <w:spacing w:after="0" w:line="240" w:lineRule="auto"/>
        <w:ind w:firstLine="284"/>
        <w:jc w:val="center"/>
        <w:rPr>
          <w:rFonts w:ascii="Garamond" w:hAnsi="Garamond" w:cs="Times New Roman"/>
          <w:bCs/>
          <w:sz w:val="24"/>
          <w:szCs w:val="24"/>
        </w:rPr>
      </w:pPr>
      <w:r w:rsidRPr="00F45372">
        <w:rPr>
          <w:rFonts w:ascii="Garamond" w:hAnsi="Garamond" w:cs="Times New Roman"/>
          <w:bCs/>
          <w:sz w:val="24"/>
          <w:szCs w:val="24"/>
        </w:rPr>
        <w:t>Neni 9</w:t>
      </w:r>
    </w:p>
    <w:p w14:paraId="0A365B84" w14:textId="77777777" w:rsidR="00E80DE0" w:rsidRPr="00F45372" w:rsidRDefault="00E80DE0" w:rsidP="00E80DE0">
      <w:pPr>
        <w:spacing w:after="0" w:line="240" w:lineRule="auto"/>
        <w:ind w:firstLine="284"/>
        <w:jc w:val="both"/>
        <w:rPr>
          <w:rFonts w:ascii="Garamond" w:hAnsi="Garamond" w:cs="Times New Roman"/>
          <w:bCs/>
          <w:sz w:val="24"/>
          <w:szCs w:val="24"/>
        </w:rPr>
      </w:pPr>
    </w:p>
    <w:p w14:paraId="62617E97" w14:textId="77777777" w:rsidR="00E80DE0" w:rsidRPr="00F45372" w:rsidRDefault="00E80DE0" w:rsidP="00E80DE0">
      <w:pPr>
        <w:spacing w:after="0" w:line="240" w:lineRule="auto"/>
        <w:ind w:firstLine="284"/>
        <w:jc w:val="both"/>
        <w:rPr>
          <w:rFonts w:ascii="Garamond" w:hAnsi="Garamond" w:cs="Times New Roman"/>
          <w:bCs/>
          <w:sz w:val="24"/>
          <w:szCs w:val="24"/>
        </w:rPr>
      </w:pPr>
      <w:r w:rsidRPr="00F45372">
        <w:rPr>
          <w:rFonts w:ascii="Garamond" w:hAnsi="Garamond" w:cs="Times New Roman"/>
          <w:bCs/>
          <w:sz w:val="24"/>
          <w:szCs w:val="24"/>
        </w:rPr>
        <w:t>Në nenin 62, pika 1, shkronjat “b” dhe “c” ndryshohen si më poshtë:</w:t>
      </w:r>
    </w:p>
    <w:p w14:paraId="51424411" w14:textId="77777777" w:rsidR="00E80DE0" w:rsidRPr="00F45372" w:rsidRDefault="00E80DE0" w:rsidP="00E80DE0">
      <w:pPr>
        <w:spacing w:after="0" w:line="240" w:lineRule="auto"/>
        <w:ind w:firstLine="284"/>
        <w:jc w:val="both"/>
        <w:rPr>
          <w:rFonts w:ascii="Garamond" w:hAnsi="Garamond" w:cs="Times New Roman"/>
          <w:bCs/>
          <w:sz w:val="24"/>
          <w:szCs w:val="24"/>
        </w:rPr>
      </w:pPr>
      <w:r w:rsidRPr="00F45372">
        <w:rPr>
          <w:rFonts w:ascii="Garamond" w:hAnsi="Garamond" w:cs="Times New Roman"/>
          <w:bCs/>
          <w:sz w:val="24"/>
          <w:szCs w:val="24"/>
        </w:rPr>
        <w:lastRenderedPageBreak/>
        <w:tab/>
        <w:t>“b) çështja paraqet rëndësi nga pikëpamja e së drejtës për njësimin ose zhvillimin e praktikës gjyqësore.</w:t>
      </w:r>
    </w:p>
    <w:p w14:paraId="763A1883" w14:textId="77777777" w:rsidR="00E80DE0" w:rsidRPr="00F45372" w:rsidRDefault="00E80DE0" w:rsidP="00E80DE0">
      <w:pPr>
        <w:spacing w:after="0" w:line="240" w:lineRule="auto"/>
        <w:ind w:firstLine="284"/>
        <w:jc w:val="both"/>
        <w:rPr>
          <w:rFonts w:ascii="Garamond" w:hAnsi="Garamond" w:cs="Times New Roman"/>
          <w:bCs/>
          <w:sz w:val="24"/>
          <w:szCs w:val="24"/>
        </w:rPr>
      </w:pPr>
      <w:r w:rsidRPr="00F45372">
        <w:rPr>
          <w:rFonts w:ascii="Garamond" w:hAnsi="Garamond" w:cs="Times New Roman"/>
          <w:bCs/>
          <w:sz w:val="24"/>
          <w:szCs w:val="24"/>
        </w:rPr>
        <w:t>c) vlerësohet e nevojshme nga Kolegji Administrativ thirrja dhe dëgjimi i palëve për shkak të problematikës ose kompleksitetit të çështjes, në rastet e përcaktuar në shkronjat “b” dhe “c” të nenit 58 të këtij ligji.”.</w:t>
      </w:r>
    </w:p>
    <w:p w14:paraId="2DCB5FB7" w14:textId="77777777" w:rsidR="00E80DE0" w:rsidRPr="00F45372" w:rsidRDefault="00E80DE0" w:rsidP="00E80DE0">
      <w:pPr>
        <w:spacing w:after="0" w:line="240" w:lineRule="auto"/>
        <w:ind w:firstLine="284"/>
        <w:jc w:val="both"/>
        <w:rPr>
          <w:rFonts w:ascii="Garamond" w:hAnsi="Garamond" w:cs="Times New Roman"/>
          <w:bCs/>
          <w:sz w:val="24"/>
          <w:szCs w:val="24"/>
        </w:rPr>
      </w:pPr>
    </w:p>
    <w:p w14:paraId="6E23A859" w14:textId="77777777" w:rsidR="00E80DE0" w:rsidRPr="00F45372" w:rsidRDefault="00E80DE0" w:rsidP="00E80DE0">
      <w:pPr>
        <w:spacing w:after="0" w:line="240" w:lineRule="auto"/>
        <w:ind w:firstLine="284"/>
        <w:jc w:val="center"/>
        <w:rPr>
          <w:rFonts w:ascii="Garamond" w:hAnsi="Garamond" w:cs="Times New Roman"/>
          <w:bCs/>
          <w:sz w:val="24"/>
          <w:szCs w:val="24"/>
        </w:rPr>
      </w:pPr>
      <w:r w:rsidRPr="00F45372">
        <w:rPr>
          <w:rFonts w:ascii="Garamond" w:hAnsi="Garamond" w:cs="Times New Roman"/>
          <w:bCs/>
          <w:sz w:val="24"/>
          <w:szCs w:val="24"/>
        </w:rPr>
        <w:t>Neni 10</w:t>
      </w:r>
    </w:p>
    <w:p w14:paraId="68FE595D" w14:textId="77777777" w:rsidR="00E80DE0" w:rsidRPr="00F45372" w:rsidRDefault="00E80DE0" w:rsidP="00E80DE0">
      <w:pPr>
        <w:spacing w:after="0" w:line="240" w:lineRule="auto"/>
        <w:ind w:firstLine="284"/>
        <w:jc w:val="both"/>
        <w:rPr>
          <w:rFonts w:ascii="Garamond" w:hAnsi="Garamond" w:cs="Times New Roman"/>
          <w:bCs/>
          <w:sz w:val="24"/>
          <w:szCs w:val="24"/>
        </w:rPr>
      </w:pPr>
    </w:p>
    <w:p w14:paraId="00B72885" w14:textId="77777777" w:rsidR="00E80DE0" w:rsidRPr="00F45372" w:rsidRDefault="00E80DE0" w:rsidP="00E80DE0">
      <w:pPr>
        <w:spacing w:after="0" w:line="240" w:lineRule="auto"/>
        <w:ind w:firstLine="284"/>
        <w:jc w:val="both"/>
        <w:rPr>
          <w:rFonts w:ascii="Garamond" w:hAnsi="Garamond" w:cs="Times New Roman"/>
          <w:bCs/>
          <w:sz w:val="24"/>
          <w:szCs w:val="24"/>
        </w:rPr>
      </w:pPr>
      <w:r w:rsidRPr="00F45372">
        <w:rPr>
          <w:rFonts w:ascii="Garamond" w:hAnsi="Garamond" w:cs="Times New Roman"/>
          <w:bCs/>
          <w:sz w:val="24"/>
          <w:szCs w:val="24"/>
        </w:rPr>
        <w:t>Pas nenit 62 shtohet neni 62/a me këtë përmbajtje:</w:t>
      </w:r>
    </w:p>
    <w:p w14:paraId="0D9A20BB" w14:textId="77777777" w:rsidR="00E80DE0" w:rsidRPr="00F45372" w:rsidRDefault="00E80DE0" w:rsidP="00E80DE0">
      <w:pPr>
        <w:spacing w:after="0" w:line="240" w:lineRule="auto"/>
        <w:ind w:firstLine="284"/>
        <w:jc w:val="both"/>
        <w:rPr>
          <w:rFonts w:ascii="Garamond" w:hAnsi="Garamond" w:cs="Times New Roman"/>
          <w:bCs/>
          <w:sz w:val="24"/>
          <w:szCs w:val="24"/>
        </w:rPr>
      </w:pPr>
    </w:p>
    <w:p w14:paraId="6CE65211" w14:textId="77777777" w:rsidR="00E80DE0" w:rsidRPr="00F45372" w:rsidRDefault="00E80DE0" w:rsidP="00E80DE0">
      <w:pPr>
        <w:spacing w:after="0" w:line="240" w:lineRule="auto"/>
        <w:ind w:firstLine="284"/>
        <w:jc w:val="center"/>
        <w:rPr>
          <w:rFonts w:ascii="Garamond" w:hAnsi="Garamond" w:cs="Times New Roman"/>
          <w:bCs/>
          <w:sz w:val="24"/>
          <w:szCs w:val="24"/>
        </w:rPr>
      </w:pPr>
      <w:r w:rsidRPr="00F45372">
        <w:rPr>
          <w:rFonts w:ascii="Garamond" w:hAnsi="Garamond" w:cs="Times New Roman"/>
          <w:bCs/>
          <w:sz w:val="24"/>
          <w:szCs w:val="24"/>
        </w:rPr>
        <w:t>“Neni 62/a</w:t>
      </w:r>
    </w:p>
    <w:p w14:paraId="5AE73AFE" w14:textId="77777777" w:rsidR="00E80DE0" w:rsidRPr="00F45372" w:rsidRDefault="00E80DE0" w:rsidP="00E80DE0">
      <w:pPr>
        <w:spacing w:after="0" w:line="240" w:lineRule="auto"/>
        <w:ind w:firstLine="284"/>
        <w:jc w:val="center"/>
        <w:rPr>
          <w:rFonts w:ascii="Garamond" w:hAnsi="Garamond" w:cs="Times New Roman"/>
          <w:b/>
          <w:bCs/>
          <w:sz w:val="24"/>
          <w:szCs w:val="24"/>
        </w:rPr>
      </w:pPr>
      <w:r w:rsidRPr="00F45372">
        <w:rPr>
          <w:rFonts w:ascii="Garamond" w:hAnsi="Garamond" w:cs="Times New Roman"/>
          <w:b/>
          <w:bCs/>
          <w:sz w:val="24"/>
          <w:szCs w:val="24"/>
        </w:rPr>
        <w:t>Njësimi dhe ndryshimi i praktikës gjyqësore</w:t>
      </w:r>
    </w:p>
    <w:p w14:paraId="73CEF837" w14:textId="77777777" w:rsidR="00E80DE0" w:rsidRPr="00F45372" w:rsidRDefault="00E80DE0" w:rsidP="00E80DE0">
      <w:pPr>
        <w:spacing w:after="0" w:line="240" w:lineRule="auto"/>
        <w:ind w:firstLine="284"/>
        <w:jc w:val="both"/>
        <w:rPr>
          <w:rFonts w:ascii="Garamond" w:hAnsi="Garamond" w:cs="Times New Roman"/>
          <w:bCs/>
          <w:sz w:val="24"/>
          <w:szCs w:val="24"/>
        </w:rPr>
      </w:pPr>
    </w:p>
    <w:p w14:paraId="66153CEE" w14:textId="77777777" w:rsidR="00E80DE0" w:rsidRPr="00F45372" w:rsidRDefault="00E80DE0" w:rsidP="00E80DE0">
      <w:pPr>
        <w:spacing w:after="0" w:line="240" w:lineRule="auto"/>
        <w:ind w:firstLine="284"/>
        <w:jc w:val="both"/>
        <w:rPr>
          <w:rFonts w:ascii="Garamond" w:hAnsi="Garamond" w:cs="Times New Roman"/>
          <w:bCs/>
          <w:sz w:val="24"/>
          <w:szCs w:val="24"/>
        </w:rPr>
      </w:pPr>
      <w:r w:rsidRPr="00F45372">
        <w:rPr>
          <w:rFonts w:ascii="Garamond" w:hAnsi="Garamond" w:cs="Times New Roman"/>
          <w:bCs/>
          <w:sz w:val="24"/>
          <w:szCs w:val="24"/>
        </w:rPr>
        <w:t xml:space="preserve">1. Kolegji Administrativ, kryesisht ose me kërkesë të palëve, mund të vendosë nisjen e procedurës së gjykimit për të njësuar ose ndryshuar praktikën gjyqësore. Nisja e procedurës për ndryshimin e praktikës gjyqësore mund të vendoset edhe nga Kryetari i Gjykatës së Lartë. </w:t>
      </w:r>
    </w:p>
    <w:p w14:paraId="57CF667A" w14:textId="77777777" w:rsidR="00E80DE0" w:rsidRPr="00F45372" w:rsidRDefault="00E80DE0" w:rsidP="00E80DE0">
      <w:pPr>
        <w:spacing w:after="0" w:line="240" w:lineRule="auto"/>
        <w:ind w:firstLine="284"/>
        <w:jc w:val="both"/>
        <w:rPr>
          <w:rFonts w:ascii="Garamond" w:hAnsi="Garamond" w:cs="Times New Roman"/>
          <w:bCs/>
          <w:sz w:val="24"/>
          <w:szCs w:val="24"/>
        </w:rPr>
      </w:pPr>
      <w:r w:rsidRPr="00F45372">
        <w:rPr>
          <w:rFonts w:ascii="Garamond" w:hAnsi="Garamond" w:cs="Times New Roman"/>
          <w:bCs/>
          <w:sz w:val="24"/>
          <w:szCs w:val="24"/>
        </w:rPr>
        <w:t xml:space="preserve">2. Vendimi i ndërmjetëm i Kolegjit Administrativ për kalimin e çështjes në seancë gjyqësore, përcakton çështjet e shtruara për njësim ose praktikën gjyqësore të njësuar që duhet ndryshuar dhe publikohet menjëherë pas arsyetimit në faqen elektronike të Gjykatës së Lartë. </w:t>
      </w:r>
    </w:p>
    <w:p w14:paraId="4A9B455D" w14:textId="77777777" w:rsidR="00E80DE0" w:rsidRPr="00F45372" w:rsidRDefault="00E80DE0" w:rsidP="00E80DE0">
      <w:pPr>
        <w:spacing w:after="0" w:line="240" w:lineRule="auto"/>
        <w:ind w:firstLine="284"/>
        <w:jc w:val="both"/>
        <w:rPr>
          <w:rFonts w:ascii="Garamond" w:hAnsi="Garamond" w:cs="Times New Roman"/>
          <w:bCs/>
          <w:sz w:val="24"/>
          <w:szCs w:val="24"/>
        </w:rPr>
      </w:pPr>
      <w:r w:rsidRPr="00F45372">
        <w:rPr>
          <w:rFonts w:ascii="Garamond" w:hAnsi="Garamond" w:cs="Times New Roman"/>
          <w:bCs/>
          <w:sz w:val="24"/>
          <w:szCs w:val="24"/>
        </w:rPr>
        <w:t xml:space="preserve">3. Gjykimi për njësimin e praktikës gjyqësore bëhet nga Kolegji Administrativ me trupë gjyqësore prej 5 gjyqtarësh, në të cilën marrin pjesë trupa gjyqësore që po gjykon rekursin dhe dy gjyqtarë të tjerë të kolegjit, të caktuar me short. </w:t>
      </w:r>
    </w:p>
    <w:p w14:paraId="41C0E1F8" w14:textId="77777777" w:rsidR="00E80DE0" w:rsidRPr="00F45372" w:rsidRDefault="00E80DE0" w:rsidP="00E80DE0">
      <w:pPr>
        <w:spacing w:after="0" w:line="240" w:lineRule="auto"/>
        <w:ind w:firstLine="284"/>
        <w:jc w:val="both"/>
        <w:rPr>
          <w:rFonts w:ascii="Garamond" w:hAnsi="Garamond" w:cs="Times New Roman"/>
          <w:bCs/>
          <w:sz w:val="24"/>
          <w:szCs w:val="24"/>
        </w:rPr>
      </w:pPr>
      <w:r w:rsidRPr="00F45372">
        <w:rPr>
          <w:rFonts w:ascii="Garamond" w:hAnsi="Garamond" w:cs="Times New Roman"/>
          <w:bCs/>
          <w:sz w:val="24"/>
          <w:szCs w:val="24"/>
        </w:rPr>
        <w:t>4. Gjykimi për ndryshimin e praktikës gjyqësore të njësuar bëhet nga Kolegjet e Bashkuara të Gjykatës së Lartë. Kryetari i Gjykatës së Lartë, si kryesues i Kolegjeve të Bashkuara, cakton datën dhe orën e gjykimit të çështjes për ndryshimin e praktikës gjyqësore. Kolegjet e Bashkuara gjykojnë sipas rregullave të caktuara për kolegjin kur marrin pjesë jo më pak se dy të tretat e të gjithë anëtarëve të Gjykatës së Lartë.</w:t>
      </w:r>
    </w:p>
    <w:p w14:paraId="1FA9B120" w14:textId="77777777" w:rsidR="00E80DE0" w:rsidRPr="00F45372" w:rsidRDefault="00E80DE0" w:rsidP="00E80DE0">
      <w:pPr>
        <w:spacing w:after="0" w:line="240" w:lineRule="auto"/>
        <w:ind w:firstLine="284"/>
        <w:jc w:val="both"/>
        <w:rPr>
          <w:rFonts w:ascii="Garamond" w:hAnsi="Garamond" w:cs="Times New Roman"/>
          <w:bCs/>
          <w:sz w:val="24"/>
          <w:szCs w:val="24"/>
        </w:rPr>
      </w:pPr>
      <w:r w:rsidRPr="00F45372">
        <w:rPr>
          <w:rFonts w:ascii="Garamond" w:hAnsi="Garamond" w:cs="Times New Roman"/>
          <w:bCs/>
          <w:sz w:val="24"/>
          <w:szCs w:val="24"/>
        </w:rPr>
        <w:t>5. Data dhe ora e seancës gjyqësore u njoftohen palëve nga sekretaria gjyqësore sipas rregullave të përgjithshme të njoftimit të paktën 15 ditë përpara datës së zhvillimit të seancës.</w:t>
      </w:r>
    </w:p>
    <w:p w14:paraId="4BFCDDC9" w14:textId="77777777" w:rsidR="00E80DE0" w:rsidRPr="00F45372" w:rsidRDefault="00E80DE0" w:rsidP="00E80DE0">
      <w:pPr>
        <w:spacing w:after="0" w:line="240" w:lineRule="auto"/>
        <w:ind w:firstLine="284"/>
        <w:jc w:val="both"/>
        <w:rPr>
          <w:rFonts w:ascii="Garamond" w:hAnsi="Garamond" w:cs="Times New Roman"/>
          <w:bCs/>
          <w:sz w:val="24"/>
          <w:szCs w:val="24"/>
        </w:rPr>
      </w:pPr>
      <w:r w:rsidRPr="00F45372">
        <w:rPr>
          <w:rFonts w:ascii="Garamond" w:hAnsi="Garamond" w:cs="Times New Roman"/>
          <w:bCs/>
          <w:sz w:val="24"/>
          <w:szCs w:val="24"/>
        </w:rPr>
        <w:t>6. Kolegji Administrativ ose Kolegjet e Bashkuara, kryesisht ose me kërkesë të palëve, mund të vendosin ndryshimin e çështjeve të shtruara për njësim ose ndryshim të praktikës gjyqësore. Ky vendim i ndërmjetëm publikohet në faqen elektronike të Gjykatës së Lartë.</w:t>
      </w:r>
    </w:p>
    <w:p w14:paraId="3ED53499" w14:textId="77777777" w:rsidR="00E80DE0" w:rsidRPr="00F45372" w:rsidRDefault="00E80DE0" w:rsidP="00E80DE0">
      <w:pPr>
        <w:spacing w:after="0" w:line="240" w:lineRule="auto"/>
        <w:ind w:firstLine="284"/>
        <w:jc w:val="both"/>
        <w:rPr>
          <w:rFonts w:ascii="Garamond" w:hAnsi="Garamond" w:cs="Times New Roman"/>
          <w:bCs/>
          <w:sz w:val="24"/>
          <w:szCs w:val="24"/>
        </w:rPr>
      </w:pPr>
      <w:r w:rsidRPr="00F45372">
        <w:rPr>
          <w:rFonts w:ascii="Garamond" w:hAnsi="Garamond" w:cs="Times New Roman"/>
          <w:bCs/>
          <w:sz w:val="24"/>
          <w:szCs w:val="24"/>
        </w:rPr>
        <w:t xml:space="preserve">7. Përveç rasteve kur ligji parashikon ndryshe, për shkak të interesit që paraqet njësimi ose ndryshimi i praktikës gjyqësore në këto gjykime, kur është rasti, Gjykata e Lartë mund të kërkojë mendimin me shkrim nga Avokatura e Shtetit, si dhe nga persona juridikë publikë ose privatë që çmohet se kanë njohuri të posaçme për çështjet ligjore të shtruara për njësim ose ndryshim të praktikës gjyqësore. Gjykata e Lartë, në kërkesën për paraqitjen e mendimit me shkrim, cakton një afat brenda të cilit mund të paraqitet mendimi, i cili në çdo rast nuk mund të jetë më i shkurtër se 14 ditë. Mendimet me shkrim nuk janë detyruese dhe publikohen në faqen elektronike të Gjykatës së Lartë. </w:t>
      </w:r>
    </w:p>
    <w:p w14:paraId="144F9D7D" w14:textId="77777777" w:rsidR="00E80DE0" w:rsidRPr="00F45372" w:rsidRDefault="00E80DE0" w:rsidP="00E80DE0">
      <w:pPr>
        <w:spacing w:after="0" w:line="240" w:lineRule="auto"/>
        <w:ind w:firstLine="284"/>
        <w:jc w:val="both"/>
        <w:rPr>
          <w:rFonts w:ascii="Garamond" w:hAnsi="Garamond" w:cs="Times New Roman"/>
          <w:bCs/>
          <w:sz w:val="24"/>
          <w:szCs w:val="24"/>
        </w:rPr>
      </w:pPr>
      <w:r w:rsidRPr="00F45372">
        <w:rPr>
          <w:rFonts w:ascii="Garamond" w:hAnsi="Garamond" w:cs="Times New Roman"/>
          <w:bCs/>
          <w:sz w:val="24"/>
          <w:szCs w:val="24"/>
        </w:rPr>
        <w:t>8. Vendimi i Kolegjit Administrativ dhe Kolegjeve të Bashkuara është i detyrueshëm për gjykatat në gjykimin e çështjeve të ngjashme.”.</w:t>
      </w:r>
    </w:p>
    <w:p w14:paraId="4D5977F6" w14:textId="77777777" w:rsidR="00E80DE0" w:rsidRPr="00F45372" w:rsidRDefault="00E80DE0" w:rsidP="00E80DE0">
      <w:pPr>
        <w:spacing w:after="0" w:line="240" w:lineRule="auto"/>
        <w:ind w:firstLine="284"/>
        <w:jc w:val="both"/>
        <w:rPr>
          <w:rFonts w:ascii="Garamond" w:hAnsi="Garamond" w:cs="Times New Roman"/>
          <w:bCs/>
          <w:sz w:val="24"/>
          <w:szCs w:val="24"/>
        </w:rPr>
      </w:pPr>
    </w:p>
    <w:p w14:paraId="7C5BF101" w14:textId="77777777" w:rsidR="00E80DE0" w:rsidRPr="00F45372" w:rsidRDefault="00E80DE0" w:rsidP="00E80DE0">
      <w:pPr>
        <w:spacing w:after="0" w:line="240" w:lineRule="auto"/>
        <w:ind w:firstLine="284"/>
        <w:jc w:val="center"/>
        <w:rPr>
          <w:rFonts w:ascii="Garamond" w:hAnsi="Garamond" w:cs="Times New Roman"/>
          <w:bCs/>
          <w:sz w:val="24"/>
          <w:szCs w:val="24"/>
        </w:rPr>
      </w:pPr>
      <w:r w:rsidRPr="00F45372">
        <w:rPr>
          <w:rFonts w:ascii="Garamond" w:hAnsi="Garamond" w:cs="Times New Roman"/>
          <w:bCs/>
          <w:sz w:val="24"/>
          <w:szCs w:val="24"/>
        </w:rPr>
        <w:t>Neni 11</w:t>
      </w:r>
    </w:p>
    <w:p w14:paraId="6E39AEFE" w14:textId="77777777" w:rsidR="00E80DE0" w:rsidRPr="00F45372" w:rsidRDefault="00E80DE0" w:rsidP="00E80DE0">
      <w:pPr>
        <w:spacing w:after="0" w:line="240" w:lineRule="auto"/>
        <w:ind w:firstLine="284"/>
        <w:jc w:val="both"/>
        <w:rPr>
          <w:rFonts w:ascii="Garamond" w:hAnsi="Garamond" w:cs="Times New Roman"/>
          <w:bCs/>
          <w:sz w:val="24"/>
          <w:szCs w:val="24"/>
        </w:rPr>
      </w:pPr>
    </w:p>
    <w:p w14:paraId="35FB3B63" w14:textId="7CB0273B" w:rsidR="00E80DE0" w:rsidRPr="00F45372" w:rsidRDefault="00E80DE0" w:rsidP="00E80DE0">
      <w:pPr>
        <w:spacing w:after="0" w:line="240" w:lineRule="auto"/>
        <w:ind w:firstLine="284"/>
        <w:jc w:val="both"/>
        <w:rPr>
          <w:rFonts w:ascii="Garamond" w:hAnsi="Garamond" w:cs="Times New Roman"/>
          <w:bCs/>
          <w:sz w:val="24"/>
          <w:szCs w:val="24"/>
        </w:rPr>
      </w:pPr>
      <w:r w:rsidRPr="00F45372">
        <w:rPr>
          <w:rFonts w:ascii="Garamond" w:hAnsi="Garamond" w:cs="Times New Roman"/>
          <w:bCs/>
          <w:sz w:val="24"/>
          <w:szCs w:val="24"/>
        </w:rPr>
        <w:t>Neni 63 ndryshohet</w:t>
      </w:r>
      <w:r w:rsidR="00F45372">
        <w:rPr>
          <w:rFonts w:ascii="Garamond" w:hAnsi="Garamond" w:cs="Times New Roman"/>
          <w:bCs/>
          <w:sz w:val="24"/>
          <w:szCs w:val="24"/>
        </w:rPr>
        <w:t xml:space="preserve"> </w:t>
      </w:r>
      <w:r w:rsidRPr="00F45372">
        <w:rPr>
          <w:rFonts w:ascii="Garamond" w:hAnsi="Garamond" w:cs="Times New Roman"/>
          <w:bCs/>
          <w:sz w:val="24"/>
          <w:szCs w:val="24"/>
        </w:rPr>
        <w:t>si më poshtë:</w:t>
      </w:r>
    </w:p>
    <w:p w14:paraId="02221B36" w14:textId="77777777" w:rsidR="00E80DE0" w:rsidRPr="00F45372" w:rsidRDefault="00E80DE0" w:rsidP="00E80DE0">
      <w:pPr>
        <w:spacing w:after="0" w:line="240" w:lineRule="auto"/>
        <w:ind w:firstLine="284"/>
        <w:jc w:val="both"/>
        <w:rPr>
          <w:rFonts w:ascii="Garamond" w:hAnsi="Garamond" w:cs="Times New Roman"/>
          <w:bCs/>
          <w:sz w:val="24"/>
          <w:szCs w:val="24"/>
        </w:rPr>
      </w:pPr>
    </w:p>
    <w:p w14:paraId="717A9CB6" w14:textId="77777777" w:rsidR="00E80DE0" w:rsidRPr="00F45372" w:rsidRDefault="00E80DE0" w:rsidP="00E80DE0">
      <w:pPr>
        <w:spacing w:after="0" w:line="240" w:lineRule="auto"/>
        <w:ind w:firstLine="284"/>
        <w:jc w:val="center"/>
        <w:rPr>
          <w:rFonts w:ascii="Garamond" w:hAnsi="Garamond" w:cs="Times New Roman"/>
          <w:bCs/>
          <w:sz w:val="24"/>
          <w:szCs w:val="24"/>
        </w:rPr>
      </w:pPr>
      <w:r w:rsidRPr="00F45372">
        <w:rPr>
          <w:rFonts w:ascii="Garamond" w:hAnsi="Garamond" w:cs="Times New Roman"/>
          <w:bCs/>
          <w:sz w:val="24"/>
          <w:szCs w:val="24"/>
        </w:rPr>
        <w:t>“Neni 63</w:t>
      </w:r>
    </w:p>
    <w:p w14:paraId="07DAF7DF" w14:textId="77777777" w:rsidR="00E80DE0" w:rsidRPr="00F45372" w:rsidRDefault="00E80DE0" w:rsidP="00E80DE0">
      <w:pPr>
        <w:spacing w:after="0" w:line="240" w:lineRule="auto"/>
        <w:ind w:firstLine="284"/>
        <w:jc w:val="center"/>
        <w:rPr>
          <w:rFonts w:ascii="Garamond" w:hAnsi="Garamond" w:cs="Times New Roman"/>
          <w:b/>
          <w:bCs/>
          <w:sz w:val="24"/>
          <w:szCs w:val="24"/>
        </w:rPr>
      </w:pPr>
      <w:r w:rsidRPr="00F45372">
        <w:rPr>
          <w:rFonts w:ascii="Garamond" w:hAnsi="Garamond" w:cs="Times New Roman"/>
          <w:b/>
          <w:bCs/>
          <w:sz w:val="24"/>
          <w:szCs w:val="24"/>
        </w:rPr>
        <w:t>Vendimet e Gjykatës së Lartë</w:t>
      </w:r>
    </w:p>
    <w:p w14:paraId="7663D2E4" w14:textId="77777777" w:rsidR="00E80DE0" w:rsidRPr="00F45372" w:rsidRDefault="00E80DE0" w:rsidP="00E80DE0">
      <w:pPr>
        <w:spacing w:after="0" w:line="240" w:lineRule="auto"/>
        <w:ind w:firstLine="284"/>
        <w:jc w:val="both"/>
        <w:rPr>
          <w:rFonts w:ascii="Garamond" w:hAnsi="Garamond" w:cs="Times New Roman"/>
          <w:bCs/>
          <w:sz w:val="24"/>
          <w:szCs w:val="24"/>
        </w:rPr>
      </w:pPr>
    </w:p>
    <w:p w14:paraId="6E9E6D76" w14:textId="77777777" w:rsidR="00E80DE0" w:rsidRPr="00F45372" w:rsidRDefault="00E80DE0" w:rsidP="00E80DE0">
      <w:pPr>
        <w:spacing w:after="0" w:line="240" w:lineRule="auto"/>
        <w:ind w:firstLine="284"/>
        <w:jc w:val="both"/>
        <w:rPr>
          <w:rFonts w:ascii="Garamond" w:hAnsi="Garamond" w:cs="Times New Roman"/>
          <w:bCs/>
          <w:sz w:val="24"/>
          <w:szCs w:val="24"/>
        </w:rPr>
      </w:pPr>
      <w:r w:rsidRPr="00F45372">
        <w:rPr>
          <w:rFonts w:ascii="Garamond" w:hAnsi="Garamond" w:cs="Times New Roman"/>
          <w:bCs/>
          <w:sz w:val="24"/>
          <w:szCs w:val="24"/>
        </w:rPr>
        <w:lastRenderedPageBreak/>
        <w:t>1. Pas shqyrtimit të çështjes Kolegji Administrativ ose Kolegjet e Bashkuara të Gjykatës së Lartë vendosin:</w:t>
      </w:r>
    </w:p>
    <w:p w14:paraId="4EDA32CA" w14:textId="77777777" w:rsidR="00E80DE0" w:rsidRPr="00F45372" w:rsidRDefault="00E80DE0" w:rsidP="00E80DE0">
      <w:pPr>
        <w:spacing w:after="0" w:line="240" w:lineRule="auto"/>
        <w:ind w:firstLine="284"/>
        <w:jc w:val="both"/>
        <w:rPr>
          <w:rFonts w:ascii="Garamond" w:hAnsi="Garamond" w:cs="Times New Roman"/>
          <w:bCs/>
          <w:sz w:val="24"/>
          <w:szCs w:val="24"/>
        </w:rPr>
      </w:pPr>
      <w:r w:rsidRPr="00F45372">
        <w:rPr>
          <w:rFonts w:ascii="Garamond" w:hAnsi="Garamond" w:cs="Times New Roman"/>
          <w:bCs/>
          <w:sz w:val="24"/>
          <w:szCs w:val="24"/>
        </w:rPr>
        <w:t xml:space="preserve">a) mospranimin e rekursit në rastet kur është bërë për shkaqe të ndryshme nga ato që parashikon neni 58 i këtij ligji; </w:t>
      </w:r>
    </w:p>
    <w:p w14:paraId="23DB5104" w14:textId="77777777" w:rsidR="00E80DE0" w:rsidRPr="00F45372" w:rsidRDefault="00E80DE0" w:rsidP="00E80DE0">
      <w:pPr>
        <w:spacing w:after="0" w:line="240" w:lineRule="auto"/>
        <w:ind w:firstLine="284"/>
        <w:jc w:val="both"/>
        <w:rPr>
          <w:rFonts w:ascii="Garamond" w:hAnsi="Garamond" w:cs="Times New Roman"/>
          <w:bCs/>
          <w:sz w:val="24"/>
          <w:szCs w:val="24"/>
        </w:rPr>
      </w:pPr>
      <w:r w:rsidRPr="00F45372">
        <w:rPr>
          <w:rFonts w:ascii="Garamond" w:hAnsi="Garamond" w:cs="Times New Roman"/>
          <w:bCs/>
          <w:sz w:val="24"/>
          <w:szCs w:val="24"/>
        </w:rPr>
        <w:t xml:space="preserve">b) prishjen e vendimit të Gjykatës Administrative të Apelit dhe lënien në fuqi të vendimit të gjykatës administrative të shkallës së parë; </w:t>
      </w:r>
    </w:p>
    <w:p w14:paraId="2FBFD3EE" w14:textId="77777777" w:rsidR="00E80DE0" w:rsidRPr="00F45372" w:rsidRDefault="00E80DE0" w:rsidP="00E80DE0">
      <w:pPr>
        <w:spacing w:after="0" w:line="240" w:lineRule="auto"/>
        <w:ind w:firstLine="284"/>
        <w:jc w:val="both"/>
        <w:rPr>
          <w:rFonts w:ascii="Garamond" w:hAnsi="Garamond" w:cs="Times New Roman"/>
          <w:bCs/>
          <w:sz w:val="24"/>
          <w:szCs w:val="24"/>
        </w:rPr>
      </w:pPr>
      <w:r w:rsidRPr="00F45372">
        <w:rPr>
          <w:rFonts w:ascii="Garamond" w:hAnsi="Garamond" w:cs="Times New Roman"/>
          <w:bCs/>
          <w:sz w:val="24"/>
          <w:szCs w:val="24"/>
        </w:rPr>
        <w:t xml:space="preserve">c) prishjen e vendimit të Gjykatës Administrative të Apelit dhe dërgimin e çështjes për rishqyrtim në këtë gjykatë me tjetër trup gjykues; </w:t>
      </w:r>
    </w:p>
    <w:p w14:paraId="6D322441" w14:textId="77777777" w:rsidR="00E80DE0" w:rsidRPr="00F45372" w:rsidRDefault="00E80DE0" w:rsidP="00E80DE0">
      <w:pPr>
        <w:spacing w:after="0" w:line="240" w:lineRule="auto"/>
        <w:ind w:firstLine="284"/>
        <w:jc w:val="both"/>
        <w:rPr>
          <w:rFonts w:ascii="Garamond" w:hAnsi="Garamond" w:cs="Times New Roman"/>
          <w:bCs/>
          <w:sz w:val="24"/>
          <w:szCs w:val="24"/>
        </w:rPr>
      </w:pPr>
      <w:r w:rsidRPr="00F45372">
        <w:rPr>
          <w:rFonts w:ascii="Garamond" w:hAnsi="Garamond" w:cs="Times New Roman"/>
          <w:bCs/>
          <w:sz w:val="24"/>
          <w:szCs w:val="24"/>
        </w:rPr>
        <w:t xml:space="preserve">ç) prishjen e vendimeve të Gjykatës Administrative të Apelit dhe të gjykatës administrative të shkallës së parë dhe dërgimin e çështjes për rigjykim në shkallë të parë kur vendimi jopërfundimtar i gjykatës së shkallës së parë është marrë në kundërshtim me ligjin dhe kjo shkelje nuk është konstatuar nga Gjykata Administrative e Apelit; </w:t>
      </w:r>
    </w:p>
    <w:p w14:paraId="37A5C6CD" w14:textId="77777777" w:rsidR="00E80DE0" w:rsidRPr="00F45372" w:rsidRDefault="00E80DE0" w:rsidP="00E80DE0">
      <w:pPr>
        <w:spacing w:after="0" w:line="240" w:lineRule="auto"/>
        <w:ind w:firstLine="284"/>
        <w:jc w:val="both"/>
        <w:rPr>
          <w:rFonts w:ascii="Garamond" w:hAnsi="Garamond" w:cs="Times New Roman"/>
          <w:bCs/>
          <w:sz w:val="24"/>
          <w:szCs w:val="24"/>
        </w:rPr>
      </w:pPr>
      <w:r w:rsidRPr="00F45372">
        <w:rPr>
          <w:rFonts w:ascii="Garamond" w:hAnsi="Garamond" w:cs="Times New Roman"/>
          <w:bCs/>
          <w:sz w:val="24"/>
          <w:szCs w:val="24"/>
        </w:rPr>
        <w:t xml:space="preserve">d) prishjen e vendimeve të Gjykatës Administrative të Apelit e të gjykatës administrative të shkallës së parë dhe pushimin e gjykimit të çështjes pa e kthyer për rishqyrtim; </w:t>
      </w:r>
    </w:p>
    <w:p w14:paraId="6DC8839B" w14:textId="77777777" w:rsidR="00E80DE0" w:rsidRPr="00F45372" w:rsidRDefault="00E80DE0" w:rsidP="00E80DE0">
      <w:pPr>
        <w:spacing w:after="0" w:line="240" w:lineRule="auto"/>
        <w:ind w:firstLine="284"/>
        <w:jc w:val="both"/>
        <w:rPr>
          <w:rFonts w:ascii="Garamond" w:hAnsi="Garamond" w:cs="Times New Roman"/>
          <w:bCs/>
          <w:sz w:val="24"/>
          <w:szCs w:val="24"/>
        </w:rPr>
      </w:pPr>
      <w:r w:rsidRPr="00F45372">
        <w:rPr>
          <w:rFonts w:ascii="Garamond" w:hAnsi="Garamond" w:cs="Times New Roman"/>
          <w:bCs/>
          <w:sz w:val="24"/>
          <w:szCs w:val="24"/>
        </w:rPr>
        <w:t xml:space="preserve">dh) ndryshimin e vendimeve të Gjykatës Administrative të Apelit dhe të gjykatës administrative të shkallës së parë dhe zgjidhjen e çështjes në themel kur zbatimi i ligjit procedural apo material nuk diktohet nga nevoja për rivlerësimin e fakteve apo të provave të çështjes; </w:t>
      </w:r>
    </w:p>
    <w:p w14:paraId="406DC90B" w14:textId="77777777" w:rsidR="00E80DE0" w:rsidRPr="00F45372" w:rsidRDefault="00E80DE0" w:rsidP="00E80DE0">
      <w:pPr>
        <w:spacing w:after="0" w:line="240" w:lineRule="auto"/>
        <w:ind w:firstLine="284"/>
        <w:jc w:val="both"/>
        <w:rPr>
          <w:rFonts w:ascii="Garamond" w:hAnsi="Garamond" w:cs="Times New Roman"/>
          <w:bCs/>
          <w:sz w:val="24"/>
          <w:szCs w:val="24"/>
        </w:rPr>
      </w:pPr>
      <w:r w:rsidRPr="00F45372">
        <w:rPr>
          <w:rFonts w:ascii="Garamond" w:hAnsi="Garamond" w:cs="Times New Roman"/>
          <w:bCs/>
          <w:sz w:val="24"/>
          <w:szCs w:val="24"/>
        </w:rPr>
        <w:t>e) lënien në fuqi të vendimit të Gjykatës Administrative të Apelit.</w:t>
      </w:r>
      <w:r w:rsidRPr="00F45372">
        <w:rPr>
          <w:rFonts w:ascii="Garamond" w:hAnsi="Garamond" w:cs="Times New Roman"/>
          <w:bCs/>
          <w:sz w:val="24"/>
          <w:szCs w:val="24"/>
        </w:rPr>
        <w:tab/>
      </w:r>
    </w:p>
    <w:p w14:paraId="4EC68F06" w14:textId="77777777" w:rsidR="00E80DE0" w:rsidRPr="00F45372" w:rsidRDefault="00E80DE0" w:rsidP="00E80DE0">
      <w:pPr>
        <w:spacing w:after="0" w:line="240" w:lineRule="auto"/>
        <w:ind w:firstLine="284"/>
        <w:jc w:val="both"/>
        <w:rPr>
          <w:rFonts w:ascii="Garamond" w:hAnsi="Garamond" w:cs="Times New Roman"/>
          <w:bCs/>
          <w:sz w:val="24"/>
          <w:szCs w:val="24"/>
        </w:rPr>
      </w:pPr>
      <w:r w:rsidRPr="00F45372">
        <w:rPr>
          <w:rFonts w:ascii="Garamond" w:hAnsi="Garamond" w:cs="Times New Roman"/>
          <w:bCs/>
          <w:sz w:val="24"/>
          <w:szCs w:val="24"/>
        </w:rPr>
        <w:t>2. Në rastet kur Kolegji Administrativ ose Kolegjet e Bashkuara të Gjykatës së Lartë vendosin njësimin ose ndryshimin e praktikës gjyqësore, në vendim gjykata formulon edhe rregullin e së drejtës për çdo çështje të shtruar për zgjidhje në vendimin e ndërmjetëm të marrë gjatë gjykimit të çështjes. Në këtë rast, vendimi botohet në Fletoren Zyrtare.</w:t>
      </w:r>
    </w:p>
    <w:p w14:paraId="3269C5D4" w14:textId="77777777" w:rsidR="00E80DE0" w:rsidRPr="00F45372" w:rsidRDefault="00E80DE0" w:rsidP="00E80DE0">
      <w:pPr>
        <w:spacing w:after="0" w:line="240" w:lineRule="auto"/>
        <w:ind w:firstLine="284"/>
        <w:jc w:val="both"/>
        <w:rPr>
          <w:rFonts w:ascii="Garamond" w:hAnsi="Garamond" w:cs="Times New Roman"/>
          <w:bCs/>
          <w:sz w:val="24"/>
          <w:szCs w:val="24"/>
        </w:rPr>
      </w:pPr>
    </w:p>
    <w:p w14:paraId="1ED71808" w14:textId="77777777" w:rsidR="00E80DE0" w:rsidRPr="00F45372" w:rsidRDefault="00E80DE0" w:rsidP="00E80DE0">
      <w:pPr>
        <w:spacing w:after="0" w:line="240" w:lineRule="auto"/>
        <w:ind w:firstLine="284"/>
        <w:jc w:val="center"/>
        <w:rPr>
          <w:rFonts w:ascii="Garamond" w:hAnsi="Garamond" w:cs="Times New Roman"/>
          <w:bCs/>
          <w:sz w:val="24"/>
          <w:szCs w:val="24"/>
        </w:rPr>
      </w:pPr>
      <w:r w:rsidRPr="00F45372">
        <w:rPr>
          <w:rFonts w:ascii="Garamond" w:hAnsi="Garamond" w:cs="Times New Roman"/>
          <w:bCs/>
          <w:sz w:val="24"/>
          <w:szCs w:val="24"/>
        </w:rPr>
        <w:t>Neni 12</w:t>
      </w:r>
    </w:p>
    <w:p w14:paraId="3CC19F5B" w14:textId="77777777" w:rsidR="00E80DE0" w:rsidRPr="00F45372" w:rsidRDefault="00E80DE0" w:rsidP="00E80DE0">
      <w:pPr>
        <w:spacing w:after="0" w:line="240" w:lineRule="auto"/>
        <w:ind w:firstLine="284"/>
        <w:jc w:val="center"/>
        <w:rPr>
          <w:rFonts w:ascii="Garamond" w:hAnsi="Garamond" w:cs="Times New Roman"/>
          <w:b/>
          <w:bCs/>
          <w:sz w:val="24"/>
          <w:szCs w:val="24"/>
        </w:rPr>
      </w:pPr>
      <w:r w:rsidRPr="00F45372">
        <w:rPr>
          <w:rFonts w:ascii="Garamond" w:hAnsi="Garamond" w:cs="Times New Roman"/>
          <w:b/>
          <w:bCs/>
          <w:sz w:val="24"/>
          <w:szCs w:val="24"/>
        </w:rPr>
        <w:t>Dispozitë kalimtare</w:t>
      </w:r>
    </w:p>
    <w:p w14:paraId="6B0B4597" w14:textId="77777777" w:rsidR="00E80DE0" w:rsidRPr="00F45372" w:rsidRDefault="00E80DE0" w:rsidP="00E80DE0">
      <w:pPr>
        <w:spacing w:after="0" w:line="240" w:lineRule="auto"/>
        <w:ind w:firstLine="284"/>
        <w:jc w:val="both"/>
        <w:rPr>
          <w:rFonts w:ascii="Garamond" w:hAnsi="Garamond" w:cs="Times New Roman"/>
          <w:bCs/>
          <w:sz w:val="24"/>
          <w:szCs w:val="24"/>
        </w:rPr>
      </w:pPr>
    </w:p>
    <w:p w14:paraId="2A79A266" w14:textId="77777777" w:rsidR="00E80DE0" w:rsidRPr="00F45372" w:rsidRDefault="00E80DE0" w:rsidP="00E80DE0">
      <w:pPr>
        <w:spacing w:after="0" w:line="240" w:lineRule="auto"/>
        <w:ind w:firstLine="284"/>
        <w:jc w:val="both"/>
        <w:rPr>
          <w:rFonts w:ascii="Garamond" w:hAnsi="Garamond" w:cs="Times New Roman"/>
          <w:bCs/>
          <w:sz w:val="24"/>
          <w:szCs w:val="24"/>
        </w:rPr>
      </w:pPr>
      <w:r w:rsidRPr="00F45372">
        <w:rPr>
          <w:rFonts w:ascii="Garamond" w:hAnsi="Garamond" w:cs="Times New Roman"/>
          <w:bCs/>
          <w:sz w:val="24"/>
          <w:szCs w:val="24"/>
        </w:rPr>
        <w:t>1. Përbërja e trupave gjykues, si dhe procedura e gjykimit në Gjykatën e Lartë rregullohet sipas përcaktimeve të këtij ligji, pavarësisht parashikimeve të ndryshme në ligje të tjera.</w:t>
      </w:r>
    </w:p>
    <w:p w14:paraId="1757F64E" w14:textId="77777777" w:rsidR="00E80DE0" w:rsidRPr="00F45372" w:rsidRDefault="00E80DE0" w:rsidP="00E80DE0">
      <w:pPr>
        <w:spacing w:after="0" w:line="240" w:lineRule="auto"/>
        <w:ind w:firstLine="284"/>
        <w:jc w:val="both"/>
        <w:rPr>
          <w:rFonts w:ascii="Garamond" w:hAnsi="Garamond" w:cs="Times New Roman"/>
          <w:bCs/>
          <w:sz w:val="24"/>
          <w:szCs w:val="24"/>
        </w:rPr>
      </w:pPr>
      <w:r w:rsidRPr="00F45372">
        <w:rPr>
          <w:rFonts w:ascii="Garamond" w:hAnsi="Garamond" w:cs="Times New Roman"/>
          <w:bCs/>
          <w:sz w:val="24"/>
          <w:szCs w:val="24"/>
        </w:rPr>
        <w:t>2. Rekurset e paraqitura, por ende të pashqyrtuara, konsiderohen të pranueshme nëse plotësojnë parashikimet e ligjit në fuqi në kohën e depozitimit të tyre.</w:t>
      </w:r>
    </w:p>
    <w:p w14:paraId="2490BA3F" w14:textId="77777777" w:rsidR="00E80DE0" w:rsidRPr="00F45372" w:rsidRDefault="00E80DE0" w:rsidP="00E80DE0">
      <w:pPr>
        <w:spacing w:after="0" w:line="240" w:lineRule="auto"/>
        <w:ind w:firstLine="284"/>
        <w:jc w:val="both"/>
        <w:rPr>
          <w:rFonts w:ascii="Garamond" w:hAnsi="Garamond" w:cs="Times New Roman"/>
          <w:bCs/>
          <w:sz w:val="24"/>
          <w:szCs w:val="24"/>
        </w:rPr>
      </w:pPr>
    </w:p>
    <w:p w14:paraId="5F45C74B" w14:textId="77777777" w:rsidR="00E80DE0" w:rsidRPr="00F45372" w:rsidRDefault="00E80DE0" w:rsidP="00E80DE0">
      <w:pPr>
        <w:spacing w:after="0" w:line="240" w:lineRule="auto"/>
        <w:ind w:firstLine="284"/>
        <w:jc w:val="center"/>
        <w:rPr>
          <w:rFonts w:ascii="Garamond" w:hAnsi="Garamond" w:cs="Times New Roman"/>
          <w:bCs/>
          <w:sz w:val="24"/>
          <w:szCs w:val="24"/>
        </w:rPr>
      </w:pPr>
      <w:r w:rsidRPr="00F45372">
        <w:rPr>
          <w:rFonts w:ascii="Garamond" w:hAnsi="Garamond" w:cs="Times New Roman"/>
          <w:bCs/>
          <w:sz w:val="24"/>
          <w:szCs w:val="24"/>
        </w:rPr>
        <w:t>Neni 13</w:t>
      </w:r>
    </w:p>
    <w:p w14:paraId="12FB823C" w14:textId="77777777" w:rsidR="00E80DE0" w:rsidRPr="00F45372" w:rsidRDefault="00E80DE0" w:rsidP="00E80DE0">
      <w:pPr>
        <w:spacing w:after="0" w:line="240" w:lineRule="auto"/>
        <w:ind w:firstLine="284"/>
        <w:jc w:val="both"/>
        <w:rPr>
          <w:rFonts w:ascii="Garamond" w:hAnsi="Garamond" w:cs="Times New Roman"/>
          <w:bCs/>
          <w:sz w:val="24"/>
          <w:szCs w:val="24"/>
        </w:rPr>
      </w:pPr>
    </w:p>
    <w:p w14:paraId="55BFE02F" w14:textId="77777777" w:rsidR="00E80DE0" w:rsidRPr="00F45372" w:rsidRDefault="00E80DE0" w:rsidP="00E80DE0">
      <w:pPr>
        <w:spacing w:after="0" w:line="240" w:lineRule="auto"/>
        <w:ind w:firstLine="284"/>
        <w:jc w:val="both"/>
        <w:rPr>
          <w:rFonts w:ascii="Garamond" w:hAnsi="Garamond" w:cs="Times New Roman"/>
          <w:bCs/>
          <w:sz w:val="24"/>
          <w:szCs w:val="24"/>
        </w:rPr>
      </w:pPr>
      <w:r w:rsidRPr="00F45372">
        <w:rPr>
          <w:rFonts w:ascii="Garamond" w:hAnsi="Garamond" w:cs="Times New Roman"/>
          <w:bCs/>
          <w:sz w:val="24"/>
          <w:szCs w:val="24"/>
        </w:rPr>
        <w:t>Ky ligj hyn në fuqi 15 ditë pas botimit në Fletoren Zyrtare.</w:t>
      </w:r>
    </w:p>
    <w:p w14:paraId="3D08413E" w14:textId="77777777" w:rsidR="00E80DE0" w:rsidRPr="00F45372" w:rsidRDefault="00E80DE0" w:rsidP="00E80DE0">
      <w:pPr>
        <w:spacing w:after="0" w:line="240" w:lineRule="auto"/>
        <w:ind w:firstLine="284"/>
        <w:jc w:val="both"/>
        <w:rPr>
          <w:rFonts w:ascii="Garamond" w:hAnsi="Garamond" w:cs="Times New Roman"/>
          <w:bCs/>
          <w:sz w:val="24"/>
          <w:szCs w:val="24"/>
        </w:rPr>
      </w:pPr>
    </w:p>
    <w:p w14:paraId="00BBBD05" w14:textId="77777777" w:rsidR="00E80DE0" w:rsidRPr="00F45372" w:rsidRDefault="00E80DE0" w:rsidP="00E80DE0">
      <w:pPr>
        <w:spacing w:after="0" w:line="240" w:lineRule="auto"/>
        <w:ind w:firstLine="284"/>
        <w:jc w:val="right"/>
        <w:rPr>
          <w:rFonts w:ascii="Garamond" w:hAnsi="Garamond" w:cs="Times New Roman"/>
          <w:bCs/>
          <w:sz w:val="24"/>
          <w:szCs w:val="24"/>
        </w:rPr>
      </w:pPr>
      <w:r w:rsidRPr="00F45372">
        <w:rPr>
          <w:rFonts w:ascii="Garamond" w:hAnsi="Garamond" w:cs="Times New Roman"/>
          <w:bCs/>
          <w:sz w:val="24"/>
          <w:szCs w:val="24"/>
        </w:rPr>
        <w:t>KRYETAR</w:t>
      </w:r>
    </w:p>
    <w:p w14:paraId="3D4F25F5" w14:textId="77777777" w:rsidR="00E80DE0" w:rsidRPr="00F45372" w:rsidRDefault="00E80DE0" w:rsidP="00E80DE0">
      <w:pPr>
        <w:spacing w:after="0" w:line="240" w:lineRule="auto"/>
        <w:ind w:firstLine="284"/>
        <w:jc w:val="right"/>
        <w:rPr>
          <w:rFonts w:ascii="Garamond" w:hAnsi="Garamond" w:cs="Times New Roman"/>
          <w:b/>
          <w:bCs/>
          <w:sz w:val="24"/>
          <w:szCs w:val="24"/>
        </w:rPr>
      </w:pPr>
      <w:r w:rsidRPr="00F45372">
        <w:rPr>
          <w:rFonts w:ascii="Garamond" w:hAnsi="Garamond" w:cs="Times New Roman"/>
          <w:bCs/>
          <w:sz w:val="24"/>
          <w:szCs w:val="24"/>
        </w:rPr>
        <w:t xml:space="preserve"> </w:t>
      </w:r>
      <w:r w:rsidRPr="00F45372">
        <w:rPr>
          <w:rFonts w:ascii="Garamond" w:hAnsi="Garamond" w:cs="Times New Roman"/>
          <w:b/>
          <w:bCs/>
          <w:sz w:val="24"/>
          <w:szCs w:val="24"/>
        </w:rPr>
        <w:t>Gramoz Ruçi</w:t>
      </w:r>
    </w:p>
    <w:p w14:paraId="20700A3D" w14:textId="531C420D" w:rsidR="00E80DE0" w:rsidRPr="00F45372" w:rsidRDefault="00E80DE0" w:rsidP="00E80DE0">
      <w:pPr>
        <w:spacing w:after="0" w:line="240" w:lineRule="auto"/>
        <w:ind w:firstLine="284"/>
        <w:jc w:val="both"/>
        <w:rPr>
          <w:rFonts w:ascii="Garamond" w:hAnsi="Garamond" w:cs="Times New Roman"/>
          <w:bCs/>
          <w:sz w:val="24"/>
          <w:szCs w:val="24"/>
        </w:rPr>
      </w:pPr>
      <w:r w:rsidRPr="00F45372">
        <w:rPr>
          <w:rFonts w:ascii="Garamond" w:hAnsi="Garamond" w:cs="Times New Roman"/>
          <w:bCs/>
          <w:sz w:val="24"/>
          <w:szCs w:val="24"/>
        </w:rPr>
        <w:t>Miratuar në datën 23.3.2021</w:t>
      </w:r>
      <w:r w:rsidR="00F45372">
        <w:rPr>
          <w:rFonts w:ascii="Garamond" w:hAnsi="Garamond" w:cs="Times New Roman"/>
          <w:bCs/>
          <w:sz w:val="24"/>
          <w:szCs w:val="24"/>
        </w:rPr>
        <w:t>.</w:t>
      </w:r>
      <w:bookmarkStart w:id="0" w:name="_GoBack"/>
      <w:bookmarkEnd w:id="0"/>
    </w:p>
    <w:p w14:paraId="6A787B70" w14:textId="77777777" w:rsidR="00213234" w:rsidRPr="00F45372" w:rsidRDefault="00213234" w:rsidP="00E80DE0"/>
    <w:sectPr w:rsidR="00213234" w:rsidRPr="00F45372" w:rsidSect="00725C49">
      <w:footerReference w:type="default" r:id="rId13"/>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9957F3" w14:textId="77777777" w:rsidR="00F45372" w:rsidRDefault="00F45372" w:rsidP="00420682">
      <w:pPr>
        <w:spacing w:after="0" w:line="240" w:lineRule="auto"/>
      </w:pPr>
      <w:r>
        <w:separator/>
      </w:r>
    </w:p>
  </w:endnote>
  <w:endnote w:type="continuationSeparator" w:id="0">
    <w:p w14:paraId="0C0258F4" w14:textId="77777777" w:rsidR="00F45372" w:rsidRDefault="00F45372" w:rsidP="00420682">
      <w:pPr>
        <w:spacing w:after="0" w:line="240" w:lineRule="auto"/>
      </w:pPr>
      <w:r>
        <w:continuationSeparator/>
      </w:r>
    </w:p>
  </w:endnote>
  <w:endnote w:type="continuationNotice" w:id="1">
    <w:p w14:paraId="1D87B4F1" w14:textId="77777777" w:rsidR="00F45372" w:rsidRDefault="00F4537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89266099"/>
      <w:docPartObj>
        <w:docPartGallery w:val="Page Numbers (Bottom of Page)"/>
        <w:docPartUnique/>
      </w:docPartObj>
    </w:sdtPr>
    <w:sdtEndPr>
      <w:rPr>
        <w:rFonts w:ascii="Times New Roman" w:hAnsi="Times New Roman" w:cs="Times New Roman"/>
        <w:noProof/>
        <w:sz w:val="24"/>
        <w:szCs w:val="24"/>
      </w:rPr>
    </w:sdtEndPr>
    <w:sdtContent>
      <w:p w14:paraId="6A787B75" w14:textId="77777777" w:rsidR="00F45372" w:rsidRPr="00725C49" w:rsidRDefault="00F45372">
        <w:pPr>
          <w:pStyle w:val="Footer"/>
          <w:jc w:val="center"/>
          <w:rPr>
            <w:rFonts w:ascii="Times New Roman" w:hAnsi="Times New Roman" w:cs="Times New Roman"/>
            <w:sz w:val="24"/>
            <w:szCs w:val="24"/>
          </w:rPr>
        </w:pPr>
        <w:r w:rsidRPr="00725C49">
          <w:rPr>
            <w:rFonts w:ascii="Times New Roman" w:hAnsi="Times New Roman" w:cs="Times New Roman"/>
            <w:sz w:val="24"/>
            <w:szCs w:val="24"/>
          </w:rPr>
          <w:fldChar w:fldCharType="begin"/>
        </w:r>
        <w:r w:rsidRPr="00725C49">
          <w:rPr>
            <w:rFonts w:ascii="Times New Roman" w:hAnsi="Times New Roman" w:cs="Times New Roman"/>
            <w:sz w:val="24"/>
            <w:szCs w:val="24"/>
          </w:rPr>
          <w:instrText xml:space="preserve"> PAGE   \* MERGEFORMAT </w:instrText>
        </w:r>
        <w:r w:rsidRPr="00725C49">
          <w:rPr>
            <w:rFonts w:ascii="Times New Roman" w:hAnsi="Times New Roman" w:cs="Times New Roman"/>
            <w:sz w:val="24"/>
            <w:szCs w:val="24"/>
          </w:rPr>
          <w:fldChar w:fldCharType="separate"/>
        </w:r>
        <w:r w:rsidR="00A521D4">
          <w:rPr>
            <w:rFonts w:ascii="Times New Roman" w:hAnsi="Times New Roman" w:cs="Times New Roman"/>
            <w:noProof/>
            <w:sz w:val="24"/>
            <w:szCs w:val="24"/>
          </w:rPr>
          <w:t>4</w:t>
        </w:r>
        <w:r w:rsidRPr="00725C49">
          <w:rPr>
            <w:rFonts w:ascii="Times New Roman" w:hAnsi="Times New Roman" w:cs="Times New Roman"/>
            <w:noProof/>
            <w:sz w:val="24"/>
            <w:szCs w:val="24"/>
          </w:rPr>
          <w:fldChar w:fldCharType="end"/>
        </w:r>
      </w:p>
    </w:sdtContent>
  </w:sdt>
  <w:p w14:paraId="6A787B76" w14:textId="77777777" w:rsidR="00F45372" w:rsidRDefault="00F4537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F4CBEE" w14:textId="77777777" w:rsidR="00F45372" w:rsidRDefault="00F45372" w:rsidP="00420682">
      <w:pPr>
        <w:spacing w:after="0" w:line="240" w:lineRule="auto"/>
      </w:pPr>
      <w:r>
        <w:separator/>
      </w:r>
    </w:p>
  </w:footnote>
  <w:footnote w:type="continuationSeparator" w:id="0">
    <w:p w14:paraId="04AA8F6A" w14:textId="77777777" w:rsidR="00F45372" w:rsidRDefault="00F45372" w:rsidP="00420682">
      <w:pPr>
        <w:spacing w:after="0" w:line="240" w:lineRule="auto"/>
      </w:pPr>
      <w:r>
        <w:continuationSeparator/>
      </w:r>
    </w:p>
  </w:footnote>
  <w:footnote w:type="continuationNotice" w:id="1">
    <w:p w14:paraId="7AED892C" w14:textId="77777777" w:rsidR="00F45372" w:rsidRDefault="00F45372">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41A"/>
    <w:rsid w:val="00002637"/>
    <w:rsid w:val="00043C57"/>
    <w:rsid w:val="00044557"/>
    <w:rsid w:val="00055AB5"/>
    <w:rsid w:val="00060376"/>
    <w:rsid w:val="000765C2"/>
    <w:rsid w:val="00096985"/>
    <w:rsid w:val="000A1D3F"/>
    <w:rsid w:val="000A3B4D"/>
    <w:rsid w:val="000D199E"/>
    <w:rsid w:val="000E5BA6"/>
    <w:rsid w:val="00106F6D"/>
    <w:rsid w:val="0012550D"/>
    <w:rsid w:val="00141FF5"/>
    <w:rsid w:val="00146D52"/>
    <w:rsid w:val="00153CC5"/>
    <w:rsid w:val="00155BCF"/>
    <w:rsid w:val="00166898"/>
    <w:rsid w:val="001744A0"/>
    <w:rsid w:val="001816AF"/>
    <w:rsid w:val="001942D4"/>
    <w:rsid w:val="001B796E"/>
    <w:rsid w:val="001C0806"/>
    <w:rsid w:val="001C445C"/>
    <w:rsid w:val="001C5CDE"/>
    <w:rsid w:val="001C6A0A"/>
    <w:rsid w:val="001C7EC0"/>
    <w:rsid w:val="001D2895"/>
    <w:rsid w:val="001F194A"/>
    <w:rsid w:val="002009A1"/>
    <w:rsid w:val="0020160E"/>
    <w:rsid w:val="0020170B"/>
    <w:rsid w:val="0020507F"/>
    <w:rsid w:val="00213234"/>
    <w:rsid w:val="00214854"/>
    <w:rsid w:val="0021715D"/>
    <w:rsid w:val="00233280"/>
    <w:rsid w:val="0024206A"/>
    <w:rsid w:val="00243B60"/>
    <w:rsid w:val="00266AB2"/>
    <w:rsid w:val="00266C06"/>
    <w:rsid w:val="002A47D7"/>
    <w:rsid w:val="002F13A9"/>
    <w:rsid w:val="002F5953"/>
    <w:rsid w:val="00317045"/>
    <w:rsid w:val="0038331D"/>
    <w:rsid w:val="00397541"/>
    <w:rsid w:val="003A38DC"/>
    <w:rsid w:val="003A63A5"/>
    <w:rsid w:val="003C48FF"/>
    <w:rsid w:val="003D090D"/>
    <w:rsid w:val="003F29A8"/>
    <w:rsid w:val="0041300C"/>
    <w:rsid w:val="00420682"/>
    <w:rsid w:val="00433BCD"/>
    <w:rsid w:val="00445610"/>
    <w:rsid w:val="00455BBA"/>
    <w:rsid w:val="00460BC4"/>
    <w:rsid w:val="004647DB"/>
    <w:rsid w:val="00477804"/>
    <w:rsid w:val="004A5884"/>
    <w:rsid w:val="004B12D2"/>
    <w:rsid w:val="004B6ED9"/>
    <w:rsid w:val="004C2DFD"/>
    <w:rsid w:val="004E7290"/>
    <w:rsid w:val="004E7E53"/>
    <w:rsid w:val="004F447A"/>
    <w:rsid w:val="004F7030"/>
    <w:rsid w:val="005201B5"/>
    <w:rsid w:val="00522FFB"/>
    <w:rsid w:val="00531A97"/>
    <w:rsid w:val="00542102"/>
    <w:rsid w:val="00550FA3"/>
    <w:rsid w:val="0055575B"/>
    <w:rsid w:val="005726F2"/>
    <w:rsid w:val="00573EE3"/>
    <w:rsid w:val="005767F6"/>
    <w:rsid w:val="0059342C"/>
    <w:rsid w:val="005B6E3F"/>
    <w:rsid w:val="0060535D"/>
    <w:rsid w:val="0062077A"/>
    <w:rsid w:val="00621A17"/>
    <w:rsid w:val="006465EF"/>
    <w:rsid w:val="00646924"/>
    <w:rsid w:val="00663243"/>
    <w:rsid w:val="0067406E"/>
    <w:rsid w:val="00677E6C"/>
    <w:rsid w:val="006D0051"/>
    <w:rsid w:val="006D51DA"/>
    <w:rsid w:val="006F4D55"/>
    <w:rsid w:val="00725C49"/>
    <w:rsid w:val="00726525"/>
    <w:rsid w:val="00736DC8"/>
    <w:rsid w:val="007403CF"/>
    <w:rsid w:val="00746CAD"/>
    <w:rsid w:val="00747247"/>
    <w:rsid w:val="007654B3"/>
    <w:rsid w:val="00770FAD"/>
    <w:rsid w:val="00774741"/>
    <w:rsid w:val="00795061"/>
    <w:rsid w:val="00795C30"/>
    <w:rsid w:val="007A2E0E"/>
    <w:rsid w:val="007C083E"/>
    <w:rsid w:val="007D742E"/>
    <w:rsid w:val="007E2515"/>
    <w:rsid w:val="00811138"/>
    <w:rsid w:val="00840462"/>
    <w:rsid w:val="0085472C"/>
    <w:rsid w:val="008620E4"/>
    <w:rsid w:val="0086360A"/>
    <w:rsid w:val="008720AB"/>
    <w:rsid w:val="0087264B"/>
    <w:rsid w:val="008914C1"/>
    <w:rsid w:val="00892C77"/>
    <w:rsid w:val="008A1646"/>
    <w:rsid w:val="008C15C7"/>
    <w:rsid w:val="008D12D7"/>
    <w:rsid w:val="00900D7B"/>
    <w:rsid w:val="0091014E"/>
    <w:rsid w:val="009104DF"/>
    <w:rsid w:val="00970D95"/>
    <w:rsid w:val="00974717"/>
    <w:rsid w:val="00976A3C"/>
    <w:rsid w:val="00991D86"/>
    <w:rsid w:val="0099741A"/>
    <w:rsid w:val="009A11D2"/>
    <w:rsid w:val="009A6F98"/>
    <w:rsid w:val="009F1423"/>
    <w:rsid w:val="00A06D12"/>
    <w:rsid w:val="00A15DE9"/>
    <w:rsid w:val="00A34D9D"/>
    <w:rsid w:val="00A431DD"/>
    <w:rsid w:val="00A521D4"/>
    <w:rsid w:val="00A645A6"/>
    <w:rsid w:val="00A7447A"/>
    <w:rsid w:val="00AA32E0"/>
    <w:rsid w:val="00AC2686"/>
    <w:rsid w:val="00AF0CE9"/>
    <w:rsid w:val="00B03A16"/>
    <w:rsid w:val="00B54D96"/>
    <w:rsid w:val="00B6427E"/>
    <w:rsid w:val="00B651A4"/>
    <w:rsid w:val="00B67778"/>
    <w:rsid w:val="00B8668D"/>
    <w:rsid w:val="00BA1706"/>
    <w:rsid w:val="00BA5571"/>
    <w:rsid w:val="00BB15C8"/>
    <w:rsid w:val="00BD4611"/>
    <w:rsid w:val="00C10624"/>
    <w:rsid w:val="00C4191B"/>
    <w:rsid w:val="00C446ED"/>
    <w:rsid w:val="00C60CAD"/>
    <w:rsid w:val="00C6573D"/>
    <w:rsid w:val="00C90FD7"/>
    <w:rsid w:val="00CA0828"/>
    <w:rsid w:val="00CC7CA2"/>
    <w:rsid w:val="00CF5B26"/>
    <w:rsid w:val="00D23C4B"/>
    <w:rsid w:val="00D30E5C"/>
    <w:rsid w:val="00D45944"/>
    <w:rsid w:val="00D45AC2"/>
    <w:rsid w:val="00D60C6B"/>
    <w:rsid w:val="00D725EB"/>
    <w:rsid w:val="00DA3B33"/>
    <w:rsid w:val="00DA56D4"/>
    <w:rsid w:val="00DC03DB"/>
    <w:rsid w:val="00DC0BDC"/>
    <w:rsid w:val="00E32B8C"/>
    <w:rsid w:val="00E370B3"/>
    <w:rsid w:val="00E452DA"/>
    <w:rsid w:val="00E6234F"/>
    <w:rsid w:val="00E63306"/>
    <w:rsid w:val="00E72BC5"/>
    <w:rsid w:val="00E75303"/>
    <w:rsid w:val="00E76B9D"/>
    <w:rsid w:val="00E80D17"/>
    <w:rsid w:val="00E80DE0"/>
    <w:rsid w:val="00EC55E7"/>
    <w:rsid w:val="00EC57E8"/>
    <w:rsid w:val="00EE7E5D"/>
    <w:rsid w:val="00F03153"/>
    <w:rsid w:val="00F07F7F"/>
    <w:rsid w:val="00F234B6"/>
    <w:rsid w:val="00F45372"/>
    <w:rsid w:val="00F475DA"/>
    <w:rsid w:val="00F52125"/>
    <w:rsid w:val="00F537D2"/>
    <w:rsid w:val="00F630AC"/>
    <w:rsid w:val="00F84F9C"/>
    <w:rsid w:val="00FA7EA8"/>
    <w:rsid w:val="00FB5CED"/>
    <w:rsid w:val="00FC484A"/>
    <w:rsid w:val="00FC631E"/>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87AE6"/>
  <w15:docId w15:val="{FEE4C759-8FD7-4B2D-893F-4F6EE4153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747247"/>
    <w:pPr>
      <w:keepNext/>
      <w:widowControl w:val="0"/>
      <w:autoSpaceDE w:val="0"/>
      <w:autoSpaceDN w:val="0"/>
      <w:adjustRightInd w:val="0"/>
      <w:spacing w:after="0" w:line="240" w:lineRule="auto"/>
      <w:jc w:val="center"/>
      <w:outlineLvl w:val="0"/>
    </w:pPr>
    <w:rPr>
      <w:rFonts w:ascii="Arial" w:eastAsia="Times New Roman" w:hAnsi="Arial" w:cs="Times New Roman"/>
      <w:b/>
      <w:bCs/>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7950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5061"/>
  </w:style>
  <w:style w:type="paragraph" w:styleId="Footer">
    <w:name w:val="footer"/>
    <w:basedOn w:val="Normal"/>
    <w:link w:val="FooterChar"/>
    <w:uiPriority w:val="99"/>
    <w:unhideWhenUsed/>
    <w:rsid w:val="007950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5061"/>
  </w:style>
  <w:style w:type="character" w:customStyle="1" w:styleId="Heading1Char">
    <w:name w:val="Heading 1 Char"/>
    <w:basedOn w:val="DefaultParagraphFont"/>
    <w:link w:val="Heading1"/>
    <w:rsid w:val="00747247"/>
    <w:rPr>
      <w:rFonts w:ascii="Arial" w:eastAsia="Times New Roman" w:hAnsi="Arial" w:cs="Times New Roman"/>
      <w:b/>
      <w:bCs/>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49</Nr_x002e__x0020_akti>
    <Data_x0020_e_x0020_Krijimit xmlns="0e656187-b300-4fb0-8bf4-3a50f872073c">2021-05-14T08:18:35Z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2021-05-11T22:00:00Z</Date_x0020_protokolli>
    <Titulli xmlns="0e656187-b300-4fb0-8bf4-3a50f872073c">Për disa shtesa dhe ndryshime në ligjin nr. 49/2012 “Për gjykatat administrative dhe gjykimin e mosmarrëveshjeve administrative”, të ndryshuar”</Titulli>
    <Modifikuesi xmlns="0e656187-b300-4fb0-8bf4-3a50f872073c">nevila.samarxhi</Modifikuesi>
    <Nr_x002e__x0020_prot_x0020_QBZ xmlns="0e656187-b300-4fb0-8bf4-3a50f872073c">696/10</Nr_x002e__x0020_prot_x0020_QBZ>
    <Data_x0020_e_x0020_Modifikimit xmlns="0e656187-b300-4fb0-8bf4-3a50f872073c">2021-05-14T08:40:00Z</Data_x0020_e_x0020_Modifikimit>
    <Dekretuar xmlns="0e656187-b300-4fb0-8bf4-3a50f872073c">false</Dekretuar>
    <Data xmlns="0e656187-b300-4fb0-8bf4-3a50f872073c">2021-03-22T23:00:00Z</Data>
    <Nr_x002e__x0020_protokolli_x0020_i_x0020_aktit xmlns="0e656187-b300-4fb0-8bf4-3a50f872073c">1140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2297A8247394DC488AA6C698D46870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B2297A8247394DC488AA6C698D46870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AEE9BD-B7BB-463D-B0C8-C0759860F59D}">
  <ds:schemaRefs>
    <ds:schemaRef ds:uri="http://schemas.microsoft.com/office/2006/documentManagement/types"/>
    <ds:schemaRef ds:uri="http://purl.org/dc/elements/1.1/"/>
    <ds:schemaRef ds:uri="http://purl.org/dc/dcmitype/"/>
    <ds:schemaRef ds:uri="http://www.w3.org/XML/1998/namespace"/>
    <ds:schemaRef ds:uri="http://purl.org/dc/terms/"/>
    <ds:schemaRef ds:uri="0e656187-b300-4fb0-8bf4-3a50f872073c"/>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AEE8013C-7921-489C-9CE0-6C561A47B98B}">
  <ds:schemaRefs>
    <ds:schemaRef ds:uri="http://schemas.microsoft.com/sharepoint/v3/contenttype/forms"/>
  </ds:schemaRefs>
</ds:datastoreItem>
</file>

<file path=customXml/itemProps3.xml><?xml version="1.0" encoding="utf-8"?>
<ds:datastoreItem xmlns:ds="http://schemas.openxmlformats.org/officeDocument/2006/customXml" ds:itemID="{F80565C8-3738-44AA-936A-AB244F120A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2CCB1A1-9E60-4FC1-B2EF-D967924FAB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1A42F030-AE51-49C9-9BBE-8AAE75606680}">
  <ds:schemaRefs>
    <ds:schemaRef ds:uri="http://schemas.microsoft.com/sharepoint/v3/contenttype/forms"/>
  </ds:schemaRefs>
</ds:datastoreItem>
</file>

<file path=customXml/itemProps6.xml><?xml version="1.0" encoding="utf-8"?>
<ds:datastoreItem xmlns:ds="http://schemas.openxmlformats.org/officeDocument/2006/customXml" ds:itemID="{A81E813D-56F9-4BD9-9DDD-B492034123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1414</Words>
  <Characters>8061</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Për disa shtesa dhe ndryshime në ligjin nr. 49/2012 “Për gjykatat administrative dhe gjykimin e mosmarrëveshjeve administrative”, të ndryshuar”</vt:lpstr>
    </vt:vector>
  </TitlesOfParts>
  <Company/>
  <LinksUpToDate>false</LinksUpToDate>
  <CharactersWithSpaces>9457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ligjin nr. 49/2012 “Për gjykatat administrative dhe gjykimin e mosmarrëveshjeve administrative”, të ndryshuar”</dc:title>
  <dc:creator>gazmend.hanku</dc:creator>
  <cp:lastModifiedBy>Alma Lisaku</cp:lastModifiedBy>
  <cp:revision>5</cp:revision>
  <cp:lastPrinted>2021-03-29T10:00:00Z</cp:lastPrinted>
  <dcterms:created xsi:type="dcterms:W3CDTF">2021-05-14T08:23:00Z</dcterms:created>
  <dcterms:modified xsi:type="dcterms:W3CDTF">2021-05-14T08:59:00Z</dcterms:modified>
</cp:coreProperties>
</file>