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6F15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2C3B9D20" w14:textId="3F58E0CF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Nr. 65/2021</w:t>
      </w:r>
    </w:p>
    <w:p w14:paraId="2F6665E6" w14:textId="460917B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7B8406B" w14:textId="73C46A6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PËR DISA NDRYSHIME DHE SHTESA NË LIGJIN NR. 10 304, DATË 15.7.2010, “PËR SEKTORIN MINERAR NË REPUBLIKËN E SHQIPËRISË”, TË NDRYSHUAR</w:t>
      </w:r>
    </w:p>
    <w:p w14:paraId="0DCD25F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751931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Në mbështetje të neneve 78 dhe 83, pika 1, të Kushtetutës, me propozimin e Këshillit të Ministrave, </w:t>
      </w:r>
    </w:p>
    <w:p w14:paraId="401B0EE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405082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KUVENDI</w:t>
      </w:r>
    </w:p>
    <w:p w14:paraId="1236E4F4" w14:textId="01BB829B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I REPUBLIKËS SË SHQIPËRISË</w:t>
      </w:r>
    </w:p>
    <w:p w14:paraId="5EFA252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A2DCAC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VENDOSI:</w:t>
      </w:r>
      <w:bookmarkStart w:id="0" w:name="_GoBack"/>
      <w:bookmarkEnd w:id="0"/>
    </w:p>
    <w:p w14:paraId="143D9B6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A7FA778" w14:textId="51FE3538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ligjin nr. 10 304, datë 15.7.2010, “Për sektorin minerar në Republikën e Shqipërisë”, të ndryshuar, bëhen ndryshimet dhe shtesat e mëposhtme:</w:t>
      </w:r>
    </w:p>
    <w:p w14:paraId="2E48736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C7FCA8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</w:t>
      </w:r>
    </w:p>
    <w:p w14:paraId="3D885E0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38CF27D" w14:textId="0848F8EC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 bëhen shtesat dhe ndryshimi si më poshtë:</w:t>
      </w:r>
    </w:p>
    <w:p w14:paraId="39BCE60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19 pas fjalëve “nuk lejohet” shtohen fjalët “kryerja e veprimtarive minerare për lejet ekzistuese dhe”.</w:t>
      </w:r>
    </w:p>
    <w:p w14:paraId="19CFB9E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Në pikën 23 pas fjalës “mineralit” shtohet fjala “të thatë”.</w:t>
      </w:r>
    </w:p>
    <w:p w14:paraId="511CD4F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3. Në pikën 32 pas fjalëve “Kadastra minerare” shtohen fjalët “krijohet nga heqja e sipërfaqes nga fondi pyjor e kullosor dhe”; dhe pas fjalëve “zonat e lejuara minerare” shtohen fjalët “të cilat regjistrohen pas heqjes nga fondi pyjor e kullosor.”.</w:t>
      </w:r>
    </w:p>
    <w:p w14:paraId="6052551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4. Në pikën 37 fjalët “çdo vit” hiqen.</w:t>
      </w:r>
    </w:p>
    <w:p w14:paraId="5196C8B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09EF64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</w:t>
      </w:r>
    </w:p>
    <w:p w14:paraId="0D5A43C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AE60DAA" w14:textId="007A3F0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3, paragrafi i dytë ndryshohet si më poshtë:</w:t>
      </w:r>
    </w:p>
    <w:p w14:paraId="46A728B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“Shteti, për efekt të zbatimit të këtij ligji, përfaqësohet nga ministri përgjegjës për veprimtarinë minerare.”.</w:t>
      </w:r>
    </w:p>
    <w:p w14:paraId="15D10AC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F96830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3</w:t>
      </w:r>
    </w:p>
    <w:p w14:paraId="1C2C7EA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202A1FB" w14:textId="51AD7D03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5, pika 2 ndryshohet si më poshtë:</w:t>
      </w:r>
    </w:p>
    <w:p w14:paraId="0F420D3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“2. Sipas nenit 8 të këtij ligji:</w:t>
      </w:r>
    </w:p>
    <w:p w14:paraId="1850167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a) lejet minerare në zonat minerare, të përcaktuara në programin vjetor minerar si zona konkurruese, u jepen subjekteve të interesuara, fituese të një konkurrimi publik; </w:t>
      </w:r>
    </w:p>
    <w:p w14:paraId="75C229F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b) leja minerare në zonat minerare, të përcaktuara në programin vjetor minerar si zona të hapura, i jepet subjektit që plotëson kushtet e lejimit sipas parimit “i pari në kohë, i pari në të drejta.”.</w:t>
      </w:r>
    </w:p>
    <w:p w14:paraId="34CFC92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63FB6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4</w:t>
      </w:r>
    </w:p>
    <w:p w14:paraId="70AFDD3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5C6F93A" w14:textId="168D814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8 bëhen shtesa dhe ndryshimi si më poshtë:</w:t>
      </w:r>
    </w:p>
    <w:p w14:paraId="7637D13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4 pas fjalëve “ministria dhe” shtohen fjalët “ pas këshillimit me ministritë përgjegjëse për mjedisin, pyjet, zonat e mbrojtura, tokën bujqësore, trashëgiminë kulturore, turizmin e mbrojtjen dhe njësitë e qeverisjes vendore përkatëse,” .</w:t>
      </w:r>
    </w:p>
    <w:p w14:paraId="28B954F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lastRenderedPageBreak/>
        <w:t>2. Në pikën 6 fjalët “pas këshillimit me ministritë përgjegjëse për mjedisin, pyjet, tokën bujqësore, trashëgiminë kulturore, turizmin e mbrojtjen dhe njësitë e qeverisjes vendore përkatëse” hiqen.</w:t>
      </w:r>
    </w:p>
    <w:p w14:paraId="68FD1E5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18283B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5</w:t>
      </w:r>
    </w:p>
    <w:p w14:paraId="1703EA9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C4B2D93" w14:textId="4151178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9 bëhen shtesa dhe ndryshimet si më poshtë:</w:t>
      </w:r>
    </w:p>
    <w:p w14:paraId="5882121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1, paragrafi i parë, pas fjalës “teknik” shtohet fjala “mjedisor”.</w:t>
      </w:r>
    </w:p>
    <w:p w14:paraId="0429521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Në pikën 2, shkronja “b”, fjalët “nuk i ka shndërruar në leje shfrytëzimi, edhe pse ka zbuluar rezerva minerare me interes publik” zëvendësohen me fjalët “ka realizuar punimet e investimit sipas projektit, ka zbuluar rezerva me interes ekonomik, ka dorëzuar raport gjeologjik, por nuk ka kërkuar për ta shndërruar në leje shfrytëzimi.”.</w:t>
      </w:r>
    </w:p>
    <w:p w14:paraId="1F64328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3. Në pikën 3 në paragrafin e fundit fjalët “deri në një vit” zëvendësohen me fjalët “ai i përcaktuar në pikën 1 të nenit 14 të këtij ligji”.</w:t>
      </w:r>
    </w:p>
    <w:p w14:paraId="61F30749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36B55B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Neni 6</w:t>
      </w:r>
    </w:p>
    <w:p w14:paraId="07C4DB7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6238F90" w14:textId="7571930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Në nenin 13 bëhen ndryshimet si më poshtë:</w:t>
      </w:r>
    </w:p>
    <w:p w14:paraId="74F137A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 xml:space="preserve">1. Në pikën 4 në shkronjën “b” fjalët “së paku 90 për qind” zëvendësohen me fjalët “deri në 90 për qind”. </w:t>
      </w:r>
    </w:p>
    <w:p w14:paraId="06DCDF1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2. Në pikën 4 në shkronjën “</w:t>
      </w:r>
      <w:r w:rsidRPr="00E60BE5">
        <w:rPr>
          <w:rFonts w:ascii="Garamond" w:hAnsi="Garamond" w:cs="Times New Roman"/>
          <w:color w:val="000000"/>
          <w:sz w:val="24"/>
          <w:szCs w:val="24"/>
        </w:rPr>
        <w:t>c” fjalët “fillimit të vitit të katërt të” zëvendësohen me fjalët “zgjatjes së”.</w:t>
      </w:r>
    </w:p>
    <w:p w14:paraId="6266D27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DA3FA2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7</w:t>
      </w:r>
    </w:p>
    <w:p w14:paraId="36C0F12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F135F9" w14:textId="5FC318F2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14 bëhen ndryshimet si më poshtë:</w:t>
      </w:r>
    </w:p>
    <w:p w14:paraId="7A0BD71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1 fjalitë “Afati i vlefshmërisë mund të zgjatet 2 herë me kërkesë të zotëruesit të lejes. Çdo zgjatje ka afat 1-vjeçar.” zëvendësohen me fjalinë “Afati i vlefshmërisë mund të zgjatet 1 herë me kërkesë të zotëruesit të lejes, për një periudhë 1-vjeçare”.</w:t>
      </w:r>
    </w:p>
    <w:p w14:paraId="37E66D8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Në pikën 4 fjalia e fundit hiqet.</w:t>
      </w:r>
    </w:p>
    <w:p w14:paraId="1E052D7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7AECC8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8</w:t>
      </w:r>
    </w:p>
    <w:p w14:paraId="17E9591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E0CBA53" w14:textId="61DA97D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Në nenin 16, pika 2 ndryshohet si më poshtë: </w:t>
      </w:r>
    </w:p>
    <w:p w14:paraId="4945FD0D" w14:textId="2365974C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“2. Zgjatja e afatit miratohet në rast se zotëruesi i lejes së shfrytëzimit i ka plotësuar më parë detyrimet financiare, ka kryer investimet e parashikuara në programin e punës në përputhje me lejen e dhënë, paraqet një program pune shtesë, bindës për ministrin, për vazhdimin e mëtejshëm të veprimtarisë së shfrytëzimit dhe kur vazhdimi i shfrytëzimit nuk bie ndesh me projekte të tjera që kanë interes publik ose me planifikimin e shpalljes së zonave të reja të mbrojtura.”.</w:t>
      </w:r>
    </w:p>
    <w:p w14:paraId="1D09AA2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6D23AA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9</w:t>
      </w:r>
    </w:p>
    <w:p w14:paraId="1A208B8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D96A897" w14:textId="34BA52A3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17 në pikën 1, shkronja “d”, fjalët “procedurave të përcaktuara në këtë ligj” zëvendësohen me fjalët “pikës 1 të nenit 17/1 të këtij ligji”.</w:t>
      </w:r>
    </w:p>
    <w:p w14:paraId="47CE992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BD7119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Neni 10</w:t>
      </w:r>
    </w:p>
    <w:p w14:paraId="64CB8BB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D8B52EB" w14:textId="641F30BA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Në nenin 18 bëhen ndryshimet dhe shtesa e mëposhtme:</w:t>
      </w:r>
    </w:p>
    <w:p w14:paraId="64F8EB1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1. Në pikën 1 bëhen ndryshimi dhe shtesat si më poshtë:</w:t>
      </w:r>
    </w:p>
    <w:p w14:paraId="3C5FDCF3" w14:textId="636836AE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a) në shkronjën “b” fjalët “3 muaj” zëvendësohen me fjalët “6 muaj kalendarikë”; dhe fjalët “tremujorit përkatës” zëvendësohen me fjalët</w:t>
      </w:r>
      <w:r w:rsidR="00DA3336">
        <w:rPr>
          <w:rFonts w:ascii="Garamond" w:hAnsi="Garamond" w:cs="Times New Roman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sz w:val="24"/>
          <w:szCs w:val="24"/>
        </w:rPr>
        <w:t>“gjashtëmujorit përkatës kalendarik”</w:t>
      </w:r>
      <w:r w:rsidR="00EF30FF">
        <w:rPr>
          <w:rFonts w:ascii="Garamond" w:hAnsi="Garamond" w:cs="Times New Roman"/>
          <w:sz w:val="24"/>
          <w:szCs w:val="24"/>
        </w:rPr>
        <w:t>;</w:t>
      </w:r>
    </w:p>
    <w:p w14:paraId="19468889" w14:textId="532D474F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lastRenderedPageBreak/>
        <w:t xml:space="preserve">b) </w:t>
      </w:r>
      <w:r w:rsidR="00EF30FF">
        <w:rPr>
          <w:rFonts w:ascii="Garamond" w:hAnsi="Garamond" w:cs="Times New Roman"/>
          <w:sz w:val="24"/>
          <w:szCs w:val="24"/>
        </w:rPr>
        <w:t>n</w:t>
      </w:r>
      <w:r w:rsidRPr="00E60BE5">
        <w:rPr>
          <w:rFonts w:ascii="Garamond" w:hAnsi="Garamond" w:cs="Times New Roman"/>
          <w:sz w:val="24"/>
          <w:szCs w:val="24"/>
        </w:rPr>
        <w:t>ë shkronjën “c” pas fjalës “vit” shtohet fjala “kalendarik”</w:t>
      </w:r>
      <w:r w:rsidR="00EF30FF">
        <w:rPr>
          <w:rFonts w:ascii="Garamond" w:hAnsi="Garamond" w:cs="Times New Roman"/>
          <w:sz w:val="24"/>
          <w:szCs w:val="24"/>
        </w:rPr>
        <w:t>;</w:t>
      </w:r>
    </w:p>
    <w:p w14:paraId="48BECD88" w14:textId="09D43813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 xml:space="preserve">c) </w:t>
      </w:r>
      <w:r w:rsidR="00EF30FF">
        <w:rPr>
          <w:rFonts w:ascii="Garamond" w:hAnsi="Garamond" w:cs="Times New Roman"/>
          <w:sz w:val="24"/>
          <w:szCs w:val="24"/>
        </w:rPr>
        <w:t>n</w:t>
      </w:r>
      <w:r w:rsidRPr="00E60BE5">
        <w:rPr>
          <w:rFonts w:ascii="Garamond" w:hAnsi="Garamond" w:cs="Times New Roman"/>
          <w:sz w:val="24"/>
          <w:szCs w:val="24"/>
        </w:rPr>
        <w:t>ë shkronjën</w:t>
      </w:r>
      <w:r w:rsidR="00DA3336">
        <w:rPr>
          <w:rFonts w:ascii="Garamond" w:hAnsi="Garamond" w:cs="Times New Roman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color w:val="000000"/>
          <w:sz w:val="24"/>
          <w:szCs w:val="24"/>
        </w:rPr>
        <w:t>“ç” në fund shtohet paragrafi me këtë përmbajtje:</w:t>
      </w:r>
    </w:p>
    <w:p w14:paraId="530FC6B0" w14:textId="1CCE605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“Për lejet e shfrytëzimit me tri koordinata, subjektet duhet të paraqesin planin vjetor të punës, të hartuar në përputhje dhe të harmonizuar në kohë me të drejtat dhe detyrimet e përcaktuara në lejen e tij minerare për çdo vit, jo më vonë se 30 ditë kalendarike përpara përfundimit të vitit kalendarik.”.</w:t>
      </w:r>
    </w:p>
    <w:p w14:paraId="61FDA8A0" w14:textId="02F9A6FD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Pika 3 shfuqizohet.</w:t>
      </w:r>
    </w:p>
    <w:p w14:paraId="5B3AF7C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03FD46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11</w:t>
      </w:r>
    </w:p>
    <w:p w14:paraId="2BC5123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259BAA7" w14:textId="3152E5B1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19, pika 4 ndryshohet si më poshtë:</w:t>
      </w:r>
    </w:p>
    <w:p w14:paraId="339FDA22" w14:textId="4D6A4BCF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“4. Leja e kërkim-zbulimit ka afat vlefshmërie 1 (një) vit nga hyrja në fuqi e saj, me të drejtë shtyrjeje për 1 (një) vit, me sipërfaqe jo më shumë se 50% të sipërfaqes fillestare.”. </w:t>
      </w:r>
    </w:p>
    <w:p w14:paraId="168017A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B19331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12</w:t>
      </w:r>
    </w:p>
    <w:p w14:paraId="20C9109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C8EE6B2" w14:textId="354F5FC8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20, në pikën 1 shkronja “b” ndryshohet si më poshtë:</w:t>
      </w:r>
    </w:p>
    <w:p w14:paraId="1C29CCFF" w14:textId="1F3C689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“b) t’i paraqesë strukturës përgjegjëse, në përfundim të afatit të vlefshmërisë së lejes, raportin gjeologjik tekniko</w:t>
      </w:r>
      <w:r w:rsidR="005D3B49">
        <w:rPr>
          <w:rFonts w:ascii="Garamond" w:hAnsi="Garamond" w:cs="Times New Roman"/>
          <w:color w:val="000000"/>
          <w:sz w:val="24"/>
          <w:szCs w:val="24"/>
        </w:rPr>
        <w:t>-</w:t>
      </w:r>
      <w:r w:rsidRPr="00E60BE5">
        <w:rPr>
          <w:rFonts w:ascii="Garamond" w:hAnsi="Garamond" w:cs="Times New Roman"/>
          <w:color w:val="000000"/>
          <w:sz w:val="24"/>
          <w:szCs w:val="24"/>
        </w:rPr>
        <w:t>ekonomik me një informacion të detajuar për punimet e kryera në zonën e lejuar, investimet e realizuara, rezultatet e provave të marra, sasinë e rezervave dhe materialin grafik ilustrues.”.</w:t>
      </w:r>
    </w:p>
    <w:p w14:paraId="0AAA075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7E7562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13</w:t>
      </w:r>
    </w:p>
    <w:p w14:paraId="40E060E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AF20568" w14:textId="38E79FDF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22, pika 3 ndryshohet si më poshtë:</w:t>
      </w:r>
    </w:p>
    <w:p w14:paraId="245B186F" w14:textId="6B840EC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“3. Shfrytëzimi i karrierave për qëllime publike vendore ose kombëtare, sipas përcaktimeve të nenit 23 të këtij ligji, bëhet nga subjekti ose subjektet e krijuara nga njësia e qeverisjes vendore, në pronësi dhe në juridiksionin e së cilës ndodhet karriera ose subjekti apo subjektet pjesëmarrëse në realizimin e projektit, të cilat kanë</w:t>
      </w:r>
      <w:r w:rsidR="00DA33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color w:val="000000"/>
          <w:sz w:val="24"/>
          <w:szCs w:val="24"/>
        </w:rPr>
        <w:t>fituar të drejtën e realizimit të projektit me rëndësi kombëtare, por vetëm pas pajisjes së tyre me leje shfrytëzimi, sipas procedurave të këtij ligji.”.</w:t>
      </w:r>
    </w:p>
    <w:p w14:paraId="55C5136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486D97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14</w:t>
      </w:r>
    </w:p>
    <w:p w14:paraId="4450C1A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92127CF" w14:textId="2F52056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23, në pikat 1, 3 dhe 5 fjalët “ose subjektit, i cili ka fituar të drejtën e realizimit të projektit me rëndësi kombëtare” zëvendësohen me fjalët “subjektet pjesëmarrëse në realizimin e projektit, të cilat kanë fituar të drejtën e realizimit të projektit me rëndësi kombëtare”.</w:t>
      </w:r>
    </w:p>
    <w:p w14:paraId="380126B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F37E1C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15</w:t>
      </w:r>
    </w:p>
    <w:p w14:paraId="3DDD3CD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B743B74" w14:textId="0146497D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24 bëhen ndryshimet si më poshtë:</w:t>
      </w:r>
    </w:p>
    <w:p w14:paraId="277BB19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1 fjalët “të përcaktuar, dhe” hiqen.</w:t>
      </w:r>
    </w:p>
    <w:p w14:paraId="0C1F9F8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2. Në pikën 6 fjalët “është subjekt i një shtese” zëvendësohen me fjalët “me të drejtë shtyrjeje”. </w:t>
      </w:r>
    </w:p>
    <w:p w14:paraId="3438F1B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79CC46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16</w:t>
      </w:r>
    </w:p>
    <w:p w14:paraId="2426961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7594D9E" w14:textId="43C2159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25 bëhen shtesat dhe ndryshimet si më poshtë:</w:t>
      </w:r>
    </w:p>
    <w:p w14:paraId="7B91BC5A" w14:textId="2F2FC9D9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shkronjën “b” fjalët “3 muaj” zëvendësohen me fjalët “6 muaj kalendarikë”; dhe fjalët “tremujorit përkatës” zëvendësohen me fjalët</w:t>
      </w:r>
      <w:r w:rsidR="00DA33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color w:val="000000"/>
          <w:sz w:val="24"/>
          <w:szCs w:val="24"/>
        </w:rPr>
        <w:t>“gjashtëmujorit përkatës kalendarik”.</w:t>
      </w:r>
    </w:p>
    <w:p w14:paraId="6B9D5B4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2. Në shkronjën “c” pas fjalës “vit” shtohet fjala “kalendarik”.</w:t>
      </w:r>
    </w:p>
    <w:p w14:paraId="047AC9D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3. Shkronja “d” ndryshohet si më poshtë:</w:t>
      </w:r>
    </w:p>
    <w:p w14:paraId="3A9E4600" w14:textId="3D62565E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lastRenderedPageBreak/>
        <w:t>“d) të njoftojë ose të japë informacione dhe shpjegime, jo më pak se 1 vit para, nëse kërkon të ndërpresë veprimtarinë e prodhimit në zonën e lejuar;”.</w:t>
      </w:r>
    </w:p>
    <w:p w14:paraId="6FA7E44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4. Pas shkronjës “d” shtohen shkronjat “dh”, “e”, “ë”, “f” dhe paragrafi i fundit me këtë përmbajtje:</w:t>
      </w:r>
    </w:p>
    <w:p w14:paraId="456E028B" w14:textId="5933548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“dh) të njoftojë jo më pak se 90 ditë kalendarike më parë nëse kërkon ta pezullojë përkohësisht veprimtarinë e shfrytëzimit në zonën e lejuar;</w:t>
      </w:r>
    </w:p>
    <w:p w14:paraId="286461D1" w14:textId="7F2F2C8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e) të njoftojë jo më pak se 30 ditë kalendarike më parë nëse kërkon ta zvogëlojë më shumë se 20 për qind sasinë e prodhimit të parashikuar në planin e miratuar të prodhimit, pjesë e lejes përkatëse;</w:t>
      </w:r>
    </w:p>
    <w:p w14:paraId="2E09682B" w14:textId="0FC65FB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ë) t’i raportojë strukturës përgjegjëse, në përfundim të afatit të së drejtës së shfrytëzimit, me një informacion të hollësishëm, siç parashikohet në aktet nënligjore të miratuara nga ministri, për investimet e realizuara gjatë shfrytëzimit, për punimet minerare të kryera në zonën e tij të lejuar, shoqëruar me vizatimet inxhinierike;</w:t>
      </w:r>
    </w:p>
    <w:p w14:paraId="39EDF9E9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f) të ketë personel të kualifikuar teknik gjatë gjithë kohëzgjatjes së lejes së shfrytëzimit.</w:t>
      </w:r>
    </w:p>
    <w:p w14:paraId="055EE5CF" w14:textId="73B4A1D4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Njoftimi, sipas shkronjave “d”, “dh” dhe “e” të këtij neni, duhet të përmbajë një informacion të hollësishëm për arsyet e pushimit, pezullimit ose të uljes së prodhimit.”.</w:t>
      </w:r>
    </w:p>
    <w:p w14:paraId="24A2F7C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B07CB3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Neni 17</w:t>
      </w:r>
    </w:p>
    <w:p w14:paraId="150B822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1B07B72" w14:textId="01483ABF" w:rsidR="003F183D" w:rsidRPr="003F183D" w:rsidRDefault="003F183D" w:rsidP="003F183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</w:rPr>
      </w:pPr>
      <w:r w:rsidRPr="003F183D">
        <w:rPr>
          <w:rFonts w:ascii="Garamond" w:hAnsi="Garamond" w:cs="Times New Roman"/>
          <w:sz w:val="24"/>
        </w:rPr>
        <w:t>Në nenin 27, pika 2, shkronja “a”, fjalët “3 muaj” zëvendësohen me fjalët “6 muaj kalendarikë”; dhe fjalët “tremujorit përkatës” zëvendësohen me fjalët “gjashtëmujorit përkatës kalendarik.</w:t>
      </w:r>
    </w:p>
    <w:p w14:paraId="7D100782" w14:textId="77777777" w:rsidR="0042591C" w:rsidRDefault="0042591C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577878A6" w14:textId="3E37C868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18</w:t>
      </w:r>
    </w:p>
    <w:p w14:paraId="43B9670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AB32308" w14:textId="18A812B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29 bëhen ndryshimet dhe shtesa e mëposhtme:</w:t>
      </w:r>
    </w:p>
    <w:p w14:paraId="79A326E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1. Në pikën 1 bëhen ndryshimet dhe shtesa si më poshtë: </w:t>
      </w:r>
    </w:p>
    <w:p w14:paraId="0317F9DC" w14:textId="336A651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a) fjalia e parë ndryshohet si më poshtë:</w:t>
      </w:r>
    </w:p>
    <w:p w14:paraId="288648B3" w14:textId="2C6D0DD2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“Lejet minerare, të parashikuara në kreun III të këtij ligji, u jepen subjekteve, personave juridikë, që:”</w:t>
      </w:r>
    </w:p>
    <w:p w14:paraId="429FB5C5" w14:textId="3F2F7A92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b) Në fund të shkronjës “c” shtohen fjalët “ose kanë bashkëpunim me një subjekt tjetër me përvojë në fushën minerare.”.</w:t>
      </w:r>
    </w:p>
    <w:p w14:paraId="08F6EC8F" w14:textId="65A75469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Në pikën 3 fjalët “dhe “ë”” hiqen.</w:t>
      </w:r>
    </w:p>
    <w:p w14:paraId="03DDCFC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41BEC6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6F7947C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19</w:t>
      </w:r>
    </w:p>
    <w:p w14:paraId="1AC4985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315B1E8" w14:textId="5C2B3AF8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30 bëhen ndryshimet si më poshtë:</w:t>
      </w:r>
    </w:p>
    <w:p w14:paraId="0306D7D7" w14:textId="2E8CEEBA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4 fjalët “që përfshijnë shfrytëzimin” zëvendësohen me fjalët</w:t>
      </w:r>
      <w:r w:rsidR="00DA33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color w:val="000000"/>
          <w:sz w:val="24"/>
          <w:szCs w:val="24"/>
        </w:rPr>
        <w:t>“minerare të kërkim-zbulimit, kërkim-zbulim-shfrytëzimit apo të shfrytëzimit”.</w:t>
      </w:r>
    </w:p>
    <w:p w14:paraId="08661FC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Në pikën 8 fjalët “që përfshijnë shfrytëzimin” zëvendësohen me fjalët “e shfrytëzimit dhe kërkim-zbulim-shfrytëzimit”.</w:t>
      </w:r>
    </w:p>
    <w:p w14:paraId="1C23331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3. Në pikën 9 fjalët “që përfshijnë kërkim-zbulimin” hiqen.</w:t>
      </w:r>
    </w:p>
    <w:p w14:paraId="0D6B3C2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5EEFB8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20</w:t>
      </w:r>
    </w:p>
    <w:p w14:paraId="1C35658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785D2CD" w14:textId="3DC3606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31 bëhen ndryshimet e mëposhtme:</w:t>
      </w:r>
    </w:p>
    <w:p w14:paraId="11F44EE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Në pikën 2 bëhen ndryshimet si më poshtë:</w:t>
      </w:r>
    </w:p>
    <w:p w14:paraId="648410E4" w14:textId="5EF048C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a) në fjalinë e dytë fjalët “çdo vit” hiqen</w:t>
      </w:r>
      <w:r w:rsidR="00282610">
        <w:rPr>
          <w:rFonts w:ascii="Garamond" w:hAnsi="Garamond" w:cs="Times New Roman"/>
          <w:color w:val="000000"/>
          <w:sz w:val="24"/>
          <w:szCs w:val="24"/>
        </w:rPr>
        <w:t>;</w:t>
      </w: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988E946" w14:textId="4324D98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b) në fjalinë e tretë fjalët “Kjo vlerë” zëvendësohen me fjalët “Vlera e saj llogaritet në 10 për qind të vlerës totale të investimit”</w:t>
      </w:r>
      <w:r w:rsidR="00282610">
        <w:rPr>
          <w:rFonts w:ascii="Garamond" w:hAnsi="Garamond" w:cs="Times New Roman"/>
          <w:color w:val="000000"/>
          <w:sz w:val="24"/>
          <w:szCs w:val="24"/>
        </w:rPr>
        <w:t>;</w:t>
      </w: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469F23A" w14:textId="2A3FB46B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c) në fjalinë e katërt fjalët</w:t>
      </w:r>
      <w:r w:rsidR="00DA33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color w:val="000000"/>
          <w:sz w:val="24"/>
          <w:szCs w:val="24"/>
        </w:rPr>
        <w:t>“dhe vlera e investimit me afatet për lejet e shfrytëzimit” hiqen.</w:t>
      </w:r>
    </w:p>
    <w:p w14:paraId="33EA22B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lastRenderedPageBreak/>
        <w:t>2. Në pikën 3 fjalët “20 ditëve” zëvendësohen me fjalët “30 ditëve”.</w:t>
      </w:r>
    </w:p>
    <w:p w14:paraId="5A4D2A7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3. Pikat 9 dhe 10 ndryshohen si më poshtë:</w:t>
      </w:r>
    </w:p>
    <w:p w14:paraId="296D767E" w14:textId="5137507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“9. Vlera e garancisë financiare për realizimin e investimit për lejet e kërkim-zbulimit i kthehet zotëruesit të lejes në fundin e periudhës së investimeve të përcaktuara sipas programit minimal të punës, kur vlera e investimit është realizuar mbi 90 për qind dhe brenda afatit kohor të parashikuar, pas hartimit të raportit të detajuar të strukturave përgjegjëse e të miratuar nga ministria.</w:t>
      </w:r>
    </w:p>
    <w:p w14:paraId="084F9DD2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Kthimi i plotë i garancisë financiare të investimit bëhet kur investimi është realizuar 100 për qind dhe brenda afatit kohor të parashikuar.</w:t>
      </w:r>
    </w:p>
    <w:p w14:paraId="78B8583C" w14:textId="5411F75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Kthimi i pjesshëm i garancisë financiare të investimit bëhet kur vlera e investimit është realizuar brenda afatit dhe në nivelin mbi 90 për qind. Në këtë rast kthimi i pjesshëm i garancisë financiare të investimit bëhet në përputhje me përqindjen e realizimit të investimit.</w:t>
      </w:r>
    </w:p>
    <w:p w14:paraId="3E313E3B" w14:textId="3B1A76D4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10. Kur zotëruesi i lejes minerare të kërkim-zbulimit ka dështuar në përmbushjen e kushteve të përcaktuara në paragrafin e parë të pikës 9 të këtij neni, atëherë vlera e plotë e garancisë financiare të investimit kalon në favor të shtetit.</w:t>
      </w:r>
    </w:p>
    <w:p w14:paraId="1CD65CC9" w14:textId="758E216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Miratimi i formës, i rasteve të kthimit dhe i mënyrës së llogaritjes të garancive financiare përcaktohet nga Këshilli i Ministrave.”.</w:t>
      </w:r>
    </w:p>
    <w:p w14:paraId="66B23B9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EA45BDB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Neni 21</w:t>
      </w:r>
    </w:p>
    <w:p w14:paraId="4E33842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264B826" w14:textId="34CABDEA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Në nenin 34, pika 6 ndryshohet si më poshtë:</w:t>
      </w:r>
    </w:p>
    <w:p w14:paraId="1861CC3E" w14:textId="626A28D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 xml:space="preserve">“6. Në rastet kur në veprimtarinë minerare të një zonë të lejuar minerare krijohen probleme në marrëdhënie me pronarin e tokës, sipërfaqja e zonës së lejuar të lejes minerare shpronësohet. Kriteret dhe procedura e shpronësimit përcaktohen në përputhje me kërkesat e legjislacionit në fuqi për shpronësimet me interes publik. </w:t>
      </w:r>
    </w:p>
    <w:p w14:paraId="7AE52982" w14:textId="01AB22AD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Në këtë rast zotëruesi i lejes minerare duhet të aplikojë brenda 30 ditëve për shpronësimin e sipërfaqes përkatëse.</w:t>
      </w:r>
    </w:p>
    <w:p w14:paraId="08D79652" w14:textId="6B9735E1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Ministria ka të drejtë të pezullojë lejen minerare në rast se vërtetohet se problematika e marrëdhënies së tokës është e tillë që pengon ushtrimin e të drejtës minerare. Pezullimi vijon deri në përfundimin e procedurave të shpronësimit ose vendimit të formës së prerë të gjykatës që përcakton vlerën e dëmit.”.</w:t>
      </w:r>
    </w:p>
    <w:p w14:paraId="0156288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D2917F9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Neni 22</w:t>
      </w:r>
    </w:p>
    <w:p w14:paraId="2960ACD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C8970D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Në nenin 35 në pikën 3 në fund shtohen paragrafët si më poshtë:</w:t>
      </w:r>
    </w:p>
    <w:p w14:paraId="5FBAC99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“Në rastet kur në veprimtarinë minerare të një zone të lejuar minerare krijohen probleme në marrëdhënie me pronarin e tokës së pronës fqinje, kjo sipërfaqe mund të shpronësohet. Kriteret dhe procedura e shpronësimit përcaktohen në përputhje me kërkesat e legjislacionit në fuqi për shpronësimet me interes publik.</w:t>
      </w:r>
    </w:p>
    <w:p w14:paraId="3E42AEBB" w14:textId="22FAF319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60BE5">
        <w:rPr>
          <w:rFonts w:ascii="Garamond" w:hAnsi="Garamond" w:cs="Times New Roman"/>
          <w:sz w:val="24"/>
          <w:szCs w:val="24"/>
        </w:rPr>
        <w:t>Ministria ka të drejtë të pezullojë lejen minerare në rast se vërtetohet se problematika e marrëdhënies së tokës është e tillë që pengon ushtrimin e të drejtës minerare. Pezullimi vijon deri në përfundimin e procedurave të shpronësimit ose vendimit të formës së prerë të gjykatës që përcakton vlerën e dëmit.”.</w:t>
      </w:r>
    </w:p>
    <w:p w14:paraId="1F360A0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72AD2E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23</w:t>
      </w:r>
    </w:p>
    <w:p w14:paraId="40E9E28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7A328A2" w14:textId="0C1F684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40, pika 2, pas fjalës “mineralit” shtohet fjala “të thatë”.</w:t>
      </w:r>
    </w:p>
    <w:p w14:paraId="795AAA69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6487D00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24</w:t>
      </w:r>
    </w:p>
    <w:p w14:paraId="45F0306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A7DE398" w14:textId="588CB75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41 ndryshohet si më poshtë:</w:t>
      </w:r>
    </w:p>
    <w:p w14:paraId="3A91019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7F66FEB" w14:textId="49947040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lastRenderedPageBreak/>
        <w:t>“Neni 41</w:t>
      </w:r>
    </w:p>
    <w:p w14:paraId="74306C73" w14:textId="7CD4BA6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Transferimi i të drejtave minerare nga zotëruesi</w:t>
      </w:r>
    </w:p>
    <w:p w14:paraId="00BD6F1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7E5A993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1. Lejet minerare, të dhëna sipas procedurave konkurruese, janë të transferueshme vetëm pas një periudhe 5-vjeçare nga data e dhënies së lejes dhe transferohen vetëm pas miratimit paraprak të ministrit. Çdo transferim i kryer pa miratimin paraprak është i pavlefshëm. Lejet minerare për të cilat është përfunduar një marrëveshje lehtësuese nuk janë të transferueshme.</w:t>
      </w:r>
    </w:p>
    <w:p w14:paraId="7F046EE9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2. Lejet e tjera minerare, të dhëna sipas procedurave të ligjit nr. 7796, datë 17.2.1994, “Ligji minerar i Shqipërisë”, të ndryshuar, janë të transferueshme vetëm pas miratimit paraprak nga ministri. Çdo transferim i kryer pa miratimin paraprak është i pavlefshëm.</w:t>
      </w:r>
    </w:p>
    <w:p w14:paraId="274FD59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3. Miratimi ose refuzimi i ministrit, sipas pikave 1 dhe 2 të këtij neni, bëhet brenda një afati prej 60 ditësh kalendarike nga data e paraqitjes së kërkesës së transferimit nga zotëruesi i lejes minerare.</w:t>
      </w:r>
    </w:p>
    <w:p w14:paraId="54DE9844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4. Kriteret dhe rregullat e transferimit përcaktohen nga Këshilli i Ministrave.</w:t>
      </w:r>
    </w:p>
    <w:p w14:paraId="3F3E97B9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5. Akti i transferimit depozitohet pranë strukturës përgjegjëse dhe transferimi regjistrohet në Regjistrin Kombëtar të Licencave dhe Lejeve si ndryshime të titullit të lejes, duke e plotësuar me të dhënat e identifikimit të zotëruesit të ri. Data e transferimit është data e regjistrimit. Akti i transferimit depozitohet edhe në regjistrin minerar.</w:t>
      </w:r>
    </w:p>
    <w:p w14:paraId="04D338D2" w14:textId="10E8E516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6. Ndërtimet dhe instalimet e tjera, që mbështesin operacionet kryesore, vlerësohen si veprimtari ndihmëse të pandashme të së drejtës minerare dhe transferohen bashkë me të.</w:t>
      </w:r>
    </w:p>
    <w:p w14:paraId="3637825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A902A56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25</w:t>
      </w:r>
    </w:p>
    <w:p w14:paraId="57B4D9D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015FA93" w14:textId="7E073AE2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Në nenin 57, pika 2 ndryshohet si më poshtë:</w:t>
      </w:r>
    </w:p>
    <w:p w14:paraId="4725EA3C" w14:textId="54BD5949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“2. Për të drejtat minerare të fituara në bazë të ligjit nr. 7796, datë 17.2.1994, “Ligji minerar i Shqipërisë”, të ndryshuar, sipërfaqja e zonës së lejuar dhe afati i miratuar nuk ndryshojnë me hyrjen në fuqi të këtij ligji deri në përfundim të afatit të miratuar. </w:t>
      </w:r>
    </w:p>
    <w:p w14:paraId="220082D1" w14:textId="2723D094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Zotëruesi i lejes së shfrytëzimit të grupit të mineraleve metalore ka të drejtën e shtyrjes së afatit të vlefshmërisë dy herë: shtesa e parë me të drejtë shtyrjeje 10 vjet dhe shtesa e dytë me të drejtë shtyrjeje 5 vjet, me kusht që kjo shtyrje të kërkohet çdo herë të paktën 365 ditë kalendarike para përfundimit të afatit të vlefshmërisë.</w:t>
      </w:r>
    </w:p>
    <w:p w14:paraId="17DE2E8D" w14:textId="5A644575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Zotëruesi i lejes së shfrytëzimit të grupit të mineraleve ndërtimore ka të drejtën e shtyrjes së afatit të vlefshmërisë tri herë: shtesa e parë me të drejtë shtyrjeje 10 vjet, shtesa e dytë me të drejtë shtyrjeje 10 vjet dhe shtesa e tretë me të drejtë shtyrjeje 5 vjet, me kusht që kjo shtyrje të kërkohet çdo herë të paktën 180 ditë kalendarike para përfundimit të afatit të vlefshmërisë.</w:t>
      </w:r>
    </w:p>
    <w:p w14:paraId="1648A48F" w14:textId="3D400F9E" w:rsidR="001F7CC5" w:rsidRPr="00E60BE5" w:rsidRDefault="00DA3336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F7CC5" w:rsidRPr="00E60BE5">
        <w:rPr>
          <w:rFonts w:ascii="Garamond" w:hAnsi="Garamond" w:cs="Times New Roman"/>
          <w:color w:val="000000"/>
          <w:sz w:val="24"/>
          <w:szCs w:val="24"/>
        </w:rPr>
        <w:t>Afati i aplikimit është prekluziv dhe me kalimin e këtij afati zotëruesi i lejes minerare humbet të drejtën e aplikimit për shtyrje të afatit të lejes së shfrytëzimit.</w:t>
      </w:r>
    </w:p>
    <w:p w14:paraId="07237EA1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 xml:space="preserve">Në çdo rast të kërkesës për shtyrje të afatit të vlefshmërisë, zotëruesi i lejes së shfrytëzimit duhet të paraqesë për shqyrtim pranë strukturës përgjegjëse një plan të hollësishëm me afate për zhvillimin e veprimtarisë minerare, në bazë të kërkesave të legjislacionit minerar në fuqi. Ky plan përfshin tërësinë e dokumentacionit teknik, ekonomik, financiar, social, mjedisor, si dhe vlerën e investimit me afatet për lejet e shfrytëzimit, duke garantuar financimin për realizimin e tij. </w:t>
      </w:r>
    </w:p>
    <w:p w14:paraId="4212D005" w14:textId="564D33F2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Plani miratohet nga strukturat përgjegjëse jo më vonë se 30 ditë nga data e paraqitjes së tij. Në rast mosmiratimi, struktura përgjegjëse e njofton zotëruesin e lejes minerare për arsyet e këtij mosmiratimi. Përmbajtja e planit të punës dhe dokumentet e tjera të nevojshme që e shoqërojnë duhet të jenë në përputhje me aktet nënligjore të miratuara nga ministri.”.</w:t>
      </w:r>
    </w:p>
    <w:p w14:paraId="66C32CA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894DE87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26</w:t>
      </w:r>
    </w:p>
    <w:p w14:paraId="3229D568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Aktet nënligjore</w:t>
      </w:r>
    </w:p>
    <w:p w14:paraId="09ECD3FF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D8D8F9D" w14:textId="77A3FDBE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Ngarkohet Këshilli i Ministrave që brenda 6 muajve nga hyrja në fuqi e këtij ligji të nxjerrë aktet nënligjore në zbatim të neneve</w:t>
      </w:r>
      <w:r w:rsidR="00DA33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60BE5">
        <w:rPr>
          <w:rFonts w:ascii="Garamond" w:hAnsi="Garamond" w:cs="Times New Roman"/>
          <w:color w:val="000000"/>
          <w:sz w:val="24"/>
          <w:szCs w:val="24"/>
        </w:rPr>
        <w:t>20, pika 3, dhe 24, pika 4, të tij.</w:t>
      </w:r>
    </w:p>
    <w:p w14:paraId="1ACB59C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6409FD5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Neni 27</w:t>
      </w:r>
    </w:p>
    <w:p w14:paraId="4BE92652" w14:textId="0006FC8F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Hyrja në fuqi</w:t>
      </w:r>
    </w:p>
    <w:p w14:paraId="7840751C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BD99EFE" w14:textId="0F79BA34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Ky ligj hyn në fuqi 15 ditë pas botimit në Fletoren Zyrtare.</w:t>
      </w:r>
    </w:p>
    <w:p w14:paraId="5B93895A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4AEDC53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KRYETAR</w:t>
      </w:r>
    </w:p>
    <w:p w14:paraId="53474E1E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60BE5">
        <w:rPr>
          <w:rFonts w:ascii="Garamond" w:hAnsi="Garamond" w:cs="Times New Roman"/>
          <w:b/>
          <w:bCs/>
          <w:color w:val="000000"/>
          <w:sz w:val="24"/>
          <w:szCs w:val="24"/>
        </w:rPr>
        <w:t>Gramoz Ruçi</w:t>
      </w:r>
    </w:p>
    <w:p w14:paraId="77BA49BD" w14:textId="77777777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638A70D" w14:textId="2EEA5BAA" w:rsidR="001F7CC5" w:rsidRPr="00E60BE5" w:rsidRDefault="001F7CC5" w:rsidP="001F7C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60BE5">
        <w:rPr>
          <w:rFonts w:ascii="Garamond" w:hAnsi="Garamond" w:cs="Times New Roman"/>
          <w:color w:val="000000"/>
          <w:sz w:val="24"/>
          <w:szCs w:val="24"/>
        </w:rPr>
        <w:t>Miratuar në datën 20.5.2021</w:t>
      </w:r>
      <w:r w:rsidR="00743B89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510A934" w14:textId="77777777" w:rsidR="001F7CC5" w:rsidRPr="00E60BE5" w:rsidRDefault="001F7CC5" w:rsidP="001F7CC5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0E60D56" w14:textId="5A20779B" w:rsidR="00213234" w:rsidRPr="00E60BE5" w:rsidRDefault="00213234" w:rsidP="001F7CC5"/>
    <w:sectPr w:rsidR="00213234" w:rsidRPr="00E60BE5" w:rsidSect="000B38F3">
      <w:footerReference w:type="default" r:id="rId12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33F55" w14:textId="77777777" w:rsidR="00A91FA6" w:rsidRDefault="00A91FA6" w:rsidP="00420682">
      <w:pPr>
        <w:spacing w:after="0" w:line="240" w:lineRule="auto"/>
      </w:pPr>
      <w:r>
        <w:separator/>
      </w:r>
    </w:p>
  </w:endnote>
  <w:endnote w:type="continuationSeparator" w:id="0">
    <w:p w14:paraId="2E209CC4" w14:textId="77777777" w:rsidR="00A91FA6" w:rsidRDefault="00A91FA6" w:rsidP="00420682">
      <w:pPr>
        <w:spacing w:after="0" w:line="240" w:lineRule="auto"/>
      </w:pPr>
      <w:r>
        <w:continuationSeparator/>
      </w:r>
    </w:p>
  </w:endnote>
  <w:endnote w:type="continuationNotice" w:id="1">
    <w:p w14:paraId="6BC172C1" w14:textId="77777777" w:rsidR="00A91FA6" w:rsidRDefault="00A91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25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81DF7B4" w14:textId="6A485906" w:rsidR="00E60BE5" w:rsidRPr="000B38F3" w:rsidRDefault="00E60BE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B38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B38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B38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3B8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B38F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F9D9C89" w14:textId="77777777" w:rsidR="00E60BE5" w:rsidRDefault="00E60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92D9B" w14:textId="77777777" w:rsidR="00A91FA6" w:rsidRDefault="00A91FA6" w:rsidP="00420682">
      <w:pPr>
        <w:spacing w:after="0" w:line="240" w:lineRule="auto"/>
      </w:pPr>
      <w:r>
        <w:separator/>
      </w:r>
    </w:p>
  </w:footnote>
  <w:footnote w:type="continuationSeparator" w:id="0">
    <w:p w14:paraId="2D0BA563" w14:textId="77777777" w:rsidR="00A91FA6" w:rsidRDefault="00A91FA6" w:rsidP="00420682">
      <w:pPr>
        <w:spacing w:after="0" w:line="240" w:lineRule="auto"/>
      </w:pPr>
      <w:r>
        <w:continuationSeparator/>
      </w:r>
    </w:p>
  </w:footnote>
  <w:footnote w:type="continuationNotice" w:id="1">
    <w:p w14:paraId="1DB783B9" w14:textId="77777777" w:rsidR="00A91FA6" w:rsidRDefault="00A91FA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A7473"/>
    <w:rsid w:val="000B38F3"/>
    <w:rsid w:val="000D199E"/>
    <w:rsid w:val="000D7678"/>
    <w:rsid w:val="000E5BA6"/>
    <w:rsid w:val="000F031E"/>
    <w:rsid w:val="0010209B"/>
    <w:rsid w:val="00104540"/>
    <w:rsid w:val="00104EB6"/>
    <w:rsid w:val="00106F6D"/>
    <w:rsid w:val="0012550D"/>
    <w:rsid w:val="0014632D"/>
    <w:rsid w:val="00146D52"/>
    <w:rsid w:val="00153CC5"/>
    <w:rsid w:val="00155BCF"/>
    <w:rsid w:val="0016009F"/>
    <w:rsid w:val="001604E7"/>
    <w:rsid w:val="00166898"/>
    <w:rsid w:val="001816AF"/>
    <w:rsid w:val="00184B87"/>
    <w:rsid w:val="001860D8"/>
    <w:rsid w:val="0018759A"/>
    <w:rsid w:val="001942D4"/>
    <w:rsid w:val="001B653D"/>
    <w:rsid w:val="001B796E"/>
    <w:rsid w:val="001C0806"/>
    <w:rsid w:val="001C445C"/>
    <w:rsid w:val="001C5CDE"/>
    <w:rsid w:val="001C6A0A"/>
    <w:rsid w:val="001C7EC0"/>
    <w:rsid w:val="001D2895"/>
    <w:rsid w:val="001E0D8D"/>
    <w:rsid w:val="001E3307"/>
    <w:rsid w:val="001F117A"/>
    <w:rsid w:val="001F194A"/>
    <w:rsid w:val="001F7CC5"/>
    <w:rsid w:val="001F7DBC"/>
    <w:rsid w:val="002009A1"/>
    <w:rsid w:val="0020160E"/>
    <w:rsid w:val="0020170B"/>
    <w:rsid w:val="0020507F"/>
    <w:rsid w:val="00213234"/>
    <w:rsid w:val="00214854"/>
    <w:rsid w:val="0021715D"/>
    <w:rsid w:val="00233280"/>
    <w:rsid w:val="00233614"/>
    <w:rsid w:val="00236EF7"/>
    <w:rsid w:val="0024206A"/>
    <w:rsid w:val="00243B60"/>
    <w:rsid w:val="00266C06"/>
    <w:rsid w:val="00282610"/>
    <w:rsid w:val="002A47D7"/>
    <w:rsid w:val="002F5953"/>
    <w:rsid w:val="00313D24"/>
    <w:rsid w:val="0038331D"/>
    <w:rsid w:val="0039660C"/>
    <w:rsid w:val="00397541"/>
    <w:rsid w:val="003A38DC"/>
    <w:rsid w:val="003A63A5"/>
    <w:rsid w:val="003B25D4"/>
    <w:rsid w:val="003C48FF"/>
    <w:rsid w:val="003F183D"/>
    <w:rsid w:val="003F29A8"/>
    <w:rsid w:val="00402CEA"/>
    <w:rsid w:val="0041300C"/>
    <w:rsid w:val="00420682"/>
    <w:rsid w:val="0042591C"/>
    <w:rsid w:val="00427C7F"/>
    <w:rsid w:val="00433BCD"/>
    <w:rsid w:val="00445610"/>
    <w:rsid w:val="0045244B"/>
    <w:rsid w:val="00455BBA"/>
    <w:rsid w:val="00460BC4"/>
    <w:rsid w:val="00463576"/>
    <w:rsid w:val="004647DB"/>
    <w:rsid w:val="00477804"/>
    <w:rsid w:val="004A3A99"/>
    <w:rsid w:val="004A5884"/>
    <w:rsid w:val="004B12D2"/>
    <w:rsid w:val="004B3303"/>
    <w:rsid w:val="004B6ED9"/>
    <w:rsid w:val="004C2DFD"/>
    <w:rsid w:val="004C6D1B"/>
    <w:rsid w:val="004E3EEC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808FC"/>
    <w:rsid w:val="0059342C"/>
    <w:rsid w:val="005B6E3F"/>
    <w:rsid w:val="005D1AB1"/>
    <w:rsid w:val="005D3B49"/>
    <w:rsid w:val="005E0ED5"/>
    <w:rsid w:val="005E1B87"/>
    <w:rsid w:val="0060535D"/>
    <w:rsid w:val="0062077A"/>
    <w:rsid w:val="00621A17"/>
    <w:rsid w:val="006465EF"/>
    <w:rsid w:val="00646924"/>
    <w:rsid w:val="00663243"/>
    <w:rsid w:val="0067406E"/>
    <w:rsid w:val="00677E6C"/>
    <w:rsid w:val="006B3B9B"/>
    <w:rsid w:val="006D707C"/>
    <w:rsid w:val="006F2220"/>
    <w:rsid w:val="006F4D55"/>
    <w:rsid w:val="00703F6A"/>
    <w:rsid w:val="00714726"/>
    <w:rsid w:val="00726525"/>
    <w:rsid w:val="00736DC8"/>
    <w:rsid w:val="007403CF"/>
    <w:rsid w:val="00743B89"/>
    <w:rsid w:val="007502D2"/>
    <w:rsid w:val="00752A30"/>
    <w:rsid w:val="007654B3"/>
    <w:rsid w:val="00770FAD"/>
    <w:rsid w:val="00774741"/>
    <w:rsid w:val="0078109B"/>
    <w:rsid w:val="00792BBD"/>
    <w:rsid w:val="007A2E0E"/>
    <w:rsid w:val="007C083E"/>
    <w:rsid w:val="007C2C80"/>
    <w:rsid w:val="007C3DD4"/>
    <w:rsid w:val="007D742E"/>
    <w:rsid w:val="007E2515"/>
    <w:rsid w:val="007E3B57"/>
    <w:rsid w:val="00811138"/>
    <w:rsid w:val="008322BA"/>
    <w:rsid w:val="008370AC"/>
    <w:rsid w:val="00840462"/>
    <w:rsid w:val="0085472C"/>
    <w:rsid w:val="00861A18"/>
    <w:rsid w:val="008620E4"/>
    <w:rsid w:val="0086360A"/>
    <w:rsid w:val="008720AB"/>
    <w:rsid w:val="0087264B"/>
    <w:rsid w:val="00881A63"/>
    <w:rsid w:val="008914C1"/>
    <w:rsid w:val="00892C77"/>
    <w:rsid w:val="008A1646"/>
    <w:rsid w:val="008C15C7"/>
    <w:rsid w:val="008C51BA"/>
    <w:rsid w:val="008D12D7"/>
    <w:rsid w:val="00900D7B"/>
    <w:rsid w:val="0091014E"/>
    <w:rsid w:val="009104DF"/>
    <w:rsid w:val="00920748"/>
    <w:rsid w:val="00927E9A"/>
    <w:rsid w:val="00937509"/>
    <w:rsid w:val="00942F80"/>
    <w:rsid w:val="00970D95"/>
    <w:rsid w:val="00974717"/>
    <w:rsid w:val="00976A3C"/>
    <w:rsid w:val="00991D86"/>
    <w:rsid w:val="0099741A"/>
    <w:rsid w:val="009A6F98"/>
    <w:rsid w:val="009B56E7"/>
    <w:rsid w:val="009C39FC"/>
    <w:rsid w:val="00A06D12"/>
    <w:rsid w:val="00A15DE9"/>
    <w:rsid w:val="00A34D9D"/>
    <w:rsid w:val="00A431DD"/>
    <w:rsid w:val="00A50A7F"/>
    <w:rsid w:val="00A645A6"/>
    <w:rsid w:val="00A65604"/>
    <w:rsid w:val="00A77FB2"/>
    <w:rsid w:val="00A91D03"/>
    <w:rsid w:val="00A91FA6"/>
    <w:rsid w:val="00AA32E0"/>
    <w:rsid w:val="00AB0609"/>
    <w:rsid w:val="00AB46FF"/>
    <w:rsid w:val="00AB47C1"/>
    <w:rsid w:val="00AC2686"/>
    <w:rsid w:val="00AF0CE9"/>
    <w:rsid w:val="00B03A16"/>
    <w:rsid w:val="00B54D96"/>
    <w:rsid w:val="00B6427E"/>
    <w:rsid w:val="00B67778"/>
    <w:rsid w:val="00B8668D"/>
    <w:rsid w:val="00BA1706"/>
    <w:rsid w:val="00BA351A"/>
    <w:rsid w:val="00BA5571"/>
    <w:rsid w:val="00BB15C8"/>
    <w:rsid w:val="00BB6E4F"/>
    <w:rsid w:val="00BC6C1A"/>
    <w:rsid w:val="00BD4611"/>
    <w:rsid w:val="00C0118D"/>
    <w:rsid w:val="00C10624"/>
    <w:rsid w:val="00C207DE"/>
    <w:rsid w:val="00C4191B"/>
    <w:rsid w:val="00C446ED"/>
    <w:rsid w:val="00C60CAD"/>
    <w:rsid w:val="00C6573D"/>
    <w:rsid w:val="00C8615F"/>
    <w:rsid w:val="00C90FD7"/>
    <w:rsid w:val="00C9208F"/>
    <w:rsid w:val="00CA07C1"/>
    <w:rsid w:val="00CA0828"/>
    <w:rsid w:val="00CC1E81"/>
    <w:rsid w:val="00CC7CA2"/>
    <w:rsid w:val="00CF5B26"/>
    <w:rsid w:val="00D02766"/>
    <w:rsid w:val="00D23C4B"/>
    <w:rsid w:val="00D45AC2"/>
    <w:rsid w:val="00D60C6B"/>
    <w:rsid w:val="00D6425D"/>
    <w:rsid w:val="00D8386A"/>
    <w:rsid w:val="00D93168"/>
    <w:rsid w:val="00DA3336"/>
    <w:rsid w:val="00DA56D4"/>
    <w:rsid w:val="00DC03DB"/>
    <w:rsid w:val="00DC0BDC"/>
    <w:rsid w:val="00E32B8C"/>
    <w:rsid w:val="00E35AA3"/>
    <w:rsid w:val="00E370B3"/>
    <w:rsid w:val="00E452DA"/>
    <w:rsid w:val="00E535BD"/>
    <w:rsid w:val="00E60BE5"/>
    <w:rsid w:val="00E6234F"/>
    <w:rsid w:val="00E72BC5"/>
    <w:rsid w:val="00E76B9D"/>
    <w:rsid w:val="00E83E25"/>
    <w:rsid w:val="00EC55E7"/>
    <w:rsid w:val="00EC57E8"/>
    <w:rsid w:val="00ED527D"/>
    <w:rsid w:val="00ED6F9B"/>
    <w:rsid w:val="00ED7D53"/>
    <w:rsid w:val="00EE60BE"/>
    <w:rsid w:val="00EE7E5D"/>
    <w:rsid w:val="00EF30FF"/>
    <w:rsid w:val="00F07F7F"/>
    <w:rsid w:val="00F234B6"/>
    <w:rsid w:val="00F3338D"/>
    <w:rsid w:val="00F52125"/>
    <w:rsid w:val="00F537D2"/>
    <w:rsid w:val="00F630AC"/>
    <w:rsid w:val="00F84F9C"/>
    <w:rsid w:val="00F85679"/>
    <w:rsid w:val="00F87710"/>
    <w:rsid w:val="00FA1E01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5CAB"/>
  <w15:docId w15:val="{7943D847-FAA8-42A0-8283-8A99C2BA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8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F3"/>
  </w:style>
  <w:style w:type="paragraph" w:styleId="Footer">
    <w:name w:val="footer"/>
    <w:basedOn w:val="Normal"/>
    <w:link w:val="FooterChar"/>
    <w:uiPriority w:val="99"/>
    <w:unhideWhenUsed/>
    <w:rsid w:val="000B38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2021-07-05T13:23:16Z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2021-07-04T22:00:00Z</Date_x0020_protokolli>
    <Titulli xmlns="0e656187-b300-4fb0-8bf4-3a50f872073c">Për disa ndryshime dhe shtesa në ligjin nr. 10 304, datë 15.7.2010, “Për sektorin minerar në Republikën e Shqipërisë”, të ndryshuar</Titulli>
    <Modifikuesi xmlns="0e656187-b300-4fb0-8bf4-3a50f872073c">nevila.samarxhi</Modifikuesi>
    <Nr_x002e__x0020_prot_x0020_QBZ xmlns="0e656187-b300-4fb0-8bf4-3a50f872073c">990/1</Nr_x002e__x0020_prot_x0020_QBZ>
    <Data_x0020_e_x0020_Modifikimit xmlns="0e656187-b300-4fb0-8bf4-3a50f872073c">2021-07-05T13:30:00Z</Data_x0020_e_x0020_Modifikimit>
    <Dekretuar xmlns="0e656187-b300-4fb0-8bf4-3a50f872073c">false</Dekretuar>
    <Data xmlns="0e656187-b300-4fb0-8bf4-3a50f872073c">2021-05-19T22:00:00Z</Data>
    <Nr_x002e__x0020_protokolli_x0020_i_x0020_aktit xmlns="0e656187-b300-4fb0-8bf4-3a50f872073c">1526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5B92D9334744C3A034127DFDD0B2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5B92D9334744C3A034127DFDD0B2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76FC7-6CC8-4CA1-B404-F59BFCD0833B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176BA851-6CC3-4B86-B2C0-D3B6B351F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C0BE2-3EF2-40AC-A2E7-4CC61FE9C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C63AAFC-1B2B-46B2-8680-860101581B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05340C-020D-487D-B812-F8E21FB5B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82D4069-D65F-4BDC-B85C-FF19DF21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10 304, datë 15.7.2010, “Për sektorin minerar në Republikën e Shqipërisë”, të ndryshuar</vt:lpstr>
    </vt:vector>
  </TitlesOfParts>
  <Company/>
  <LinksUpToDate>false</LinksUpToDate>
  <CharactersWithSpaces>16212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10 304, datë 15.7.2010, “Për sektorin minerar në Republikën e Shqipërisë”, të ndryshuar</dc:title>
  <dc:creator>gazmend.hanku</dc:creator>
  <cp:lastModifiedBy>Rovena Lipe</cp:lastModifiedBy>
  <cp:revision>2</cp:revision>
  <cp:lastPrinted>2021-05-24T07:22:00Z</cp:lastPrinted>
  <dcterms:created xsi:type="dcterms:W3CDTF">2024-12-26T10:42:00Z</dcterms:created>
  <dcterms:modified xsi:type="dcterms:W3CDTF">2024-12-26T10:42:00Z</dcterms:modified>
</cp:coreProperties>
</file>