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F20E2"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b/>
          <w:bCs/>
          <w:color w:val="000000"/>
          <w:sz w:val="24"/>
          <w:szCs w:val="24"/>
        </w:rPr>
      </w:pPr>
      <w:r w:rsidRPr="000E1EB0">
        <w:rPr>
          <w:rFonts w:ascii="Garamond" w:hAnsi="Garamond" w:cs="Times New Roman"/>
          <w:b/>
          <w:bCs/>
          <w:color w:val="000000"/>
          <w:sz w:val="24"/>
          <w:szCs w:val="24"/>
        </w:rPr>
        <w:t>LIGJ</w:t>
      </w:r>
    </w:p>
    <w:p w14:paraId="6D6F20E3"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b/>
          <w:bCs/>
          <w:color w:val="000000"/>
          <w:sz w:val="24"/>
          <w:szCs w:val="24"/>
        </w:rPr>
      </w:pPr>
      <w:r w:rsidRPr="000E1EB0">
        <w:rPr>
          <w:rFonts w:ascii="Garamond" w:hAnsi="Garamond" w:cs="Times New Roman"/>
          <w:b/>
          <w:bCs/>
          <w:color w:val="000000"/>
          <w:sz w:val="24"/>
          <w:szCs w:val="24"/>
        </w:rPr>
        <w:t>Nr. 116/2021</w:t>
      </w:r>
    </w:p>
    <w:p w14:paraId="6D6F20E4"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p>
    <w:p w14:paraId="6D6F20E5" w14:textId="0CC46305" w:rsidR="009A4EC4" w:rsidRPr="000E1EB0" w:rsidRDefault="009A4EC4" w:rsidP="00046691">
      <w:pPr>
        <w:autoSpaceDE w:val="0"/>
        <w:autoSpaceDN w:val="0"/>
        <w:adjustRightInd w:val="0"/>
        <w:spacing w:after="0" w:line="240" w:lineRule="auto"/>
        <w:jc w:val="center"/>
        <w:rPr>
          <w:rFonts w:ascii="Garamond" w:hAnsi="Garamond" w:cs="Times New Roman"/>
          <w:b/>
          <w:bCs/>
          <w:color w:val="000000"/>
          <w:sz w:val="24"/>
          <w:szCs w:val="24"/>
        </w:rPr>
      </w:pPr>
      <w:r w:rsidRPr="000E1EB0">
        <w:rPr>
          <w:rFonts w:ascii="Garamond" w:hAnsi="Garamond" w:cs="Times New Roman"/>
          <w:b/>
          <w:bCs/>
          <w:color w:val="000000"/>
          <w:sz w:val="24"/>
          <w:szCs w:val="24"/>
        </w:rPr>
        <w:t>PËR RATIFIKIMIN E MARRËVESHJES SË FINANCIMIT NDËRMJET REPUBLIKËS SË SHQIPËRISË, PËRFAQËSUAR NGA KËSHILLI I MINISTRAVE, REPUBLIKËS SË MAQEDONISË SË VERIUT, PËRFAQËSUAR NGA SEKRETARIATI PËR ÇËSHTJET E</w:t>
      </w:r>
      <w:r w:rsidR="00EB7175">
        <w:rPr>
          <w:rFonts w:ascii="Garamond" w:hAnsi="Garamond" w:cs="Times New Roman"/>
          <w:b/>
          <w:bCs/>
          <w:color w:val="000000"/>
          <w:sz w:val="24"/>
          <w:szCs w:val="24"/>
        </w:rPr>
        <w:t>V</w:t>
      </w:r>
      <w:r w:rsidRPr="000E1EB0">
        <w:rPr>
          <w:rFonts w:ascii="Garamond" w:hAnsi="Garamond" w:cs="Times New Roman"/>
          <w:b/>
          <w:bCs/>
          <w:color w:val="000000"/>
          <w:sz w:val="24"/>
          <w:szCs w:val="24"/>
        </w:rPr>
        <w:t>ROPIANE, DHE KOMISIONIT E</w:t>
      </w:r>
      <w:r w:rsidR="00EB7175">
        <w:rPr>
          <w:rFonts w:ascii="Garamond" w:hAnsi="Garamond" w:cs="Times New Roman"/>
          <w:b/>
          <w:bCs/>
          <w:color w:val="000000"/>
          <w:sz w:val="24"/>
          <w:szCs w:val="24"/>
        </w:rPr>
        <w:t>V</w:t>
      </w:r>
      <w:r w:rsidRPr="000E1EB0">
        <w:rPr>
          <w:rFonts w:ascii="Garamond" w:hAnsi="Garamond" w:cs="Times New Roman"/>
          <w:b/>
          <w:bCs/>
          <w:color w:val="000000"/>
          <w:sz w:val="24"/>
          <w:szCs w:val="24"/>
        </w:rPr>
        <w:t>ROPIAN PËR PROGRAMIN E VEPRIMIT TË BASHKËPUNIMIT NDËRKUFITAR IPA II, MAQEDONI E VERIUT</w:t>
      </w:r>
      <w:r w:rsidR="00664E52">
        <w:rPr>
          <w:rFonts w:ascii="Garamond" w:hAnsi="Garamond" w:cs="Times New Roman"/>
          <w:b/>
          <w:bCs/>
          <w:color w:val="000000"/>
          <w:sz w:val="24"/>
          <w:szCs w:val="24"/>
        </w:rPr>
        <w:t>–</w:t>
      </w:r>
      <w:r w:rsidRPr="000E1EB0">
        <w:rPr>
          <w:rFonts w:ascii="Garamond" w:hAnsi="Garamond" w:cs="Times New Roman"/>
          <w:b/>
          <w:bCs/>
          <w:color w:val="000000"/>
          <w:sz w:val="24"/>
          <w:szCs w:val="24"/>
        </w:rPr>
        <w:t>SHQIPËRI</w:t>
      </w:r>
      <w:r w:rsidR="00AF1B25">
        <w:rPr>
          <w:rFonts w:ascii="Garamond" w:hAnsi="Garamond" w:cs="Times New Roman"/>
          <w:b/>
          <w:bCs/>
          <w:color w:val="000000"/>
          <w:sz w:val="24"/>
          <w:szCs w:val="24"/>
        </w:rPr>
        <w:t>,</w:t>
      </w:r>
      <w:r w:rsidRPr="000E1EB0">
        <w:rPr>
          <w:rFonts w:ascii="Garamond" w:hAnsi="Garamond" w:cs="Times New Roman"/>
          <w:b/>
          <w:bCs/>
          <w:color w:val="000000"/>
          <w:sz w:val="24"/>
          <w:szCs w:val="24"/>
        </w:rPr>
        <w:t xml:space="preserve"> 2014</w:t>
      </w:r>
      <w:r w:rsidR="00664E52">
        <w:rPr>
          <w:rFonts w:ascii="Garamond" w:hAnsi="Garamond" w:cs="Times New Roman"/>
          <w:b/>
          <w:bCs/>
          <w:color w:val="000000"/>
          <w:sz w:val="24"/>
          <w:szCs w:val="24"/>
        </w:rPr>
        <w:t>–</w:t>
      </w:r>
      <w:r w:rsidRPr="000E1EB0">
        <w:rPr>
          <w:rFonts w:ascii="Garamond" w:hAnsi="Garamond" w:cs="Times New Roman"/>
          <w:b/>
          <w:bCs/>
          <w:color w:val="000000"/>
          <w:sz w:val="24"/>
          <w:szCs w:val="24"/>
        </w:rPr>
        <w:t>2020, ALOKIMET PËR VITIN 2020</w:t>
      </w:r>
    </w:p>
    <w:p w14:paraId="6D6F20E6"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p>
    <w:p w14:paraId="6D6F20E7"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r w:rsidRPr="000E1EB0">
        <w:rPr>
          <w:rFonts w:ascii="Garamond" w:hAnsi="Garamond" w:cs="Times New Roman"/>
          <w:color w:val="000000"/>
          <w:sz w:val="24"/>
          <w:szCs w:val="24"/>
        </w:rPr>
        <w:t xml:space="preserve">Në mbështetje të neneve, 78, 83, pika 1, dhe 121, pika 1, të Kushtetutës, me propozimin e Këshillit të Ministrave, </w:t>
      </w:r>
    </w:p>
    <w:p w14:paraId="6D6F20E8"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color w:val="000000"/>
          <w:sz w:val="24"/>
          <w:szCs w:val="24"/>
        </w:rPr>
      </w:pPr>
      <w:r w:rsidRPr="000E1EB0">
        <w:rPr>
          <w:rFonts w:ascii="Garamond" w:hAnsi="Garamond" w:cs="Times New Roman"/>
          <w:color w:val="000000"/>
          <w:sz w:val="24"/>
          <w:szCs w:val="24"/>
        </w:rPr>
        <w:t>KUVENDI</w:t>
      </w:r>
    </w:p>
    <w:p w14:paraId="6D6F20E9"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color w:val="000000"/>
          <w:sz w:val="24"/>
          <w:szCs w:val="24"/>
        </w:rPr>
      </w:pPr>
      <w:r w:rsidRPr="000E1EB0">
        <w:rPr>
          <w:rFonts w:ascii="Garamond" w:hAnsi="Garamond" w:cs="Times New Roman"/>
          <w:color w:val="000000"/>
          <w:sz w:val="24"/>
          <w:szCs w:val="24"/>
        </w:rPr>
        <w:t>I REPUBLIKËS SË SHQIPËRISË</w:t>
      </w:r>
    </w:p>
    <w:p w14:paraId="6D6F20EA"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color w:val="000000"/>
          <w:sz w:val="24"/>
          <w:szCs w:val="24"/>
        </w:rPr>
      </w:pPr>
    </w:p>
    <w:p w14:paraId="6D6F20EB"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color w:val="000000"/>
          <w:sz w:val="24"/>
          <w:szCs w:val="24"/>
        </w:rPr>
      </w:pPr>
      <w:r w:rsidRPr="000E1EB0">
        <w:rPr>
          <w:rFonts w:ascii="Garamond" w:hAnsi="Garamond" w:cs="Times New Roman"/>
          <w:color w:val="000000"/>
          <w:sz w:val="24"/>
          <w:szCs w:val="24"/>
        </w:rPr>
        <w:t>VENDOSI:</w:t>
      </w:r>
    </w:p>
    <w:p w14:paraId="6D6F20EC"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p>
    <w:p w14:paraId="6D6F20ED"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color w:val="000000"/>
          <w:sz w:val="24"/>
          <w:szCs w:val="24"/>
        </w:rPr>
      </w:pPr>
      <w:r w:rsidRPr="000E1EB0">
        <w:rPr>
          <w:rFonts w:ascii="Garamond" w:hAnsi="Garamond" w:cs="Times New Roman"/>
          <w:color w:val="000000"/>
          <w:sz w:val="24"/>
          <w:szCs w:val="24"/>
        </w:rPr>
        <w:t>Neni 1</w:t>
      </w:r>
    </w:p>
    <w:p w14:paraId="6D6F20EE"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p>
    <w:p w14:paraId="6D6F20EF" w14:textId="4D4FFCB0"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r w:rsidRPr="000E1EB0">
        <w:rPr>
          <w:rFonts w:ascii="Garamond" w:hAnsi="Garamond" w:cs="Times New Roman"/>
          <w:color w:val="000000"/>
          <w:sz w:val="24"/>
          <w:szCs w:val="24"/>
        </w:rPr>
        <w:t>Ratifikohet marrëveshja e financimit ndërmjet Republikës së Shqipërisë, përfaqësuar nga Këshilli i Ministrave, Republikës së Maqedonisë së Veriut, përfaqësuar nga Sekretariati për Çështjet E</w:t>
      </w:r>
      <w:r w:rsidR="00EB7175">
        <w:rPr>
          <w:rFonts w:ascii="Garamond" w:hAnsi="Garamond" w:cs="Times New Roman"/>
          <w:color w:val="000000"/>
          <w:sz w:val="24"/>
          <w:szCs w:val="24"/>
        </w:rPr>
        <w:t>v</w:t>
      </w:r>
      <w:r w:rsidRPr="000E1EB0">
        <w:rPr>
          <w:rFonts w:ascii="Garamond" w:hAnsi="Garamond" w:cs="Times New Roman"/>
          <w:color w:val="000000"/>
          <w:sz w:val="24"/>
          <w:szCs w:val="24"/>
        </w:rPr>
        <w:t>ropiane dhe Komisionit E</w:t>
      </w:r>
      <w:r w:rsidR="00EB7175">
        <w:rPr>
          <w:rFonts w:ascii="Garamond" w:hAnsi="Garamond" w:cs="Times New Roman"/>
          <w:color w:val="000000"/>
          <w:sz w:val="24"/>
          <w:szCs w:val="24"/>
        </w:rPr>
        <w:t>v</w:t>
      </w:r>
      <w:r w:rsidRPr="000E1EB0">
        <w:rPr>
          <w:rFonts w:ascii="Garamond" w:hAnsi="Garamond" w:cs="Times New Roman"/>
          <w:color w:val="000000"/>
          <w:sz w:val="24"/>
          <w:szCs w:val="24"/>
        </w:rPr>
        <w:t>ropian për Programin e Bashkëpunimit Ndërkufitar IPA II, Maqedoni e Veriut</w:t>
      </w:r>
      <w:r w:rsidR="00C27034">
        <w:rPr>
          <w:rFonts w:ascii="Garamond" w:hAnsi="Garamond" w:cs="Times New Roman"/>
          <w:color w:val="000000"/>
          <w:sz w:val="24"/>
          <w:szCs w:val="24"/>
        </w:rPr>
        <w:t>–</w:t>
      </w:r>
      <w:r w:rsidRPr="000E1EB0">
        <w:rPr>
          <w:rFonts w:ascii="Garamond" w:hAnsi="Garamond" w:cs="Times New Roman"/>
          <w:color w:val="000000"/>
          <w:sz w:val="24"/>
          <w:szCs w:val="24"/>
        </w:rPr>
        <w:t>Shqipëri</w:t>
      </w:r>
      <w:r w:rsidR="00AF1B25">
        <w:rPr>
          <w:rFonts w:ascii="Garamond" w:hAnsi="Garamond" w:cs="Times New Roman"/>
          <w:color w:val="000000"/>
          <w:sz w:val="24"/>
          <w:szCs w:val="24"/>
        </w:rPr>
        <w:t>,</w:t>
      </w:r>
      <w:r w:rsidRPr="000E1EB0">
        <w:rPr>
          <w:rFonts w:ascii="Garamond" w:hAnsi="Garamond" w:cs="Times New Roman"/>
          <w:color w:val="000000"/>
          <w:sz w:val="24"/>
          <w:szCs w:val="24"/>
        </w:rPr>
        <w:t xml:space="preserve"> 2014</w:t>
      </w:r>
      <w:r w:rsidR="00C27034">
        <w:rPr>
          <w:rFonts w:ascii="Garamond" w:hAnsi="Garamond" w:cs="Times New Roman"/>
          <w:color w:val="000000"/>
          <w:sz w:val="24"/>
          <w:szCs w:val="24"/>
        </w:rPr>
        <w:t>–</w:t>
      </w:r>
      <w:r w:rsidRPr="000E1EB0">
        <w:rPr>
          <w:rFonts w:ascii="Garamond" w:hAnsi="Garamond" w:cs="Times New Roman"/>
          <w:color w:val="000000"/>
          <w:sz w:val="24"/>
          <w:szCs w:val="24"/>
        </w:rPr>
        <w:t xml:space="preserve">2020, alokimet për vitin 2020, sipas tekstit që i bashkëlidhet këtij ligji. </w:t>
      </w:r>
    </w:p>
    <w:p w14:paraId="4FE6DEB2" w14:textId="77777777" w:rsidR="00CE4BB6" w:rsidRDefault="00CE4BB6" w:rsidP="009A4EC4">
      <w:pPr>
        <w:autoSpaceDE w:val="0"/>
        <w:autoSpaceDN w:val="0"/>
        <w:adjustRightInd w:val="0"/>
        <w:spacing w:after="0" w:line="240" w:lineRule="auto"/>
        <w:ind w:firstLine="284"/>
        <w:jc w:val="center"/>
        <w:rPr>
          <w:rFonts w:ascii="Garamond" w:hAnsi="Garamond" w:cs="Times New Roman"/>
          <w:color w:val="000000"/>
          <w:sz w:val="24"/>
          <w:szCs w:val="24"/>
        </w:rPr>
      </w:pPr>
    </w:p>
    <w:p w14:paraId="6D6F20F0" w14:textId="77777777" w:rsidR="009A4EC4" w:rsidRPr="000E1EB0" w:rsidRDefault="009A4EC4" w:rsidP="009A4EC4">
      <w:pPr>
        <w:autoSpaceDE w:val="0"/>
        <w:autoSpaceDN w:val="0"/>
        <w:adjustRightInd w:val="0"/>
        <w:spacing w:after="0" w:line="240" w:lineRule="auto"/>
        <w:ind w:firstLine="284"/>
        <w:jc w:val="center"/>
        <w:rPr>
          <w:rFonts w:ascii="Garamond" w:hAnsi="Garamond" w:cs="Times New Roman"/>
          <w:color w:val="000000"/>
          <w:sz w:val="24"/>
          <w:szCs w:val="24"/>
        </w:rPr>
      </w:pPr>
      <w:r w:rsidRPr="000E1EB0">
        <w:rPr>
          <w:rFonts w:ascii="Garamond" w:hAnsi="Garamond" w:cs="Times New Roman"/>
          <w:color w:val="000000"/>
          <w:sz w:val="24"/>
          <w:szCs w:val="24"/>
        </w:rPr>
        <w:t>Neni 2</w:t>
      </w:r>
    </w:p>
    <w:p w14:paraId="6D6F20F1"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p>
    <w:p w14:paraId="6D6F20F2"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r w:rsidRPr="000E1EB0">
        <w:rPr>
          <w:rFonts w:ascii="Garamond" w:hAnsi="Garamond" w:cs="Times New Roman"/>
          <w:color w:val="000000"/>
          <w:sz w:val="24"/>
          <w:szCs w:val="24"/>
        </w:rPr>
        <w:t>Ky ligj hyn në fuqi 15 ditë pas botimit në Fletoren Zyrtare.</w:t>
      </w:r>
    </w:p>
    <w:p w14:paraId="6D6F20F6" w14:textId="77777777" w:rsidR="009A4EC4" w:rsidRPr="000E1EB0" w:rsidRDefault="009A4EC4" w:rsidP="009A4EC4">
      <w:pPr>
        <w:autoSpaceDE w:val="0"/>
        <w:autoSpaceDN w:val="0"/>
        <w:adjustRightInd w:val="0"/>
        <w:spacing w:after="0" w:line="240" w:lineRule="auto"/>
        <w:ind w:firstLine="284"/>
        <w:jc w:val="both"/>
        <w:rPr>
          <w:rFonts w:ascii="Garamond" w:hAnsi="Garamond" w:cs="Times New Roman"/>
          <w:b/>
          <w:bCs/>
          <w:color w:val="000000"/>
          <w:sz w:val="24"/>
          <w:szCs w:val="24"/>
        </w:rPr>
      </w:pPr>
    </w:p>
    <w:p w14:paraId="6D6F20F7" w14:textId="3A016E91" w:rsidR="009A4EC4" w:rsidRPr="000E1EB0" w:rsidRDefault="009A4EC4" w:rsidP="009A4EC4">
      <w:pPr>
        <w:autoSpaceDE w:val="0"/>
        <w:autoSpaceDN w:val="0"/>
        <w:adjustRightInd w:val="0"/>
        <w:spacing w:after="0" w:line="240" w:lineRule="auto"/>
        <w:ind w:firstLine="284"/>
        <w:jc w:val="both"/>
        <w:rPr>
          <w:rFonts w:ascii="Garamond" w:hAnsi="Garamond" w:cs="Times New Roman"/>
          <w:color w:val="000000"/>
          <w:sz w:val="24"/>
          <w:szCs w:val="24"/>
        </w:rPr>
      </w:pPr>
      <w:r w:rsidRPr="000E1EB0">
        <w:rPr>
          <w:rFonts w:ascii="Garamond" w:hAnsi="Garamond" w:cs="Times New Roman"/>
          <w:color w:val="000000"/>
          <w:sz w:val="24"/>
          <w:szCs w:val="24"/>
        </w:rPr>
        <w:t>Miratuar në datën 25.11.2021</w:t>
      </w:r>
      <w:r w:rsidR="00EB7175">
        <w:rPr>
          <w:rFonts w:ascii="Garamond" w:hAnsi="Garamond" w:cs="Times New Roman"/>
          <w:color w:val="000000"/>
          <w:sz w:val="24"/>
          <w:szCs w:val="24"/>
        </w:rPr>
        <w:t>.</w:t>
      </w:r>
    </w:p>
    <w:p w14:paraId="6D6F20F8" w14:textId="77777777" w:rsidR="009A4EC4" w:rsidRDefault="009A4EC4" w:rsidP="009A4EC4">
      <w:pPr>
        <w:autoSpaceDE w:val="0"/>
        <w:autoSpaceDN w:val="0"/>
        <w:adjustRightInd w:val="0"/>
        <w:spacing w:after="0" w:line="240" w:lineRule="auto"/>
        <w:ind w:firstLine="284"/>
        <w:rPr>
          <w:rFonts w:ascii="Garamond" w:hAnsi="Garamond" w:cs="Times New Roman"/>
          <w:color w:val="000000"/>
          <w:sz w:val="20"/>
          <w:szCs w:val="20"/>
        </w:rPr>
      </w:pPr>
    </w:p>
    <w:p w14:paraId="18DE72D7" w14:textId="1B378A87" w:rsidR="00D92ACB" w:rsidRDefault="00D92ACB" w:rsidP="00D92ACB">
      <w:pPr>
        <w:spacing w:after="0" w:line="240" w:lineRule="auto"/>
        <w:jc w:val="both"/>
        <w:rPr>
          <w:rFonts w:ascii="Garamond" w:hAnsi="Garamond" w:cs="Times New Roman"/>
          <w:bCs/>
          <w:color w:val="000000" w:themeColor="text1"/>
          <w:sz w:val="24"/>
          <w:szCs w:val="24"/>
        </w:rPr>
      </w:pPr>
      <w:r>
        <w:rPr>
          <w:rFonts w:ascii="Garamond" w:eastAsia="Times New Roman" w:hAnsi="Garamond" w:cs="Times New Roman"/>
          <w:b/>
          <w:sz w:val="24"/>
          <w:szCs w:val="24"/>
          <w:lang w:val="en-US"/>
        </w:rPr>
        <w:t>Shpallur me dekretin nr. 13374, datë 13.12.2021, të Presidentit të Republikës së Shqipërisë, Ilir Meta.</w:t>
      </w:r>
    </w:p>
    <w:p w14:paraId="17A7BBDB" w14:textId="77777777" w:rsidR="00D92ACB" w:rsidRPr="000E1EB0" w:rsidRDefault="00D92ACB" w:rsidP="009A4EC4">
      <w:pPr>
        <w:autoSpaceDE w:val="0"/>
        <w:autoSpaceDN w:val="0"/>
        <w:adjustRightInd w:val="0"/>
        <w:spacing w:after="0" w:line="240" w:lineRule="auto"/>
        <w:ind w:firstLine="284"/>
        <w:rPr>
          <w:rFonts w:ascii="Garamond" w:hAnsi="Garamond" w:cs="Times New Roman"/>
          <w:color w:val="000000"/>
          <w:sz w:val="20"/>
          <w:szCs w:val="20"/>
        </w:rPr>
      </w:pPr>
    </w:p>
    <w:p w14:paraId="6D6F20FA" w14:textId="77777777" w:rsidR="003D21B2" w:rsidRPr="001A2C86" w:rsidRDefault="003D21B2" w:rsidP="00650E6F">
      <w:pPr>
        <w:autoSpaceDE w:val="0"/>
        <w:autoSpaceDN w:val="0"/>
        <w:adjustRightInd w:val="0"/>
        <w:spacing w:after="0" w:line="240" w:lineRule="auto"/>
        <w:ind w:firstLine="284"/>
        <w:jc w:val="center"/>
        <w:rPr>
          <w:rFonts w:ascii="Garamond" w:hAnsi="Garamond"/>
          <w:bCs/>
          <w:color w:val="000000"/>
          <w:sz w:val="24"/>
          <w:szCs w:val="24"/>
        </w:rPr>
      </w:pPr>
      <w:r w:rsidRPr="001A2C86">
        <w:rPr>
          <w:rFonts w:ascii="Garamond" w:hAnsi="Garamond"/>
          <w:bCs/>
          <w:color w:val="000000"/>
          <w:sz w:val="24"/>
          <w:szCs w:val="24"/>
        </w:rPr>
        <w:t>MARRËVESHJE FINANCIMI</w:t>
      </w:r>
    </w:p>
    <w:p w14:paraId="6D6F20FB" w14:textId="77777777" w:rsidR="003D21B2" w:rsidRPr="001A2C86" w:rsidRDefault="003D21B2" w:rsidP="00650E6F">
      <w:pPr>
        <w:autoSpaceDE w:val="0"/>
        <w:autoSpaceDN w:val="0"/>
        <w:adjustRightInd w:val="0"/>
        <w:spacing w:after="0" w:line="240" w:lineRule="auto"/>
        <w:ind w:firstLine="284"/>
        <w:jc w:val="center"/>
        <w:rPr>
          <w:rFonts w:ascii="Garamond" w:hAnsi="Garamond"/>
          <w:bCs/>
          <w:color w:val="000000"/>
          <w:sz w:val="24"/>
          <w:szCs w:val="24"/>
        </w:rPr>
      </w:pPr>
      <w:r w:rsidRPr="001A2C86">
        <w:rPr>
          <w:rFonts w:ascii="Garamond" w:hAnsi="Garamond"/>
          <w:bCs/>
          <w:color w:val="000000"/>
          <w:sz w:val="24"/>
          <w:szCs w:val="24"/>
        </w:rPr>
        <w:t>KUSHTET E VEÇANTA</w:t>
      </w:r>
    </w:p>
    <w:p w14:paraId="6D6F20FC"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p>
    <w:p w14:paraId="6D6F20FD" w14:textId="1E15E314"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Komisioni Evropian, në vijim i referuar si “</w:t>
      </w:r>
      <w:r w:rsidRPr="000E1EB0">
        <w:rPr>
          <w:rFonts w:ascii="Garamond" w:hAnsi="Garamond"/>
          <w:b/>
          <w:bCs/>
          <w:color w:val="000000"/>
          <w:sz w:val="24"/>
          <w:szCs w:val="24"/>
        </w:rPr>
        <w:t>Komisioni</w:t>
      </w:r>
      <w:r w:rsidRPr="000E1EB0">
        <w:rPr>
          <w:rFonts w:ascii="Garamond" w:hAnsi="Garamond"/>
          <w:color w:val="000000"/>
          <w:sz w:val="24"/>
          <w:szCs w:val="24"/>
        </w:rPr>
        <w:t>” ose “pala”</w:t>
      </w:r>
      <w:r w:rsidR="00684062">
        <w:rPr>
          <w:rFonts w:ascii="Garamond" w:hAnsi="Garamond"/>
          <w:color w:val="000000"/>
          <w:sz w:val="24"/>
          <w:szCs w:val="24"/>
        </w:rPr>
        <w:t>,</w:t>
      </w:r>
      <w:r w:rsidRPr="000E1EB0">
        <w:rPr>
          <w:rFonts w:ascii="Garamond" w:hAnsi="Garamond"/>
          <w:color w:val="000000"/>
          <w:sz w:val="24"/>
          <w:szCs w:val="24"/>
        </w:rPr>
        <w:t xml:space="preserve"> e cila vepron në emër të Bashkimit Evropian, në vijim i referuar si “Bashkimi”, </w:t>
      </w:r>
    </w:p>
    <w:p w14:paraId="6D6F20FE"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nga njëra anë dhe</w:t>
      </w:r>
    </w:p>
    <w:p w14:paraId="6D6F20FF"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Republika e Maqedonisë së Veriut, e përfaqësuar nga Sekretariati për Çështjet Evropiane dhe Republika e Shqipërisë e përfaqësuar nga</w:t>
      </w:r>
      <w:r w:rsidRPr="000E1EB0">
        <w:rPr>
          <w:rFonts w:ascii="Garamond" w:hAnsi="Garamond" w:cs="Calibri"/>
          <w:color w:val="000000"/>
          <w:sz w:val="24"/>
          <w:szCs w:val="24"/>
        </w:rPr>
        <w:t xml:space="preserve"> </w:t>
      </w:r>
      <w:r w:rsidRPr="000E1EB0">
        <w:rPr>
          <w:rFonts w:ascii="Garamond" w:hAnsi="Garamond"/>
          <w:color w:val="000000"/>
          <w:sz w:val="24"/>
          <w:szCs w:val="24"/>
        </w:rPr>
        <w:t xml:space="preserve">Këshilli i Ministrave, në vijim të referuar bashkërisht si “Përfituesit e IPA II” ose individualisht si </w:t>
      </w:r>
      <w:r w:rsidRPr="000E1EB0">
        <w:rPr>
          <w:rFonts w:ascii="Garamond" w:hAnsi="Garamond"/>
          <w:b/>
          <w:bCs/>
          <w:color w:val="000000"/>
          <w:sz w:val="24"/>
          <w:szCs w:val="24"/>
        </w:rPr>
        <w:t>“përfituesja e IPA II”</w:t>
      </w:r>
      <w:r w:rsidRPr="000E1EB0">
        <w:rPr>
          <w:rFonts w:ascii="Garamond" w:hAnsi="Garamond"/>
          <w:color w:val="000000"/>
          <w:sz w:val="24"/>
          <w:szCs w:val="24"/>
        </w:rPr>
        <w:t xml:space="preserve"> ose “pala”,</w:t>
      </w:r>
    </w:p>
    <w:p w14:paraId="6D6F2100" w14:textId="77777777" w:rsidR="003D21B2" w:rsidRPr="000E1EB0" w:rsidRDefault="003D21B2" w:rsidP="00650E6F">
      <w:pPr>
        <w:autoSpaceDE w:val="0"/>
        <w:autoSpaceDN w:val="0"/>
        <w:adjustRightInd w:val="0"/>
        <w:spacing w:after="0" w:line="240" w:lineRule="auto"/>
        <w:ind w:firstLine="284"/>
        <w:jc w:val="both"/>
        <w:rPr>
          <w:rFonts w:ascii="Garamond" w:hAnsi="Garamond"/>
          <w:b/>
          <w:bCs/>
          <w:color w:val="000000"/>
          <w:sz w:val="24"/>
          <w:szCs w:val="24"/>
        </w:rPr>
      </w:pPr>
      <w:r w:rsidRPr="000E1EB0">
        <w:rPr>
          <w:rFonts w:ascii="Garamond" w:hAnsi="Garamond"/>
          <w:b/>
          <w:bCs/>
          <w:color w:val="000000"/>
          <w:sz w:val="24"/>
          <w:szCs w:val="24"/>
        </w:rPr>
        <w:t>nga ana tjetër,</w:t>
      </w:r>
    </w:p>
    <w:p w14:paraId="6D6F2101" w14:textId="71E6ACE6" w:rsidR="003D21B2" w:rsidRPr="000E1EB0" w:rsidRDefault="003D21B2" w:rsidP="00650E6F">
      <w:pPr>
        <w:autoSpaceDE w:val="0"/>
        <w:autoSpaceDN w:val="0"/>
        <w:adjustRightInd w:val="0"/>
        <w:spacing w:after="0" w:line="240" w:lineRule="auto"/>
        <w:ind w:firstLine="284"/>
        <w:jc w:val="both"/>
        <w:rPr>
          <w:rFonts w:ascii="Garamond" w:hAnsi="Garamond"/>
          <w:b/>
          <w:bCs/>
          <w:color w:val="000000"/>
          <w:sz w:val="24"/>
          <w:szCs w:val="24"/>
        </w:rPr>
      </w:pPr>
      <w:r w:rsidRPr="000E1EB0">
        <w:rPr>
          <w:rFonts w:ascii="Garamond" w:hAnsi="Garamond"/>
          <w:b/>
          <w:bCs/>
          <w:color w:val="000000"/>
          <w:sz w:val="24"/>
          <w:szCs w:val="24"/>
        </w:rPr>
        <w:t>dhe bashkërisht të referuara si “Palët”</w:t>
      </w:r>
      <w:r w:rsidR="004D45AB">
        <w:rPr>
          <w:rFonts w:ascii="Garamond" w:hAnsi="Garamond"/>
          <w:b/>
          <w:bCs/>
          <w:color w:val="000000"/>
          <w:sz w:val="24"/>
          <w:szCs w:val="24"/>
        </w:rPr>
        <w:t>,</w:t>
      </w:r>
    </w:p>
    <w:p w14:paraId="6D6F2102" w14:textId="7CAEEA13" w:rsidR="003D21B2" w:rsidRPr="000E1EB0" w:rsidRDefault="00A27F3E" w:rsidP="00650E6F">
      <w:pPr>
        <w:autoSpaceDE w:val="0"/>
        <w:autoSpaceDN w:val="0"/>
        <w:adjustRightInd w:val="0"/>
        <w:spacing w:after="0" w:line="240" w:lineRule="auto"/>
        <w:ind w:firstLine="284"/>
        <w:rPr>
          <w:rFonts w:ascii="Garamond" w:hAnsi="Garamond"/>
          <w:color w:val="000000"/>
          <w:sz w:val="24"/>
          <w:szCs w:val="24"/>
        </w:rPr>
      </w:pPr>
      <w:r>
        <w:rPr>
          <w:rFonts w:ascii="Garamond" w:hAnsi="Garamond"/>
          <w:color w:val="000000"/>
          <w:sz w:val="24"/>
          <w:szCs w:val="24"/>
        </w:rPr>
        <w:t>n</w:t>
      </w:r>
      <w:r w:rsidR="003D21B2" w:rsidRPr="000E1EB0">
        <w:rPr>
          <w:rFonts w:ascii="Garamond" w:hAnsi="Garamond"/>
          <w:color w:val="000000"/>
          <w:sz w:val="24"/>
          <w:szCs w:val="24"/>
        </w:rPr>
        <w:t>dërsa,</w:t>
      </w:r>
    </w:p>
    <w:p w14:paraId="6D6F2103" w14:textId="19D73AAE" w:rsidR="003D21B2" w:rsidRPr="000E1EB0" w:rsidRDefault="004D45AB"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 xml:space="preserve">çdo </w:t>
      </w:r>
      <w:r w:rsidR="003D21B2" w:rsidRPr="000E1EB0">
        <w:rPr>
          <w:rFonts w:ascii="Garamond" w:hAnsi="Garamond"/>
          <w:color w:val="000000"/>
          <w:sz w:val="24"/>
          <w:szCs w:val="24"/>
        </w:rPr>
        <w:t>referim i përfshirë në këtë marrëveshje dhe anekset e tij në “</w:t>
      </w:r>
      <w:r w:rsidR="00EB5DEB">
        <w:rPr>
          <w:rFonts w:ascii="Garamond" w:hAnsi="Garamond"/>
          <w:color w:val="000000"/>
          <w:sz w:val="24"/>
          <w:szCs w:val="24"/>
        </w:rPr>
        <w:t>ish-Repu</w:t>
      </w:r>
      <w:r w:rsidR="003D21B2" w:rsidRPr="000E1EB0">
        <w:rPr>
          <w:rFonts w:ascii="Garamond" w:hAnsi="Garamond"/>
          <w:color w:val="000000"/>
          <w:sz w:val="24"/>
          <w:szCs w:val="24"/>
        </w:rPr>
        <w:t>blika Jugosllave e Maqedonisë” duhet të lexohet “Republika e Maqedonisë së Veriut”</w:t>
      </w:r>
    </w:p>
    <w:p w14:paraId="6D6F2104" w14:textId="77777777"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KANË RËNË DAKORD SI MË POSHTË:</w:t>
      </w:r>
    </w:p>
    <w:p w14:paraId="1A4E8742" w14:textId="77777777" w:rsidR="0072760D" w:rsidRDefault="0072760D" w:rsidP="0072760D">
      <w:pPr>
        <w:autoSpaceDE w:val="0"/>
        <w:autoSpaceDN w:val="0"/>
        <w:adjustRightInd w:val="0"/>
        <w:spacing w:after="0" w:line="240" w:lineRule="auto"/>
        <w:jc w:val="both"/>
        <w:rPr>
          <w:rFonts w:ascii="Garamond" w:hAnsi="Garamond"/>
          <w:b/>
          <w:bCs/>
          <w:color w:val="000000"/>
          <w:sz w:val="24"/>
          <w:szCs w:val="24"/>
        </w:rPr>
      </w:pPr>
    </w:p>
    <w:p w14:paraId="52F43B74" w14:textId="77777777" w:rsidR="0072760D" w:rsidRPr="0072760D" w:rsidRDefault="003D21B2" w:rsidP="0072760D">
      <w:pPr>
        <w:autoSpaceDE w:val="0"/>
        <w:autoSpaceDN w:val="0"/>
        <w:adjustRightInd w:val="0"/>
        <w:spacing w:after="0" w:line="240" w:lineRule="auto"/>
        <w:jc w:val="center"/>
        <w:rPr>
          <w:rFonts w:ascii="Garamond" w:hAnsi="Garamond"/>
          <w:bCs/>
          <w:color w:val="000000"/>
          <w:sz w:val="24"/>
          <w:szCs w:val="24"/>
        </w:rPr>
      </w:pPr>
      <w:r w:rsidRPr="0072760D">
        <w:rPr>
          <w:rFonts w:ascii="Garamond" w:hAnsi="Garamond"/>
          <w:bCs/>
          <w:color w:val="000000"/>
          <w:sz w:val="24"/>
          <w:szCs w:val="24"/>
        </w:rPr>
        <w:t>Neni 1</w:t>
      </w:r>
    </w:p>
    <w:p w14:paraId="6D6F2105" w14:textId="7E99A6B5" w:rsidR="003D21B2" w:rsidRPr="000E1EB0" w:rsidRDefault="003D21B2" w:rsidP="0072760D">
      <w:pPr>
        <w:autoSpaceDE w:val="0"/>
        <w:autoSpaceDN w:val="0"/>
        <w:adjustRightInd w:val="0"/>
        <w:spacing w:after="0" w:line="240" w:lineRule="auto"/>
        <w:jc w:val="center"/>
        <w:rPr>
          <w:rFonts w:ascii="Garamond" w:hAnsi="Garamond"/>
          <w:b/>
          <w:bCs/>
          <w:color w:val="00B0F0"/>
          <w:sz w:val="24"/>
          <w:szCs w:val="24"/>
        </w:rPr>
      </w:pPr>
      <w:r w:rsidRPr="000E1EB0">
        <w:rPr>
          <w:rFonts w:ascii="Garamond" w:hAnsi="Garamond"/>
          <w:b/>
          <w:bCs/>
          <w:color w:val="000000"/>
          <w:sz w:val="24"/>
          <w:szCs w:val="24"/>
        </w:rPr>
        <w:t>Programi i Veprimit</w:t>
      </w:r>
    </w:p>
    <w:p w14:paraId="679D583A" w14:textId="77777777" w:rsidR="0072760D" w:rsidRDefault="0072760D" w:rsidP="00650E6F">
      <w:pPr>
        <w:autoSpaceDE w:val="0"/>
        <w:autoSpaceDN w:val="0"/>
        <w:adjustRightInd w:val="0"/>
        <w:spacing w:after="0" w:line="240" w:lineRule="auto"/>
        <w:ind w:firstLine="284"/>
        <w:jc w:val="both"/>
        <w:rPr>
          <w:rFonts w:ascii="Garamond" w:hAnsi="Garamond"/>
          <w:color w:val="000000"/>
          <w:sz w:val="24"/>
          <w:szCs w:val="24"/>
        </w:rPr>
      </w:pPr>
    </w:p>
    <w:p w14:paraId="6D6F2106" w14:textId="23230BC4"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1. Bashkimi bie dakord të financojë dhe përfituesit e IPA II bien dakord të pranojnë financimin e </w:t>
      </w:r>
      <w:r w:rsidR="005714FF">
        <w:rPr>
          <w:rFonts w:ascii="Garamond" w:hAnsi="Garamond"/>
          <w:color w:val="000000"/>
          <w:sz w:val="24"/>
          <w:szCs w:val="24"/>
        </w:rPr>
        <w:t>livrim</w:t>
      </w:r>
      <w:r w:rsidRPr="000E1EB0">
        <w:rPr>
          <w:rFonts w:ascii="Garamond" w:hAnsi="Garamond"/>
          <w:color w:val="000000"/>
          <w:sz w:val="24"/>
          <w:szCs w:val="24"/>
        </w:rPr>
        <w:t xml:space="preserve">it për vitin 2020 të Programit të Veprimit në vijim, siç përshkruhet në </w:t>
      </w:r>
      <w:r w:rsidR="001A2C86" w:rsidRPr="000E1EB0">
        <w:rPr>
          <w:rFonts w:ascii="Garamond" w:hAnsi="Garamond"/>
          <w:color w:val="000000"/>
          <w:sz w:val="24"/>
          <w:szCs w:val="24"/>
        </w:rPr>
        <w:t xml:space="preserve">shtojcën </w:t>
      </w:r>
      <w:r w:rsidRPr="000E1EB0">
        <w:rPr>
          <w:rFonts w:ascii="Garamond" w:hAnsi="Garamond"/>
          <w:color w:val="000000"/>
          <w:sz w:val="24"/>
          <w:szCs w:val="24"/>
        </w:rPr>
        <w:t>I:</w:t>
      </w:r>
    </w:p>
    <w:p w14:paraId="6D6F2107" w14:textId="49D03500"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“Programi i Veprimit të Bashkëpunimit Ndërkufitar ndërmjet ish-Republikës Jugosllave të Maqedonisë dhe Republikës së Shqipërisë për vitet 2018</w:t>
      </w:r>
      <w:r w:rsidR="00E76E0D">
        <w:rPr>
          <w:rFonts w:ascii="Garamond" w:hAnsi="Garamond"/>
          <w:color w:val="000000"/>
          <w:sz w:val="24"/>
          <w:szCs w:val="24"/>
        </w:rPr>
        <w:t>–</w:t>
      </w:r>
      <w:r w:rsidRPr="000E1EB0">
        <w:rPr>
          <w:rFonts w:ascii="Garamond" w:hAnsi="Garamond"/>
          <w:color w:val="000000"/>
          <w:sz w:val="24"/>
          <w:szCs w:val="24"/>
        </w:rPr>
        <w:t>2020”</w:t>
      </w:r>
      <w:r w:rsidRPr="000E1EB0">
        <w:rPr>
          <w:rStyle w:val="FootnoteReference"/>
          <w:rFonts w:ascii="Garamond" w:hAnsi="Garamond"/>
          <w:color w:val="000000"/>
          <w:sz w:val="24"/>
          <w:szCs w:val="24"/>
        </w:rPr>
        <w:footnoteReference w:id="2"/>
      </w:r>
      <w:r w:rsidRPr="000E1EB0">
        <w:rPr>
          <w:rFonts w:ascii="Garamond" w:hAnsi="Garamond"/>
          <w:color w:val="000000"/>
          <w:sz w:val="24"/>
          <w:szCs w:val="24"/>
        </w:rPr>
        <w:t>,</w:t>
      </w:r>
    </w:p>
    <w:p w14:paraId="6D6F2108" w14:textId="77777777"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 xml:space="preserve">Numri global i angazhimit (CRIS): 2020/041-372 </w:t>
      </w:r>
    </w:p>
    <w:p w14:paraId="6D6F2109" w14:textId="6339CCB0"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Ky Program Veprimi financohet nga Buxheti i Bashkimit në bazë të aktit themelor në vijim: Instrumenti për Asistencën e </w:t>
      </w:r>
      <w:r w:rsidR="00560A74">
        <w:rPr>
          <w:rFonts w:ascii="Garamond" w:hAnsi="Garamond"/>
          <w:color w:val="000000"/>
          <w:sz w:val="24"/>
          <w:szCs w:val="24"/>
        </w:rPr>
        <w:t>Para</w:t>
      </w:r>
      <w:r w:rsidR="00637706">
        <w:rPr>
          <w:rFonts w:ascii="Garamond" w:hAnsi="Garamond"/>
          <w:color w:val="000000"/>
          <w:sz w:val="24"/>
          <w:szCs w:val="24"/>
        </w:rPr>
        <w:t>a</w:t>
      </w:r>
      <w:r w:rsidRPr="000E1EB0">
        <w:rPr>
          <w:rFonts w:ascii="Garamond" w:hAnsi="Garamond"/>
          <w:color w:val="000000"/>
          <w:sz w:val="24"/>
          <w:szCs w:val="24"/>
        </w:rPr>
        <w:t>nëtarësimit (IPA II)</w:t>
      </w:r>
      <w:r w:rsidRPr="000E1EB0">
        <w:rPr>
          <w:rStyle w:val="FootnoteReference"/>
          <w:rFonts w:ascii="Garamond" w:hAnsi="Garamond"/>
          <w:color w:val="000000"/>
          <w:sz w:val="24"/>
          <w:szCs w:val="24"/>
        </w:rPr>
        <w:footnoteReference w:id="3"/>
      </w:r>
      <w:r w:rsidRPr="000E1EB0">
        <w:rPr>
          <w:rFonts w:ascii="Garamond" w:hAnsi="Garamond"/>
          <w:color w:val="000000"/>
          <w:sz w:val="24"/>
          <w:szCs w:val="24"/>
        </w:rPr>
        <w:t>.</w:t>
      </w:r>
    </w:p>
    <w:p w14:paraId="6D6F210B" w14:textId="56C22D82"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2. Kostoja e përgjithshme e vlerësuar e </w:t>
      </w:r>
      <w:r w:rsidR="005714FF">
        <w:rPr>
          <w:rFonts w:ascii="Garamond" w:hAnsi="Garamond"/>
          <w:color w:val="000000"/>
          <w:sz w:val="24"/>
          <w:szCs w:val="24"/>
        </w:rPr>
        <w:t>livrim</w:t>
      </w:r>
      <w:r w:rsidRPr="000E1EB0">
        <w:rPr>
          <w:rFonts w:ascii="Garamond" w:hAnsi="Garamond"/>
          <w:color w:val="000000"/>
          <w:sz w:val="24"/>
          <w:szCs w:val="24"/>
        </w:rPr>
        <w:t>it për vitin 2020 të këtij Program Veprimi është</w:t>
      </w:r>
      <w:r w:rsidR="001A3F88">
        <w:rPr>
          <w:rFonts w:ascii="Garamond" w:hAnsi="Garamond"/>
          <w:color w:val="000000"/>
          <w:sz w:val="24"/>
          <w:szCs w:val="24"/>
        </w:rPr>
        <w:t xml:space="preserve"> </w:t>
      </w:r>
      <w:r w:rsidRPr="000E1EB0">
        <w:rPr>
          <w:rFonts w:ascii="Garamond" w:hAnsi="Garamond"/>
          <w:color w:val="000000"/>
          <w:sz w:val="24"/>
          <w:szCs w:val="24"/>
        </w:rPr>
        <w:t xml:space="preserve">1 800 000 </w:t>
      </w:r>
      <w:r w:rsidR="001A2C86" w:rsidRPr="000E1EB0">
        <w:rPr>
          <w:rFonts w:ascii="Garamond" w:hAnsi="Garamond"/>
          <w:color w:val="000000"/>
          <w:sz w:val="24"/>
          <w:szCs w:val="24"/>
        </w:rPr>
        <w:t xml:space="preserve">euro </w:t>
      </w:r>
      <w:r w:rsidRPr="000E1EB0">
        <w:rPr>
          <w:rFonts w:ascii="Garamond" w:hAnsi="Garamond"/>
          <w:color w:val="000000"/>
          <w:sz w:val="24"/>
          <w:szCs w:val="24"/>
        </w:rPr>
        <w:t xml:space="preserve">dhe kontributi maksimal i Bashkimit për këtë Program Veprimi është caktuar </w:t>
      </w:r>
      <w:r w:rsidRPr="001A3F88">
        <w:rPr>
          <w:rFonts w:ascii="Garamond" w:hAnsi="Garamond"/>
          <w:color w:val="000000"/>
          <w:sz w:val="24"/>
          <w:szCs w:val="24"/>
        </w:rPr>
        <w:t>në</w:t>
      </w:r>
      <w:r w:rsidR="001A2C86" w:rsidRPr="001A3F88">
        <w:rPr>
          <w:rFonts w:ascii="Garamond" w:hAnsi="Garamond"/>
          <w:color w:val="000000"/>
          <w:sz w:val="24"/>
          <w:szCs w:val="24"/>
        </w:rPr>
        <w:t xml:space="preserve"> </w:t>
      </w:r>
      <w:r w:rsidRPr="001A3F88">
        <w:rPr>
          <w:rFonts w:ascii="Garamond" w:hAnsi="Garamond"/>
          <w:color w:val="000000"/>
          <w:sz w:val="24"/>
          <w:szCs w:val="24"/>
        </w:rPr>
        <w:t>1</w:t>
      </w:r>
      <w:r w:rsidRPr="000E1EB0">
        <w:rPr>
          <w:rFonts w:ascii="Garamond" w:hAnsi="Garamond"/>
          <w:color w:val="000000"/>
          <w:sz w:val="24"/>
          <w:szCs w:val="24"/>
        </w:rPr>
        <w:t xml:space="preserve"> 530 000 </w:t>
      </w:r>
      <w:r w:rsidR="001A2C86" w:rsidRPr="000E1EB0">
        <w:rPr>
          <w:rFonts w:ascii="Garamond" w:hAnsi="Garamond"/>
          <w:color w:val="000000"/>
          <w:sz w:val="24"/>
          <w:szCs w:val="24"/>
        </w:rPr>
        <w:t>euro</w:t>
      </w:r>
      <w:r w:rsidRPr="000E1EB0">
        <w:rPr>
          <w:rFonts w:ascii="Garamond" w:hAnsi="Garamond"/>
          <w:color w:val="000000"/>
          <w:sz w:val="24"/>
          <w:szCs w:val="24"/>
        </w:rPr>
        <w:t>.</w:t>
      </w:r>
    </w:p>
    <w:p w14:paraId="6D6F210C"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Nuk kërkohet kontribut financiar nga përfituesit e IPA II.</w:t>
      </w:r>
    </w:p>
    <w:p w14:paraId="3DB480B2" w14:textId="77777777" w:rsidR="00571E0E" w:rsidRDefault="00571E0E" w:rsidP="00571E0E">
      <w:pPr>
        <w:autoSpaceDE w:val="0"/>
        <w:autoSpaceDN w:val="0"/>
        <w:adjustRightInd w:val="0"/>
        <w:spacing w:after="0" w:line="240" w:lineRule="auto"/>
        <w:jc w:val="both"/>
        <w:rPr>
          <w:rFonts w:ascii="Garamond" w:hAnsi="Garamond"/>
          <w:b/>
          <w:bCs/>
          <w:color w:val="000000"/>
          <w:sz w:val="24"/>
          <w:szCs w:val="24"/>
        </w:rPr>
      </w:pPr>
    </w:p>
    <w:p w14:paraId="080BFD68" w14:textId="77777777" w:rsidR="00571E0E" w:rsidRPr="00571E0E" w:rsidRDefault="003D21B2" w:rsidP="00571E0E">
      <w:pPr>
        <w:autoSpaceDE w:val="0"/>
        <w:autoSpaceDN w:val="0"/>
        <w:adjustRightInd w:val="0"/>
        <w:spacing w:after="0" w:line="240" w:lineRule="auto"/>
        <w:jc w:val="center"/>
        <w:rPr>
          <w:rFonts w:ascii="Garamond" w:hAnsi="Garamond"/>
          <w:bCs/>
          <w:color w:val="000000"/>
          <w:sz w:val="24"/>
          <w:szCs w:val="24"/>
        </w:rPr>
      </w:pPr>
      <w:r w:rsidRPr="00571E0E">
        <w:rPr>
          <w:rFonts w:ascii="Garamond" w:hAnsi="Garamond"/>
          <w:bCs/>
          <w:color w:val="000000"/>
          <w:sz w:val="24"/>
          <w:szCs w:val="24"/>
        </w:rPr>
        <w:t>Neni 2</w:t>
      </w:r>
    </w:p>
    <w:p w14:paraId="6D6F210D" w14:textId="4F052FB5" w:rsidR="003D21B2" w:rsidRPr="000E1EB0" w:rsidRDefault="003D21B2" w:rsidP="00571E0E">
      <w:pPr>
        <w:autoSpaceDE w:val="0"/>
        <w:autoSpaceDN w:val="0"/>
        <w:adjustRightInd w:val="0"/>
        <w:spacing w:after="0" w:line="240" w:lineRule="auto"/>
        <w:jc w:val="center"/>
        <w:rPr>
          <w:rFonts w:ascii="Garamond" w:hAnsi="Garamond"/>
          <w:b/>
          <w:bCs/>
          <w:color w:val="000000"/>
          <w:sz w:val="24"/>
          <w:szCs w:val="24"/>
        </w:rPr>
      </w:pPr>
      <w:r w:rsidRPr="000E1EB0">
        <w:rPr>
          <w:rFonts w:ascii="Garamond" w:hAnsi="Garamond"/>
          <w:b/>
          <w:bCs/>
          <w:color w:val="000000"/>
          <w:sz w:val="24"/>
          <w:szCs w:val="24"/>
        </w:rPr>
        <w:t>Periudha e ekzekutimit dhe periudha e zbatimit operacional</w:t>
      </w:r>
    </w:p>
    <w:p w14:paraId="1504240C" w14:textId="77777777" w:rsidR="00571E0E" w:rsidRDefault="00571E0E" w:rsidP="00650E6F">
      <w:pPr>
        <w:autoSpaceDE w:val="0"/>
        <w:autoSpaceDN w:val="0"/>
        <w:adjustRightInd w:val="0"/>
        <w:spacing w:after="0" w:line="240" w:lineRule="auto"/>
        <w:ind w:firstLine="284"/>
        <w:jc w:val="both"/>
        <w:rPr>
          <w:rFonts w:ascii="Garamond" w:hAnsi="Garamond"/>
          <w:color w:val="000000"/>
          <w:sz w:val="24"/>
          <w:szCs w:val="24"/>
        </w:rPr>
      </w:pPr>
    </w:p>
    <w:p w14:paraId="6D6F210E" w14:textId="04CE2000"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w:t>
      </w:r>
      <w:r w:rsidR="006F39FB">
        <w:rPr>
          <w:rFonts w:ascii="Garamond" w:hAnsi="Garamond"/>
          <w:color w:val="000000"/>
          <w:sz w:val="24"/>
          <w:szCs w:val="24"/>
        </w:rPr>
        <w:t>.</w:t>
      </w:r>
      <w:r w:rsidR="00571E0E">
        <w:rPr>
          <w:rFonts w:ascii="Garamond" w:hAnsi="Garamond"/>
          <w:color w:val="000000"/>
          <w:sz w:val="24"/>
          <w:szCs w:val="24"/>
        </w:rPr>
        <w:t xml:space="preserve"> Siç përcaktohet në nenin 1</w:t>
      </w:r>
      <w:r w:rsidRPr="000E1EB0">
        <w:rPr>
          <w:rFonts w:ascii="Garamond" w:hAnsi="Garamond"/>
          <w:color w:val="000000"/>
          <w:sz w:val="24"/>
          <w:szCs w:val="24"/>
        </w:rPr>
        <w:t xml:space="preserve">(1) të </w:t>
      </w:r>
      <w:r w:rsidR="001A2C86" w:rsidRPr="000E1EB0">
        <w:rPr>
          <w:rFonts w:ascii="Garamond" w:hAnsi="Garamond"/>
          <w:color w:val="000000"/>
          <w:sz w:val="24"/>
          <w:szCs w:val="24"/>
        </w:rPr>
        <w:t xml:space="preserve">shtojcës </w:t>
      </w:r>
      <w:r w:rsidRPr="000E1EB0">
        <w:rPr>
          <w:rFonts w:ascii="Garamond" w:hAnsi="Garamond"/>
          <w:color w:val="000000"/>
          <w:sz w:val="24"/>
          <w:szCs w:val="24"/>
        </w:rPr>
        <w:t>II, periudha e ekzekutimit të kësaj Marrëveshjeje Financimi është caktuar 12 vjet nga hyrja në fuqi e kësaj Marrëveshjeje Financimi.</w:t>
      </w:r>
    </w:p>
    <w:p w14:paraId="6D6F210F" w14:textId="176624BB"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2</w:t>
      </w:r>
      <w:r w:rsidR="006F39FB">
        <w:rPr>
          <w:rFonts w:ascii="Garamond" w:hAnsi="Garamond"/>
          <w:color w:val="000000"/>
          <w:sz w:val="24"/>
          <w:szCs w:val="24"/>
        </w:rPr>
        <w:t>.</w:t>
      </w:r>
      <w:r w:rsidR="007A3D1B">
        <w:rPr>
          <w:rFonts w:ascii="Garamond" w:hAnsi="Garamond"/>
          <w:color w:val="000000"/>
          <w:sz w:val="24"/>
          <w:szCs w:val="24"/>
        </w:rPr>
        <w:t xml:space="preserve"> Siç përcaktohet në nenin 1</w:t>
      </w:r>
      <w:r w:rsidRPr="000E1EB0">
        <w:rPr>
          <w:rFonts w:ascii="Garamond" w:hAnsi="Garamond"/>
          <w:color w:val="000000"/>
          <w:sz w:val="24"/>
          <w:szCs w:val="24"/>
        </w:rPr>
        <w:t xml:space="preserve">(2) të </w:t>
      </w:r>
      <w:r w:rsidR="001A2C86" w:rsidRPr="000E1EB0">
        <w:rPr>
          <w:rFonts w:ascii="Garamond" w:hAnsi="Garamond"/>
          <w:color w:val="000000"/>
          <w:sz w:val="24"/>
          <w:szCs w:val="24"/>
        </w:rPr>
        <w:t xml:space="preserve">shtojcës </w:t>
      </w:r>
      <w:r w:rsidRPr="000E1EB0">
        <w:rPr>
          <w:rFonts w:ascii="Garamond" w:hAnsi="Garamond"/>
          <w:color w:val="000000"/>
          <w:sz w:val="24"/>
          <w:szCs w:val="24"/>
        </w:rPr>
        <w:t>II, periudha e zbatimit operacional të kësaj Marrëveshjeje Financimi është caktuar 6 vjet nga hyrja në fuqi e kësaj Marrëveshjeje Financimi.</w:t>
      </w:r>
    </w:p>
    <w:p w14:paraId="7A88F2E6" w14:textId="77777777" w:rsidR="007A3D1B" w:rsidRDefault="007A3D1B" w:rsidP="007A3D1B">
      <w:pPr>
        <w:autoSpaceDE w:val="0"/>
        <w:autoSpaceDN w:val="0"/>
        <w:adjustRightInd w:val="0"/>
        <w:spacing w:after="0" w:line="240" w:lineRule="auto"/>
        <w:jc w:val="both"/>
        <w:rPr>
          <w:rFonts w:ascii="Garamond" w:hAnsi="Garamond"/>
          <w:b/>
          <w:bCs/>
          <w:color w:val="000000"/>
          <w:sz w:val="24"/>
          <w:szCs w:val="24"/>
        </w:rPr>
      </w:pPr>
    </w:p>
    <w:p w14:paraId="273E112A" w14:textId="77777777" w:rsidR="007A3D1B" w:rsidRPr="007A3D1B" w:rsidRDefault="003D21B2" w:rsidP="007A3D1B">
      <w:pPr>
        <w:autoSpaceDE w:val="0"/>
        <w:autoSpaceDN w:val="0"/>
        <w:adjustRightInd w:val="0"/>
        <w:spacing w:after="0" w:line="240" w:lineRule="auto"/>
        <w:jc w:val="center"/>
        <w:rPr>
          <w:rFonts w:ascii="Garamond" w:hAnsi="Garamond"/>
          <w:bCs/>
          <w:color w:val="000000"/>
          <w:sz w:val="24"/>
          <w:szCs w:val="24"/>
        </w:rPr>
      </w:pPr>
      <w:r w:rsidRPr="007A3D1B">
        <w:rPr>
          <w:rFonts w:ascii="Garamond" w:hAnsi="Garamond"/>
          <w:bCs/>
          <w:color w:val="000000"/>
          <w:sz w:val="24"/>
          <w:szCs w:val="24"/>
        </w:rPr>
        <w:t>Neni 3</w:t>
      </w:r>
    </w:p>
    <w:p w14:paraId="6D6F2110" w14:textId="13254211" w:rsidR="003D21B2" w:rsidRPr="000E1EB0" w:rsidRDefault="003D21B2" w:rsidP="007A3D1B">
      <w:pPr>
        <w:autoSpaceDE w:val="0"/>
        <w:autoSpaceDN w:val="0"/>
        <w:adjustRightInd w:val="0"/>
        <w:spacing w:after="0" w:line="240" w:lineRule="auto"/>
        <w:jc w:val="center"/>
        <w:rPr>
          <w:rFonts w:ascii="Garamond" w:hAnsi="Garamond"/>
          <w:b/>
          <w:bCs/>
          <w:color w:val="000000"/>
          <w:sz w:val="24"/>
          <w:szCs w:val="24"/>
        </w:rPr>
      </w:pPr>
      <w:r w:rsidRPr="000E1EB0">
        <w:rPr>
          <w:rFonts w:ascii="Garamond" w:hAnsi="Garamond"/>
          <w:b/>
          <w:bCs/>
          <w:color w:val="000000"/>
          <w:sz w:val="24"/>
          <w:szCs w:val="24"/>
        </w:rPr>
        <w:t xml:space="preserve">Adresat dhe </w:t>
      </w:r>
      <w:r w:rsidR="001A2C86" w:rsidRPr="000E1EB0">
        <w:rPr>
          <w:rFonts w:ascii="Garamond" w:hAnsi="Garamond"/>
          <w:b/>
          <w:bCs/>
          <w:color w:val="000000"/>
          <w:sz w:val="24"/>
          <w:szCs w:val="24"/>
        </w:rPr>
        <w:t>komunikimi</w:t>
      </w:r>
    </w:p>
    <w:p w14:paraId="1764366F" w14:textId="77777777" w:rsidR="007A3D1B" w:rsidRDefault="007A3D1B" w:rsidP="00650E6F">
      <w:pPr>
        <w:autoSpaceDE w:val="0"/>
        <w:autoSpaceDN w:val="0"/>
        <w:adjustRightInd w:val="0"/>
        <w:spacing w:after="0" w:line="240" w:lineRule="auto"/>
        <w:ind w:firstLine="284"/>
        <w:jc w:val="both"/>
        <w:rPr>
          <w:rFonts w:ascii="Garamond" w:hAnsi="Garamond"/>
          <w:color w:val="000000"/>
          <w:sz w:val="24"/>
          <w:szCs w:val="24"/>
        </w:rPr>
      </w:pPr>
    </w:p>
    <w:p w14:paraId="6D6F2111" w14:textId="66FA23BC"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I gjithë komunikimi në lidhje me zbatimin e kësaj marrëveshjeje financimi duhet të jenë në formë të shkruar dhe do t’i referohet shprehimisht Programit të Veprimit</w:t>
      </w:r>
      <w:r w:rsidR="007A3D1B">
        <w:rPr>
          <w:rFonts w:ascii="Garamond" w:hAnsi="Garamond"/>
          <w:color w:val="000000"/>
          <w:sz w:val="24"/>
          <w:szCs w:val="24"/>
        </w:rPr>
        <w:t>, siç identifikohet në nenin 1</w:t>
      </w:r>
      <w:r w:rsidRPr="000E1EB0">
        <w:rPr>
          <w:rFonts w:ascii="Garamond" w:hAnsi="Garamond"/>
          <w:color w:val="000000"/>
          <w:sz w:val="24"/>
          <w:szCs w:val="24"/>
        </w:rPr>
        <w:t>(1) dhe do të dërgohet në adresat e mëposhtme:</w:t>
      </w:r>
    </w:p>
    <w:p w14:paraId="6D6F2112" w14:textId="77777777" w:rsidR="003D21B2" w:rsidRPr="000E1EB0" w:rsidRDefault="003D21B2" w:rsidP="00650E6F">
      <w:pPr>
        <w:tabs>
          <w:tab w:val="left" w:pos="360"/>
        </w:tabs>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b/>
          <w:bCs/>
          <w:color w:val="000000"/>
          <w:sz w:val="24"/>
          <w:szCs w:val="24"/>
        </w:rPr>
        <w:t>a) për Komisionin</w:t>
      </w:r>
    </w:p>
    <w:p w14:paraId="6D6F2113"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Znj. Genoveva Ruiz Calavera</w:t>
      </w:r>
    </w:p>
    <w:p w14:paraId="6D6F2114"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Drejtoria D, Ballkani Perëndimor</w:t>
      </w:r>
    </w:p>
    <w:p w14:paraId="6D6F2115"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Komisioni Evropian</w:t>
      </w:r>
    </w:p>
    <w:p w14:paraId="6D6F2116" w14:textId="339771E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Drejtoria e Përgjithshme e Fqinjësisë dhe Negociatave të Zgjerimit</w:t>
      </w:r>
    </w:p>
    <w:p w14:paraId="6D6F2117"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Rue de la Loi 15, B – 1049</w:t>
      </w:r>
    </w:p>
    <w:p w14:paraId="6D6F2118" w14:textId="77777777"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 xml:space="preserve">Brussels, Belgium (Bruksel, Belgjikë) </w:t>
      </w:r>
    </w:p>
    <w:p w14:paraId="6D6F2119" w14:textId="647CDFAB" w:rsidR="003D21B2" w:rsidRPr="000E1EB0" w:rsidRDefault="00910C1F" w:rsidP="00650E6F">
      <w:pPr>
        <w:autoSpaceDE w:val="0"/>
        <w:autoSpaceDN w:val="0"/>
        <w:adjustRightInd w:val="0"/>
        <w:spacing w:after="0" w:line="240" w:lineRule="auto"/>
        <w:ind w:firstLine="284"/>
        <w:rPr>
          <w:rFonts w:ascii="Garamond" w:hAnsi="Garamond"/>
          <w:color w:val="000000"/>
          <w:sz w:val="24"/>
          <w:szCs w:val="24"/>
        </w:rPr>
      </w:pPr>
      <w:r w:rsidRPr="00910C1F">
        <w:rPr>
          <w:rFonts w:ascii="Garamond" w:hAnsi="Garamond"/>
          <w:i/>
          <w:color w:val="000000"/>
          <w:sz w:val="24"/>
          <w:szCs w:val="24"/>
        </w:rPr>
        <w:t>E</w:t>
      </w:r>
      <w:r w:rsidR="00C45C84">
        <w:rPr>
          <w:rFonts w:ascii="Garamond" w:hAnsi="Garamond"/>
          <w:i/>
          <w:color w:val="000000"/>
          <w:sz w:val="24"/>
          <w:szCs w:val="24"/>
        </w:rPr>
        <w:t>-</w:t>
      </w:r>
      <w:r w:rsidR="003D21B2" w:rsidRPr="00910C1F">
        <w:rPr>
          <w:rFonts w:ascii="Garamond" w:hAnsi="Garamond"/>
          <w:i/>
          <w:color w:val="000000"/>
          <w:sz w:val="24"/>
          <w:szCs w:val="24"/>
        </w:rPr>
        <w:t>mail:</w:t>
      </w:r>
      <w:r w:rsidR="003D21B2" w:rsidRPr="000E1EB0">
        <w:rPr>
          <w:rFonts w:ascii="Garamond" w:hAnsi="Garamond"/>
          <w:color w:val="000000"/>
          <w:sz w:val="24"/>
          <w:szCs w:val="24"/>
        </w:rPr>
        <w:t xml:space="preserve"> </w:t>
      </w:r>
      <w:r w:rsidR="003D21B2" w:rsidRPr="000E1EB0">
        <w:rPr>
          <w:rFonts w:ascii="Garamond" w:hAnsi="Garamond"/>
          <w:color w:val="0000FF"/>
          <w:sz w:val="24"/>
          <w:szCs w:val="24"/>
          <w:u w:val="single"/>
        </w:rPr>
        <w:t>NEAR-D@ec.europa.eu</w:t>
      </w:r>
      <w:r w:rsidR="003D21B2" w:rsidRPr="000E1EB0">
        <w:rPr>
          <w:rFonts w:ascii="Garamond" w:hAnsi="Garamond"/>
          <w:color w:val="000000"/>
          <w:sz w:val="24"/>
          <w:szCs w:val="24"/>
        </w:rPr>
        <w:t xml:space="preserve"> </w:t>
      </w:r>
    </w:p>
    <w:p w14:paraId="6D6F211A" w14:textId="77777777" w:rsidR="003D21B2" w:rsidRPr="000E1EB0" w:rsidRDefault="003D21B2" w:rsidP="00650E6F">
      <w:pPr>
        <w:tabs>
          <w:tab w:val="left" w:pos="360"/>
        </w:tabs>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b/>
          <w:bCs/>
          <w:color w:val="000000"/>
          <w:sz w:val="24"/>
          <w:szCs w:val="24"/>
        </w:rPr>
        <w:t>b) për përfituesit e IPA II</w:t>
      </w:r>
    </w:p>
    <w:p w14:paraId="6D6F211B"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Për Republikën e Maqedonisë së Veriut:</w:t>
      </w:r>
    </w:p>
    <w:p w14:paraId="6D6F211C" w14:textId="3EE9ACB5"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Sekretariati për Çështjet Evropiane</w:t>
      </w:r>
    </w:p>
    <w:p w14:paraId="6D6F211D" w14:textId="259365C9"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Quai Dimitar Vlahov</w:t>
      </w:r>
      <w:r w:rsidR="00EC344E">
        <w:rPr>
          <w:rFonts w:ascii="Garamond" w:hAnsi="Garamond"/>
          <w:color w:val="000000"/>
          <w:sz w:val="24"/>
          <w:szCs w:val="24"/>
        </w:rPr>
        <w:t>,</w:t>
      </w:r>
      <w:r w:rsidRPr="000E1EB0">
        <w:rPr>
          <w:rFonts w:ascii="Garamond" w:hAnsi="Garamond"/>
          <w:color w:val="000000"/>
          <w:sz w:val="24"/>
          <w:szCs w:val="24"/>
        </w:rPr>
        <w:t xml:space="preserve"> </w:t>
      </w:r>
      <w:r w:rsidR="00EC344E">
        <w:rPr>
          <w:rFonts w:ascii="Garamond" w:hAnsi="Garamond"/>
          <w:color w:val="000000"/>
          <w:sz w:val="24"/>
          <w:szCs w:val="24"/>
        </w:rPr>
        <w:t>n</w:t>
      </w:r>
      <w:r w:rsidRPr="000E1EB0">
        <w:rPr>
          <w:rFonts w:ascii="Garamond" w:hAnsi="Garamond"/>
          <w:color w:val="000000"/>
          <w:sz w:val="24"/>
          <w:szCs w:val="24"/>
        </w:rPr>
        <w:t xml:space="preserve">r. 4 </w:t>
      </w:r>
    </w:p>
    <w:p w14:paraId="6D6F211E" w14:textId="22B4952E"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1000 Shkup, Republika e Maqedonisë së Veriut</w:t>
      </w:r>
    </w:p>
    <w:p w14:paraId="6D6F211F" w14:textId="04CBD24B"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lastRenderedPageBreak/>
        <w:t xml:space="preserve">Tel: +389 (0)2 3200 105, Faks: +389(0)2 3114 569 </w:t>
      </w:r>
    </w:p>
    <w:p w14:paraId="6D6F2120" w14:textId="352195CE" w:rsidR="003D21B2" w:rsidRPr="000E1EB0" w:rsidRDefault="00C45C84" w:rsidP="00650E6F">
      <w:pPr>
        <w:autoSpaceDE w:val="0"/>
        <w:autoSpaceDN w:val="0"/>
        <w:adjustRightInd w:val="0"/>
        <w:spacing w:after="0" w:line="240" w:lineRule="auto"/>
        <w:ind w:firstLine="284"/>
        <w:rPr>
          <w:rFonts w:ascii="Garamond" w:hAnsi="Garamond"/>
          <w:color w:val="000000"/>
          <w:sz w:val="24"/>
          <w:szCs w:val="24"/>
        </w:rPr>
      </w:pPr>
      <w:r w:rsidRPr="00C45C84">
        <w:rPr>
          <w:rFonts w:ascii="Garamond" w:hAnsi="Garamond"/>
          <w:i/>
          <w:color w:val="000000"/>
          <w:sz w:val="24"/>
          <w:szCs w:val="24"/>
        </w:rPr>
        <w:t>E-</w:t>
      </w:r>
      <w:r w:rsidR="003D21B2" w:rsidRPr="00C45C84">
        <w:rPr>
          <w:rFonts w:ascii="Garamond" w:hAnsi="Garamond"/>
          <w:i/>
          <w:color w:val="000000"/>
          <w:sz w:val="24"/>
          <w:szCs w:val="24"/>
        </w:rPr>
        <w:t>mail:</w:t>
      </w:r>
      <w:r w:rsidR="003D21B2" w:rsidRPr="000E1EB0">
        <w:rPr>
          <w:rFonts w:ascii="Garamond" w:hAnsi="Garamond"/>
          <w:color w:val="000000"/>
          <w:sz w:val="24"/>
          <w:szCs w:val="24"/>
        </w:rPr>
        <w:t xml:space="preserve"> </w:t>
      </w:r>
      <w:r w:rsidR="003D21B2" w:rsidRPr="000E1EB0">
        <w:rPr>
          <w:rFonts w:ascii="Garamond" w:hAnsi="Garamond"/>
          <w:color w:val="0000FF"/>
          <w:sz w:val="24"/>
          <w:szCs w:val="24"/>
          <w:u w:val="single"/>
        </w:rPr>
        <w:t>cabinet@sep.gov.mk</w:t>
      </w:r>
      <w:r w:rsidR="003D21B2" w:rsidRPr="000E1EB0">
        <w:rPr>
          <w:rFonts w:ascii="Garamond" w:hAnsi="Garamond"/>
          <w:color w:val="000000"/>
          <w:sz w:val="24"/>
          <w:szCs w:val="24"/>
        </w:rPr>
        <w:t xml:space="preserve"> </w:t>
      </w:r>
    </w:p>
    <w:p w14:paraId="6D6F2121" w14:textId="66E27A1E"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Për Republikën e Shqipërisë</w:t>
      </w:r>
      <w:r w:rsidR="001A2C86">
        <w:rPr>
          <w:rFonts w:ascii="Garamond" w:hAnsi="Garamond"/>
          <w:color w:val="000000"/>
          <w:sz w:val="24"/>
          <w:szCs w:val="24"/>
        </w:rPr>
        <w:t>:</w:t>
      </w:r>
    </w:p>
    <w:p w14:paraId="6D6F2122" w14:textId="77777777"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Ministria për Evropën dhe Punët e Jashtme</w:t>
      </w:r>
    </w:p>
    <w:p w14:paraId="6D6F2123" w14:textId="77777777"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Drejtoria e Bashkëpunimit Territorial</w:t>
      </w:r>
    </w:p>
    <w:p w14:paraId="6D6F2124" w14:textId="6984A824"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Bulevardi “Gjergj Fishta”</w:t>
      </w:r>
      <w:r w:rsidR="00A97088">
        <w:rPr>
          <w:rFonts w:ascii="Garamond" w:hAnsi="Garamond"/>
          <w:color w:val="000000"/>
          <w:sz w:val="24"/>
          <w:szCs w:val="24"/>
        </w:rPr>
        <w:t>,</w:t>
      </w:r>
      <w:r w:rsidRPr="000E1EB0">
        <w:rPr>
          <w:rFonts w:ascii="Garamond" w:hAnsi="Garamond"/>
          <w:color w:val="000000"/>
          <w:sz w:val="24"/>
          <w:szCs w:val="24"/>
        </w:rPr>
        <w:t xml:space="preserve"> </w:t>
      </w:r>
      <w:r w:rsidR="00A97088">
        <w:rPr>
          <w:rFonts w:ascii="Garamond" w:hAnsi="Garamond"/>
          <w:color w:val="000000"/>
          <w:sz w:val="24"/>
          <w:szCs w:val="24"/>
        </w:rPr>
        <w:t>nr</w:t>
      </w:r>
      <w:r w:rsidRPr="000E1EB0">
        <w:rPr>
          <w:rFonts w:ascii="Garamond" w:hAnsi="Garamond"/>
          <w:color w:val="000000"/>
          <w:sz w:val="24"/>
          <w:szCs w:val="24"/>
        </w:rPr>
        <w:t>. 6</w:t>
      </w:r>
    </w:p>
    <w:p w14:paraId="6D6F2125" w14:textId="77777777"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Tiranë, Republika e Shqipërisë</w:t>
      </w:r>
    </w:p>
    <w:p w14:paraId="6D6F2126" w14:textId="77777777" w:rsidR="003D21B2" w:rsidRPr="000E1EB0" w:rsidRDefault="003D21B2" w:rsidP="00650E6F">
      <w:pPr>
        <w:autoSpaceDE w:val="0"/>
        <w:autoSpaceDN w:val="0"/>
        <w:adjustRightInd w:val="0"/>
        <w:spacing w:after="0" w:line="240" w:lineRule="auto"/>
        <w:ind w:firstLine="284"/>
        <w:rPr>
          <w:rFonts w:ascii="Garamond" w:hAnsi="Garamond"/>
          <w:color w:val="0000FF"/>
          <w:sz w:val="24"/>
          <w:szCs w:val="24"/>
          <w:u w:val="single"/>
        </w:rPr>
      </w:pPr>
      <w:r w:rsidRPr="00C45C84">
        <w:rPr>
          <w:rFonts w:ascii="Garamond" w:hAnsi="Garamond"/>
          <w:i/>
          <w:color w:val="000000"/>
          <w:sz w:val="24"/>
          <w:szCs w:val="24"/>
        </w:rPr>
        <w:t>E-mail:</w:t>
      </w:r>
      <w:r w:rsidRPr="000E1EB0">
        <w:rPr>
          <w:rFonts w:ascii="Garamond" w:hAnsi="Garamond"/>
          <w:color w:val="000000"/>
          <w:sz w:val="24"/>
          <w:szCs w:val="24"/>
        </w:rPr>
        <w:t xml:space="preserve"> </w:t>
      </w:r>
      <w:hyperlink r:id="rId14" w:history="1">
        <w:r w:rsidRPr="000E1EB0">
          <w:rPr>
            <w:rStyle w:val="Hyperlink"/>
            <w:rFonts w:ascii="Garamond" w:hAnsi="Garamond"/>
            <w:sz w:val="24"/>
            <w:szCs w:val="24"/>
          </w:rPr>
          <w:t>info@mfa.gov.al</w:t>
        </w:r>
      </w:hyperlink>
    </w:p>
    <w:p w14:paraId="029B3DF0" w14:textId="77777777" w:rsidR="00496242" w:rsidRDefault="00496242" w:rsidP="00496242">
      <w:pPr>
        <w:autoSpaceDE w:val="0"/>
        <w:autoSpaceDN w:val="0"/>
        <w:adjustRightInd w:val="0"/>
        <w:spacing w:after="0" w:line="240" w:lineRule="auto"/>
        <w:rPr>
          <w:rFonts w:ascii="Garamond" w:hAnsi="Garamond"/>
          <w:b/>
          <w:bCs/>
          <w:color w:val="000000"/>
          <w:sz w:val="24"/>
          <w:szCs w:val="24"/>
        </w:rPr>
      </w:pPr>
    </w:p>
    <w:p w14:paraId="1278DD4D" w14:textId="77777777" w:rsidR="00496242" w:rsidRPr="00496242" w:rsidRDefault="003D21B2" w:rsidP="00496242">
      <w:pPr>
        <w:autoSpaceDE w:val="0"/>
        <w:autoSpaceDN w:val="0"/>
        <w:adjustRightInd w:val="0"/>
        <w:spacing w:after="0" w:line="240" w:lineRule="auto"/>
        <w:jc w:val="center"/>
        <w:rPr>
          <w:rFonts w:ascii="Garamond" w:hAnsi="Garamond"/>
          <w:bCs/>
          <w:color w:val="000000"/>
          <w:sz w:val="24"/>
          <w:szCs w:val="24"/>
        </w:rPr>
      </w:pPr>
      <w:r w:rsidRPr="00496242">
        <w:rPr>
          <w:rFonts w:ascii="Garamond" w:hAnsi="Garamond"/>
          <w:bCs/>
          <w:color w:val="000000"/>
          <w:sz w:val="24"/>
          <w:szCs w:val="24"/>
        </w:rPr>
        <w:t>Neni 4</w:t>
      </w:r>
    </w:p>
    <w:p w14:paraId="6D6F2127" w14:textId="41CE85D9" w:rsidR="003D21B2" w:rsidRPr="000E1EB0" w:rsidRDefault="003D21B2" w:rsidP="00496242">
      <w:pPr>
        <w:autoSpaceDE w:val="0"/>
        <w:autoSpaceDN w:val="0"/>
        <w:adjustRightInd w:val="0"/>
        <w:spacing w:after="0" w:line="240" w:lineRule="auto"/>
        <w:jc w:val="center"/>
        <w:rPr>
          <w:rFonts w:ascii="Garamond" w:hAnsi="Garamond"/>
          <w:color w:val="0000FF"/>
          <w:sz w:val="24"/>
          <w:szCs w:val="24"/>
          <w:u w:val="single"/>
        </w:rPr>
      </w:pPr>
      <w:r w:rsidRPr="000E1EB0">
        <w:rPr>
          <w:rFonts w:ascii="Garamond" w:hAnsi="Garamond"/>
          <w:b/>
          <w:bCs/>
          <w:color w:val="000000"/>
          <w:sz w:val="24"/>
          <w:szCs w:val="24"/>
        </w:rPr>
        <w:t xml:space="preserve">Pikat e kontaktit të Zyrës Evropiane </w:t>
      </w:r>
      <w:r w:rsidR="007C0EE2">
        <w:rPr>
          <w:rFonts w:ascii="Garamond" w:hAnsi="Garamond"/>
          <w:b/>
          <w:bCs/>
          <w:color w:val="000000"/>
          <w:sz w:val="24"/>
          <w:szCs w:val="24"/>
        </w:rPr>
        <w:t>k</w:t>
      </w:r>
      <w:r w:rsidRPr="000E1EB0">
        <w:rPr>
          <w:rFonts w:ascii="Garamond" w:hAnsi="Garamond"/>
          <w:b/>
          <w:bCs/>
          <w:color w:val="000000"/>
          <w:sz w:val="24"/>
          <w:szCs w:val="24"/>
        </w:rPr>
        <w:t>undër Mashtrimit (OLAF)</w:t>
      </w:r>
    </w:p>
    <w:p w14:paraId="18A3DF5B" w14:textId="77777777" w:rsidR="00496242" w:rsidRDefault="00496242" w:rsidP="00650E6F">
      <w:pPr>
        <w:autoSpaceDE w:val="0"/>
        <w:autoSpaceDN w:val="0"/>
        <w:adjustRightInd w:val="0"/>
        <w:spacing w:after="0" w:line="240" w:lineRule="auto"/>
        <w:ind w:firstLine="284"/>
        <w:jc w:val="both"/>
        <w:rPr>
          <w:rFonts w:ascii="Garamond" w:hAnsi="Garamond"/>
          <w:color w:val="000000"/>
          <w:sz w:val="24"/>
          <w:szCs w:val="24"/>
        </w:rPr>
      </w:pPr>
    </w:p>
    <w:p w14:paraId="6D6F2128" w14:textId="2AF1BC7C"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Pika e kontaktit të përfituesit të IPA II</w:t>
      </w:r>
      <w:r w:rsidR="00496242">
        <w:rPr>
          <w:rFonts w:ascii="Garamond" w:hAnsi="Garamond"/>
          <w:color w:val="000000"/>
          <w:sz w:val="24"/>
          <w:szCs w:val="24"/>
        </w:rPr>
        <w:t>,</w:t>
      </w:r>
      <w:r w:rsidRPr="000E1EB0">
        <w:rPr>
          <w:rFonts w:ascii="Garamond" w:hAnsi="Garamond"/>
          <w:color w:val="000000"/>
          <w:sz w:val="24"/>
          <w:szCs w:val="24"/>
        </w:rPr>
        <w:t xml:space="preserve"> që ka kompetencat e duhura për të bashkëpunuar drejtpërdrejt me Zyrën Evropiane Kundër Mashtrimit (OLAF), në mënyrë që të lehtësojë aktivitetet operative të OLAF-it, do të jenë: </w:t>
      </w:r>
    </w:p>
    <w:p w14:paraId="6D6F2129" w14:textId="12A6323A"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 Z. Fatmir Ademi, </w:t>
      </w:r>
      <w:r w:rsidR="00DB06D4" w:rsidRPr="000E1EB0">
        <w:rPr>
          <w:rFonts w:ascii="Garamond" w:hAnsi="Garamond"/>
          <w:color w:val="000000"/>
          <w:sz w:val="24"/>
          <w:szCs w:val="24"/>
        </w:rPr>
        <w:t xml:space="preserve">shefi </w:t>
      </w:r>
      <w:r w:rsidRPr="000E1EB0">
        <w:rPr>
          <w:rFonts w:ascii="Garamond" w:hAnsi="Garamond"/>
          <w:color w:val="000000"/>
          <w:sz w:val="24"/>
          <w:szCs w:val="24"/>
        </w:rPr>
        <w:t>i Departamentit për Inspektimin Financiar të Sektorit Publik dhe Koordinimin për Luftimin e Mashtrimit kundër Fondeve të BE-së</w:t>
      </w:r>
    </w:p>
    <w:p w14:paraId="6D6F212A" w14:textId="0D619EEC" w:rsidR="003D21B2" w:rsidRPr="000E1EB0" w:rsidRDefault="003D21B2" w:rsidP="00650E6F">
      <w:pPr>
        <w:autoSpaceDE w:val="0"/>
        <w:autoSpaceDN w:val="0"/>
        <w:adjustRightInd w:val="0"/>
        <w:spacing w:after="0" w:line="240" w:lineRule="auto"/>
        <w:ind w:firstLine="284"/>
        <w:rPr>
          <w:rFonts w:ascii="Garamond" w:hAnsi="Garamond"/>
          <w:color w:val="000000"/>
          <w:sz w:val="24"/>
          <w:szCs w:val="24"/>
        </w:rPr>
      </w:pPr>
      <w:r w:rsidRPr="000E1EB0">
        <w:rPr>
          <w:rFonts w:ascii="Garamond" w:hAnsi="Garamond"/>
          <w:color w:val="000000"/>
          <w:sz w:val="24"/>
          <w:szCs w:val="24"/>
        </w:rPr>
        <w:t>Quai Dimitar Vlahov</w:t>
      </w:r>
      <w:r w:rsidR="00DB06D4">
        <w:rPr>
          <w:rFonts w:ascii="Garamond" w:hAnsi="Garamond"/>
          <w:color w:val="000000"/>
          <w:sz w:val="24"/>
          <w:szCs w:val="24"/>
        </w:rPr>
        <w:t>,</w:t>
      </w:r>
      <w:r w:rsidRPr="000E1EB0">
        <w:rPr>
          <w:rFonts w:ascii="Garamond" w:hAnsi="Garamond"/>
          <w:color w:val="000000"/>
          <w:sz w:val="24"/>
          <w:szCs w:val="24"/>
        </w:rPr>
        <w:t xml:space="preserve"> </w:t>
      </w:r>
      <w:r w:rsidR="00DB06D4">
        <w:rPr>
          <w:rFonts w:ascii="Garamond" w:hAnsi="Garamond"/>
          <w:color w:val="000000"/>
          <w:sz w:val="24"/>
          <w:szCs w:val="24"/>
        </w:rPr>
        <w:t>n</w:t>
      </w:r>
      <w:r w:rsidRPr="000E1EB0">
        <w:rPr>
          <w:rFonts w:ascii="Garamond" w:hAnsi="Garamond"/>
          <w:color w:val="000000"/>
          <w:sz w:val="24"/>
          <w:szCs w:val="24"/>
        </w:rPr>
        <w:t>r.</w:t>
      </w:r>
      <w:r w:rsidR="00DB06D4">
        <w:rPr>
          <w:rFonts w:ascii="Garamond" w:hAnsi="Garamond"/>
          <w:color w:val="000000"/>
          <w:sz w:val="24"/>
          <w:szCs w:val="24"/>
        </w:rPr>
        <w:t xml:space="preserve"> </w:t>
      </w:r>
      <w:r w:rsidRPr="000E1EB0">
        <w:rPr>
          <w:rFonts w:ascii="Garamond" w:hAnsi="Garamond"/>
          <w:color w:val="000000"/>
          <w:sz w:val="24"/>
          <w:szCs w:val="24"/>
        </w:rPr>
        <w:t>4, kati 4, 1000 Shkup, Republika e Maqedonisë së Veriut</w:t>
      </w:r>
    </w:p>
    <w:p w14:paraId="6D6F212B" w14:textId="4642CA38" w:rsidR="003D21B2" w:rsidRPr="000E1EB0" w:rsidRDefault="00496242" w:rsidP="00650E6F">
      <w:pPr>
        <w:autoSpaceDE w:val="0"/>
        <w:autoSpaceDN w:val="0"/>
        <w:adjustRightInd w:val="0"/>
        <w:spacing w:after="0" w:line="240" w:lineRule="auto"/>
        <w:ind w:firstLine="284"/>
        <w:rPr>
          <w:rFonts w:ascii="Garamond" w:hAnsi="Garamond"/>
          <w:color w:val="000000"/>
          <w:sz w:val="24"/>
          <w:szCs w:val="24"/>
        </w:rPr>
      </w:pPr>
      <w:r w:rsidRPr="00496242">
        <w:rPr>
          <w:rFonts w:ascii="Garamond" w:hAnsi="Garamond"/>
          <w:i/>
          <w:color w:val="000000"/>
          <w:sz w:val="24"/>
          <w:szCs w:val="24"/>
        </w:rPr>
        <w:t>E</w:t>
      </w:r>
      <w:r w:rsidR="003D21B2" w:rsidRPr="00496242">
        <w:rPr>
          <w:rFonts w:ascii="Garamond" w:hAnsi="Garamond"/>
          <w:i/>
          <w:color w:val="000000"/>
          <w:sz w:val="24"/>
          <w:szCs w:val="24"/>
        </w:rPr>
        <w:t>-mail:</w:t>
      </w:r>
      <w:r w:rsidR="003D21B2" w:rsidRPr="000E1EB0">
        <w:rPr>
          <w:rFonts w:ascii="Garamond" w:hAnsi="Garamond"/>
          <w:color w:val="000000"/>
          <w:sz w:val="24"/>
          <w:szCs w:val="24"/>
        </w:rPr>
        <w:t xml:space="preserve"> </w:t>
      </w:r>
      <w:r w:rsidR="003D21B2" w:rsidRPr="000E1EB0">
        <w:rPr>
          <w:rFonts w:ascii="Garamond" w:hAnsi="Garamond"/>
          <w:color w:val="0000FF"/>
          <w:sz w:val="24"/>
          <w:szCs w:val="24"/>
          <w:u w:val="single"/>
        </w:rPr>
        <w:t>fatmir.ademi@finance.gov.mk</w:t>
      </w:r>
    </w:p>
    <w:p w14:paraId="6D6F212C" w14:textId="2B2971A2"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dhe</w:t>
      </w:r>
    </w:p>
    <w:p w14:paraId="6D6F212D" w14:textId="751A8D29"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 Z. Blerina Naska, </w:t>
      </w:r>
      <w:r w:rsidR="00DB06D4" w:rsidRPr="000E1EB0">
        <w:rPr>
          <w:rFonts w:ascii="Garamond" w:hAnsi="Garamond"/>
          <w:color w:val="000000"/>
          <w:sz w:val="24"/>
          <w:szCs w:val="24"/>
        </w:rPr>
        <w:t>drejtor</w:t>
      </w:r>
      <w:r w:rsidR="00DB06D4">
        <w:rPr>
          <w:rFonts w:ascii="Garamond" w:hAnsi="Garamond"/>
          <w:color w:val="000000"/>
          <w:sz w:val="24"/>
          <w:szCs w:val="24"/>
        </w:rPr>
        <w:t>e</w:t>
      </w:r>
      <w:r w:rsidR="00DB06D4" w:rsidRPr="000E1EB0">
        <w:rPr>
          <w:rFonts w:ascii="Garamond" w:hAnsi="Garamond"/>
          <w:color w:val="000000"/>
          <w:sz w:val="24"/>
          <w:szCs w:val="24"/>
        </w:rPr>
        <w:t xml:space="preserve"> </w:t>
      </w:r>
      <w:r w:rsidR="00DB06D4">
        <w:rPr>
          <w:rFonts w:ascii="Garamond" w:hAnsi="Garamond"/>
          <w:color w:val="000000"/>
          <w:sz w:val="24"/>
          <w:szCs w:val="24"/>
        </w:rPr>
        <w:t>e</w:t>
      </w:r>
      <w:r w:rsidRPr="000E1EB0">
        <w:rPr>
          <w:rFonts w:ascii="Garamond" w:hAnsi="Garamond"/>
          <w:color w:val="000000"/>
          <w:sz w:val="24"/>
          <w:szCs w:val="24"/>
        </w:rPr>
        <w:t xml:space="preserve"> Njësisë së Inspektimit Financiar, Ministria e Financave dhe Ekonomisë, </w:t>
      </w:r>
      <w:r w:rsidR="00DB06D4">
        <w:rPr>
          <w:rFonts w:ascii="Garamond" w:hAnsi="Garamond"/>
          <w:color w:val="000000"/>
          <w:sz w:val="24"/>
          <w:szCs w:val="24"/>
        </w:rPr>
        <w:t>b</w:t>
      </w:r>
      <w:r w:rsidRPr="000E1EB0">
        <w:rPr>
          <w:rFonts w:ascii="Garamond" w:hAnsi="Garamond"/>
          <w:color w:val="000000"/>
          <w:sz w:val="24"/>
          <w:szCs w:val="24"/>
        </w:rPr>
        <w:t>ulevardi “Dëshmoret e Kombit”</w:t>
      </w:r>
      <w:r w:rsidR="00DB06D4">
        <w:rPr>
          <w:rFonts w:ascii="Garamond" w:hAnsi="Garamond"/>
          <w:color w:val="000000"/>
          <w:sz w:val="24"/>
          <w:szCs w:val="24"/>
        </w:rPr>
        <w:t>,</w:t>
      </w:r>
      <w:r w:rsidRPr="000E1EB0">
        <w:rPr>
          <w:rFonts w:ascii="Garamond" w:hAnsi="Garamond"/>
          <w:color w:val="000000"/>
          <w:sz w:val="24"/>
          <w:szCs w:val="24"/>
        </w:rPr>
        <w:t xml:space="preserve"> </w:t>
      </w:r>
      <w:r w:rsidR="00DB06D4">
        <w:rPr>
          <w:rFonts w:ascii="Garamond" w:hAnsi="Garamond"/>
          <w:color w:val="000000"/>
          <w:sz w:val="24"/>
          <w:szCs w:val="24"/>
        </w:rPr>
        <w:t>n</w:t>
      </w:r>
      <w:r w:rsidRPr="000E1EB0">
        <w:rPr>
          <w:rFonts w:ascii="Garamond" w:hAnsi="Garamond"/>
          <w:color w:val="000000"/>
          <w:sz w:val="24"/>
          <w:szCs w:val="24"/>
        </w:rPr>
        <w:t>r.</w:t>
      </w:r>
      <w:r w:rsidR="00DB06D4">
        <w:rPr>
          <w:rFonts w:ascii="Garamond" w:hAnsi="Garamond"/>
          <w:color w:val="000000"/>
          <w:sz w:val="24"/>
          <w:szCs w:val="24"/>
        </w:rPr>
        <w:t xml:space="preserve"> </w:t>
      </w:r>
      <w:r w:rsidRPr="000E1EB0">
        <w:rPr>
          <w:rFonts w:ascii="Garamond" w:hAnsi="Garamond"/>
          <w:color w:val="000000"/>
          <w:sz w:val="24"/>
          <w:szCs w:val="24"/>
        </w:rPr>
        <w:t>3, Tiranë, Republika e Shqipërisë</w:t>
      </w:r>
    </w:p>
    <w:p w14:paraId="6D6F212E" w14:textId="2D8A371A" w:rsidR="003D21B2" w:rsidRPr="000E1EB0" w:rsidRDefault="00244D59" w:rsidP="00650E6F">
      <w:pPr>
        <w:autoSpaceDE w:val="0"/>
        <w:autoSpaceDN w:val="0"/>
        <w:adjustRightInd w:val="0"/>
        <w:spacing w:after="0" w:line="240" w:lineRule="auto"/>
        <w:ind w:firstLine="284"/>
        <w:rPr>
          <w:rFonts w:ascii="Garamond" w:hAnsi="Garamond"/>
          <w:color w:val="000000"/>
          <w:sz w:val="24"/>
          <w:szCs w:val="24"/>
        </w:rPr>
      </w:pPr>
      <w:r w:rsidRPr="00244D59">
        <w:rPr>
          <w:rFonts w:ascii="Garamond" w:hAnsi="Garamond"/>
          <w:i/>
          <w:color w:val="000000"/>
          <w:sz w:val="24"/>
          <w:szCs w:val="24"/>
        </w:rPr>
        <w:t>E</w:t>
      </w:r>
      <w:r w:rsidR="003D21B2" w:rsidRPr="00244D59">
        <w:rPr>
          <w:rFonts w:ascii="Garamond" w:hAnsi="Garamond"/>
          <w:i/>
          <w:color w:val="000000"/>
          <w:sz w:val="24"/>
          <w:szCs w:val="24"/>
        </w:rPr>
        <w:t>-mail:</w:t>
      </w:r>
      <w:r w:rsidR="003D21B2" w:rsidRPr="000E1EB0">
        <w:rPr>
          <w:rFonts w:ascii="Garamond" w:hAnsi="Garamond"/>
          <w:color w:val="000000"/>
          <w:sz w:val="24"/>
          <w:szCs w:val="24"/>
        </w:rPr>
        <w:t> </w:t>
      </w:r>
      <w:hyperlink r:id="rId15" w:history="1">
        <w:r w:rsidR="003D21B2" w:rsidRPr="000E1EB0">
          <w:rPr>
            <w:rStyle w:val="Hyperlink"/>
            <w:rFonts w:ascii="Garamond" w:hAnsi="Garamond"/>
            <w:sz w:val="24"/>
            <w:szCs w:val="24"/>
          </w:rPr>
          <w:t>Blerina.Naska@financa.gov.al</w:t>
        </w:r>
      </w:hyperlink>
    </w:p>
    <w:p w14:paraId="6F6394BD" w14:textId="77777777" w:rsidR="00F70A1E" w:rsidRDefault="00F70A1E" w:rsidP="00F70A1E">
      <w:pPr>
        <w:autoSpaceDE w:val="0"/>
        <w:autoSpaceDN w:val="0"/>
        <w:adjustRightInd w:val="0"/>
        <w:spacing w:after="0" w:line="240" w:lineRule="auto"/>
        <w:rPr>
          <w:rFonts w:ascii="Garamond" w:hAnsi="Garamond"/>
          <w:b/>
          <w:bCs/>
          <w:color w:val="000000"/>
          <w:sz w:val="24"/>
          <w:szCs w:val="24"/>
        </w:rPr>
      </w:pPr>
    </w:p>
    <w:p w14:paraId="08A26950" w14:textId="77777777" w:rsidR="00F70A1E" w:rsidRPr="00F70A1E" w:rsidRDefault="003D21B2" w:rsidP="00F70A1E">
      <w:pPr>
        <w:autoSpaceDE w:val="0"/>
        <w:autoSpaceDN w:val="0"/>
        <w:adjustRightInd w:val="0"/>
        <w:spacing w:after="0" w:line="240" w:lineRule="auto"/>
        <w:jc w:val="center"/>
        <w:rPr>
          <w:rFonts w:ascii="Garamond" w:hAnsi="Garamond"/>
          <w:bCs/>
          <w:color w:val="000000"/>
          <w:sz w:val="24"/>
          <w:szCs w:val="24"/>
        </w:rPr>
      </w:pPr>
      <w:r w:rsidRPr="00F70A1E">
        <w:rPr>
          <w:rFonts w:ascii="Garamond" w:hAnsi="Garamond"/>
          <w:bCs/>
          <w:color w:val="000000"/>
          <w:sz w:val="24"/>
          <w:szCs w:val="24"/>
        </w:rPr>
        <w:t>Neni 5</w:t>
      </w:r>
    </w:p>
    <w:p w14:paraId="6D6F212F" w14:textId="59AED3D0" w:rsidR="003D21B2" w:rsidRPr="000E1EB0" w:rsidRDefault="003D21B2" w:rsidP="00F70A1E">
      <w:pPr>
        <w:autoSpaceDE w:val="0"/>
        <w:autoSpaceDN w:val="0"/>
        <w:adjustRightInd w:val="0"/>
        <w:spacing w:after="0" w:line="240" w:lineRule="auto"/>
        <w:jc w:val="center"/>
        <w:rPr>
          <w:rFonts w:ascii="Garamond" w:hAnsi="Garamond"/>
          <w:color w:val="000000"/>
          <w:sz w:val="24"/>
          <w:szCs w:val="24"/>
        </w:rPr>
      </w:pPr>
      <w:r w:rsidRPr="000E1EB0">
        <w:rPr>
          <w:rFonts w:ascii="Garamond" w:hAnsi="Garamond"/>
          <w:b/>
          <w:bCs/>
          <w:color w:val="000000"/>
          <w:sz w:val="24"/>
          <w:szCs w:val="24"/>
        </w:rPr>
        <w:t xml:space="preserve">Marrëveshjet </w:t>
      </w:r>
      <w:r w:rsidR="00DB06D4" w:rsidRPr="000E1EB0">
        <w:rPr>
          <w:rFonts w:ascii="Garamond" w:hAnsi="Garamond"/>
          <w:b/>
          <w:bCs/>
          <w:color w:val="000000"/>
          <w:sz w:val="24"/>
          <w:szCs w:val="24"/>
        </w:rPr>
        <w:t>kuadër</w:t>
      </w:r>
    </w:p>
    <w:p w14:paraId="2300C3C8" w14:textId="77777777" w:rsidR="00F70A1E" w:rsidRDefault="00F70A1E" w:rsidP="00650E6F">
      <w:pPr>
        <w:autoSpaceDE w:val="0"/>
        <w:autoSpaceDN w:val="0"/>
        <w:adjustRightInd w:val="0"/>
        <w:spacing w:after="0" w:line="240" w:lineRule="auto"/>
        <w:ind w:firstLine="284"/>
        <w:jc w:val="both"/>
        <w:rPr>
          <w:rFonts w:ascii="Garamond" w:hAnsi="Garamond"/>
          <w:color w:val="000000"/>
          <w:sz w:val="24"/>
          <w:szCs w:val="24"/>
        </w:rPr>
      </w:pPr>
    </w:p>
    <w:p w14:paraId="6D6F2130" w14:textId="77B8905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Programi i Veprimit do të zbatohet në përputhje me dispozitat e “Marrëveshjes Kuadër ndërmjet Komisionit Evropian dhe ish</w:t>
      </w:r>
      <w:r w:rsidR="00B111AC">
        <w:rPr>
          <w:rFonts w:ascii="Garamond" w:hAnsi="Garamond"/>
          <w:color w:val="000000"/>
          <w:sz w:val="24"/>
          <w:szCs w:val="24"/>
        </w:rPr>
        <w:t>-</w:t>
      </w:r>
      <w:r w:rsidRPr="000E1EB0">
        <w:rPr>
          <w:rFonts w:ascii="Garamond" w:hAnsi="Garamond"/>
          <w:color w:val="000000"/>
          <w:sz w:val="24"/>
          <w:szCs w:val="24"/>
        </w:rPr>
        <w:t xml:space="preserve">Republikës Jugosllave të Maqedonisë mbi marrëveshjet për zbatimin e ndihmës financiare të Bashkimit për </w:t>
      </w:r>
      <w:r w:rsidR="00EB5DEB">
        <w:rPr>
          <w:rFonts w:ascii="Garamond" w:hAnsi="Garamond"/>
          <w:color w:val="000000"/>
          <w:sz w:val="24"/>
          <w:szCs w:val="24"/>
        </w:rPr>
        <w:t>ish-Repu</w:t>
      </w:r>
      <w:r w:rsidRPr="000E1EB0">
        <w:rPr>
          <w:rFonts w:ascii="Garamond" w:hAnsi="Garamond"/>
          <w:color w:val="000000"/>
          <w:sz w:val="24"/>
          <w:szCs w:val="24"/>
        </w:rPr>
        <w:t>blikën Jugosllave të Maqedonisë” nën Instrumentin e Asistencës së Para</w:t>
      </w:r>
      <w:r w:rsidR="003D233E">
        <w:rPr>
          <w:rFonts w:ascii="Garamond" w:hAnsi="Garamond"/>
          <w:color w:val="000000"/>
          <w:sz w:val="24"/>
          <w:szCs w:val="24"/>
        </w:rPr>
        <w:t>a</w:t>
      </w:r>
      <w:r w:rsidRPr="000E1EB0">
        <w:rPr>
          <w:rFonts w:ascii="Garamond" w:hAnsi="Garamond"/>
          <w:color w:val="000000"/>
          <w:sz w:val="24"/>
          <w:szCs w:val="24"/>
        </w:rPr>
        <w:t xml:space="preserve">nëtarësimit (IPA II), e cila ka hyrë në fuqi më 24 qershor 2015 dhe në përputhje me dispozitat e “Marrëveshjes Kuadër ndërmjet Komisionit Evropian dhe Republikës së Shqipërisë mbi marrëveshjet për zbatimin e ndihmës financiare të Bashkimit në Shqipëri” nën Instrumentin e Asistencës së </w:t>
      </w:r>
      <w:r w:rsidR="003D233E" w:rsidRPr="000E1EB0">
        <w:rPr>
          <w:rFonts w:ascii="Garamond" w:hAnsi="Garamond"/>
          <w:color w:val="000000"/>
          <w:sz w:val="24"/>
          <w:szCs w:val="24"/>
        </w:rPr>
        <w:t>Para</w:t>
      </w:r>
      <w:r w:rsidR="003D233E">
        <w:rPr>
          <w:rFonts w:ascii="Garamond" w:hAnsi="Garamond"/>
          <w:color w:val="000000"/>
          <w:sz w:val="24"/>
          <w:szCs w:val="24"/>
        </w:rPr>
        <w:t>a</w:t>
      </w:r>
      <w:r w:rsidR="003D233E" w:rsidRPr="000E1EB0">
        <w:rPr>
          <w:rFonts w:ascii="Garamond" w:hAnsi="Garamond"/>
          <w:color w:val="000000"/>
          <w:sz w:val="24"/>
          <w:szCs w:val="24"/>
        </w:rPr>
        <w:t xml:space="preserve">nëtarësimit </w:t>
      </w:r>
      <w:r w:rsidRPr="000E1EB0">
        <w:rPr>
          <w:rFonts w:ascii="Garamond" w:hAnsi="Garamond"/>
          <w:color w:val="000000"/>
          <w:sz w:val="24"/>
          <w:szCs w:val="24"/>
        </w:rPr>
        <w:t>(IPA II)</w:t>
      </w:r>
      <w:r w:rsidR="007D5304">
        <w:rPr>
          <w:rFonts w:ascii="Garamond" w:hAnsi="Garamond"/>
          <w:color w:val="000000"/>
          <w:sz w:val="24"/>
          <w:szCs w:val="24"/>
        </w:rPr>
        <w:t>,</w:t>
      </w:r>
      <w:r w:rsidRPr="000E1EB0">
        <w:rPr>
          <w:rFonts w:ascii="Garamond" w:hAnsi="Garamond"/>
          <w:color w:val="000000"/>
          <w:sz w:val="24"/>
          <w:szCs w:val="24"/>
        </w:rPr>
        <w:t xml:space="preserve"> që ka hyrë në fuqi më 16 prill 2015 (referuar në vijim si “Marrëveshja/et </w:t>
      </w:r>
      <w:r w:rsidR="00B111AC" w:rsidRPr="000E1EB0">
        <w:rPr>
          <w:rFonts w:ascii="Garamond" w:hAnsi="Garamond"/>
          <w:color w:val="000000"/>
          <w:sz w:val="24"/>
          <w:szCs w:val="24"/>
        </w:rPr>
        <w:t>kuadër</w:t>
      </w:r>
      <w:r w:rsidRPr="000E1EB0">
        <w:rPr>
          <w:rFonts w:ascii="Garamond" w:hAnsi="Garamond"/>
          <w:color w:val="000000"/>
          <w:sz w:val="24"/>
          <w:szCs w:val="24"/>
        </w:rPr>
        <w:t xml:space="preserve">”). </w:t>
      </w:r>
    </w:p>
    <w:p w14:paraId="6D6F2131" w14:textId="644ABB65"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Kjo Marrëveshje Financimi plotëson dispozitat e </w:t>
      </w:r>
      <w:r w:rsidR="00B111AC" w:rsidRPr="000E1EB0">
        <w:rPr>
          <w:rFonts w:ascii="Garamond" w:hAnsi="Garamond"/>
          <w:color w:val="000000"/>
          <w:sz w:val="24"/>
          <w:szCs w:val="24"/>
        </w:rPr>
        <w:t xml:space="preserve">marrëveshjeve kuadër </w:t>
      </w:r>
      <w:r w:rsidRPr="000E1EB0">
        <w:rPr>
          <w:rFonts w:ascii="Garamond" w:hAnsi="Garamond"/>
          <w:color w:val="000000"/>
          <w:sz w:val="24"/>
          <w:szCs w:val="24"/>
        </w:rPr>
        <w:t xml:space="preserve">të lartpërmendura. Në rast konflikti, nga njëra anë, e dispozitave të kësaj </w:t>
      </w:r>
      <w:r w:rsidR="00B111AC" w:rsidRPr="000E1EB0">
        <w:rPr>
          <w:rFonts w:ascii="Garamond" w:hAnsi="Garamond"/>
          <w:color w:val="000000"/>
          <w:sz w:val="24"/>
          <w:szCs w:val="24"/>
        </w:rPr>
        <w:t xml:space="preserve">marrëveshjeje </w:t>
      </w:r>
      <w:r w:rsidRPr="000E1EB0">
        <w:rPr>
          <w:rFonts w:ascii="Garamond" w:hAnsi="Garamond"/>
          <w:color w:val="000000"/>
          <w:sz w:val="24"/>
          <w:szCs w:val="24"/>
        </w:rPr>
        <w:t>financimi dhe, nga ana tjetër, dispozitave të Marrëveshjes Kuadër përkatëse, kjo e fundit do të ketë përparësi.</w:t>
      </w:r>
    </w:p>
    <w:p w14:paraId="5908B3CD" w14:textId="77777777" w:rsidR="008B56D6" w:rsidRDefault="008B56D6" w:rsidP="008B56D6">
      <w:pPr>
        <w:autoSpaceDE w:val="0"/>
        <w:autoSpaceDN w:val="0"/>
        <w:adjustRightInd w:val="0"/>
        <w:spacing w:after="0" w:line="240" w:lineRule="auto"/>
        <w:jc w:val="center"/>
        <w:rPr>
          <w:rFonts w:ascii="Garamond" w:hAnsi="Garamond"/>
          <w:b/>
          <w:bCs/>
          <w:color w:val="000000"/>
          <w:sz w:val="24"/>
          <w:szCs w:val="24"/>
        </w:rPr>
      </w:pPr>
    </w:p>
    <w:p w14:paraId="486F87B5" w14:textId="77777777" w:rsidR="008B56D6" w:rsidRPr="008B56D6" w:rsidRDefault="003D21B2" w:rsidP="008B56D6">
      <w:pPr>
        <w:autoSpaceDE w:val="0"/>
        <w:autoSpaceDN w:val="0"/>
        <w:adjustRightInd w:val="0"/>
        <w:spacing w:after="0" w:line="240" w:lineRule="auto"/>
        <w:jc w:val="center"/>
        <w:rPr>
          <w:rFonts w:ascii="Garamond" w:hAnsi="Garamond"/>
          <w:bCs/>
          <w:color w:val="000000"/>
          <w:sz w:val="24"/>
          <w:szCs w:val="24"/>
        </w:rPr>
      </w:pPr>
      <w:r w:rsidRPr="008B56D6">
        <w:rPr>
          <w:rFonts w:ascii="Garamond" w:hAnsi="Garamond"/>
          <w:bCs/>
          <w:color w:val="000000"/>
          <w:sz w:val="24"/>
          <w:szCs w:val="24"/>
        </w:rPr>
        <w:t>Neni 6</w:t>
      </w:r>
    </w:p>
    <w:p w14:paraId="6D6F2132" w14:textId="79B61320" w:rsidR="003D21B2" w:rsidRPr="000E1EB0" w:rsidRDefault="003D21B2" w:rsidP="008B56D6">
      <w:pPr>
        <w:autoSpaceDE w:val="0"/>
        <w:autoSpaceDN w:val="0"/>
        <w:adjustRightInd w:val="0"/>
        <w:spacing w:after="0" w:line="240" w:lineRule="auto"/>
        <w:jc w:val="center"/>
        <w:rPr>
          <w:rFonts w:ascii="Garamond" w:hAnsi="Garamond"/>
          <w:b/>
          <w:bCs/>
          <w:color w:val="000000"/>
          <w:sz w:val="24"/>
          <w:szCs w:val="24"/>
        </w:rPr>
      </w:pPr>
      <w:r w:rsidRPr="000E1EB0">
        <w:rPr>
          <w:rFonts w:ascii="Garamond" w:hAnsi="Garamond"/>
          <w:b/>
          <w:bCs/>
          <w:color w:val="000000"/>
          <w:sz w:val="24"/>
          <w:szCs w:val="24"/>
        </w:rPr>
        <w:t>Shtojcat</w:t>
      </w:r>
    </w:p>
    <w:p w14:paraId="3DE69F02" w14:textId="77777777" w:rsidR="008B56D6" w:rsidRDefault="008B56D6" w:rsidP="00650E6F">
      <w:pPr>
        <w:autoSpaceDE w:val="0"/>
        <w:autoSpaceDN w:val="0"/>
        <w:adjustRightInd w:val="0"/>
        <w:spacing w:after="0" w:line="240" w:lineRule="auto"/>
        <w:ind w:firstLine="284"/>
        <w:jc w:val="both"/>
        <w:rPr>
          <w:rFonts w:ascii="Garamond" w:hAnsi="Garamond"/>
          <w:color w:val="000000"/>
          <w:sz w:val="24"/>
          <w:szCs w:val="24"/>
        </w:rPr>
      </w:pPr>
    </w:p>
    <w:p w14:paraId="6D6F2133"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 Kjo Marrëveshje Financimi përbëhet nga:</w:t>
      </w:r>
    </w:p>
    <w:p w14:paraId="6D6F2134" w14:textId="088B5BCE"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a) këto </w:t>
      </w:r>
      <w:r w:rsidR="00B111AC" w:rsidRPr="000E1EB0">
        <w:rPr>
          <w:rFonts w:ascii="Garamond" w:hAnsi="Garamond"/>
          <w:color w:val="000000"/>
          <w:sz w:val="24"/>
          <w:szCs w:val="24"/>
        </w:rPr>
        <w:t>kushte të veçanta</w:t>
      </w:r>
      <w:r w:rsidRPr="000E1EB0">
        <w:rPr>
          <w:rFonts w:ascii="Garamond" w:hAnsi="Garamond"/>
          <w:color w:val="000000"/>
          <w:sz w:val="24"/>
          <w:szCs w:val="24"/>
        </w:rPr>
        <w:t>;</w:t>
      </w:r>
    </w:p>
    <w:p w14:paraId="6D6F2135" w14:textId="10F2A714"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b) Shtojca I: “Programi i Veprimit të BNK-së, ish-Republika Jugosllave e Maqedonisë </w:t>
      </w:r>
      <w:r w:rsidR="00D070AC">
        <w:rPr>
          <w:rFonts w:ascii="Garamond" w:hAnsi="Garamond"/>
          <w:color w:val="000000"/>
          <w:sz w:val="24"/>
          <w:szCs w:val="24"/>
        </w:rPr>
        <w:t>–</w:t>
      </w:r>
      <w:r w:rsidRPr="000E1EB0">
        <w:rPr>
          <w:rFonts w:ascii="Garamond" w:hAnsi="Garamond"/>
          <w:color w:val="000000"/>
          <w:sz w:val="24"/>
          <w:szCs w:val="24"/>
        </w:rPr>
        <w:t xml:space="preserve"> Republika e Shqipërisë</w:t>
      </w:r>
      <w:r w:rsidR="000E53FE">
        <w:rPr>
          <w:rFonts w:ascii="Garamond" w:hAnsi="Garamond"/>
          <w:color w:val="000000"/>
          <w:sz w:val="24"/>
          <w:szCs w:val="24"/>
        </w:rPr>
        <w:t>,</w:t>
      </w:r>
      <w:r w:rsidRPr="000E1EB0">
        <w:rPr>
          <w:rFonts w:ascii="Garamond" w:hAnsi="Garamond"/>
          <w:color w:val="000000"/>
          <w:sz w:val="24"/>
          <w:szCs w:val="24"/>
        </w:rPr>
        <w:t xml:space="preserve"> për vitet 2018–2020”</w:t>
      </w:r>
      <w:r w:rsidR="002B1822">
        <w:rPr>
          <w:rFonts w:ascii="Garamond" w:hAnsi="Garamond"/>
          <w:color w:val="000000"/>
          <w:sz w:val="24"/>
          <w:szCs w:val="24"/>
        </w:rPr>
        <w:t>;</w:t>
      </w:r>
    </w:p>
    <w:p w14:paraId="6D6F2136" w14:textId="6B150B40"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c) Shtojca IA: “IPA II BNK 2014</w:t>
      </w:r>
      <w:r w:rsidR="002B1822" w:rsidRPr="000E1EB0">
        <w:rPr>
          <w:rFonts w:ascii="Garamond" w:hAnsi="Garamond"/>
          <w:color w:val="000000"/>
          <w:sz w:val="24"/>
          <w:szCs w:val="24"/>
        </w:rPr>
        <w:t>–</w:t>
      </w:r>
      <w:r w:rsidRPr="000E1EB0">
        <w:rPr>
          <w:rFonts w:ascii="Garamond" w:hAnsi="Garamond"/>
          <w:color w:val="000000"/>
          <w:sz w:val="24"/>
          <w:szCs w:val="24"/>
        </w:rPr>
        <w:t>2020</w:t>
      </w:r>
      <w:r w:rsidR="002B1822">
        <w:rPr>
          <w:rFonts w:ascii="Garamond" w:hAnsi="Garamond"/>
          <w:color w:val="000000"/>
          <w:sz w:val="24"/>
          <w:szCs w:val="24"/>
        </w:rPr>
        <w:t>,</w:t>
      </w:r>
      <w:r w:rsidRPr="000E1EB0">
        <w:rPr>
          <w:rFonts w:ascii="Garamond" w:hAnsi="Garamond"/>
          <w:color w:val="000000"/>
          <w:sz w:val="24"/>
          <w:szCs w:val="24"/>
        </w:rPr>
        <w:t xml:space="preserve"> Programi ndërmjet ish</w:t>
      </w:r>
      <w:r w:rsidR="00B111AC">
        <w:rPr>
          <w:rFonts w:ascii="Garamond" w:hAnsi="Garamond"/>
          <w:color w:val="000000"/>
          <w:sz w:val="24"/>
          <w:szCs w:val="24"/>
        </w:rPr>
        <w:t>-</w:t>
      </w:r>
      <w:r w:rsidRPr="000E1EB0">
        <w:rPr>
          <w:rFonts w:ascii="Garamond" w:hAnsi="Garamond"/>
          <w:color w:val="000000"/>
          <w:sz w:val="24"/>
          <w:szCs w:val="24"/>
        </w:rPr>
        <w:t>Republikës Jugosllave të Maqedonisë dhe Republikës së Shqipërisë”;</w:t>
      </w:r>
    </w:p>
    <w:p w14:paraId="6D6F2137" w14:textId="6DD92FBE"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lastRenderedPageBreak/>
        <w:t xml:space="preserve">d) Shtojca II: “Kushtet e </w:t>
      </w:r>
      <w:r w:rsidR="00B111AC" w:rsidRPr="000E1EB0">
        <w:rPr>
          <w:rFonts w:ascii="Garamond" w:hAnsi="Garamond"/>
          <w:color w:val="000000"/>
          <w:sz w:val="24"/>
          <w:szCs w:val="24"/>
        </w:rPr>
        <w:t>përgjithshme</w:t>
      </w:r>
      <w:r w:rsidRPr="000E1EB0">
        <w:rPr>
          <w:rFonts w:ascii="Garamond" w:hAnsi="Garamond"/>
          <w:color w:val="000000"/>
          <w:sz w:val="24"/>
          <w:szCs w:val="24"/>
        </w:rPr>
        <w:t>”;</w:t>
      </w:r>
    </w:p>
    <w:p w14:paraId="6D6F2138" w14:textId="5E46F0C4"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e) Shtojca III: Raporti Vjetor i BNK </w:t>
      </w:r>
      <w:r w:rsidR="002B1822" w:rsidRPr="000E1EB0">
        <w:rPr>
          <w:rFonts w:ascii="Garamond" w:hAnsi="Garamond"/>
          <w:color w:val="000000"/>
          <w:sz w:val="24"/>
          <w:szCs w:val="24"/>
        </w:rPr>
        <w:t xml:space="preserve">tip </w:t>
      </w:r>
      <w:r w:rsidRPr="000E1EB0">
        <w:rPr>
          <w:rFonts w:ascii="Garamond" w:hAnsi="Garamond"/>
          <w:color w:val="000000"/>
          <w:sz w:val="24"/>
          <w:szCs w:val="24"/>
        </w:rPr>
        <w:t>për zbatimin e ndihmës IPA II</w:t>
      </w:r>
      <w:r w:rsidR="002B1822">
        <w:rPr>
          <w:rFonts w:ascii="Garamond" w:hAnsi="Garamond"/>
          <w:color w:val="000000"/>
          <w:sz w:val="24"/>
          <w:szCs w:val="24"/>
        </w:rPr>
        <w:t>,</w:t>
      </w:r>
      <w:r w:rsidRPr="000E1EB0">
        <w:rPr>
          <w:rFonts w:ascii="Garamond" w:hAnsi="Garamond"/>
          <w:color w:val="000000"/>
          <w:sz w:val="24"/>
          <w:szCs w:val="24"/>
        </w:rPr>
        <w:t xml:space="preserve"> në përputhje me nenin 80 të Marrëveshjes Kuadër;</w:t>
      </w:r>
    </w:p>
    <w:p w14:paraId="6D6F2139" w14:textId="1AB0B28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f) Shtojca IIIA: Raporti Vjetor </w:t>
      </w:r>
      <w:r w:rsidR="002B1822" w:rsidRPr="000E1EB0">
        <w:rPr>
          <w:rFonts w:ascii="Garamond" w:hAnsi="Garamond"/>
          <w:color w:val="000000"/>
          <w:sz w:val="24"/>
          <w:szCs w:val="24"/>
        </w:rPr>
        <w:t xml:space="preserve">tip </w:t>
      </w:r>
      <w:r w:rsidRPr="000E1EB0">
        <w:rPr>
          <w:rFonts w:ascii="Garamond" w:hAnsi="Garamond"/>
          <w:color w:val="000000"/>
          <w:sz w:val="24"/>
          <w:szCs w:val="24"/>
        </w:rPr>
        <w:t>për zbatimin e ndihmës IPA II</w:t>
      </w:r>
      <w:r w:rsidR="002B1822">
        <w:rPr>
          <w:rFonts w:ascii="Garamond" w:hAnsi="Garamond"/>
          <w:color w:val="000000"/>
          <w:sz w:val="24"/>
          <w:szCs w:val="24"/>
        </w:rPr>
        <w:t>,</w:t>
      </w:r>
      <w:r w:rsidRPr="000E1EB0">
        <w:rPr>
          <w:rFonts w:ascii="Garamond" w:hAnsi="Garamond"/>
          <w:color w:val="000000"/>
          <w:sz w:val="24"/>
          <w:szCs w:val="24"/>
        </w:rPr>
        <w:t xml:space="preserve"> në përputhje me nenin 58 të Marrëveshjes Kuadër</w:t>
      </w:r>
      <w:r w:rsidR="00B111AC">
        <w:rPr>
          <w:rFonts w:ascii="Garamond" w:hAnsi="Garamond"/>
          <w:color w:val="000000"/>
          <w:sz w:val="24"/>
          <w:szCs w:val="24"/>
        </w:rPr>
        <w:t>.</w:t>
      </w:r>
    </w:p>
    <w:p w14:paraId="6D6F213A" w14:textId="58FAACF0"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2. Në rast të një konflikti, nga njëra anë, të dispozitave të </w:t>
      </w:r>
      <w:r w:rsidR="002B1822" w:rsidRPr="000E1EB0">
        <w:rPr>
          <w:rFonts w:ascii="Garamond" w:hAnsi="Garamond"/>
          <w:color w:val="000000"/>
          <w:sz w:val="24"/>
          <w:szCs w:val="24"/>
        </w:rPr>
        <w:t xml:space="preserve">shtojcave </w:t>
      </w:r>
      <w:r w:rsidRPr="000E1EB0">
        <w:rPr>
          <w:rFonts w:ascii="Garamond" w:hAnsi="Garamond"/>
          <w:color w:val="000000"/>
          <w:sz w:val="24"/>
          <w:szCs w:val="24"/>
        </w:rPr>
        <w:t xml:space="preserve">dhe nga ana tjetër, të dispozitave të këtyre </w:t>
      </w:r>
      <w:r w:rsidR="00B111AC" w:rsidRPr="000E1EB0">
        <w:rPr>
          <w:rFonts w:ascii="Garamond" w:hAnsi="Garamond"/>
          <w:color w:val="000000"/>
          <w:sz w:val="24"/>
          <w:szCs w:val="24"/>
        </w:rPr>
        <w:t>kushteve të veçanta</w:t>
      </w:r>
      <w:r w:rsidRPr="000E1EB0">
        <w:rPr>
          <w:rFonts w:ascii="Garamond" w:hAnsi="Garamond"/>
          <w:color w:val="000000"/>
          <w:sz w:val="24"/>
          <w:szCs w:val="24"/>
        </w:rPr>
        <w:t xml:space="preserve">, këto të fundit do të kenë përparësi. Në rast të një konflikti, nga njëra anë, të dispozitave të </w:t>
      </w:r>
      <w:r w:rsidR="00B111AC" w:rsidRPr="000E1EB0">
        <w:rPr>
          <w:rFonts w:ascii="Garamond" w:hAnsi="Garamond"/>
          <w:color w:val="000000"/>
          <w:sz w:val="24"/>
          <w:szCs w:val="24"/>
        </w:rPr>
        <w:t xml:space="preserve">shtojcës </w:t>
      </w:r>
      <w:r w:rsidRPr="000E1EB0">
        <w:rPr>
          <w:rFonts w:ascii="Garamond" w:hAnsi="Garamond"/>
          <w:color w:val="000000"/>
          <w:sz w:val="24"/>
          <w:szCs w:val="24"/>
        </w:rPr>
        <w:t xml:space="preserve">I dhe </w:t>
      </w:r>
      <w:r w:rsidR="00B111AC" w:rsidRPr="000E1EB0">
        <w:rPr>
          <w:rFonts w:ascii="Garamond" w:hAnsi="Garamond"/>
          <w:color w:val="000000"/>
          <w:sz w:val="24"/>
          <w:szCs w:val="24"/>
        </w:rPr>
        <w:t xml:space="preserve">shtojcës </w:t>
      </w:r>
      <w:r w:rsidRPr="000E1EB0">
        <w:rPr>
          <w:rFonts w:ascii="Garamond" w:hAnsi="Garamond"/>
          <w:color w:val="000000"/>
          <w:sz w:val="24"/>
          <w:szCs w:val="24"/>
        </w:rPr>
        <w:t xml:space="preserve">IA dhe dispozitave të </w:t>
      </w:r>
      <w:r w:rsidR="002B1822" w:rsidRPr="000E1EB0">
        <w:rPr>
          <w:rFonts w:ascii="Garamond" w:hAnsi="Garamond"/>
          <w:color w:val="000000"/>
          <w:sz w:val="24"/>
          <w:szCs w:val="24"/>
        </w:rPr>
        <w:t xml:space="preserve">shtojcës </w:t>
      </w:r>
      <w:r w:rsidRPr="000E1EB0">
        <w:rPr>
          <w:rFonts w:ascii="Garamond" w:hAnsi="Garamond"/>
          <w:color w:val="000000"/>
          <w:sz w:val="24"/>
          <w:szCs w:val="24"/>
        </w:rPr>
        <w:t>II</w:t>
      </w:r>
      <w:r w:rsidR="002B1822">
        <w:rPr>
          <w:rFonts w:ascii="Garamond" w:hAnsi="Garamond"/>
          <w:color w:val="000000"/>
          <w:sz w:val="24"/>
          <w:szCs w:val="24"/>
        </w:rPr>
        <w:t>,</w:t>
      </w:r>
      <w:r w:rsidRPr="000E1EB0">
        <w:rPr>
          <w:rFonts w:ascii="Garamond" w:hAnsi="Garamond"/>
          <w:color w:val="000000"/>
          <w:sz w:val="24"/>
          <w:szCs w:val="24"/>
        </w:rPr>
        <w:t xml:space="preserve"> nga ana tjetër, këto të fundit do të kenë përparësi. Në rast konflikti ndërmjet dispozitave të </w:t>
      </w:r>
      <w:r w:rsidR="002B1822" w:rsidRPr="000E1EB0">
        <w:rPr>
          <w:rFonts w:ascii="Garamond" w:hAnsi="Garamond"/>
          <w:color w:val="000000"/>
          <w:sz w:val="24"/>
          <w:szCs w:val="24"/>
        </w:rPr>
        <w:t xml:space="preserve">shtojcës </w:t>
      </w:r>
      <w:r w:rsidRPr="000E1EB0">
        <w:rPr>
          <w:rFonts w:ascii="Garamond" w:hAnsi="Garamond"/>
          <w:color w:val="000000"/>
          <w:sz w:val="24"/>
          <w:szCs w:val="24"/>
        </w:rPr>
        <w:t xml:space="preserve">I, nga njëra anë dhe dispozitave të </w:t>
      </w:r>
      <w:r w:rsidR="00B111AC" w:rsidRPr="000E1EB0">
        <w:rPr>
          <w:rFonts w:ascii="Garamond" w:hAnsi="Garamond"/>
          <w:color w:val="000000"/>
          <w:sz w:val="24"/>
          <w:szCs w:val="24"/>
        </w:rPr>
        <w:t xml:space="preserve">shtojcës </w:t>
      </w:r>
      <w:r w:rsidRPr="000E1EB0">
        <w:rPr>
          <w:rFonts w:ascii="Garamond" w:hAnsi="Garamond"/>
          <w:color w:val="000000"/>
          <w:sz w:val="24"/>
          <w:szCs w:val="24"/>
        </w:rPr>
        <w:t>IA nga ana tjetër, të parat do të kenë përparësi.</w:t>
      </w:r>
    </w:p>
    <w:p w14:paraId="0AB952C5" w14:textId="77777777" w:rsidR="002B1822" w:rsidRDefault="002B1822" w:rsidP="002B1822">
      <w:pPr>
        <w:autoSpaceDE w:val="0"/>
        <w:autoSpaceDN w:val="0"/>
        <w:adjustRightInd w:val="0"/>
        <w:spacing w:after="0" w:line="240" w:lineRule="auto"/>
        <w:jc w:val="both"/>
        <w:rPr>
          <w:rFonts w:ascii="Garamond" w:hAnsi="Garamond"/>
          <w:b/>
          <w:bCs/>
          <w:color w:val="000000"/>
          <w:sz w:val="24"/>
          <w:szCs w:val="24"/>
        </w:rPr>
      </w:pPr>
    </w:p>
    <w:p w14:paraId="7F2959DB" w14:textId="77777777" w:rsidR="002B1822" w:rsidRPr="002B1822" w:rsidRDefault="003D21B2" w:rsidP="002B1822">
      <w:pPr>
        <w:autoSpaceDE w:val="0"/>
        <w:autoSpaceDN w:val="0"/>
        <w:adjustRightInd w:val="0"/>
        <w:spacing w:after="0" w:line="240" w:lineRule="auto"/>
        <w:jc w:val="center"/>
        <w:rPr>
          <w:rFonts w:ascii="Garamond" w:hAnsi="Garamond"/>
          <w:bCs/>
          <w:color w:val="000000"/>
          <w:sz w:val="24"/>
          <w:szCs w:val="24"/>
        </w:rPr>
      </w:pPr>
      <w:r w:rsidRPr="002B1822">
        <w:rPr>
          <w:rFonts w:ascii="Garamond" w:hAnsi="Garamond"/>
          <w:bCs/>
          <w:color w:val="000000"/>
          <w:sz w:val="24"/>
          <w:szCs w:val="24"/>
        </w:rPr>
        <w:t>Neni 7</w:t>
      </w:r>
    </w:p>
    <w:p w14:paraId="6D6F213B" w14:textId="7069178C" w:rsidR="003D21B2" w:rsidRPr="000E1EB0" w:rsidRDefault="003D21B2" w:rsidP="002B1822">
      <w:pPr>
        <w:autoSpaceDE w:val="0"/>
        <w:autoSpaceDN w:val="0"/>
        <w:adjustRightInd w:val="0"/>
        <w:spacing w:after="0" w:line="240" w:lineRule="auto"/>
        <w:jc w:val="center"/>
        <w:rPr>
          <w:rFonts w:ascii="Garamond" w:hAnsi="Garamond"/>
          <w:b/>
          <w:bCs/>
          <w:color w:val="000000"/>
          <w:sz w:val="24"/>
          <w:szCs w:val="24"/>
        </w:rPr>
      </w:pPr>
      <w:r w:rsidRPr="000E1EB0">
        <w:rPr>
          <w:rFonts w:ascii="Garamond" w:hAnsi="Garamond"/>
          <w:b/>
          <w:bCs/>
          <w:color w:val="000000"/>
          <w:sz w:val="24"/>
          <w:szCs w:val="24"/>
        </w:rPr>
        <w:t>Hyrja në fuqi</w:t>
      </w:r>
    </w:p>
    <w:p w14:paraId="02A8FB41" w14:textId="77777777" w:rsidR="002B1822" w:rsidRDefault="002B1822" w:rsidP="00650E6F">
      <w:pPr>
        <w:autoSpaceDE w:val="0"/>
        <w:autoSpaceDN w:val="0"/>
        <w:adjustRightInd w:val="0"/>
        <w:spacing w:after="0" w:line="240" w:lineRule="auto"/>
        <w:ind w:firstLine="284"/>
        <w:jc w:val="both"/>
        <w:rPr>
          <w:rFonts w:ascii="Garamond" w:hAnsi="Garamond"/>
          <w:color w:val="000000"/>
          <w:sz w:val="24"/>
          <w:szCs w:val="24"/>
        </w:rPr>
      </w:pPr>
    </w:p>
    <w:p w14:paraId="6D6F213C"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Kjo Marrëveshje Financimi do të hyjë në fuqi në datën kur Komisioni merr një njoftim nga përfituesi i fundit IPA II (Republika e Shqipërisë), duke konfirmuar përfundimin e procedurave të brendshme të përfituesit të IPA II, të nevojshme për këtë hyrje në fuqi. Komisioni informon përfituesit e IPA II për datën e marrjes së këtij njoftimi. Kjo Marrëveshje e Financimit nuk do të hyjë në fuqi nëse një njoftim i tillë nuk është marrë nga Komisioni deri më 31 dhjetor 2021.</w:t>
      </w:r>
    </w:p>
    <w:p w14:paraId="6D6F213D" w14:textId="21669F06"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Kjo marrëveshje është hartuar në tr</w:t>
      </w:r>
      <w:r w:rsidR="00212FD8">
        <w:rPr>
          <w:rFonts w:ascii="Garamond" w:hAnsi="Garamond"/>
          <w:color w:val="000000"/>
          <w:sz w:val="24"/>
          <w:szCs w:val="24"/>
        </w:rPr>
        <w:t>i</w:t>
      </w:r>
      <w:r w:rsidRPr="000E1EB0">
        <w:rPr>
          <w:rFonts w:ascii="Garamond" w:hAnsi="Garamond"/>
          <w:color w:val="000000"/>
          <w:sz w:val="24"/>
          <w:szCs w:val="24"/>
        </w:rPr>
        <w:t xml:space="preserve"> kopje në gjuhën angleze, një i dorëzohet Komisionit dhe një secilit prej përfituesve të IPA II. </w:t>
      </w:r>
    </w:p>
    <w:p w14:paraId="6D6F213E" w14:textId="77777777" w:rsidR="003D21B2" w:rsidRPr="000E1EB0" w:rsidRDefault="003D21B2" w:rsidP="00650E6F">
      <w:pPr>
        <w:autoSpaceDE w:val="0"/>
        <w:autoSpaceDN w:val="0"/>
        <w:adjustRightInd w:val="0"/>
        <w:spacing w:after="0" w:line="240" w:lineRule="auto"/>
        <w:ind w:firstLine="284"/>
        <w:jc w:val="both"/>
        <w:rPr>
          <w:rFonts w:ascii="Garamond" w:hAnsi="Garamond"/>
          <w:color w:val="000000"/>
          <w:sz w:val="24"/>
          <w:szCs w:val="24"/>
        </w:rPr>
      </w:pPr>
    </w:p>
    <w:tbl>
      <w:tblPr>
        <w:tblW w:w="9889" w:type="dxa"/>
        <w:tblLook w:val="04A0" w:firstRow="1" w:lastRow="0" w:firstColumn="1" w:lastColumn="0" w:noHBand="0" w:noVBand="1"/>
      </w:tblPr>
      <w:tblGrid>
        <w:gridCol w:w="4644"/>
        <w:gridCol w:w="5245"/>
      </w:tblGrid>
      <w:tr w:rsidR="003D21B2" w:rsidRPr="000E1EB0" w14:paraId="6D6F2162" w14:textId="77777777" w:rsidTr="003D21B2">
        <w:tc>
          <w:tcPr>
            <w:tcW w:w="4644" w:type="dxa"/>
            <w:shd w:val="clear" w:color="auto" w:fill="auto"/>
          </w:tcPr>
          <w:p w14:paraId="6D6F213F" w14:textId="373CD584" w:rsidR="003D21B2" w:rsidRPr="00BA1F88" w:rsidRDefault="001A7D5F" w:rsidP="00650E6F">
            <w:pPr>
              <w:spacing w:after="0" w:line="240" w:lineRule="auto"/>
              <w:jc w:val="both"/>
              <w:outlineLvl w:val="0"/>
              <w:rPr>
                <w:rFonts w:ascii="Garamond" w:hAnsi="Garamond"/>
                <w:b/>
                <w:sz w:val="20"/>
                <w:szCs w:val="20"/>
              </w:rPr>
            </w:pPr>
            <w:r w:rsidRPr="00BA1F88">
              <w:rPr>
                <w:rFonts w:ascii="Garamond" w:hAnsi="Garamond"/>
                <w:b/>
                <w:snapToGrid w:val="0"/>
                <w:sz w:val="20"/>
                <w:szCs w:val="20"/>
              </w:rPr>
              <w:t>Për përfituesit e IPA II:</w:t>
            </w:r>
            <w:r w:rsidR="003D21B2" w:rsidRPr="00BA1F88">
              <w:rPr>
                <w:rFonts w:ascii="Garamond" w:hAnsi="Garamond"/>
                <w:b/>
                <w:sz w:val="20"/>
                <w:szCs w:val="20"/>
              </w:rPr>
              <w:t xml:space="preserve"> </w:t>
            </w:r>
          </w:p>
          <w:p w14:paraId="6D6F2140" w14:textId="77777777" w:rsidR="003D21B2" w:rsidRPr="00BA1F88" w:rsidRDefault="003D21B2" w:rsidP="00650E6F">
            <w:pPr>
              <w:spacing w:after="0" w:line="240" w:lineRule="auto"/>
              <w:jc w:val="both"/>
              <w:outlineLvl w:val="0"/>
              <w:rPr>
                <w:rFonts w:ascii="Garamond" w:eastAsia="Times New Roman" w:hAnsi="Garamond"/>
                <w:b/>
                <w:snapToGrid w:val="0"/>
                <w:sz w:val="20"/>
                <w:szCs w:val="20"/>
              </w:rPr>
            </w:pPr>
            <w:r w:rsidRPr="00BA1F88">
              <w:rPr>
                <w:rFonts w:ascii="Garamond" w:eastAsia="Times New Roman" w:hAnsi="Garamond"/>
                <w:b/>
                <w:snapToGrid w:val="0"/>
                <w:sz w:val="20"/>
                <w:szCs w:val="20"/>
              </w:rPr>
              <w:t>Për Republikën e Maqedonisë së Veriut</w:t>
            </w:r>
          </w:p>
          <w:p w14:paraId="6D6F2141"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42"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43" w14:textId="72B6EAF1" w:rsidR="003D21B2" w:rsidRPr="00BA1F88" w:rsidRDefault="003D21B2" w:rsidP="00650E6F">
            <w:pPr>
              <w:spacing w:after="0" w:line="240" w:lineRule="auto"/>
              <w:jc w:val="both"/>
              <w:outlineLvl w:val="0"/>
              <w:rPr>
                <w:rFonts w:ascii="Garamond" w:eastAsia="Times New Roman" w:hAnsi="Garamond"/>
                <w:snapToGrid w:val="0"/>
                <w:sz w:val="20"/>
                <w:szCs w:val="20"/>
              </w:rPr>
            </w:pPr>
            <w:r w:rsidRPr="00BA1F88">
              <w:rPr>
                <w:rFonts w:ascii="Garamond" w:hAnsi="Garamond"/>
                <w:snapToGrid w:val="0"/>
                <w:sz w:val="20"/>
                <w:szCs w:val="20"/>
              </w:rPr>
              <w:t>Koordinatori Kombëtar i IPA-s</w:t>
            </w:r>
            <w:r w:rsidR="00A62089" w:rsidRPr="00BA1F88">
              <w:rPr>
                <w:rFonts w:ascii="Garamond" w:hAnsi="Garamond"/>
                <w:snapToGrid w:val="0"/>
                <w:sz w:val="20"/>
                <w:szCs w:val="20"/>
              </w:rPr>
              <w:t>ë</w:t>
            </w:r>
          </w:p>
          <w:p w14:paraId="6D6F2144"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5"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6"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7" w14:textId="549AA973" w:rsidR="003D21B2" w:rsidRPr="00BA1F88" w:rsidRDefault="003D21B2" w:rsidP="00650E6F">
            <w:pPr>
              <w:spacing w:after="0" w:line="240" w:lineRule="auto"/>
              <w:jc w:val="both"/>
              <w:outlineLvl w:val="0"/>
              <w:rPr>
                <w:rFonts w:ascii="Garamond" w:eastAsia="Times New Roman" w:hAnsi="Garamond"/>
                <w:snapToGrid w:val="0"/>
                <w:sz w:val="20"/>
                <w:szCs w:val="20"/>
              </w:rPr>
            </w:pPr>
            <w:r w:rsidRPr="00BA1F88">
              <w:rPr>
                <w:rFonts w:ascii="Garamond" w:eastAsia="Times New Roman" w:hAnsi="Garamond"/>
                <w:snapToGrid w:val="0"/>
                <w:sz w:val="20"/>
                <w:szCs w:val="20"/>
              </w:rPr>
              <w:t xml:space="preserve">Shkup </w:t>
            </w:r>
          </w:p>
          <w:p w14:paraId="6D6F2148" w14:textId="5499EC2A" w:rsidR="003D21B2" w:rsidRPr="00BA1F88" w:rsidRDefault="00A62089" w:rsidP="00650E6F">
            <w:pPr>
              <w:spacing w:after="0" w:line="240" w:lineRule="auto"/>
              <w:jc w:val="both"/>
              <w:outlineLvl w:val="0"/>
              <w:rPr>
                <w:rFonts w:ascii="Garamond" w:eastAsia="Times New Roman" w:hAnsi="Garamond"/>
                <w:snapToGrid w:val="0"/>
                <w:sz w:val="20"/>
                <w:szCs w:val="20"/>
              </w:rPr>
            </w:pPr>
            <w:r w:rsidRPr="00BA1F88">
              <w:rPr>
                <w:rFonts w:ascii="Garamond" w:eastAsia="Times New Roman" w:hAnsi="Garamond"/>
                <w:snapToGrid w:val="0"/>
                <w:sz w:val="20"/>
                <w:szCs w:val="20"/>
              </w:rPr>
              <w:t>Datë</w:t>
            </w:r>
            <w:r w:rsidR="0024137B" w:rsidRPr="00BA1F88">
              <w:rPr>
                <w:rFonts w:ascii="Garamond" w:eastAsia="Times New Roman" w:hAnsi="Garamond"/>
                <w:snapToGrid w:val="0"/>
                <w:sz w:val="20"/>
                <w:szCs w:val="20"/>
              </w:rPr>
              <w:t>:</w:t>
            </w:r>
            <w:r w:rsidR="00B111AC" w:rsidRPr="00BA1F88">
              <w:rPr>
                <w:rFonts w:ascii="Garamond" w:eastAsia="Times New Roman" w:hAnsi="Garamond"/>
                <w:snapToGrid w:val="0"/>
                <w:sz w:val="20"/>
                <w:szCs w:val="20"/>
              </w:rPr>
              <w:t xml:space="preserve"> </w:t>
            </w:r>
            <w:r w:rsidR="003D21B2" w:rsidRPr="00BA1F88">
              <w:rPr>
                <w:rFonts w:ascii="Garamond" w:eastAsia="Times New Roman" w:hAnsi="Garamond"/>
                <w:snapToGrid w:val="0"/>
                <w:sz w:val="20"/>
                <w:szCs w:val="20"/>
              </w:rPr>
              <w:t>9.12.2020</w:t>
            </w:r>
          </w:p>
          <w:p w14:paraId="6D6F2149"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A"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r w:rsidRPr="00BA1F88">
              <w:rPr>
                <w:rFonts w:ascii="Garamond" w:eastAsia="Times New Roman" w:hAnsi="Garamond"/>
                <w:snapToGrid w:val="0"/>
                <w:sz w:val="20"/>
                <w:szCs w:val="20"/>
              </w:rPr>
              <w:t>Për Republikën e Shqipërisë</w:t>
            </w:r>
          </w:p>
          <w:p w14:paraId="6D6F214B"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C"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D"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4F" w14:textId="7B598CE3" w:rsidR="003D21B2" w:rsidRPr="00BA1F88" w:rsidRDefault="003D21B2" w:rsidP="00650E6F">
            <w:pPr>
              <w:spacing w:after="0" w:line="240" w:lineRule="auto"/>
              <w:jc w:val="both"/>
              <w:outlineLvl w:val="0"/>
              <w:rPr>
                <w:rFonts w:ascii="Garamond" w:eastAsia="Times New Roman" w:hAnsi="Garamond"/>
                <w:snapToGrid w:val="0"/>
                <w:sz w:val="20"/>
                <w:szCs w:val="20"/>
              </w:rPr>
            </w:pPr>
            <w:r w:rsidRPr="00BA1F88">
              <w:rPr>
                <w:rFonts w:ascii="Garamond" w:hAnsi="Garamond"/>
                <w:snapToGrid w:val="0"/>
                <w:sz w:val="20"/>
                <w:szCs w:val="20"/>
              </w:rPr>
              <w:t>Koordinatori Kombëtar i IPA-s</w:t>
            </w:r>
            <w:r w:rsidR="00DB6F30" w:rsidRPr="00BA1F88">
              <w:rPr>
                <w:rFonts w:ascii="Garamond" w:hAnsi="Garamond"/>
                <w:snapToGrid w:val="0"/>
                <w:sz w:val="20"/>
                <w:szCs w:val="20"/>
              </w:rPr>
              <w:t>ë</w:t>
            </w:r>
          </w:p>
          <w:p w14:paraId="6D6F2150"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51"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r w:rsidRPr="00BA1F88">
              <w:rPr>
                <w:rFonts w:ascii="Garamond" w:eastAsia="Times New Roman" w:hAnsi="Garamond"/>
                <w:snapToGrid w:val="0"/>
                <w:sz w:val="20"/>
                <w:szCs w:val="20"/>
              </w:rPr>
              <w:t>Tiranë</w:t>
            </w:r>
          </w:p>
          <w:p w14:paraId="6D6F2152" w14:textId="67614252" w:rsidR="003D21B2" w:rsidRPr="00BA1F88" w:rsidRDefault="00A62089" w:rsidP="00650E6F">
            <w:pPr>
              <w:spacing w:after="0" w:line="240" w:lineRule="auto"/>
              <w:jc w:val="both"/>
              <w:outlineLvl w:val="0"/>
              <w:rPr>
                <w:rFonts w:ascii="Garamond" w:eastAsia="Times New Roman" w:hAnsi="Garamond"/>
                <w:snapToGrid w:val="0"/>
                <w:sz w:val="20"/>
                <w:szCs w:val="20"/>
              </w:rPr>
            </w:pPr>
            <w:r w:rsidRPr="00BA1F88">
              <w:rPr>
                <w:rFonts w:ascii="Garamond" w:eastAsia="Times New Roman" w:hAnsi="Garamond"/>
                <w:snapToGrid w:val="0"/>
                <w:sz w:val="20"/>
                <w:szCs w:val="20"/>
              </w:rPr>
              <w:t>Datë</w:t>
            </w:r>
          </w:p>
        </w:tc>
        <w:tc>
          <w:tcPr>
            <w:tcW w:w="5245" w:type="dxa"/>
            <w:shd w:val="clear" w:color="auto" w:fill="auto"/>
          </w:tcPr>
          <w:p w14:paraId="6D6F2153"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54" w14:textId="77777777" w:rsidR="003D21B2" w:rsidRPr="00BA1F88" w:rsidRDefault="003D21B2" w:rsidP="00650E6F">
            <w:pPr>
              <w:spacing w:after="0" w:line="240" w:lineRule="auto"/>
              <w:jc w:val="both"/>
              <w:outlineLvl w:val="0"/>
              <w:rPr>
                <w:rFonts w:ascii="Garamond" w:hAnsi="Garamond"/>
                <w:b/>
                <w:snapToGrid w:val="0"/>
                <w:sz w:val="20"/>
                <w:szCs w:val="20"/>
              </w:rPr>
            </w:pPr>
            <w:r w:rsidRPr="00BA1F88">
              <w:rPr>
                <w:rFonts w:ascii="Garamond" w:hAnsi="Garamond"/>
                <w:b/>
                <w:snapToGrid w:val="0"/>
                <w:sz w:val="20"/>
                <w:szCs w:val="20"/>
              </w:rPr>
              <w:t>Për Komisionin:</w:t>
            </w:r>
          </w:p>
          <w:p w14:paraId="6D6F2155"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56" w14:textId="77777777" w:rsidR="003D21B2" w:rsidRPr="00BA1F88" w:rsidRDefault="003D21B2" w:rsidP="00650E6F">
            <w:pPr>
              <w:spacing w:after="0" w:line="240" w:lineRule="auto"/>
              <w:jc w:val="both"/>
              <w:outlineLvl w:val="0"/>
              <w:rPr>
                <w:rFonts w:ascii="Garamond" w:hAnsi="Garamond"/>
                <w:snapToGrid w:val="0"/>
                <w:sz w:val="20"/>
                <w:szCs w:val="20"/>
              </w:rPr>
            </w:pPr>
            <w:r w:rsidRPr="00BA1F88">
              <w:rPr>
                <w:rFonts w:ascii="Garamond" w:hAnsi="Garamond"/>
                <w:snapToGrid w:val="0"/>
                <w:sz w:val="20"/>
                <w:szCs w:val="20"/>
              </w:rPr>
              <w:t>Znj. Genoveva Ruiz Calavera</w:t>
            </w:r>
          </w:p>
          <w:p w14:paraId="6D6F2157" w14:textId="77777777" w:rsidR="003D21B2" w:rsidRPr="00BA1F88" w:rsidRDefault="003D21B2" w:rsidP="00650E6F">
            <w:pPr>
              <w:spacing w:after="0" w:line="240" w:lineRule="auto"/>
              <w:jc w:val="both"/>
              <w:outlineLvl w:val="0"/>
              <w:rPr>
                <w:rFonts w:ascii="Garamond" w:hAnsi="Garamond"/>
                <w:snapToGrid w:val="0"/>
                <w:sz w:val="20"/>
                <w:szCs w:val="20"/>
              </w:rPr>
            </w:pPr>
            <w:r w:rsidRPr="00BA1F88">
              <w:rPr>
                <w:rFonts w:ascii="Garamond" w:hAnsi="Garamond"/>
                <w:snapToGrid w:val="0"/>
                <w:sz w:val="20"/>
                <w:szCs w:val="20"/>
              </w:rPr>
              <w:t>Drejtoria D, Ballkani Perëndimor</w:t>
            </w:r>
          </w:p>
          <w:p w14:paraId="6D6F2158" w14:textId="77777777" w:rsidR="003D21B2" w:rsidRPr="00BA1F88" w:rsidRDefault="003D21B2" w:rsidP="00650E6F">
            <w:pPr>
              <w:spacing w:after="0" w:line="240" w:lineRule="auto"/>
              <w:jc w:val="both"/>
              <w:outlineLvl w:val="0"/>
              <w:rPr>
                <w:rFonts w:ascii="Garamond" w:hAnsi="Garamond"/>
                <w:snapToGrid w:val="0"/>
                <w:sz w:val="20"/>
                <w:szCs w:val="20"/>
              </w:rPr>
            </w:pPr>
            <w:r w:rsidRPr="00BA1F88">
              <w:rPr>
                <w:rFonts w:ascii="Garamond" w:hAnsi="Garamond"/>
                <w:snapToGrid w:val="0"/>
                <w:sz w:val="20"/>
                <w:szCs w:val="20"/>
              </w:rPr>
              <w:t>Drejtoria e Përgjithshme e Fqinjësisë dhe Negociatave të Zgjerimit, Drejtoria D, Ballkani Perëndimor, Komisioni Evropian</w:t>
            </w:r>
          </w:p>
          <w:p w14:paraId="6D6F2159"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5A"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5B" w14:textId="77777777" w:rsidR="003D21B2" w:rsidRPr="00BA1F88" w:rsidRDefault="003D21B2" w:rsidP="00650E6F">
            <w:pPr>
              <w:spacing w:after="0" w:line="240" w:lineRule="auto"/>
              <w:jc w:val="both"/>
              <w:outlineLvl w:val="0"/>
              <w:rPr>
                <w:rFonts w:ascii="Garamond" w:hAnsi="Garamond"/>
                <w:snapToGrid w:val="0"/>
                <w:sz w:val="20"/>
                <w:szCs w:val="20"/>
              </w:rPr>
            </w:pPr>
          </w:p>
          <w:p w14:paraId="6D6F215C" w14:textId="4C6381E2" w:rsidR="003D21B2" w:rsidRPr="00BA1F88" w:rsidRDefault="003D21B2" w:rsidP="00650E6F">
            <w:pPr>
              <w:spacing w:after="0" w:line="240" w:lineRule="auto"/>
              <w:jc w:val="both"/>
              <w:outlineLvl w:val="0"/>
              <w:rPr>
                <w:rFonts w:ascii="Garamond" w:eastAsia="Times New Roman" w:hAnsi="Garamond"/>
                <w:snapToGrid w:val="0"/>
                <w:sz w:val="20"/>
                <w:szCs w:val="20"/>
              </w:rPr>
            </w:pPr>
            <w:r w:rsidRPr="00BA1F88">
              <w:rPr>
                <w:rFonts w:ascii="Garamond" w:hAnsi="Garamond"/>
                <w:snapToGrid w:val="0"/>
                <w:sz w:val="20"/>
                <w:szCs w:val="20"/>
              </w:rPr>
              <w:t xml:space="preserve">Bruksel </w:t>
            </w:r>
          </w:p>
          <w:p w14:paraId="6D6F215D" w14:textId="77777777" w:rsidR="003D21B2" w:rsidRPr="00BA1F88" w:rsidRDefault="003D21B2" w:rsidP="00650E6F">
            <w:pPr>
              <w:spacing w:after="0" w:line="240" w:lineRule="auto"/>
              <w:jc w:val="both"/>
              <w:outlineLvl w:val="0"/>
              <w:rPr>
                <w:rFonts w:ascii="Garamond" w:eastAsia="Times New Roman" w:hAnsi="Garamond"/>
                <w:snapToGrid w:val="0"/>
                <w:sz w:val="20"/>
                <w:szCs w:val="20"/>
              </w:rPr>
            </w:pPr>
          </w:p>
          <w:p w14:paraId="6D6F215E" w14:textId="7B71B782" w:rsidR="003D21B2" w:rsidRPr="000E1EB0" w:rsidRDefault="00A62089" w:rsidP="00650E6F">
            <w:pPr>
              <w:spacing w:after="0" w:line="240" w:lineRule="auto"/>
              <w:jc w:val="both"/>
              <w:outlineLvl w:val="0"/>
              <w:rPr>
                <w:rFonts w:ascii="Garamond" w:eastAsia="Times New Roman" w:hAnsi="Garamond"/>
                <w:snapToGrid w:val="0"/>
                <w:sz w:val="20"/>
                <w:szCs w:val="20"/>
              </w:rPr>
            </w:pPr>
            <w:r w:rsidRPr="00BA1F88">
              <w:rPr>
                <w:rFonts w:ascii="Garamond" w:eastAsia="Times New Roman" w:hAnsi="Garamond"/>
                <w:snapToGrid w:val="0"/>
                <w:sz w:val="20"/>
                <w:szCs w:val="20"/>
              </w:rPr>
              <w:t>Datë</w:t>
            </w:r>
            <w:r w:rsidR="0024137B" w:rsidRPr="00BA1F88">
              <w:rPr>
                <w:rFonts w:ascii="Garamond" w:eastAsia="Times New Roman" w:hAnsi="Garamond"/>
                <w:snapToGrid w:val="0"/>
                <w:sz w:val="20"/>
                <w:szCs w:val="20"/>
              </w:rPr>
              <w:t>:</w:t>
            </w:r>
            <w:r w:rsidR="003D21B2" w:rsidRPr="00BA1F88">
              <w:rPr>
                <w:rFonts w:ascii="Garamond" w:eastAsia="Times New Roman" w:hAnsi="Garamond"/>
                <w:snapToGrid w:val="0"/>
                <w:sz w:val="20"/>
                <w:szCs w:val="20"/>
              </w:rPr>
              <w:t xml:space="preserve"> </w:t>
            </w:r>
            <w:r w:rsidR="003D21B2" w:rsidRPr="00BA1F88">
              <w:rPr>
                <w:rFonts w:ascii="Garamond" w:hAnsi="Garamond"/>
                <w:snapToGrid w:val="0"/>
                <w:sz w:val="20"/>
                <w:szCs w:val="20"/>
              </w:rPr>
              <w:t>22 qershor 2020</w:t>
            </w:r>
          </w:p>
          <w:p w14:paraId="6D6F215F" w14:textId="77777777" w:rsidR="003D21B2" w:rsidRPr="000E1EB0" w:rsidRDefault="003D21B2" w:rsidP="00650E6F">
            <w:pPr>
              <w:spacing w:after="0" w:line="240" w:lineRule="auto"/>
              <w:jc w:val="both"/>
              <w:outlineLvl w:val="0"/>
              <w:rPr>
                <w:rFonts w:ascii="Garamond" w:eastAsia="Times New Roman" w:hAnsi="Garamond"/>
                <w:snapToGrid w:val="0"/>
                <w:sz w:val="20"/>
                <w:szCs w:val="20"/>
              </w:rPr>
            </w:pPr>
          </w:p>
          <w:p w14:paraId="6D6F2160" w14:textId="77777777" w:rsidR="003D21B2" w:rsidRPr="000E1EB0" w:rsidRDefault="003D21B2" w:rsidP="00650E6F">
            <w:pPr>
              <w:spacing w:after="0" w:line="240" w:lineRule="auto"/>
              <w:jc w:val="both"/>
              <w:outlineLvl w:val="0"/>
              <w:rPr>
                <w:rFonts w:ascii="Garamond" w:eastAsia="Times New Roman" w:hAnsi="Garamond"/>
                <w:snapToGrid w:val="0"/>
                <w:sz w:val="20"/>
                <w:szCs w:val="20"/>
              </w:rPr>
            </w:pPr>
          </w:p>
          <w:p w14:paraId="6D6F2161" w14:textId="77777777" w:rsidR="003D21B2" w:rsidRPr="000E1EB0" w:rsidRDefault="003D21B2" w:rsidP="00650E6F">
            <w:pPr>
              <w:spacing w:after="0" w:line="240" w:lineRule="auto"/>
              <w:jc w:val="both"/>
              <w:outlineLvl w:val="0"/>
              <w:rPr>
                <w:rFonts w:ascii="Garamond" w:hAnsi="Garamond"/>
                <w:sz w:val="20"/>
                <w:szCs w:val="20"/>
              </w:rPr>
            </w:pPr>
          </w:p>
        </w:tc>
      </w:tr>
    </w:tbl>
    <w:p w14:paraId="6D6F2163" w14:textId="77777777" w:rsidR="003D21B2" w:rsidRPr="000E1EB0" w:rsidRDefault="003D21B2" w:rsidP="00650E6F">
      <w:pPr>
        <w:spacing w:line="240" w:lineRule="auto"/>
        <w:jc w:val="both"/>
        <w:outlineLvl w:val="0"/>
        <w:rPr>
          <w:rFonts w:ascii="Garamond" w:hAnsi="Garamond"/>
        </w:rPr>
      </w:pPr>
    </w:p>
    <w:p w14:paraId="35BC860E" w14:textId="77777777" w:rsidR="0022727F" w:rsidRDefault="0022727F" w:rsidP="00AB613A">
      <w:pPr>
        <w:spacing w:after="0" w:line="240" w:lineRule="auto"/>
        <w:jc w:val="center"/>
        <w:rPr>
          <w:rFonts w:ascii="Garamond" w:hAnsi="Garamond"/>
        </w:rPr>
      </w:pPr>
    </w:p>
    <w:p w14:paraId="1C6FA0C7" w14:textId="77777777" w:rsidR="0022727F" w:rsidRDefault="0022727F" w:rsidP="00AB613A">
      <w:pPr>
        <w:spacing w:after="0" w:line="240" w:lineRule="auto"/>
        <w:jc w:val="center"/>
        <w:rPr>
          <w:rFonts w:ascii="Garamond" w:hAnsi="Garamond"/>
        </w:rPr>
      </w:pPr>
    </w:p>
    <w:p w14:paraId="0177B608" w14:textId="77777777" w:rsidR="0022727F" w:rsidRDefault="0022727F" w:rsidP="00AB613A">
      <w:pPr>
        <w:spacing w:after="0" w:line="240" w:lineRule="auto"/>
        <w:jc w:val="center"/>
        <w:rPr>
          <w:rFonts w:ascii="Garamond" w:hAnsi="Garamond"/>
        </w:rPr>
      </w:pPr>
    </w:p>
    <w:p w14:paraId="688F0C2C" w14:textId="77777777" w:rsidR="0022727F" w:rsidRDefault="0022727F" w:rsidP="00AB613A">
      <w:pPr>
        <w:spacing w:after="0" w:line="240" w:lineRule="auto"/>
        <w:jc w:val="center"/>
        <w:rPr>
          <w:rFonts w:ascii="Garamond" w:hAnsi="Garamond"/>
        </w:rPr>
      </w:pPr>
    </w:p>
    <w:p w14:paraId="68C8DD3C" w14:textId="77777777" w:rsidR="00BA1F88" w:rsidRDefault="00BA1F88" w:rsidP="00AB613A">
      <w:pPr>
        <w:spacing w:after="0" w:line="240" w:lineRule="auto"/>
        <w:jc w:val="center"/>
        <w:rPr>
          <w:rFonts w:ascii="Garamond" w:hAnsi="Garamond"/>
        </w:rPr>
      </w:pPr>
    </w:p>
    <w:p w14:paraId="7CDC311E" w14:textId="77777777" w:rsidR="00BA1F88" w:rsidRDefault="00BA1F88" w:rsidP="00AB613A">
      <w:pPr>
        <w:spacing w:after="0" w:line="240" w:lineRule="auto"/>
        <w:jc w:val="center"/>
        <w:rPr>
          <w:rFonts w:ascii="Garamond" w:hAnsi="Garamond"/>
        </w:rPr>
      </w:pPr>
    </w:p>
    <w:p w14:paraId="52D2E7D3" w14:textId="77777777" w:rsidR="0022727F" w:rsidRDefault="0022727F" w:rsidP="00AB613A">
      <w:pPr>
        <w:spacing w:after="0" w:line="240" w:lineRule="auto"/>
        <w:jc w:val="center"/>
        <w:rPr>
          <w:rFonts w:ascii="Garamond" w:hAnsi="Garamond"/>
        </w:rPr>
      </w:pPr>
    </w:p>
    <w:p w14:paraId="001467EB" w14:textId="77777777" w:rsidR="0022727F" w:rsidRDefault="0022727F" w:rsidP="00AB613A">
      <w:pPr>
        <w:spacing w:after="0" w:line="240" w:lineRule="auto"/>
        <w:jc w:val="center"/>
        <w:rPr>
          <w:rFonts w:ascii="Garamond" w:hAnsi="Garamond"/>
        </w:rPr>
      </w:pPr>
    </w:p>
    <w:p w14:paraId="29E342D1" w14:textId="77777777" w:rsidR="0022727F" w:rsidRDefault="0022727F" w:rsidP="00AB613A">
      <w:pPr>
        <w:spacing w:after="0" w:line="240" w:lineRule="auto"/>
        <w:jc w:val="center"/>
        <w:rPr>
          <w:rFonts w:ascii="Garamond" w:hAnsi="Garamond"/>
        </w:rPr>
      </w:pPr>
    </w:p>
    <w:p w14:paraId="6D6F2164" w14:textId="77777777" w:rsidR="00650E6F" w:rsidRPr="00B111AC" w:rsidRDefault="00650E6F" w:rsidP="00AB613A">
      <w:pPr>
        <w:spacing w:after="0" w:line="240" w:lineRule="auto"/>
        <w:jc w:val="center"/>
        <w:rPr>
          <w:rFonts w:ascii="Garamond" w:hAnsi="Garamond"/>
        </w:rPr>
      </w:pPr>
      <w:r w:rsidRPr="00B111AC">
        <w:rPr>
          <w:rFonts w:ascii="Garamond" w:hAnsi="Garamond"/>
        </w:rPr>
        <w:lastRenderedPageBreak/>
        <w:t>SHTOJCA 1</w:t>
      </w:r>
    </w:p>
    <w:p w14:paraId="6D6F2165" w14:textId="5497481F" w:rsidR="00650E6F" w:rsidRPr="00B111AC" w:rsidRDefault="00650E6F" w:rsidP="00AB613A">
      <w:pPr>
        <w:spacing w:after="0" w:line="240" w:lineRule="auto"/>
        <w:jc w:val="center"/>
        <w:rPr>
          <w:rFonts w:ascii="Garamond" w:hAnsi="Garamond"/>
        </w:rPr>
      </w:pPr>
      <w:r w:rsidRPr="00B111AC">
        <w:rPr>
          <w:rFonts w:ascii="Garamond" w:hAnsi="Garamond"/>
        </w:rPr>
        <w:t>PROGRAMI I VEPRIMIT TË BASHKËPUNIMIT NDËRKUFITAR NDËRMJET ISH-REPUBLIKËS JUGOSLLAVE TË MAQEDONISË DHE REPUBLIKËS SË SHQIPËRISË</w:t>
      </w:r>
      <w:r w:rsidR="00057ACC">
        <w:rPr>
          <w:rFonts w:ascii="Garamond" w:hAnsi="Garamond"/>
        </w:rPr>
        <w:t>,</w:t>
      </w:r>
      <w:r w:rsidRPr="00B111AC">
        <w:rPr>
          <w:rFonts w:ascii="Garamond" w:hAnsi="Garamond"/>
        </w:rPr>
        <w:t xml:space="preserve"> PËR VITET 2018</w:t>
      </w:r>
      <w:r w:rsidR="00057ACC">
        <w:rPr>
          <w:rFonts w:ascii="Garamond" w:hAnsi="Garamond"/>
        </w:rPr>
        <w:t>–</w:t>
      </w:r>
      <w:r w:rsidRPr="00B111AC">
        <w:rPr>
          <w:rFonts w:ascii="Garamond" w:hAnsi="Garamond"/>
        </w:rPr>
        <w:t>2020</w:t>
      </w:r>
    </w:p>
    <w:p w14:paraId="3005DD80" w14:textId="77777777" w:rsidR="0024137B" w:rsidRDefault="0024137B" w:rsidP="00AB613A">
      <w:pPr>
        <w:pStyle w:val="AAAAAAAAAAATEX"/>
        <w:ind w:firstLine="0"/>
        <w:rPr>
          <w:b/>
        </w:rPr>
      </w:pPr>
    </w:p>
    <w:p w14:paraId="6D6F2166" w14:textId="77777777" w:rsidR="00650E6F" w:rsidRPr="000E1EB0" w:rsidRDefault="00650E6F" w:rsidP="00AB613A">
      <w:pPr>
        <w:pStyle w:val="AAAAAAAAAAATEX"/>
        <w:ind w:firstLine="0"/>
        <w:rPr>
          <w:b/>
        </w:rPr>
      </w:pPr>
      <w:r w:rsidRPr="000E1EB0">
        <w:rPr>
          <w:b/>
        </w:rPr>
        <w:t>1. Identifikimi</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5914"/>
      </w:tblGrid>
      <w:tr w:rsidR="00650E6F" w:rsidRPr="000E1EB0" w14:paraId="6D6F216A" w14:textId="77777777" w:rsidTr="00650E6F">
        <w:tc>
          <w:tcPr>
            <w:tcW w:w="3618" w:type="dxa"/>
          </w:tcPr>
          <w:p w14:paraId="6D6F2167" w14:textId="77777777" w:rsidR="00650E6F" w:rsidRPr="000E1EB0" w:rsidRDefault="00650E6F" w:rsidP="00AB613A">
            <w:pPr>
              <w:spacing w:after="0" w:line="240" w:lineRule="auto"/>
              <w:rPr>
                <w:rFonts w:ascii="Garamond" w:hAnsi="Garamond"/>
                <w:b/>
              </w:rPr>
            </w:pPr>
            <w:r w:rsidRPr="000E1EB0">
              <w:rPr>
                <w:rFonts w:ascii="Garamond" w:hAnsi="Garamond"/>
                <w:b/>
              </w:rPr>
              <w:t>Përfituesit</w:t>
            </w:r>
          </w:p>
        </w:tc>
        <w:tc>
          <w:tcPr>
            <w:tcW w:w="5914" w:type="dxa"/>
          </w:tcPr>
          <w:p w14:paraId="6D6F2168" w14:textId="77777777" w:rsidR="00650E6F" w:rsidRPr="000E1EB0" w:rsidRDefault="00650E6F" w:rsidP="00AB613A">
            <w:pPr>
              <w:spacing w:after="0" w:line="240" w:lineRule="auto"/>
              <w:jc w:val="both"/>
              <w:rPr>
                <w:rFonts w:ascii="Garamond" w:hAnsi="Garamond"/>
              </w:rPr>
            </w:pPr>
            <w:r w:rsidRPr="000E1EB0">
              <w:rPr>
                <w:rFonts w:ascii="Garamond" w:hAnsi="Garamond"/>
              </w:rPr>
              <w:t>Ish-Republika Jugosllave e Maqedonisë</w:t>
            </w:r>
          </w:p>
          <w:p w14:paraId="6D6F2169" w14:textId="77777777" w:rsidR="00650E6F" w:rsidRPr="000E1EB0" w:rsidRDefault="00650E6F" w:rsidP="00AB613A">
            <w:pPr>
              <w:spacing w:after="0" w:line="240" w:lineRule="auto"/>
              <w:jc w:val="both"/>
              <w:rPr>
                <w:rFonts w:ascii="Garamond" w:hAnsi="Garamond"/>
                <w:i/>
              </w:rPr>
            </w:pPr>
            <w:r w:rsidRPr="000E1EB0">
              <w:rPr>
                <w:rFonts w:ascii="Garamond" w:hAnsi="Garamond"/>
              </w:rPr>
              <w:t>Republika e Shqipërisë</w:t>
            </w:r>
          </w:p>
        </w:tc>
      </w:tr>
      <w:tr w:rsidR="00650E6F" w:rsidRPr="000E1EB0" w14:paraId="6D6F2171" w14:textId="77777777" w:rsidTr="00650E6F">
        <w:tc>
          <w:tcPr>
            <w:tcW w:w="3618" w:type="dxa"/>
          </w:tcPr>
          <w:p w14:paraId="6D6F216B" w14:textId="7992967B" w:rsidR="00650E6F" w:rsidRPr="000E1EB0" w:rsidRDefault="00650E6F" w:rsidP="00AB613A">
            <w:pPr>
              <w:spacing w:after="0" w:line="240" w:lineRule="auto"/>
              <w:rPr>
                <w:rFonts w:ascii="Garamond" w:hAnsi="Garamond"/>
                <w:b/>
              </w:rPr>
            </w:pPr>
            <w:r w:rsidRPr="000E1EB0">
              <w:rPr>
                <w:rFonts w:ascii="Garamond" w:hAnsi="Garamond"/>
                <w:b/>
              </w:rPr>
              <w:t xml:space="preserve">CRIS/ABAC, </w:t>
            </w:r>
            <w:r w:rsidR="00B111AC" w:rsidRPr="000E1EB0">
              <w:rPr>
                <w:rFonts w:ascii="Garamond" w:hAnsi="Garamond"/>
                <w:b/>
              </w:rPr>
              <w:t xml:space="preserve">referencat </w:t>
            </w:r>
            <w:r w:rsidRPr="000E1EB0">
              <w:rPr>
                <w:rFonts w:ascii="Garamond" w:hAnsi="Garamond"/>
                <w:b/>
              </w:rPr>
              <w:t>e angazhimit</w:t>
            </w:r>
          </w:p>
          <w:p w14:paraId="6D6F216C" w14:textId="77777777" w:rsidR="00650E6F" w:rsidRPr="000E1EB0" w:rsidRDefault="00650E6F" w:rsidP="00AB613A">
            <w:pPr>
              <w:spacing w:after="0" w:line="240" w:lineRule="auto"/>
              <w:rPr>
                <w:rFonts w:ascii="Garamond" w:hAnsi="Garamond"/>
                <w:b/>
              </w:rPr>
            </w:pPr>
            <w:r w:rsidRPr="000E1EB0">
              <w:rPr>
                <w:rFonts w:ascii="Garamond" w:hAnsi="Garamond"/>
                <w:b/>
              </w:rPr>
              <w:t>Kontributi i Bashkimit</w:t>
            </w:r>
          </w:p>
          <w:p w14:paraId="6D6F216D" w14:textId="77777777" w:rsidR="00650E6F" w:rsidRPr="000E1EB0" w:rsidRDefault="00650E6F" w:rsidP="00AB613A">
            <w:pPr>
              <w:spacing w:after="0" w:line="240" w:lineRule="auto"/>
              <w:rPr>
                <w:rFonts w:ascii="Garamond" w:hAnsi="Garamond"/>
                <w:b/>
              </w:rPr>
            </w:pPr>
            <w:r w:rsidRPr="000E1EB0">
              <w:rPr>
                <w:rFonts w:ascii="Garamond" w:hAnsi="Garamond"/>
                <w:b/>
              </w:rPr>
              <w:t>Buxheti</w:t>
            </w:r>
          </w:p>
        </w:tc>
        <w:tc>
          <w:tcPr>
            <w:tcW w:w="5914" w:type="dxa"/>
          </w:tcPr>
          <w:p w14:paraId="6D6F216E" w14:textId="74691784" w:rsidR="00650E6F" w:rsidRPr="000E1EB0" w:rsidRDefault="00650E6F" w:rsidP="00AB613A">
            <w:pPr>
              <w:spacing w:after="0" w:line="240" w:lineRule="auto"/>
              <w:jc w:val="both"/>
              <w:rPr>
                <w:rFonts w:ascii="Garamond" w:hAnsi="Garamond"/>
              </w:rPr>
            </w:pPr>
            <w:r w:rsidRPr="000E1EB0">
              <w:rPr>
                <w:rFonts w:ascii="Garamond" w:hAnsi="Garamond"/>
              </w:rPr>
              <w:t>EURO 1,700,000</w:t>
            </w:r>
            <w:r w:rsidR="009A5DA1">
              <w:rPr>
                <w:rFonts w:ascii="Garamond" w:hAnsi="Garamond"/>
              </w:rPr>
              <w:t xml:space="preserve"> </w:t>
            </w:r>
            <w:r w:rsidRPr="000E1EB0">
              <w:rPr>
                <w:rFonts w:ascii="Garamond" w:hAnsi="Garamond"/>
              </w:rPr>
              <w:t>22.020401</w:t>
            </w:r>
            <w:r w:rsidR="009A5DA1">
              <w:rPr>
                <w:rFonts w:ascii="Garamond" w:hAnsi="Garamond"/>
              </w:rPr>
              <w:t xml:space="preserve"> </w:t>
            </w:r>
            <w:r w:rsidRPr="000E1EB0">
              <w:rPr>
                <w:rFonts w:ascii="Garamond" w:hAnsi="Garamond"/>
              </w:rPr>
              <w:t xml:space="preserve">2018/041-370 </w:t>
            </w:r>
          </w:p>
          <w:p w14:paraId="6D6F216F" w14:textId="25BE2E1D" w:rsidR="00650E6F" w:rsidRPr="000E1EB0" w:rsidRDefault="00650E6F" w:rsidP="00AB613A">
            <w:pPr>
              <w:spacing w:after="0" w:line="240" w:lineRule="auto"/>
              <w:jc w:val="both"/>
              <w:rPr>
                <w:rFonts w:ascii="Garamond" w:hAnsi="Garamond"/>
              </w:rPr>
            </w:pPr>
            <w:r w:rsidRPr="000E1EB0">
              <w:rPr>
                <w:rFonts w:ascii="Garamond" w:hAnsi="Garamond"/>
              </w:rPr>
              <w:t>EURO 1,700,000</w:t>
            </w:r>
            <w:r w:rsidR="009A5DA1">
              <w:rPr>
                <w:rFonts w:ascii="Garamond" w:hAnsi="Garamond"/>
              </w:rPr>
              <w:t xml:space="preserve"> </w:t>
            </w:r>
            <w:r w:rsidRPr="000E1EB0">
              <w:rPr>
                <w:rFonts w:ascii="Garamond" w:hAnsi="Garamond"/>
              </w:rPr>
              <w:t>22.020401</w:t>
            </w:r>
            <w:r w:rsidR="009A5DA1">
              <w:rPr>
                <w:rFonts w:ascii="Garamond" w:hAnsi="Garamond"/>
              </w:rPr>
              <w:t xml:space="preserve"> </w:t>
            </w:r>
            <w:r w:rsidRPr="000E1EB0">
              <w:rPr>
                <w:rFonts w:ascii="Garamond" w:hAnsi="Garamond"/>
              </w:rPr>
              <w:t xml:space="preserve">2019/041-371 </w:t>
            </w:r>
          </w:p>
          <w:p w14:paraId="6D6F2170" w14:textId="7A43E01B" w:rsidR="00650E6F" w:rsidRPr="000E1EB0" w:rsidRDefault="00650E6F" w:rsidP="00AB613A">
            <w:pPr>
              <w:spacing w:after="0" w:line="240" w:lineRule="auto"/>
              <w:jc w:val="both"/>
              <w:rPr>
                <w:rFonts w:ascii="Garamond" w:hAnsi="Garamond"/>
                <w:i/>
              </w:rPr>
            </w:pPr>
            <w:r w:rsidRPr="000E1EB0">
              <w:rPr>
                <w:rFonts w:ascii="Garamond" w:hAnsi="Garamond"/>
              </w:rPr>
              <w:t>EURO 1,530,000</w:t>
            </w:r>
            <w:r w:rsidR="009A5DA1">
              <w:rPr>
                <w:rFonts w:ascii="Garamond" w:hAnsi="Garamond"/>
              </w:rPr>
              <w:t xml:space="preserve"> </w:t>
            </w:r>
            <w:r w:rsidRPr="000E1EB0">
              <w:rPr>
                <w:rFonts w:ascii="Garamond" w:hAnsi="Garamond"/>
              </w:rPr>
              <w:t>22.020401</w:t>
            </w:r>
            <w:r w:rsidR="009A5DA1">
              <w:rPr>
                <w:rFonts w:ascii="Garamond" w:hAnsi="Garamond"/>
              </w:rPr>
              <w:t xml:space="preserve"> </w:t>
            </w:r>
            <w:r w:rsidRPr="000E1EB0">
              <w:rPr>
                <w:rFonts w:ascii="Garamond" w:hAnsi="Garamond"/>
              </w:rPr>
              <w:t xml:space="preserve">2020/041-372 </w:t>
            </w:r>
          </w:p>
        </w:tc>
      </w:tr>
      <w:tr w:rsidR="00650E6F" w:rsidRPr="000E1EB0" w14:paraId="6D6F217A" w14:textId="77777777" w:rsidTr="00650E6F">
        <w:tc>
          <w:tcPr>
            <w:tcW w:w="3618" w:type="dxa"/>
          </w:tcPr>
          <w:p w14:paraId="6D6F2172" w14:textId="77777777" w:rsidR="00650E6F" w:rsidRPr="000E1EB0" w:rsidRDefault="00650E6F" w:rsidP="00AB613A">
            <w:pPr>
              <w:autoSpaceDE w:val="0"/>
              <w:autoSpaceDN w:val="0"/>
              <w:adjustRightInd w:val="0"/>
              <w:spacing w:after="0" w:line="240" w:lineRule="auto"/>
              <w:rPr>
                <w:rFonts w:ascii="Garamond" w:hAnsi="Garamond"/>
                <w:b/>
                <w:bCs/>
              </w:rPr>
            </w:pPr>
            <w:r w:rsidRPr="000E1EB0">
              <w:rPr>
                <w:rFonts w:ascii="Garamond" w:hAnsi="Garamond"/>
                <w:b/>
              </w:rPr>
              <w:t>Mënyra e menaxhimit</w:t>
            </w:r>
          </w:p>
          <w:p w14:paraId="6D6F2173" w14:textId="77777777" w:rsidR="00650E6F" w:rsidRPr="000E1EB0" w:rsidRDefault="00650E6F" w:rsidP="00AB613A">
            <w:pPr>
              <w:autoSpaceDE w:val="0"/>
              <w:autoSpaceDN w:val="0"/>
              <w:adjustRightInd w:val="0"/>
              <w:spacing w:after="0" w:line="240" w:lineRule="auto"/>
              <w:rPr>
                <w:rFonts w:ascii="Garamond" w:hAnsi="Garamond"/>
                <w:b/>
                <w:bCs/>
              </w:rPr>
            </w:pPr>
          </w:p>
          <w:p w14:paraId="6D6F2174" w14:textId="77777777" w:rsidR="00650E6F" w:rsidRPr="000E1EB0" w:rsidRDefault="00650E6F" w:rsidP="00AB613A">
            <w:pPr>
              <w:autoSpaceDE w:val="0"/>
              <w:autoSpaceDN w:val="0"/>
              <w:adjustRightInd w:val="0"/>
              <w:spacing w:after="0" w:line="240" w:lineRule="auto"/>
              <w:rPr>
                <w:rFonts w:ascii="Garamond" w:hAnsi="Garamond"/>
                <w:b/>
              </w:rPr>
            </w:pPr>
            <w:r w:rsidRPr="000E1EB0">
              <w:rPr>
                <w:rFonts w:ascii="Garamond" w:hAnsi="Garamond"/>
                <w:b/>
              </w:rPr>
              <w:t xml:space="preserve">Strukturat përgjegjëse </w:t>
            </w:r>
          </w:p>
          <w:p w14:paraId="6D6F2175" w14:textId="77777777" w:rsidR="00650E6F" w:rsidRPr="000E1EB0" w:rsidRDefault="00650E6F" w:rsidP="00AB613A">
            <w:pPr>
              <w:spacing w:after="0" w:line="240" w:lineRule="auto"/>
              <w:rPr>
                <w:rFonts w:ascii="Garamond" w:hAnsi="Garamond"/>
                <w:b/>
              </w:rPr>
            </w:pPr>
          </w:p>
        </w:tc>
        <w:tc>
          <w:tcPr>
            <w:tcW w:w="5914" w:type="dxa"/>
          </w:tcPr>
          <w:p w14:paraId="6D6F2176" w14:textId="77777777" w:rsidR="00650E6F" w:rsidRPr="000E1EB0" w:rsidRDefault="00650E6F" w:rsidP="00AB613A">
            <w:pPr>
              <w:autoSpaceDE w:val="0"/>
              <w:autoSpaceDN w:val="0"/>
              <w:adjustRightInd w:val="0"/>
              <w:spacing w:after="0" w:line="240" w:lineRule="auto"/>
              <w:rPr>
                <w:rFonts w:ascii="Garamond" w:hAnsi="Garamond"/>
              </w:rPr>
            </w:pPr>
            <w:r w:rsidRPr="000E1EB0">
              <w:rPr>
                <w:rFonts w:ascii="Garamond" w:hAnsi="Garamond"/>
              </w:rPr>
              <w:t>Menaxhim i drejtpërdrejtë nga Komisioni Evropian</w:t>
            </w:r>
          </w:p>
          <w:p w14:paraId="6D6F2177" w14:textId="77777777" w:rsidR="00650E6F" w:rsidRPr="000E1EB0" w:rsidRDefault="00650E6F" w:rsidP="00AB613A">
            <w:pPr>
              <w:autoSpaceDE w:val="0"/>
              <w:autoSpaceDN w:val="0"/>
              <w:adjustRightInd w:val="0"/>
              <w:spacing w:after="0" w:line="240" w:lineRule="auto"/>
              <w:rPr>
                <w:rFonts w:ascii="Garamond" w:hAnsi="Garamond"/>
              </w:rPr>
            </w:pPr>
          </w:p>
          <w:p w14:paraId="6D6F2178" w14:textId="77777777" w:rsidR="00650E6F" w:rsidRPr="000E1EB0" w:rsidRDefault="00650E6F" w:rsidP="00AB613A">
            <w:pPr>
              <w:spacing w:after="0" w:line="240" w:lineRule="auto"/>
              <w:jc w:val="both"/>
              <w:rPr>
                <w:rFonts w:ascii="Garamond" w:hAnsi="Garamond"/>
              </w:rPr>
            </w:pPr>
            <w:r w:rsidRPr="000E1EB0">
              <w:rPr>
                <w:rFonts w:ascii="Garamond" w:hAnsi="Garamond"/>
              </w:rPr>
              <w:t>Në ish-Republikën Jugosllave të Maqedonisë: Ministria e Vetëqeverisjes Vendore</w:t>
            </w:r>
          </w:p>
          <w:p w14:paraId="6D6F2179" w14:textId="77777777" w:rsidR="00650E6F" w:rsidRPr="000E1EB0" w:rsidRDefault="00650E6F" w:rsidP="00AB613A">
            <w:pPr>
              <w:spacing w:after="0" w:line="240" w:lineRule="auto"/>
              <w:rPr>
                <w:rFonts w:ascii="Garamond" w:hAnsi="Garamond"/>
              </w:rPr>
            </w:pPr>
            <w:r w:rsidRPr="000E1EB0">
              <w:rPr>
                <w:rFonts w:ascii="Garamond" w:hAnsi="Garamond"/>
              </w:rPr>
              <w:t>Në Republikën e Shqipërisë: Ministria për Evropën dhe Punët e Jashtme</w:t>
            </w:r>
            <w:r w:rsidRPr="000E1EB0">
              <w:rPr>
                <w:rFonts w:ascii="Garamond" w:hAnsi="Garamond"/>
                <w:highlight w:val="yellow"/>
              </w:rPr>
              <w:t xml:space="preserve"> </w:t>
            </w:r>
          </w:p>
        </w:tc>
      </w:tr>
      <w:tr w:rsidR="00650E6F" w:rsidRPr="000E1EB0" w14:paraId="6D6F2183" w14:textId="77777777" w:rsidTr="00650E6F">
        <w:tc>
          <w:tcPr>
            <w:tcW w:w="3618" w:type="dxa"/>
          </w:tcPr>
          <w:p w14:paraId="6D6F217B" w14:textId="77777777" w:rsidR="00650E6F" w:rsidRPr="000E1EB0" w:rsidRDefault="00650E6F" w:rsidP="00AB613A">
            <w:pPr>
              <w:spacing w:after="0" w:line="240" w:lineRule="auto"/>
              <w:rPr>
                <w:rFonts w:ascii="Garamond" w:hAnsi="Garamond"/>
                <w:b/>
              </w:rPr>
            </w:pPr>
            <w:r w:rsidRPr="000E1EB0">
              <w:rPr>
                <w:rFonts w:ascii="Garamond" w:hAnsi="Garamond"/>
                <w:b/>
              </w:rPr>
              <w:t xml:space="preserve">Data përfundimtare për mbylljen e </w:t>
            </w:r>
          </w:p>
          <w:p w14:paraId="6D6F217C" w14:textId="5477AE12" w:rsidR="00650E6F" w:rsidRPr="000E1EB0" w:rsidRDefault="00B111AC" w:rsidP="00AB613A">
            <w:pPr>
              <w:spacing w:after="0" w:line="240" w:lineRule="auto"/>
              <w:rPr>
                <w:rFonts w:ascii="Garamond" w:hAnsi="Garamond"/>
                <w:b/>
              </w:rPr>
            </w:pPr>
            <w:r w:rsidRPr="00057ACC">
              <w:rPr>
                <w:rFonts w:ascii="Garamond" w:hAnsi="Garamond"/>
                <w:b/>
              </w:rPr>
              <w:t>marrëveshjes/ve të financimit</w:t>
            </w:r>
            <w:r w:rsidRPr="000E1EB0">
              <w:rPr>
                <w:rFonts w:ascii="Garamond" w:hAnsi="Garamond"/>
                <w:b/>
              </w:rPr>
              <w:t xml:space="preserve"> </w:t>
            </w:r>
            <w:r w:rsidR="00650E6F" w:rsidRPr="000E1EB0">
              <w:rPr>
                <w:rFonts w:ascii="Garamond" w:hAnsi="Garamond"/>
                <w:b/>
              </w:rPr>
              <w:t>me vendet përfituese (trepalëshe) të IPA II</w:t>
            </w:r>
          </w:p>
        </w:tc>
        <w:tc>
          <w:tcPr>
            <w:tcW w:w="5914" w:type="dxa"/>
          </w:tcPr>
          <w:p w14:paraId="6D6F217D" w14:textId="77777777" w:rsidR="00650E6F" w:rsidRPr="000E1EB0" w:rsidRDefault="00650E6F" w:rsidP="00AB613A">
            <w:pPr>
              <w:spacing w:after="0" w:line="240" w:lineRule="auto"/>
              <w:rPr>
                <w:rFonts w:ascii="Garamond" w:hAnsi="Garamond"/>
              </w:rPr>
            </w:pPr>
            <w:r w:rsidRPr="000E1EB0">
              <w:rPr>
                <w:rFonts w:ascii="Garamond" w:hAnsi="Garamond"/>
              </w:rPr>
              <w:t xml:space="preserve">Për angazhimin buxhetor të vitit 2018: </w:t>
            </w:r>
          </w:p>
          <w:p w14:paraId="6D6F217E" w14:textId="77777777" w:rsidR="00650E6F" w:rsidRPr="000E1EB0" w:rsidRDefault="00650E6F" w:rsidP="00AB613A">
            <w:pPr>
              <w:spacing w:after="0" w:line="240" w:lineRule="auto"/>
              <w:rPr>
                <w:rFonts w:ascii="Garamond" w:hAnsi="Garamond"/>
              </w:rPr>
            </w:pPr>
            <w:r w:rsidRPr="000E1EB0">
              <w:rPr>
                <w:rFonts w:ascii="Garamond" w:hAnsi="Garamond"/>
              </w:rPr>
              <w:t>Në rastin më të vonë deri më 31 dhjetor 2019</w:t>
            </w:r>
          </w:p>
          <w:p w14:paraId="6D6F217F" w14:textId="77777777" w:rsidR="00650E6F" w:rsidRPr="000E1EB0" w:rsidRDefault="00650E6F" w:rsidP="00AB613A">
            <w:pPr>
              <w:spacing w:after="0" w:line="240" w:lineRule="auto"/>
              <w:rPr>
                <w:rFonts w:ascii="Garamond" w:hAnsi="Garamond"/>
              </w:rPr>
            </w:pPr>
            <w:r w:rsidRPr="000E1EB0">
              <w:rPr>
                <w:rFonts w:ascii="Garamond" w:hAnsi="Garamond"/>
              </w:rPr>
              <w:t xml:space="preserve">Për angazhimin buxhetor të vitit 2019: </w:t>
            </w:r>
          </w:p>
          <w:p w14:paraId="6D6F2180" w14:textId="77777777" w:rsidR="00650E6F" w:rsidRPr="000E1EB0" w:rsidRDefault="00650E6F" w:rsidP="00AB613A">
            <w:pPr>
              <w:spacing w:after="0" w:line="240" w:lineRule="auto"/>
              <w:rPr>
                <w:rFonts w:ascii="Garamond" w:hAnsi="Garamond"/>
              </w:rPr>
            </w:pPr>
            <w:r w:rsidRPr="000E1EB0">
              <w:rPr>
                <w:rFonts w:ascii="Garamond" w:hAnsi="Garamond"/>
              </w:rPr>
              <w:t>Në rastin më të vonë deri më 31 dhjetor 2020</w:t>
            </w:r>
          </w:p>
          <w:p w14:paraId="6D6F2181" w14:textId="77777777" w:rsidR="00650E6F" w:rsidRPr="000E1EB0" w:rsidRDefault="00650E6F" w:rsidP="00AB613A">
            <w:pPr>
              <w:spacing w:after="0" w:line="240" w:lineRule="auto"/>
              <w:rPr>
                <w:rFonts w:ascii="Garamond" w:hAnsi="Garamond"/>
              </w:rPr>
            </w:pPr>
            <w:r w:rsidRPr="000E1EB0">
              <w:rPr>
                <w:rFonts w:ascii="Garamond" w:hAnsi="Garamond"/>
              </w:rPr>
              <w:t xml:space="preserve">Për angazhimin buxhetor të vitit 2020: </w:t>
            </w:r>
          </w:p>
          <w:p w14:paraId="6D6F2182" w14:textId="77777777" w:rsidR="00650E6F" w:rsidRPr="000E1EB0" w:rsidRDefault="00650E6F" w:rsidP="00AB613A">
            <w:pPr>
              <w:spacing w:after="0" w:line="240" w:lineRule="auto"/>
              <w:rPr>
                <w:rFonts w:ascii="Garamond" w:hAnsi="Garamond"/>
                <w:b/>
                <w:i/>
              </w:rPr>
            </w:pPr>
            <w:r w:rsidRPr="000E1EB0">
              <w:rPr>
                <w:rFonts w:ascii="Garamond" w:hAnsi="Garamond"/>
              </w:rPr>
              <w:t>Në rastin më të vonë deri më 31 dhjetor 2021</w:t>
            </w:r>
          </w:p>
        </w:tc>
      </w:tr>
      <w:tr w:rsidR="00650E6F" w:rsidRPr="000E1EB0" w14:paraId="6D6F2188" w14:textId="77777777" w:rsidTr="00650E6F">
        <w:tc>
          <w:tcPr>
            <w:tcW w:w="3618" w:type="dxa"/>
          </w:tcPr>
          <w:p w14:paraId="6D6F2184" w14:textId="77777777" w:rsidR="00650E6F" w:rsidRPr="000E1EB0" w:rsidRDefault="00650E6F" w:rsidP="00AB613A">
            <w:pPr>
              <w:spacing w:after="0" w:line="240" w:lineRule="auto"/>
              <w:rPr>
                <w:rFonts w:ascii="Garamond" w:hAnsi="Garamond"/>
                <w:b/>
              </w:rPr>
            </w:pPr>
            <w:r w:rsidRPr="000E1EB0">
              <w:rPr>
                <w:rFonts w:ascii="Garamond" w:hAnsi="Garamond"/>
                <w:b/>
              </w:rPr>
              <w:t xml:space="preserve">Data përfundimtare për mbylljen e </w:t>
            </w:r>
          </w:p>
          <w:p w14:paraId="6D6F2185" w14:textId="77777777" w:rsidR="00650E6F" w:rsidRPr="00057ACC" w:rsidRDefault="00650E6F" w:rsidP="00AB613A">
            <w:pPr>
              <w:spacing w:after="0" w:line="240" w:lineRule="auto"/>
              <w:rPr>
                <w:rFonts w:ascii="Garamond" w:hAnsi="Garamond"/>
                <w:b/>
              </w:rPr>
            </w:pPr>
            <w:r w:rsidRPr="00057ACC">
              <w:rPr>
                <w:rFonts w:ascii="Garamond" w:hAnsi="Garamond"/>
                <w:b/>
              </w:rPr>
              <w:t>kontratave të prokurimit dhe granteve</w:t>
            </w:r>
          </w:p>
        </w:tc>
        <w:tc>
          <w:tcPr>
            <w:tcW w:w="5914" w:type="dxa"/>
          </w:tcPr>
          <w:p w14:paraId="6D6F2187" w14:textId="598FDD52" w:rsidR="00650E6F" w:rsidRPr="000E1EB0" w:rsidRDefault="00650E6F" w:rsidP="00057ACC">
            <w:pPr>
              <w:spacing w:after="0" w:line="240" w:lineRule="auto"/>
              <w:rPr>
                <w:rFonts w:ascii="Garamond" w:hAnsi="Garamond"/>
                <w:b/>
                <w:i/>
              </w:rPr>
            </w:pPr>
            <w:r w:rsidRPr="000E1EB0">
              <w:rPr>
                <w:rFonts w:ascii="Garamond" w:hAnsi="Garamond"/>
              </w:rPr>
              <w:t>3 vjet pas datës së nënshkrimit të Marrëveshjes së Financimit (nga nënshkrimi i palës së fundit)</w:t>
            </w:r>
            <w:r w:rsidR="00057ACC">
              <w:rPr>
                <w:rFonts w:ascii="Garamond" w:hAnsi="Garamond"/>
              </w:rPr>
              <w:t xml:space="preserve">, </w:t>
            </w:r>
            <w:r w:rsidRPr="000E1EB0">
              <w:rPr>
                <w:rFonts w:ascii="Garamond" w:hAnsi="Garamond"/>
              </w:rPr>
              <w:t>me përjashtim të rasteve të renditura në nenin 114 (2) të Rregullores Financiare</w:t>
            </w:r>
          </w:p>
        </w:tc>
      </w:tr>
      <w:tr w:rsidR="00650E6F" w:rsidRPr="000E1EB0" w14:paraId="6D6F218B" w14:textId="77777777" w:rsidTr="00650E6F">
        <w:tc>
          <w:tcPr>
            <w:tcW w:w="3618" w:type="dxa"/>
          </w:tcPr>
          <w:p w14:paraId="6D6F2189" w14:textId="77777777" w:rsidR="00650E6F" w:rsidRPr="000E1EB0" w:rsidRDefault="00650E6F" w:rsidP="00AB613A">
            <w:pPr>
              <w:spacing w:after="0" w:line="240" w:lineRule="auto"/>
              <w:rPr>
                <w:rFonts w:ascii="Garamond" w:hAnsi="Garamond"/>
                <w:b/>
              </w:rPr>
            </w:pPr>
            <w:r w:rsidRPr="000E1EB0">
              <w:rPr>
                <w:rFonts w:ascii="Garamond" w:hAnsi="Garamond"/>
                <w:b/>
              </w:rPr>
              <w:t>Data përfundimtare për zbatimin operacional</w:t>
            </w:r>
          </w:p>
        </w:tc>
        <w:tc>
          <w:tcPr>
            <w:tcW w:w="5914" w:type="dxa"/>
          </w:tcPr>
          <w:p w14:paraId="6D6F218A" w14:textId="77777777" w:rsidR="00650E6F" w:rsidRPr="000E1EB0" w:rsidRDefault="00650E6F" w:rsidP="00AB613A">
            <w:pPr>
              <w:spacing w:after="0" w:line="240" w:lineRule="auto"/>
              <w:rPr>
                <w:rFonts w:ascii="Garamond" w:hAnsi="Garamond"/>
              </w:rPr>
            </w:pPr>
            <w:r w:rsidRPr="000E1EB0">
              <w:rPr>
                <w:rFonts w:ascii="Garamond" w:hAnsi="Garamond"/>
              </w:rPr>
              <w:t>6 vjet pas datës së nënshkrimit të Marrëveshjes së Financimit (nga nënshkrimi i palës së fundit).</w:t>
            </w:r>
          </w:p>
        </w:tc>
      </w:tr>
      <w:tr w:rsidR="00650E6F" w:rsidRPr="000E1EB0" w14:paraId="6D6F218F" w14:textId="77777777" w:rsidTr="00650E6F">
        <w:tc>
          <w:tcPr>
            <w:tcW w:w="3618" w:type="dxa"/>
          </w:tcPr>
          <w:p w14:paraId="6D6F218C" w14:textId="77777777" w:rsidR="00650E6F" w:rsidRPr="000E1EB0" w:rsidRDefault="00650E6F" w:rsidP="00AB613A">
            <w:pPr>
              <w:spacing w:after="0" w:line="240" w:lineRule="auto"/>
              <w:rPr>
                <w:rFonts w:ascii="Garamond" w:hAnsi="Garamond"/>
                <w:b/>
              </w:rPr>
            </w:pPr>
            <w:r w:rsidRPr="000E1EB0">
              <w:rPr>
                <w:rFonts w:ascii="Garamond" w:hAnsi="Garamond"/>
                <w:b/>
              </w:rPr>
              <w:t>Data përfundimtare për zbatimin e Marrëveshjes Financiare</w:t>
            </w:r>
          </w:p>
          <w:p w14:paraId="6D6F218D" w14:textId="77777777" w:rsidR="00650E6F" w:rsidRPr="000E1EB0" w:rsidRDefault="00650E6F" w:rsidP="00AB613A">
            <w:pPr>
              <w:spacing w:after="0" w:line="240" w:lineRule="auto"/>
              <w:rPr>
                <w:rFonts w:ascii="Garamond" w:hAnsi="Garamond"/>
                <w:b/>
              </w:rPr>
            </w:pPr>
            <w:r w:rsidRPr="000E1EB0">
              <w:rPr>
                <w:rFonts w:ascii="Garamond" w:hAnsi="Garamond"/>
              </w:rPr>
              <w:t>(data nga e cila ky program duhet të tërhiqet nga detyrimi dhe të mbyllet), pas pranimit të llogarive</w:t>
            </w:r>
          </w:p>
        </w:tc>
        <w:tc>
          <w:tcPr>
            <w:tcW w:w="5914" w:type="dxa"/>
          </w:tcPr>
          <w:p w14:paraId="6D6F218E" w14:textId="77777777" w:rsidR="00650E6F" w:rsidRPr="000E1EB0" w:rsidRDefault="00650E6F" w:rsidP="00AB613A">
            <w:pPr>
              <w:spacing w:after="0" w:line="240" w:lineRule="auto"/>
              <w:rPr>
                <w:rFonts w:ascii="Garamond" w:hAnsi="Garamond"/>
                <w:b/>
              </w:rPr>
            </w:pPr>
            <w:r w:rsidRPr="000E1EB0">
              <w:rPr>
                <w:rFonts w:ascii="Garamond" w:hAnsi="Garamond"/>
              </w:rPr>
              <w:t>12 vjet pas datës së nënshkrimit të Marrëveshjes së Financimit (nga nënshkrimi i palës së fundit).</w:t>
            </w:r>
          </w:p>
        </w:tc>
      </w:tr>
      <w:tr w:rsidR="00650E6F" w:rsidRPr="000E1EB0" w14:paraId="6D6F2192" w14:textId="77777777" w:rsidTr="00650E6F">
        <w:tc>
          <w:tcPr>
            <w:tcW w:w="3618" w:type="dxa"/>
          </w:tcPr>
          <w:p w14:paraId="6D6F2190" w14:textId="77777777" w:rsidR="00650E6F" w:rsidRPr="000E1EB0" w:rsidRDefault="00650E6F" w:rsidP="00AB613A">
            <w:pPr>
              <w:spacing w:after="0" w:line="240" w:lineRule="auto"/>
              <w:rPr>
                <w:rFonts w:ascii="Garamond" w:hAnsi="Garamond"/>
                <w:b/>
              </w:rPr>
            </w:pPr>
            <w:r w:rsidRPr="000E1EB0">
              <w:rPr>
                <w:rFonts w:ascii="Garamond" w:hAnsi="Garamond"/>
                <w:b/>
              </w:rPr>
              <w:t>Njësia e Programimit</w:t>
            </w:r>
          </w:p>
        </w:tc>
        <w:tc>
          <w:tcPr>
            <w:tcW w:w="5914" w:type="dxa"/>
          </w:tcPr>
          <w:p w14:paraId="6D6F2191" w14:textId="15CE2667" w:rsidR="00650E6F" w:rsidRPr="000E1EB0" w:rsidRDefault="00650E6F" w:rsidP="00AB613A">
            <w:pPr>
              <w:spacing w:after="0" w:line="240" w:lineRule="auto"/>
              <w:rPr>
                <w:rFonts w:ascii="Garamond" w:hAnsi="Garamond"/>
                <w:i/>
              </w:rPr>
            </w:pPr>
            <w:r w:rsidRPr="000E1EB0">
              <w:rPr>
                <w:rFonts w:ascii="Garamond" w:hAnsi="Garamond"/>
              </w:rPr>
              <w:t xml:space="preserve">DG NEAR Njësia D3, </w:t>
            </w:r>
            <w:r w:rsidR="001325DD" w:rsidRPr="000E1EB0">
              <w:rPr>
                <w:rFonts w:ascii="Garamond" w:hAnsi="Garamond"/>
              </w:rPr>
              <w:t>ish</w:t>
            </w:r>
            <w:r w:rsidRPr="000E1EB0">
              <w:rPr>
                <w:rFonts w:ascii="Garamond" w:hAnsi="Garamond"/>
              </w:rPr>
              <w:t>-Republika Jugosllave e Maqedonisë, Kosova</w:t>
            </w:r>
          </w:p>
        </w:tc>
      </w:tr>
      <w:tr w:rsidR="00650E6F" w:rsidRPr="000E1EB0" w14:paraId="6D6F2195" w14:textId="77777777" w:rsidTr="00650E6F">
        <w:tc>
          <w:tcPr>
            <w:tcW w:w="3618" w:type="dxa"/>
          </w:tcPr>
          <w:p w14:paraId="6D6F2193" w14:textId="5498E652" w:rsidR="00650E6F" w:rsidRPr="000E1EB0" w:rsidRDefault="00650E6F" w:rsidP="00AB613A">
            <w:pPr>
              <w:spacing w:after="0" w:line="240" w:lineRule="auto"/>
              <w:rPr>
                <w:rFonts w:ascii="Garamond" w:hAnsi="Garamond"/>
                <w:b/>
              </w:rPr>
            </w:pPr>
            <w:r w:rsidRPr="000E1EB0">
              <w:rPr>
                <w:rFonts w:ascii="Garamond" w:hAnsi="Garamond"/>
                <w:b/>
              </w:rPr>
              <w:t xml:space="preserve">Njësia </w:t>
            </w:r>
            <w:r w:rsidR="00057ACC">
              <w:rPr>
                <w:rFonts w:ascii="Garamond" w:hAnsi="Garamond"/>
                <w:b/>
              </w:rPr>
              <w:t>zbatuese/</w:t>
            </w:r>
            <w:r w:rsidRPr="000E1EB0">
              <w:rPr>
                <w:rFonts w:ascii="Garamond" w:hAnsi="Garamond"/>
                <w:b/>
              </w:rPr>
              <w:t>Delegacioni i BE-së</w:t>
            </w:r>
          </w:p>
        </w:tc>
        <w:tc>
          <w:tcPr>
            <w:tcW w:w="5914" w:type="dxa"/>
          </w:tcPr>
          <w:p w14:paraId="6D6F2194" w14:textId="4355C6AA" w:rsidR="00650E6F" w:rsidRPr="000E1EB0" w:rsidRDefault="00650E6F" w:rsidP="001325DD">
            <w:pPr>
              <w:spacing w:after="0" w:line="240" w:lineRule="auto"/>
              <w:rPr>
                <w:rFonts w:ascii="Garamond" w:hAnsi="Garamond"/>
                <w:i/>
              </w:rPr>
            </w:pPr>
            <w:r w:rsidRPr="000E1EB0">
              <w:rPr>
                <w:rFonts w:ascii="Garamond" w:hAnsi="Garamond"/>
              </w:rPr>
              <w:t>Delegacioni i Bashkimit Evropian për ish</w:t>
            </w:r>
            <w:r w:rsidR="001325DD">
              <w:rPr>
                <w:rFonts w:ascii="Garamond" w:hAnsi="Garamond"/>
              </w:rPr>
              <w:t>-</w:t>
            </w:r>
            <w:r w:rsidRPr="000E1EB0">
              <w:rPr>
                <w:rFonts w:ascii="Garamond" w:hAnsi="Garamond"/>
              </w:rPr>
              <w:t xml:space="preserve">Republikën Jugosllave të Maqedonisë </w:t>
            </w:r>
          </w:p>
        </w:tc>
      </w:tr>
    </w:tbl>
    <w:p w14:paraId="6D6F2196" w14:textId="77777777" w:rsidR="00650E6F" w:rsidRPr="000E1EB0" w:rsidRDefault="00650E6F" w:rsidP="00AB613A">
      <w:pPr>
        <w:pStyle w:val="AAAAAAAAAAATEX"/>
        <w:ind w:firstLine="0"/>
        <w:rPr>
          <w:b/>
        </w:rPr>
      </w:pPr>
    </w:p>
    <w:p w14:paraId="6D6F2197" w14:textId="77777777" w:rsidR="00650E6F" w:rsidRPr="000E1EB0" w:rsidRDefault="00650E6F" w:rsidP="00432C96">
      <w:pPr>
        <w:pStyle w:val="AAAAAAAAAAATEX"/>
        <w:rPr>
          <w:b/>
        </w:rPr>
      </w:pPr>
      <w:r w:rsidRPr="000E1EB0">
        <w:rPr>
          <w:b/>
        </w:rPr>
        <w:t>2. Përshkrim i Programit të Veprimit</w:t>
      </w:r>
    </w:p>
    <w:p w14:paraId="6D6F2198" w14:textId="592B6EC7" w:rsidR="00650E6F" w:rsidRPr="000E1EB0" w:rsidRDefault="00650E6F" w:rsidP="00432C96">
      <w:pPr>
        <w:pStyle w:val="AAAAAAAAAAATEX"/>
        <w:rPr>
          <w:b/>
        </w:rPr>
      </w:pPr>
      <w:r w:rsidRPr="000E1EB0">
        <w:rPr>
          <w:b/>
        </w:rPr>
        <w:t>2.1 Përmbledhje e programit të bashkëpunimit ndërkufitar 2014</w:t>
      </w:r>
      <w:r w:rsidR="004F4697">
        <w:rPr>
          <w:b/>
        </w:rPr>
        <w:t>–</w:t>
      </w:r>
      <w:r w:rsidRPr="000E1EB0">
        <w:rPr>
          <w:b/>
        </w:rPr>
        <w:t>2020 dhe programi i veprimit të BNK-së 2018</w:t>
      </w:r>
      <w:r w:rsidR="00CF6DD1">
        <w:rPr>
          <w:b/>
        </w:rPr>
        <w:t>–</w:t>
      </w:r>
      <w:r w:rsidRPr="000E1EB0">
        <w:rPr>
          <w:b/>
        </w:rPr>
        <w:t xml:space="preserve">2020 </w:t>
      </w:r>
    </w:p>
    <w:p w14:paraId="6D6F2199" w14:textId="73E749D1" w:rsidR="00650E6F" w:rsidRPr="000E1EB0" w:rsidRDefault="00170906" w:rsidP="00650E6F">
      <w:pPr>
        <w:pStyle w:val="AAAAAAAAAAATEX"/>
        <w:rPr>
          <w:iCs/>
        </w:rPr>
      </w:pPr>
      <w:r>
        <w:t xml:space="preserve">Programi i BNK-së </w:t>
      </w:r>
      <w:r w:rsidR="00650E6F" w:rsidRPr="000E1EB0">
        <w:t>2014</w:t>
      </w:r>
      <w:r>
        <w:t>–</w:t>
      </w:r>
      <w:r w:rsidR="00650E6F" w:rsidRPr="000E1EB0">
        <w:t xml:space="preserve">2020 i ish-Republikës Jugosllave të Maqedonisë </w:t>
      </w:r>
      <w:r w:rsidR="00BE160D">
        <w:t>–</w:t>
      </w:r>
      <w:r w:rsidR="00650E6F" w:rsidRPr="000E1EB0">
        <w:t xml:space="preserve"> Republika e Shqipërisë (</w:t>
      </w:r>
      <w:r w:rsidR="001325DD" w:rsidRPr="000E1EB0">
        <w:t xml:space="preserve">vendimi zbatues </w:t>
      </w:r>
      <w:r w:rsidR="00650E6F" w:rsidRPr="000E1EB0">
        <w:t>i Komisionit C(2014) 9674</w:t>
      </w:r>
      <w:r w:rsidR="00BE160D">
        <w:t>,</w:t>
      </w:r>
      <w:r w:rsidR="00650E6F" w:rsidRPr="000E1EB0">
        <w:t xml:space="preserve"> i datës 11 dhjetor 2014). Programi i miratuar </w:t>
      </w:r>
      <w:r w:rsidR="00BE160D">
        <w:t>2014–2020</w:t>
      </w:r>
      <w:r w:rsidR="00650E6F" w:rsidRPr="000E1EB0">
        <w:t xml:space="preserve"> përbën strategjinë e bashkëpunimit ndërkufitar për rajonin kufitar, duke përcaktuar, ndër të tjera, listën e zonave gjeografike të pranueshme, kontekstin e zonës, prioritetet e programit dhe nda</w:t>
      </w:r>
      <w:r w:rsidR="00E41338">
        <w:t>rjen e buxhetit për periudhën 7-</w:t>
      </w:r>
      <w:r w:rsidR="00650E6F" w:rsidRPr="000E1EB0">
        <w:t xml:space="preserve">vjeçare. </w:t>
      </w:r>
    </w:p>
    <w:p w14:paraId="6D6F219A" w14:textId="44F0E280" w:rsidR="00650E6F" w:rsidRPr="000E1EB0" w:rsidRDefault="00650E6F" w:rsidP="00650E6F">
      <w:pPr>
        <w:pStyle w:val="AAAAAAAAAAATEX"/>
      </w:pPr>
      <w:r w:rsidRPr="000E1EB0">
        <w:t xml:space="preserve">Programet BNK </w:t>
      </w:r>
      <w:r w:rsidR="00BE160D">
        <w:t>2014–2020</w:t>
      </w:r>
      <w:r w:rsidRPr="000E1EB0">
        <w:t>, shërbejnë</w:t>
      </w:r>
      <w:r w:rsidR="00E756D9">
        <w:t>,</w:t>
      </w:r>
      <w:r w:rsidRPr="000E1EB0">
        <w:t xml:space="preserve"> gjithashtu</w:t>
      </w:r>
      <w:r w:rsidR="00E756D9">
        <w:t>,</w:t>
      </w:r>
      <w:r w:rsidRPr="000E1EB0">
        <w:t xml:space="preserve"> si referencë për miratimin e programeve të veprimit të BNK-së. Programi i veprimit </w:t>
      </w:r>
      <w:r w:rsidR="00A85806">
        <w:t>2018–2020</w:t>
      </w:r>
      <w:r w:rsidRPr="000E1EB0">
        <w:t xml:space="preserve"> i BNK-së synon sigurimin e ndihmës për bashkëpunim ndërkufitar në fushat tematike të parashikuara në programin </w:t>
      </w:r>
      <w:r w:rsidR="00BE160D">
        <w:t>2014–2020</w:t>
      </w:r>
      <w:r w:rsidRPr="000E1EB0">
        <w:t xml:space="preserve"> (siç tregohet në seksionin 2.2).</w:t>
      </w:r>
    </w:p>
    <w:p w14:paraId="6D6F219B" w14:textId="69D9F68B" w:rsidR="00650E6F" w:rsidRPr="000E1EB0" w:rsidRDefault="00650E6F" w:rsidP="00650E6F">
      <w:pPr>
        <w:pStyle w:val="AAAAAAAAAAATEX"/>
        <w:rPr>
          <w:iCs/>
        </w:rPr>
      </w:pPr>
      <w:r w:rsidRPr="000E1EB0">
        <w:rPr>
          <w:iCs/>
        </w:rPr>
        <w:lastRenderedPageBreak/>
        <w:t>Më 6 shkurt 2018, Komisioni Evropian miratoi një Komunikim</w:t>
      </w:r>
      <w:r w:rsidRPr="000E1EB0">
        <w:rPr>
          <w:rStyle w:val="FootnoteReference"/>
          <w:iCs/>
        </w:rPr>
        <w:footnoteReference w:id="4"/>
      </w:r>
      <w:r w:rsidRPr="000E1EB0">
        <w:rPr>
          <w:iCs/>
        </w:rPr>
        <w:t>, i cili synon të gjenerojë një vrull të reformave të rinovuar në Ballkanin Perëndimor dhe të sigurojnë angazhim të zgjeruar në mënyrë të konsiderueshme në BE për të mbështetur më mirë përgatitjet e tyre në rrugën evropiane. Komunikimi përcakton orientimet e reja strategjike, veçanërisht në lidhje me zbatimin e 6 nismave kryesore. Në veçanti, bashkëpunimi ndërkufitar është një mjet kryesor për nxitjen e rivendosjes së marrëdhënieve miqësore dhe trajtimi i trashëgimisë së kaluar në Ballkanin Perëndimor, në përputhje me nismën e 6-të (mbështesin pajtimin dhe marrëdhëniet e fqinjësisë së mirë) dhe për zhvillimin e qëndrueshëm lokal, në përputhje me nismën e 3-të (mbështetje e zhvillimit socioekonomik).</w:t>
      </w:r>
    </w:p>
    <w:p w14:paraId="6D6F219C" w14:textId="77777777" w:rsidR="00650E6F" w:rsidRPr="000E1EB0" w:rsidRDefault="00650E6F" w:rsidP="00650E6F">
      <w:pPr>
        <w:pStyle w:val="AAAAAAAAAAATEX"/>
        <w:rPr>
          <w:b/>
        </w:rPr>
      </w:pPr>
      <w:r w:rsidRPr="000E1EB0">
        <w:rPr>
          <w:b/>
        </w:rPr>
        <w:t xml:space="preserve">Lista e zonave gjeografike të pranueshme </w:t>
      </w:r>
    </w:p>
    <w:p w14:paraId="6D6F219D" w14:textId="2FEDB565" w:rsidR="00650E6F" w:rsidRPr="000E1EB0" w:rsidRDefault="00803540" w:rsidP="00650E6F">
      <w:pPr>
        <w:pStyle w:val="AAAAAAAAAAATEX"/>
      </w:pPr>
      <w:r>
        <w:t>N</w:t>
      </w:r>
      <w:r w:rsidR="00650E6F" w:rsidRPr="000E1EB0">
        <w:t xml:space="preserve">ë </w:t>
      </w:r>
      <w:r w:rsidR="0055732E" w:rsidRPr="000E1EB0">
        <w:t>ish</w:t>
      </w:r>
      <w:r w:rsidR="00650E6F" w:rsidRPr="000E1EB0">
        <w:t>-Republikën Jugosllave të Maqedonisë zona e pranueshme janë:</w:t>
      </w:r>
    </w:p>
    <w:p w14:paraId="6D6F219E" w14:textId="50B1ED96" w:rsidR="00650E6F" w:rsidRPr="000E1EB0" w:rsidRDefault="00650E6F" w:rsidP="00650E6F">
      <w:pPr>
        <w:pStyle w:val="AAAAAAAAAAATEX"/>
      </w:pPr>
      <w:r w:rsidRPr="000E1EB0">
        <w:t>- Rajoni i Pelagonias: bashkitë e Bitolas, Demir Hisarit, Dolnenit, Krivogastanit, Krusevos, Mogilas, Novacit, Prilepit dhe Resenit;</w:t>
      </w:r>
    </w:p>
    <w:p w14:paraId="6D6F219F" w14:textId="77777777" w:rsidR="00650E6F" w:rsidRPr="000E1EB0" w:rsidRDefault="00650E6F" w:rsidP="00650E6F">
      <w:pPr>
        <w:pStyle w:val="AAAAAAAAAAATEX"/>
      </w:pPr>
      <w:r w:rsidRPr="000E1EB0">
        <w:t>- Rajoni i Pologut: bashkitë e Bogovinjes, Brvenicas, Gostivarit, Jegunovces, Mavrovës dhe Rostusas, Tearces, Tetovës, Vrapcistes dhe Zelinës;</w:t>
      </w:r>
    </w:p>
    <w:p w14:paraId="6D6F21A0" w14:textId="77777777" w:rsidR="00650E6F" w:rsidRPr="000E1EB0" w:rsidRDefault="00650E6F" w:rsidP="00650E6F">
      <w:pPr>
        <w:pStyle w:val="AAAAAAAAAAATEX"/>
      </w:pPr>
      <w:r w:rsidRPr="000E1EB0">
        <w:t>- Rajoni Jugperëndimor: bashkitë e Centar Zupas, Debarit, Debarcas, Kicevos, Makedonski Brod, Ohrit, Plasnicas, Strugës dhe Vevcanit.</w:t>
      </w:r>
    </w:p>
    <w:p w14:paraId="6D6F21A1" w14:textId="77777777" w:rsidR="00650E6F" w:rsidRPr="000E1EB0" w:rsidRDefault="00650E6F" w:rsidP="00650E6F">
      <w:pPr>
        <w:pStyle w:val="AAAAAAAAAAATEX"/>
        <w:rPr>
          <w:b/>
        </w:rPr>
      </w:pPr>
      <w:r w:rsidRPr="000E1EB0">
        <w:rPr>
          <w:b/>
        </w:rPr>
        <w:t>Në Republikën e Shqipërisë zonat e pranueshme janë:</w:t>
      </w:r>
    </w:p>
    <w:p w14:paraId="6D6F21A2" w14:textId="77777777" w:rsidR="00650E6F" w:rsidRPr="000E1EB0" w:rsidRDefault="00650E6F" w:rsidP="00650E6F">
      <w:pPr>
        <w:pStyle w:val="AAAAAAAAAAATEX"/>
      </w:pPr>
      <w:r w:rsidRPr="000E1EB0">
        <w:t>- Rajoni i Dibrës: rrethet e Bulqizës, Burrelit dhe Dibrës;</w:t>
      </w:r>
    </w:p>
    <w:p w14:paraId="6D6F21A3" w14:textId="77777777" w:rsidR="00650E6F" w:rsidRPr="000E1EB0" w:rsidRDefault="00650E6F" w:rsidP="00650E6F">
      <w:pPr>
        <w:pStyle w:val="AAAAAAAAAAATEX"/>
      </w:pPr>
      <w:r w:rsidRPr="000E1EB0">
        <w:t>- Rajoni e Elbasanit: rrethet e Cërrikut, Elbasanit, Gramshit, Librazhdit dhe Peqinit;</w:t>
      </w:r>
    </w:p>
    <w:p w14:paraId="6D6F21A4" w14:textId="77777777" w:rsidR="00650E6F" w:rsidRPr="000E1EB0" w:rsidRDefault="00650E6F" w:rsidP="00650E6F">
      <w:pPr>
        <w:pStyle w:val="AAAAAAAAAAATEX"/>
      </w:pPr>
      <w:r w:rsidRPr="000E1EB0">
        <w:t>- Rajoni i Korçës: rrethet e Devollit, Korçës, Kolonjës dhe Pogradecit.</w:t>
      </w:r>
    </w:p>
    <w:p w14:paraId="6D6F21A5" w14:textId="77777777" w:rsidR="00650E6F" w:rsidRPr="000E1EB0" w:rsidRDefault="00650E6F" w:rsidP="00650E6F">
      <w:pPr>
        <w:pStyle w:val="AAAAAAAAAAATEX"/>
        <w:rPr>
          <w:b/>
        </w:rPr>
      </w:pPr>
      <w:r w:rsidRPr="000E1EB0">
        <w:rPr>
          <w:b/>
        </w:rPr>
        <w:t>Bashkëpunimi ndërkufitar (BNK), konteksti i zonave përfituese</w:t>
      </w:r>
    </w:p>
    <w:p w14:paraId="6D6F21A6" w14:textId="267A118A" w:rsidR="00650E6F" w:rsidRPr="000E1EB0" w:rsidRDefault="00650E6F" w:rsidP="00650E6F">
      <w:pPr>
        <w:pStyle w:val="AAAAAAAAAAATEX"/>
      </w:pPr>
      <w:r w:rsidRPr="000E1EB0">
        <w:t>Në bazë të analizës së situatës së bërë për përgatitjen e Programit dolën në pah disa sfida dhe mundësi kryesore për t’u adresuar dhe mbështetur përmes bashkëpunimit ndërkufitar. Në veçanti, Programi parashikon adresimin e prioriteteve vijuese tematike</w:t>
      </w:r>
      <w:r w:rsidR="002A0AA9">
        <w:t xml:space="preserve">, </w:t>
      </w:r>
      <w:r w:rsidRPr="000E1EB0">
        <w:t>si:</w:t>
      </w:r>
    </w:p>
    <w:p w14:paraId="6D6F21A7" w14:textId="77777777" w:rsidR="00650E6F" w:rsidRPr="000E1EB0" w:rsidRDefault="00650E6F" w:rsidP="00650E6F">
      <w:pPr>
        <w:pStyle w:val="AAAAAAAAAAATEX"/>
      </w:pPr>
      <w:r w:rsidRPr="000E1EB0">
        <w:t>1. Inkurajimi i turizmit, kulturës dhe trashëgimisë natyrore;</w:t>
      </w:r>
    </w:p>
    <w:p w14:paraId="6D6F21A8" w14:textId="77777777" w:rsidR="00650E6F" w:rsidRPr="000E1EB0" w:rsidRDefault="00650E6F" w:rsidP="00650E6F">
      <w:pPr>
        <w:pStyle w:val="AAAAAAAAAAATEX"/>
      </w:pPr>
      <w:r w:rsidRPr="000E1EB0">
        <w:t xml:space="preserve">2. Rritjen e konkurrencës, biznesit, tregtisë dhe investimeve; </w:t>
      </w:r>
    </w:p>
    <w:p w14:paraId="6D6F21A9" w14:textId="585D2974" w:rsidR="00650E6F" w:rsidRPr="000E1EB0" w:rsidRDefault="00650E6F" w:rsidP="00650E6F">
      <w:pPr>
        <w:pStyle w:val="AAAAAAAAAAATEX"/>
      </w:pPr>
      <w:r w:rsidRPr="000E1EB0">
        <w:t>3. Mbrojtja e mjedisit, nxitja e përshtatjes ndaj ndryshimeve klimatike dhe zbutja, par</w:t>
      </w:r>
      <w:r w:rsidR="005D7E98">
        <w:t>andalimi dhe menaxhimi i riskut.</w:t>
      </w:r>
    </w:p>
    <w:p w14:paraId="6D6F21AA" w14:textId="20FCD15F" w:rsidR="00650E6F" w:rsidRPr="000E1EB0" w:rsidRDefault="003739FA" w:rsidP="00650E6F">
      <w:pPr>
        <w:pStyle w:val="AAAAAAAAAAATEX"/>
      </w:pPr>
      <w:r>
        <w:t>Prioriteti numër 1</w:t>
      </w:r>
      <w:r w:rsidR="00650E6F" w:rsidRPr="000E1EB0">
        <w:t xml:space="preserve"> bazohet në mundësitë e identifikuara strategjike</w:t>
      </w:r>
      <w:r>
        <w:t>,</w:t>
      </w:r>
      <w:r w:rsidR="00650E6F" w:rsidRPr="000E1EB0">
        <w:t xml:space="preserve"> në lidhje me rëndësinë në rritje të turizmit si një mundësi ekonomike</w:t>
      </w:r>
      <w:r>
        <w:t>,</w:t>
      </w:r>
      <w:r w:rsidR="00650E6F" w:rsidRPr="000E1EB0">
        <w:t xml:space="preserve"> ndërkohë që nxitet shkëmbimi kulturor dhe, promovimi i trashëgimisë natyrore do të ruajë dialogun mes njerëzve dhe dialogun e shoqërisë civile me institucionet.</w:t>
      </w:r>
    </w:p>
    <w:p w14:paraId="6D6F21AB" w14:textId="74616C9B" w:rsidR="00650E6F" w:rsidRPr="000E1EB0" w:rsidRDefault="003739FA" w:rsidP="00650E6F">
      <w:pPr>
        <w:pStyle w:val="AAAAAAAAAAATEX"/>
      </w:pPr>
      <w:r>
        <w:t>Prioritet numër 2</w:t>
      </w:r>
      <w:r w:rsidR="00650E6F" w:rsidRPr="000E1EB0">
        <w:t xml:space="preserve"> nxitet nga nevoja dhe mundësitë dhe kërkon të zgjidhë nivelin e ulët të punësimit në zonën e Programit. </w:t>
      </w:r>
    </w:p>
    <w:p w14:paraId="6D6F21AC" w14:textId="77777777" w:rsidR="00650E6F" w:rsidRPr="000E1EB0" w:rsidRDefault="00650E6F" w:rsidP="00650E6F">
      <w:pPr>
        <w:pStyle w:val="AAAAAAAAAAATEX"/>
      </w:pPr>
      <w:r w:rsidRPr="000E1EB0">
        <w:t>Prioriteti numër 3 synon t’u përgjigjet nevojave specifike të një prej sektorëve të politikave më të neglizhuara; të mjedisit dhe ndryshimit klimatik. Në kontekstin e BNK-së, kjo do të zgjidhë çështjen e nxitjes së ekonomisë së pastër dhe të gjelbër, përdorimin më të përgjegjshëm dhe të qëndrueshëm të burimeve natyrore, elasticitetin e klimës në infrastrukturën e një shkalle të vogël mbështetëse (kundër përmbytjeve dhe zjarreve) dhe erozionit të tokës në zonën kufitare malore.</w:t>
      </w:r>
    </w:p>
    <w:p w14:paraId="6D6F21AD" w14:textId="77777777" w:rsidR="00650E6F" w:rsidRPr="000E1EB0" w:rsidRDefault="00650E6F" w:rsidP="00650E6F">
      <w:pPr>
        <w:pStyle w:val="AAAAAAAAAAATEX"/>
        <w:rPr>
          <w:b/>
          <w:bCs/>
        </w:rPr>
      </w:pPr>
      <w:r w:rsidRPr="000E1EB0">
        <w:rPr>
          <w:b/>
          <w:bCs/>
        </w:rPr>
        <w:t>Përmbledhje e përvojës së kaluar dhe asaj në vazhdim të BNK-së, përfshirë mësimet e nxjerra</w:t>
      </w:r>
    </w:p>
    <w:p w14:paraId="6D6F21AE" w14:textId="287F1D47" w:rsidR="00650E6F" w:rsidRPr="000E1EB0" w:rsidRDefault="00650E6F" w:rsidP="00650E6F">
      <w:pPr>
        <w:pStyle w:val="AAAAAAAAAAATEX"/>
      </w:pPr>
      <w:r w:rsidRPr="000E1EB0">
        <w:t>Rekomandimet kryesore nga vlerësimet e ndërmjetme dhe auditimet e programeve të BNK-së 2007</w:t>
      </w:r>
      <w:r w:rsidR="00AC0AB8">
        <w:t>–</w:t>
      </w:r>
      <w:r w:rsidRPr="000E1EB0">
        <w:t xml:space="preserve">2013 janë marrë parasysh në zhvillimin e këtij programi. Kështu që, programet e BNK-së </w:t>
      </w:r>
      <w:r w:rsidR="00BE160D">
        <w:t>2014–2020</w:t>
      </w:r>
      <w:r w:rsidRPr="000E1EB0">
        <w:t xml:space="preserve"> janë më të fokusuar për sa i përket numrit të prioriteteve dhe zonave gjeografike të </w:t>
      </w:r>
      <w:r w:rsidRPr="000E1EB0">
        <w:lastRenderedPageBreak/>
        <w:t>përfshira, gjë që do të ndihmojë në arritjen e rezultateve më të mira dhe rritjen e ndikimit. Përveç kësaj, zbatimi i programeve të BNK-së është thjeshtuar kryesisht nëpërmjet pasjes së një autoriteti të vetëm kontraktues dhe një zarfi të vetëm financiar për program.</w:t>
      </w:r>
    </w:p>
    <w:p w14:paraId="6D6F21AF" w14:textId="7306E1CB" w:rsidR="00650E6F" w:rsidRPr="000E1EB0" w:rsidRDefault="00650E6F" w:rsidP="00650E6F">
      <w:pPr>
        <w:pStyle w:val="AAAAAAAAAAATEX"/>
        <w:rPr>
          <w:rFonts w:eastAsia="Calibri"/>
          <w:bCs/>
        </w:rPr>
      </w:pPr>
      <w:r w:rsidRPr="000E1EB0">
        <w:rPr>
          <w:rFonts w:eastAsia="Calibri"/>
          <w:bCs/>
        </w:rPr>
        <w:t>Mësimet kryesore të nxjerra u identifikuan</w:t>
      </w:r>
      <w:r w:rsidR="00FD10FC">
        <w:rPr>
          <w:rFonts w:eastAsia="Calibri"/>
          <w:bCs/>
        </w:rPr>
        <w:t>,</w:t>
      </w:r>
      <w:r w:rsidRPr="000E1EB0">
        <w:rPr>
          <w:rFonts w:eastAsia="Calibri"/>
          <w:bCs/>
        </w:rPr>
        <w:t xml:space="preserve"> gjithashtu</w:t>
      </w:r>
      <w:r w:rsidR="00FD10FC">
        <w:rPr>
          <w:rFonts w:eastAsia="Calibri"/>
          <w:bCs/>
        </w:rPr>
        <w:t>,</w:t>
      </w:r>
      <w:r w:rsidRPr="000E1EB0">
        <w:rPr>
          <w:rFonts w:eastAsia="Calibri"/>
          <w:bCs/>
        </w:rPr>
        <w:t xml:space="preserve"> nga vlerësimi përfundimtar i Programit CBC të Asistencës </w:t>
      </w:r>
      <w:r w:rsidR="00560A74">
        <w:rPr>
          <w:rFonts w:eastAsia="Calibri"/>
          <w:bCs/>
        </w:rPr>
        <w:t>Para</w:t>
      </w:r>
      <w:r w:rsidR="00FD10FC">
        <w:rPr>
          <w:rFonts w:eastAsia="Calibri"/>
          <w:bCs/>
        </w:rPr>
        <w:t>a</w:t>
      </w:r>
      <w:r w:rsidRPr="000E1EB0">
        <w:rPr>
          <w:rFonts w:eastAsia="Calibri"/>
          <w:bCs/>
        </w:rPr>
        <w:t xml:space="preserve">nëtarësimit (IPA) CBC </w:t>
      </w:r>
      <w:r w:rsidR="00BC47F8">
        <w:rPr>
          <w:rFonts w:eastAsia="Calibri"/>
          <w:bCs/>
        </w:rPr>
        <w:t>2007–2013</w:t>
      </w:r>
      <w:r w:rsidRPr="000E1EB0">
        <w:rPr>
          <w:rFonts w:eastAsia="Calibri"/>
          <w:bCs/>
        </w:rPr>
        <w:t xml:space="preserve">, që u realizua ndërmjet viteve 2016 dhe 2017. Mësimet e nxjerra dhe rekomandimet u diskutuan me palët e interesuara të CBC në Ballkanin Perëndimor, gjithashtu dhe masat për ndjekje që u identifikuan për një afat të shkurtër dhe të mesëm, si për programet në vazhdim CBC </w:t>
      </w:r>
      <w:r w:rsidR="00BE160D">
        <w:rPr>
          <w:rFonts w:eastAsia="Calibri"/>
          <w:bCs/>
        </w:rPr>
        <w:t>2014–2020</w:t>
      </w:r>
      <w:r w:rsidRPr="000E1EB0">
        <w:rPr>
          <w:rFonts w:eastAsia="Calibri"/>
          <w:bCs/>
        </w:rPr>
        <w:t xml:space="preserve">, ashtu edhe për programet e ardhshme </w:t>
      </w:r>
      <w:r w:rsidR="007221C5">
        <w:rPr>
          <w:rFonts w:eastAsia="Calibri"/>
          <w:bCs/>
        </w:rPr>
        <w:t>2021–2027</w:t>
      </w:r>
      <w:r w:rsidRPr="000E1EB0">
        <w:rPr>
          <w:rFonts w:eastAsia="Calibri"/>
          <w:bCs/>
        </w:rPr>
        <w:t xml:space="preserve"> CBC. Rekomandimet kryesore në lidhje me të gjitha programet CBC në nivelin e Ballkanit Perëndimor përfshijnë:</w:t>
      </w:r>
    </w:p>
    <w:p w14:paraId="6D6F21B0" w14:textId="77777777" w:rsidR="00650E6F" w:rsidRPr="000E1EB0" w:rsidRDefault="00650E6F" w:rsidP="00650E6F">
      <w:pPr>
        <w:pStyle w:val="AAAAAAAAAAATEX"/>
        <w:rPr>
          <w:rFonts w:eastAsia="Calibri"/>
        </w:rPr>
      </w:pPr>
      <w:r w:rsidRPr="000E1EB0">
        <w:rPr>
          <w:rFonts w:eastAsia="Calibri"/>
        </w:rPr>
        <w:t>- Qëllimi kryesor i promovimit të marrëdhënieve të fqinjësisë së mirë duhet të reflektohet qartë në projektet e BNK-së.</w:t>
      </w:r>
    </w:p>
    <w:p w14:paraId="6D6F21B1" w14:textId="77777777" w:rsidR="00650E6F" w:rsidRPr="000E1EB0" w:rsidRDefault="00650E6F" w:rsidP="00650E6F">
      <w:pPr>
        <w:pStyle w:val="AAAAAAAAAAATEX"/>
        <w:rPr>
          <w:rFonts w:eastAsia="Calibri"/>
        </w:rPr>
      </w:pPr>
      <w:r w:rsidRPr="000E1EB0">
        <w:rPr>
          <w:rFonts w:eastAsia="Calibri"/>
        </w:rPr>
        <w:t>- Thirrjet për propozim duhet të përqendrohen më shumë në disa çështje prioritare që kanë përmbajtje të lartë ndërkufitare.</w:t>
      </w:r>
    </w:p>
    <w:p w14:paraId="6D6F21B2" w14:textId="77777777" w:rsidR="00650E6F" w:rsidRPr="000E1EB0" w:rsidRDefault="00650E6F" w:rsidP="00650E6F">
      <w:pPr>
        <w:pStyle w:val="AAAAAAAAAAATEX"/>
        <w:rPr>
          <w:rFonts w:eastAsia="Calibri"/>
        </w:rPr>
      </w:pPr>
      <w:r w:rsidRPr="000E1EB0">
        <w:rPr>
          <w:rFonts w:eastAsia="Calibri"/>
        </w:rPr>
        <w:t>- Logjika e ndërhyrjes së programeve dhe sistemet e raportimit dhe monitorimit duhet të përmirësohen pasi ato nuk janë të strukturuara për të vendosur një bazë të qartë për matjen e rezultateve në nivelin rajonal.</w:t>
      </w:r>
    </w:p>
    <w:p w14:paraId="6D6F21B3" w14:textId="77777777" w:rsidR="00650E6F" w:rsidRPr="000E1EB0" w:rsidRDefault="00650E6F" w:rsidP="00650E6F">
      <w:pPr>
        <w:pStyle w:val="AAAAAAAAAAATEX"/>
        <w:rPr>
          <w:rFonts w:eastAsia="Calibri"/>
        </w:rPr>
      </w:pPr>
      <w:r w:rsidRPr="000E1EB0">
        <w:rPr>
          <w:rFonts w:eastAsia="Calibri"/>
        </w:rPr>
        <w:t>- Ekziston nevoja për të vazhduar me aktivitetet e ngritjes së kapaciteteve për Strukturat Operuese dhe Sekretaritë Përbashkëta Teknike/Antenat.</w:t>
      </w:r>
    </w:p>
    <w:p w14:paraId="6D6F21B4" w14:textId="287C5495" w:rsidR="00650E6F" w:rsidRPr="000E1EB0" w:rsidRDefault="00650E6F" w:rsidP="00650E6F">
      <w:pPr>
        <w:pStyle w:val="AAAAAAAAAAATEX"/>
        <w:rPr>
          <w:rFonts w:eastAsia="Calibri"/>
        </w:rPr>
      </w:pPr>
      <w:r w:rsidRPr="000E1EB0">
        <w:rPr>
          <w:rFonts w:eastAsia="Calibri"/>
        </w:rPr>
        <w:t>- Ekziston nevoja për përmirësimin e sinergjive me politikat dhe donatorët e tjerë, kapitalizimin dhe shkëmbimin e përvojave me mjediset e tjera të BNK-së (p.sh.</w:t>
      </w:r>
      <w:r w:rsidR="007221C5">
        <w:rPr>
          <w:rFonts w:eastAsia="Calibri"/>
        </w:rPr>
        <w:t>,</w:t>
      </w:r>
      <w:r w:rsidRPr="000E1EB0">
        <w:rPr>
          <w:rFonts w:eastAsia="Calibri"/>
        </w:rPr>
        <w:t xml:space="preserve"> programet INTERREG dhe ENI CBC).</w:t>
      </w:r>
    </w:p>
    <w:p w14:paraId="6D6F21B5" w14:textId="181907B4" w:rsidR="00650E6F" w:rsidRPr="000E1EB0" w:rsidRDefault="00650E6F" w:rsidP="00650E6F">
      <w:pPr>
        <w:pStyle w:val="AAAAAAAAAAATEX"/>
        <w:rPr>
          <w:b/>
          <w:bCs/>
        </w:rPr>
      </w:pPr>
      <w:r w:rsidRPr="000E1EB0">
        <w:rPr>
          <w:b/>
          <w:bCs/>
        </w:rPr>
        <w:t xml:space="preserve">2.2 Përshkrimi dhe </w:t>
      </w:r>
      <w:r w:rsidR="00BC05BA" w:rsidRPr="000E1EB0">
        <w:rPr>
          <w:b/>
          <w:bCs/>
        </w:rPr>
        <w:t>zbatimi i veprimeve</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5084"/>
        <w:gridCol w:w="2302"/>
      </w:tblGrid>
      <w:tr w:rsidR="00650E6F" w:rsidRPr="000E1EB0" w14:paraId="6D6F21B9" w14:textId="77777777" w:rsidTr="00B60DB3">
        <w:trPr>
          <w:trHeight w:val="259"/>
          <w:jc w:val="center"/>
        </w:trPr>
        <w:tc>
          <w:tcPr>
            <w:tcW w:w="1610" w:type="dxa"/>
            <w:shd w:val="clear" w:color="auto" w:fill="D9D9D9"/>
          </w:tcPr>
          <w:p w14:paraId="6D6F21B6" w14:textId="77777777" w:rsidR="00650E6F" w:rsidRPr="000E1EB0" w:rsidRDefault="00650E6F" w:rsidP="00650E6F">
            <w:pPr>
              <w:pStyle w:val="AAAAAAAAAAATEX"/>
              <w:ind w:firstLine="0"/>
              <w:rPr>
                <w:b/>
                <w:bCs/>
              </w:rPr>
            </w:pPr>
            <w:r w:rsidRPr="000E1EB0">
              <w:rPr>
                <w:b/>
                <w:bCs/>
                <w:szCs w:val="26"/>
              </w:rPr>
              <w:t>Veprimi 1</w:t>
            </w:r>
          </w:p>
        </w:tc>
        <w:tc>
          <w:tcPr>
            <w:tcW w:w="5084" w:type="dxa"/>
            <w:shd w:val="clear" w:color="auto" w:fill="D9D9D9"/>
          </w:tcPr>
          <w:p w14:paraId="6D6F21B7" w14:textId="77777777" w:rsidR="00650E6F" w:rsidRPr="000E1EB0" w:rsidRDefault="00650E6F" w:rsidP="00650E6F">
            <w:pPr>
              <w:pStyle w:val="AAAAAAAAAAATEX"/>
              <w:ind w:firstLine="0"/>
              <w:rPr>
                <w:b/>
                <w:bCs/>
              </w:rPr>
            </w:pPr>
            <w:r w:rsidRPr="000E1EB0">
              <w:rPr>
                <w:b/>
                <w:bCs/>
                <w:szCs w:val="26"/>
              </w:rPr>
              <w:t>Operacionet e Bashkëpunimit Ndërkufitar</w:t>
            </w:r>
          </w:p>
        </w:tc>
        <w:tc>
          <w:tcPr>
            <w:tcW w:w="2302" w:type="dxa"/>
            <w:shd w:val="clear" w:color="auto" w:fill="D9D9D9"/>
          </w:tcPr>
          <w:p w14:paraId="6D6F21B8" w14:textId="6E469467" w:rsidR="00650E6F" w:rsidRPr="000E1EB0" w:rsidRDefault="00650E6F" w:rsidP="00650E6F">
            <w:pPr>
              <w:pStyle w:val="AAAAAAAAAAATEX"/>
              <w:ind w:firstLine="0"/>
              <w:rPr>
                <w:b/>
                <w:bCs/>
                <w:highlight w:val="magenta"/>
              </w:rPr>
            </w:pPr>
            <w:r w:rsidRPr="000E1EB0">
              <w:rPr>
                <w:b/>
                <w:bCs/>
                <w:szCs w:val="26"/>
              </w:rPr>
              <w:t xml:space="preserve">4,930,000 </w:t>
            </w:r>
            <w:r w:rsidR="007221C5" w:rsidRPr="000E1EB0">
              <w:rPr>
                <w:b/>
                <w:bCs/>
                <w:szCs w:val="26"/>
              </w:rPr>
              <w:t>euro</w:t>
            </w:r>
          </w:p>
        </w:tc>
      </w:tr>
    </w:tbl>
    <w:p w14:paraId="6D6F21BA" w14:textId="77777777" w:rsidR="00650E6F" w:rsidRPr="000E1EB0" w:rsidRDefault="00650E6F" w:rsidP="00650E6F">
      <w:pPr>
        <w:pStyle w:val="AAAAAAAAAAATEX"/>
      </w:pPr>
      <w:r w:rsidRPr="000E1EB0">
        <w:t>Ndihma e parashikuar për ish-Republikën Jugosllave të Maqedonisë dhe Republikën e Shqipërisë konsiderohet se ndjek kushtet dhe procedurat e përcaktuara nga masat kufizuese të miratuara në bazë të nenit 215 TFEU</w:t>
      </w:r>
      <w:r w:rsidRPr="000E1EB0">
        <w:rPr>
          <w:rStyle w:val="FootnoteReference"/>
        </w:rPr>
        <w:footnoteReference w:id="5"/>
      </w:r>
      <w:r w:rsidRPr="000E1EB0">
        <w:t>.</w:t>
      </w:r>
    </w:p>
    <w:p w14:paraId="6D6F21BB" w14:textId="354C8E6B" w:rsidR="00650E6F" w:rsidRPr="00681E43" w:rsidRDefault="00650E6F" w:rsidP="00650E6F">
      <w:pPr>
        <w:pStyle w:val="AAAAAAAAAAATEX"/>
        <w:rPr>
          <w:iCs/>
        </w:rPr>
      </w:pPr>
      <w:r w:rsidRPr="00681E43">
        <w:rPr>
          <w:b/>
        </w:rPr>
        <w:t>1.</w:t>
      </w:r>
      <w:r w:rsidR="009A5DA1" w:rsidRPr="00681E43">
        <w:rPr>
          <w:b/>
        </w:rPr>
        <w:t xml:space="preserve"> </w:t>
      </w:r>
      <w:r w:rsidRPr="00681E43">
        <w:rPr>
          <w:b/>
        </w:rPr>
        <w:t>Përshkrimi i veprimit, objektivat, rezultatet e pritshme</w:t>
      </w:r>
    </w:p>
    <w:p w14:paraId="6D6F21BC" w14:textId="41BA6866" w:rsidR="00650E6F" w:rsidRPr="00681E43" w:rsidRDefault="00650E6F" w:rsidP="00650E6F">
      <w:pPr>
        <w:pStyle w:val="AAAAAAAAAAATEX"/>
      </w:pPr>
      <w:r w:rsidRPr="00681E43">
        <w:rPr>
          <w:b/>
        </w:rPr>
        <w:t>Përshkrimi i veprimit:</w:t>
      </w:r>
      <w:r w:rsidRPr="00681E43">
        <w:t xml:space="preserve"> </w:t>
      </w:r>
      <w:r w:rsidR="005756D6" w:rsidRPr="00681E43">
        <w:t xml:space="preserve">Operacionet </w:t>
      </w:r>
      <w:r w:rsidRPr="00681E43">
        <w:t xml:space="preserve">e Bashkëpunimit Ndërkufitar në rajonin kufitar në fushën e mjedisit; përshtatjes ndaj ndryshimeve klimatike dhe zbutjen, parandalimin dhe menaxhimin e riskut; turizmit dhe trashëgimisë kulturore dhe natyrore; konkurrencës; zhvillimit të biznesit dhe NVM-ve, tregtisë dhe investimeve. </w:t>
      </w:r>
    </w:p>
    <w:p w14:paraId="6D6F21BD" w14:textId="53E89D77" w:rsidR="00650E6F" w:rsidRPr="000E1EB0" w:rsidRDefault="00650E6F" w:rsidP="00650E6F">
      <w:pPr>
        <w:pStyle w:val="AAAAAAAAAAATEX"/>
      </w:pPr>
      <w:r w:rsidRPr="00681E43">
        <w:rPr>
          <w:b/>
        </w:rPr>
        <w:t>Objektivat:</w:t>
      </w:r>
      <w:r w:rsidRPr="000E1EB0">
        <w:t xml:space="preserve"> </w:t>
      </w:r>
      <w:r w:rsidR="005756D6">
        <w:t>Z</w:t>
      </w:r>
      <w:r w:rsidR="005756D6" w:rsidRPr="000E1EB0">
        <w:t xml:space="preserve">hvillimi </w:t>
      </w:r>
      <w:r w:rsidRPr="000E1EB0">
        <w:t xml:space="preserve">socioekonomik dhe forcimi i marrëdhënieve të fqinjësisë në zonën ndërkufitare përmes implementimit të operacioneve të bashkëpunimit ndërkufitar me qëllim: </w:t>
      </w:r>
    </w:p>
    <w:p w14:paraId="6D6F21BE" w14:textId="69361CE5" w:rsidR="00650E6F" w:rsidRPr="000E1EB0" w:rsidRDefault="00650E6F" w:rsidP="00AB613A">
      <w:pPr>
        <w:pStyle w:val="AAAAAAAAAAATEX"/>
      </w:pPr>
      <w:r w:rsidRPr="000E1EB0">
        <w:t xml:space="preserve">a) </w:t>
      </w:r>
      <w:r w:rsidR="002F68FB" w:rsidRPr="000E1EB0">
        <w:t xml:space="preserve">mbrojtjen </w:t>
      </w:r>
      <w:r w:rsidRPr="000E1EB0">
        <w:t xml:space="preserve">e mjedisit dhe nxitjen e përshtatjes ndaj ndryshimeve klimatike dhe zbutjen, parandalimin dhe menaxhimin </w:t>
      </w:r>
      <w:r w:rsidR="00705825">
        <w:t>e riskut, ndër të tjera, përmes</w:t>
      </w:r>
      <w:r w:rsidRPr="000E1EB0">
        <w:t>: veprimeve të përbashkëta për mbrojtjen e mjedisit; nxitjes së përdorimit të qëndrueshëm të burimeve natyrore, efi</w:t>
      </w:r>
      <w:r w:rsidR="00BC05BA">
        <w:t>ci</w:t>
      </w:r>
      <w:r w:rsidRPr="000E1EB0">
        <w:t xml:space="preserve">encës së burimeve, burimeve të energjisë së rinovueshme dhe ndryshimin drejt një ekonomie të sigurt dhe të qëndrueshme me shkallë ndotjeje sa më të ulët; promovimit të investimeve për shmangien e rreziqeve specifike, duke siguruar elasticitet në raste katastrofash dhe zhvillimin e sistemeve të menaxhimit të fatkeqësive, si dhe gatishmërinë në rastet emergjente; </w:t>
      </w:r>
    </w:p>
    <w:p w14:paraId="6D6F21BF" w14:textId="760B0644" w:rsidR="00650E6F" w:rsidRPr="000E1EB0" w:rsidRDefault="00650E6F" w:rsidP="00AB613A">
      <w:pPr>
        <w:pStyle w:val="AAAAAAAAAAATEX"/>
      </w:pPr>
      <w:r w:rsidRPr="000E1EB0">
        <w:t xml:space="preserve">b) </w:t>
      </w:r>
      <w:r w:rsidR="002F68FB" w:rsidRPr="000E1EB0">
        <w:t xml:space="preserve">inkurajimin </w:t>
      </w:r>
      <w:r w:rsidRPr="000E1EB0">
        <w:t xml:space="preserve">e turizmit dhe </w:t>
      </w:r>
      <w:r w:rsidR="00D45FC9">
        <w:t xml:space="preserve">të </w:t>
      </w:r>
      <w:r w:rsidRPr="000E1EB0">
        <w:t>trashëgimisë kulturore dhe natyrore;</w:t>
      </w:r>
    </w:p>
    <w:p w14:paraId="6D6F21C0" w14:textId="37CBBC83" w:rsidR="00650E6F" w:rsidRPr="000E1EB0" w:rsidRDefault="00650E6F" w:rsidP="00AB613A">
      <w:pPr>
        <w:pStyle w:val="AAAAAAAAAAATEX"/>
      </w:pPr>
      <w:r w:rsidRPr="000E1EB0">
        <w:t xml:space="preserve">c) </w:t>
      </w:r>
      <w:r w:rsidR="002F68FB" w:rsidRPr="000E1EB0">
        <w:t xml:space="preserve">rritjen </w:t>
      </w:r>
      <w:r w:rsidRPr="000E1EB0">
        <w:t xml:space="preserve">e konkurrencës; rritjen e mjedisit të biznesit dhe zhvillimin e ndërmarrjeve të vogla dhe të mesme; rritjen e tregtisë dhe investimeve, ndër të tjera, përmes, promovimit dhe mbështetjes së </w:t>
      </w:r>
      <w:r w:rsidRPr="000E1EB0">
        <w:lastRenderedPageBreak/>
        <w:t>sipërmarrjes, në veçanti</w:t>
      </w:r>
      <w:r w:rsidR="008B5EEF">
        <w:t>,</w:t>
      </w:r>
      <w:r w:rsidRPr="000E1EB0">
        <w:t xml:space="preserve"> ndërmarrjeve të vogla dhe të mesme; zhvillimin e tregjeve ndërkufitare dhe ndërkombëtarizimin; </w:t>
      </w:r>
    </w:p>
    <w:p w14:paraId="6D6F21C1" w14:textId="77777777" w:rsidR="00650E6F" w:rsidRPr="000E1EB0" w:rsidRDefault="00650E6F" w:rsidP="00AB613A">
      <w:pPr>
        <w:pStyle w:val="AAAAAAAAAAATEX"/>
        <w:rPr>
          <w:b/>
        </w:rPr>
      </w:pPr>
      <w:r w:rsidRPr="000E1EB0">
        <w:rPr>
          <w:b/>
        </w:rPr>
        <w:t xml:space="preserve">Rezultatet e pritshme: </w:t>
      </w:r>
    </w:p>
    <w:p w14:paraId="6D6F21C2" w14:textId="1AC53AE8" w:rsidR="00650E6F" w:rsidRPr="000E1EB0" w:rsidRDefault="00650E6F" w:rsidP="00AB613A">
      <w:pPr>
        <w:pStyle w:val="AAAAAAAAAAATEX"/>
      </w:pPr>
      <w:r w:rsidRPr="000E1EB0">
        <w:t xml:space="preserve">a) </w:t>
      </w:r>
      <w:r w:rsidR="00632DD1" w:rsidRPr="000E1EB0">
        <w:t xml:space="preserve">nxitja </w:t>
      </w:r>
      <w:r w:rsidRPr="000E1EB0">
        <w:t xml:space="preserve">e ndërgjegjësimit dhe </w:t>
      </w:r>
      <w:r w:rsidR="008D6855">
        <w:t xml:space="preserve">e </w:t>
      </w:r>
      <w:r w:rsidRPr="000E1EB0">
        <w:t xml:space="preserve">njohurive mbi përdorimin e qëndrueshëm të burimeve natyrore dhe </w:t>
      </w:r>
      <w:r w:rsidR="008D6855">
        <w:t xml:space="preserve">të </w:t>
      </w:r>
      <w:r w:rsidRPr="000E1EB0">
        <w:t xml:space="preserve">mjedisit; </w:t>
      </w:r>
    </w:p>
    <w:p w14:paraId="6D6F21C3" w14:textId="7E160AC8" w:rsidR="00650E6F" w:rsidRPr="000E1EB0" w:rsidRDefault="00650E6F" w:rsidP="00AB613A">
      <w:pPr>
        <w:pStyle w:val="AAAAAAAAAAATEX"/>
      </w:pPr>
      <w:r w:rsidRPr="000E1EB0">
        <w:t xml:space="preserve">b) </w:t>
      </w:r>
      <w:r w:rsidR="00632DD1" w:rsidRPr="000E1EB0">
        <w:t xml:space="preserve">nxit </w:t>
      </w:r>
      <w:r w:rsidRPr="000E1EB0">
        <w:t xml:space="preserve">bashkëpunimin, kuptimin dhe respektimin e ndërsjellë </w:t>
      </w:r>
      <w:r w:rsidR="008D6855">
        <w:t>të</w:t>
      </w:r>
      <w:r w:rsidRPr="000E1EB0">
        <w:t xml:space="preserve"> vlerave dhe </w:t>
      </w:r>
      <w:r w:rsidR="008D6855">
        <w:t xml:space="preserve">të </w:t>
      </w:r>
      <w:r w:rsidRPr="000E1EB0">
        <w:t>trashëgimisë kulturore;</w:t>
      </w:r>
    </w:p>
    <w:p w14:paraId="6D6F21C4" w14:textId="4E89A54C" w:rsidR="00650E6F" w:rsidRPr="000E1EB0" w:rsidRDefault="00650E6F" w:rsidP="00AB613A">
      <w:pPr>
        <w:pStyle w:val="AAAAAAAAAAATEX"/>
      </w:pPr>
      <w:r w:rsidRPr="000E1EB0">
        <w:t xml:space="preserve">c) </w:t>
      </w:r>
      <w:r w:rsidR="00632DD1" w:rsidRPr="000E1EB0">
        <w:t xml:space="preserve">rritjen </w:t>
      </w:r>
      <w:r w:rsidRPr="000E1EB0">
        <w:t>e mundësive të biznesit dhe ofruesve të shërbimeve dhe operatorët lokal</w:t>
      </w:r>
      <w:r w:rsidR="008D6855">
        <w:t>ë</w:t>
      </w:r>
      <w:r w:rsidRPr="000E1EB0">
        <w:t xml:space="preserve"> në fushën e turizmit;</w:t>
      </w:r>
    </w:p>
    <w:p w14:paraId="6D6F21C5" w14:textId="4658576C" w:rsidR="00650E6F" w:rsidRPr="000E1EB0" w:rsidRDefault="00650E6F" w:rsidP="00AB613A">
      <w:pPr>
        <w:pStyle w:val="AAAAAAAAAAATEX"/>
      </w:pPr>
      <w:r w:rsidRPr="000E1EB0">
        <w:rPr>
          <w:color w:val="000000"/>
        </w:rPr>
        <w:t xml:space="preserve">d) </w:t>
      </w:r>
      <w:r w:rsidR="00632DD1" w:rsidRPr="000E1EB0">
        <w:rPr>
          <w:color w:val="000000"/>
        </w:rPr>
        <w:t xml:space="preserve">rritja </w:t>
      </w:r>
      <w:r w:rsidRPr="000E1EB0">
        <w:rPr>
          <w:color w:val="000000"/>
        </w:rPr>
        <w:t xml:space="preserve">e ndërgjegjësimit dhe </w:t>
      </w:r>
      <w:r w:rsidR="008D6855">
        <w:rPr>
          <w:color w:val="000000"/>
        </w:rPr>
        <w:t xml:space="preserve">e </w:t>
      </w:r>
      <w:r w:rsidRPr="000E1EB0">
        <w:rPr>
          <w:color w:val="000000"/>
        </w:rPr>
        <w:t xml:space="preserve">kapacitetit të NVM-ve dhe </w:t>
      </w:r>
      <w:r w:rsidR="009300D8">
        <w:rPr>
          <w:color w:val="000000"/>
        </w:rPr>
        <w:t>e sipërmarrjeve fillestare</w:t>
      </w:r>
      <w:r w:rsidRPr="000E1EB0">
        <w:rPr>
          <w:color w:val="000000"/>
        </w:rPr>
        <w:t xml:space="preserve"> për të hyrë në tregje të reja dhe rritja e gamës së vlerave.</w:t>
      </w:r>
    </w:p>
    <w:p w14:paraId="6D6F21C6" w14:textId="6AB1FD9C" w:rsidR="00650E6F" w:rsidRPr="000E1EB0" w:rsidRDefault="00650E6F" w:rsidP="00AB613A">
      <w:pPr>
        <w:pStyle w:val="AAAAAAAAAAATEX"/>
      </w:pPr>
      <w:r w:rsidRPr="000E1EB0">
        <w:t xml:space="preserve">Objektivat dhe rezultatet e pritshme do të arrihen gjatë periudhës së zbatimit të këtij programi, nga viti 2014 deri në vitin 2020. Programi i Veprimit i BNK </w:t>
      </w:r>
      <w:r w:rsidR="00A85806">
        <w:t>2018–2020</w:t>
      </w:r>
      <w:r w:rsidRPr="000E1EB0">
        <w:t xml:space="preserve"> do të kontribuojë në arritjen e objektivave të </w:t>
      </w:r>
      <w:r w:rsidR="009575AA" w:rsidRPr="000E1EB0">
        <w:t>përgjithshëm</w:t>
      </w:r>
      <w:r w:rsidRPr="000E1EB0">
        <w:t xml:space="preserve"> dhe të rezultateve të pritshme, të përcaktuar në programin e BNK-së </w:t>
      </w:r>
      <w:r w:rsidR="00BE160D">
        <w:t>2014–2020</w:t>
      </w:r>
      <w:r w:rsidRPr="000E1EB0">
        <w:t>.</w:t>
      </w:r>
      <w:r w:rsidRPr="000E1EB0">
        <w:rPr>
          <w:color w:val="000000"/>
        </w:rPr>
        <w:t xml:space="preserve"> Për hollësi të mëtejshme shihni seksionin 3.2 të programit BNK </w:t>
      </w:r>
      <w:r w:rsidR="00BE160D">
        <w:rPr>
          <w:color w:val="000000"/>
        </w:rPr>
        <w:t>2014–2020</w:t>
      </w:r>
      <w:r w:rsidRPr="000E1EB0">
        <w:rPr>
          <w:color w:val="000000"/>
        </w:rPr>
        <w:t xml:space="preserve"> (</w:t>
      </w:r>
      <w:r w:rsidR="00DF0EA1" w:rsidRPr="000E1EB0">
        <w:rPr>
          <w:color w:val="000000"/>
        </w:rPr>
        <w:t xml:space="preserve">shtojca </w:t>
      </w:r>
      <w:r w:rsidRPr="000E1EB0">
        <w:rPr>
          <w:color w:val="000000"/>
        </w:rPr>
        <w:t xml:space="preserve">2 e </w:t>
      </w:r>
      <w:r w:rsidR="00DF0EA1" w:rsidRPr="000E1EB0">
        <w:rPr>
          <w:color w:val="000000"/>
        </w:rPr>
        <w:t xml:space="preserve">vendimit zbatues </w:t>
      </w:r>
      <w:r w:rsidRPr="000E1EB0">
        <w:rPr>
          <w:color w:val="000000"/>
        </w:rPr>
        <w:t>të Komisionit C (2014) 9674, i datës 11 dhjetor 2014).</w:t>
      </w:r>
    </w:p>
    <w:p w14:paraId="6D6F21C7" w14:textId="77777777" w:rsidR="00650E6F" w:rsidRPr="000E1EB0" w:rsidRDefault="00650E6F" w:rsidP="00AB613A">
      <w:pPr>
        <w:pStyle w:val="AAAAAAAAAAATEX"/>
        <w:rPr>
          <w:highlight w:val="yellow"/>
        </w:rPr>
      </w:pPr>
      <w:r w:rsidRPr="000E1EB0">
        <w:t xml:space="preserve"> </w:t>
      </w:r>
      <w:r w:rsidRPr="000E1EB0">
        <w:rPr>
          <w:b/>
          <w:i/>
        </w:rPr>
        <w:t>2. Supozime dhe kushte</w:t>
      </w:r>
    </w:p>
    <w:p w14:paraId="6D6F21C8" w14:textId="026301F7" w:rsidR="00650E6F" w:rsidRPr="000E1EB0" w:rsidRDefault="00650E6F" w:rsidP="00AB613A">
      <w:pPr>
        <w:pStyle w:val="AAAAAAAAAAATEX"/>
      </w:pPr>
      <w:r w:rsidRPr="000E1EB0">
        <w:t xml:space="preserve">Si një kusht i nevojshëm për menaxhimin efektiv të programit, vendet pjesëmarrëse do të krijojnë një Komitet të Përbashkët Monitorimi dhe të sigurojnë zyrat dhe personelin e përshtatshëm për Sekretariatin e Përbashkët Teknik (që do të krijohet me një </w:t>
      </w:r>
      <w:r w:rsidR="00C05539" w:rsidRPr="000E1EB0">
        <w:t xml:space="preserve">vendim financimi të </w:t>
      </w:r>
      <w:r w:rsidRPr="000E1EB0">
        <w:t xml:space="preserve">veçantë) dhe Antenës, në rast se kjo e fundit do të ngrihet. </w:t>
      </w:r>
    </w:p>
    <w:p w14:paraId="6D6F21C9" w14:textId="38CEE2AF" w:rsidR="00650E6F" w:rsidRPr="000E1EB0" w:rsidRDefault="00650E6F" w:rsidP="00650E6F">
      <w:pPr>
        <w:pStyle w:val="AAAAAAAAAAATEX"/>
      </w:pPr>
      <w:r w:rsidRPr="000E1EB0">
        <w:t xml:space="preserve">Dështimi për të përmbushur kërkesat e përcaktuara më sipër mund të çojë në tërheqjen e fondeve </w:t>
      </w:r>
      <w:r w:rsidR="00460ECC">
        <w:t>të këtij programi dhe/</w:t>
      </w:r>
      <w:r w:rsidRPr="000E1EB0">
        <w:t xml:space="preserve">ose </w:t>
      </w:r>
      <w:r w:rsidR="00856D4F">
        <w:t>ri</w:t>
      </w:r>
      <w:r w:rsidRPr="000E1EB0">
        <w:t>alokimin e fondeve në të ardhmen.</w:t>
      </w:r>
    </w:p>
    <w:p w14:paraId="6D6F21CA" w14:textId="7E805EA8" w:rsidR="00650E6F" w:rsidRPr="000E1EB0" w:rsidRDefault="00650E6F" w:rsidP="00650E6F">
      <w:pPr>
        <w:pStyle w:val="AAAAAAAAAAATEX"/>
      </w:pPr>
      <w:r w:rsidRPr="000E1EB0">
        <w:t>Deri më tani, përfituesit janë pajtuar me këtë gjendje</w:t>
      </w:r>
      <w:r w:rsidR="00460ECC">
        <w:t>,</w:t>
      </w:r>
      <w:r w:rsidRPr="000E1EB0">
        <w:t xml:space="preserve"> duke siguruar mbarëvajtjen e Sekretariatit të Përbashkët Teknik në Strugë (përfitues Ministria e Vetëqeverisjes Lokale) dhe Zyrës së Antenës në Elbasan. Këto struktura janë financuar plotësisht nga Masa Mbështetëse për Ndihmën Teknike për programet e bashkëpunimit ndërkufitar ndërmjet përfituesve të IPA II</w:t>
      </w:r>
      <w:r w:rsidR="00460ECC">
        <w:t>,</w:t>
      </w:r>
      <w:r w:rsidRPr="000E1EB0">
        <w:t xml:space="preserve"> në kuadër të Instrumentit për </w:t>
      </w:r>
      <w:r w:rsidR="00460ECC" w:rsidRPr="000E1EB0">
        <w:t xml:space="preserve">Ndihmë </w:t>
      </w:r>
      <w:r w:rsidR="00460ECC">
        <w:t>Para</w:t>
      </w:r>
      <w:r w:rsidR="00460ECC" w:rsidRPr="000E1EB0">
        <w:t xml:space="preserve">anëtarësimi </w:t>
      </w:r>
      <w:r w:rsidRPr="000E1EB0">
        <w:t>(IPA II) për vitin 2014</w:t>
      </w:r>
      <w:r w:rsidRPr="000E1EB0">
        <w:rPr>
          <w:rStyle w:val="FootnoteReference"/>
        </w:rPr>
        <w:footnoteReference w:id="6"/>
      </w:r>
      <w:r w:rsidRPr="000E1EB0">
        <w:t>.</w:t>
      </w:r>
    </w:p>
    <w:p w14:paraId="6D6F21CB" w14:textId="77777777" w:rsidR="00650E6F" w:rsidRPr="000E1EB0" w:rsidRDefault="00650E6F" w:rsidP="00650E6F">
      <w:pPr>
        <w:pStyle w:val="AAAAAAAAAAATEX"/>
      </w:pPr>
      <w:r w:rsidRPr="000E1EB0">
        <w:t>Komisioni Evropian ka programuar mbështetje e mëtejshme financiare për vazhdimin e ofrimit të mbështetjes për Sekretariatin e Përbashkët Teknik dhe Zyrën e Antenës nga viti 2019 e tutje. Prandaj me përfituesit do të vendosin rregullime të reja që duhet të sigurojnë që kushtet e këtij paragrafi të respektohen më tej.</w:t>
      </w:r>
    </w:p>
    <w:p w14:paraId="6D6F21CC" w14:textId="77777777" w:rsidR="00650E6F" w:rsidRPr="000E1EB0" w:rsidRDefault="00650E6F" w:rsidP="00650E6F">
      <w:pPr>
        <w:pStyle w:val="AAAAAAAAAAATEX"/>
        <w:rPr>
          <w:iCs/>
        </w:rPr>
      </w:pPr>
      <w:r w:rsidRPr="000E1EB0">
        <w:rPr>
          <w:b/>
          <w:i/>
        </w:rPr>
        <w:t xml:space="preserve">3. Elementet thelbësore të veprimit </w:t>
      </w:r>
    </w:p>
    <w:p w14:paraId="6D6F21CD" w14:textId="2B095018" w:rsidR="00650E6F" w:rsidRPr="000E1EB0" w:rsidRDefault="00650E6F" w:rsidP="00650E6F">
      <w:pPr>
        <w:pStyle w:val="AAAAAAAAAAATEX"/>
      </w:pPr>
      <w:r w:rsidRPr="000E1EB0">
        <w:rPr>
          <w:b/>
        </w:rPr>
        <w:t xml:space="preserve">Thirrje për propozime </w:t>
      </w:r>
      <w:r w:rsidR="00EF0435">
        <w:rPr>
          <w:b/>
        </w:rPr>
        <w:t>–</w:t>
      </w:r>
      <w:r w:rsidRPr="000E1EB0">
        <w:rPr>
          <w:b/>
        </w:rPr>
        <w:t xml:space="preserve"> Grante: </w:t>
      </w:r>
      <w:r w:rsidRPr="000E1EB0">
        <w:t xml:space="preserve">4,930,000 </w:t>
      </w:r>
      <w:r w:rsidR="002E04F0" w:rsidRPr="000E1EB0">
        <w:t>euro</w:t>
      </w:r>
    </w:p>
    <w:p w14:paraId="6D6F21CE" w14:textId="77777777" w:rsidR="00650E6F" w:rsidRPr="00A454C0" w:rsidRDefault="00650E6F" w:rsidP="00650E6F">
      <w:pPr>
        <w:pStyle w:val="AAAAAAAAAAATEX"/>
      </w:pPr>
      <w:r w:rsidRPr="00A454C0">
        <w:t>a) Kriteret thelbësore të pranimit:</w:t>
      </w:r>
    </w:p>
    <w:p w14:paraId="6D6F21CF" w14:textId="69761999" w:rsidR="00650E6F" w:rsidRPr="000E1EB0" w:rsidRDefault="00650E6F" w:rsidP="00650E6F">
      <w:pPr>
        <w:pStyle w:val="AAAAAAAAAAATEX"/>
      </w:pPr>
      <w:r w:rsidRPr="000E1EB0">
        <w:t xml:space="preserve">Aktivitetet e pranueshme janë përcaktuar në nenin 3.2 i </w:t>
      </w:r>
      <w:r w:rsidRPr="00DD30AA">
        <w:t>Programit</w:t>
      </w:r>
      <w:r w:rsidRPr="000E1EB0">
        <w:t xml:space="preserve"> të BNK-së </w:t>
      </w:r>
      <w:r w:rsidR="00BE160D">
        <w:t>2014–2020</w:t>
      </w:r>
      <w:r w:rsidR="009A5DA1">
        <w:t xml:space="preserve"> </w:t>
      </w:r>
      <w:r w:rsidRPr="000E1EB0">
        <w:t xml:space="preserve">dhe në </w:t>
      </w:r>
      <w:r w:rsidR="007172E2" w:rsidRPr="000E1EB0">
        <w:t xml:space="preserve">shtojcës 2 të vendimit </w:t>
      </w:r>
      <w:r w:rsidRPr="000E1EB0">
        <w:t>të Komisionit C (2014) 9674, të datës 11 dhjetor 2014. Lista e mëposhtme është një</w:t>
      </w:r>
      <w:r w:rsidR="00721826">
        <w:t xml:space="preserve"> përmbledhje që tregon veprimet</w:t>
      </w:r>
      <w:r w:rsidRPr="000E1EB0">
        <w:t>/operacionet kryesore të pranueshme:</w:t>
      </w:r>
      <w:r w:rsidRPr="000E1EB0">
        <w:rPr>
          <w:i/>
        </w:rPr>
        <w:t xml:space="preserve"> </w:t>
      </w:r>
    </w:p>
    <w:p w14:paraId="6D6F21D0" w14:textId="7ED6BB96" w:rsidR="00650E6F" w:rsidRPr="000E1EB0" w:rsidRDefault="00650E6F" w:rsidP="00650E6F">
      <w:pPr>
        <w:pStyle w:val="AAAAAAAAAAATEX"/>
      </w:pPr>
      <w:r w:rsidRPr="000E1EB0">
        <w:t xml:space="preserve">- </w:t>
      </w:r>
      <w:r w:rsidR="00721826" w:rsidRPr="000E1EB0">
        <w:t>projektimi</w:t>
      </w:r>
      <w:r w:rsidRPr="000E1EB0">
        <w:t>, zhvillimi dhe promovimi i produkteve të përbashkëta turistike dhe shërbimeve, si dhe investimet e vogla në infrastrukturën publike të turizmit</w:t>
      </w:r>
      <w:r w:rsidR="00721826">
        <w:t>;</w:t>
      </w:r>
    </w:p>
    <w:p w14:paraId="6D6F21D1" w14:textId="5F66FC7B" w:rsidR="00650E6F" w:rsidRPr="000E1EB0" w:rsidRDefault="00650E6F" w:rsidP="00650E6F">
      <w:pPr>
        <w:pStyle w:val="AAAAAAAAAAATEX"/>
      </w:pPr>
      <w:r w:rsidRPr="000E1EB0">
        <w:t xml:space="preserve">- </w:t>
      </w:r>
      <w:r w:rsidR="00721826" w:rsidRPr="000E1EB0">
        <w:t xml:space="preserve">trajnimet </w:t>
      </w:r>
      <w:r w:rsidRPr="000E1EB0">
        <w:t>për nxitjen e aftësive në industrinë e mikpritjes/turizmit</w:t>
      </w:r>
      <w:r w:rsidR="00721826">
        <w:t>;</w:t>
      </w:r>
    </w:p>
    <w:p w14:paraId="6D6F21D2" w14:textId="0FC7F6D4" w:rsidR="00650E6F" w:rsidRPr="000E1EB0" w:rsidRDefault="00650E6F" w:rsidP="00650E6F">
      <w:pPr>
        <w:pStyle w:val="AAAAAAAAAAATEX"/>
      </w:pPr>
      <w:r w:rsidRPr="000E1EB0">
        <w:t xml:space="preserve">- </w:t>
      </w:r>
      <w:r w:rsidR="00721826" w:rsidRPr="000E1EB0">
        <w:t>restaurimi</w:t>
      </w:r>
      <w:r w:rsidRPr="000E1EB0">
        <w:t>/rezervimi, ruajtja, pastrimi dhe mirëmbajtja e objekteve kulturore dhe historike</w:t>
      </w:r>
      <w:r w:rsidR="007172E2">
        <w:t>,</w:t>
      </w:r>
      <w:r w:rsidRPr="000E1EB0">
        <w:t xml:space="preserve"> si dhe mjedisit rrethues</w:t>
      </w:r>
      <w:r w:rsidR="00721826">
        <w:t>;</w:t>
      </w:r>
    </w:p>
    <w:p w14:paraId="6D6F21D3" w14:textId="5FE4CBF8" w:rsidR="00650E6F" w:rsidRPr="000E1EB0" w:rsidRDefault="00650E6F" w:rsidP="00650E6F">
      <w:pPr>
        <w:pStyle w:val="AAAAAAAAAAATEX"/>
      </w:pPr>
      <w:r w:rsidRPr="000E1EB0">
        <w:t xml:space="preserve">- </w:t>
      </w:r>
      <w:r w:rsidR="00721826" w:rsidRPr="000E1EB0">
        <w:t xml:space="preserve">mbështetja </w:t>
      </w:r>
      <w:r w:rsidRPr="000E1EB0">
        <w:t>për aktivitete të përbashkëta kulturore</w:t>
      </w:r>
      <w:r w:rsidR="00B537C4">
        <w:t>;</w:t>
      </w:r>
    </w:p>
    <w:p w14:paraId="6D6F21D4" w14:textId="3973E882" w:rsidR="00650E6F" w:rsidRPr="000E1EB0" w:rsidRDefault="00650E6F" w:rsidP="00650E6F">
      <w:pPr>
        <w:pStyle w:val="AAAAAAAAAAATEX"/>
      </w:pPr>
      <w:r w:rsidRPr="000E1EB0">
        <w:lastRenderedPageBreak/>
        <w:t xml:space="preserve">- </w:t>
      </w:r>
      <w:r w:rsidR="00B537C4" w:rsidRPr="000E1EB0">
        <w:t xml:space="preserve">ndihma </w:t>
      </w:r>
      <w:r w:rsidRPr="000E1EB0">
        <w:t>për NVM-të dhe sipërmarrje</w:t>
      </w:r>
      <w:r w:rsidR="00EF708A">
        <w:t>t</w:t>
      </w:r>
      <w:r w:rsidRPr="000E1EB0">
        <w:t xml:space="preserve"> fillestare në gjetjen e partnerëve të biznesit dhe </w:t>
      </w:r>
      <w:r w:rsidR="006F358E">
        <w:t xml:space="preserve">të </w:t>
      </w:r>
      <w:r w:rsidRPr="000E1EB0">
        <w:t xml:space="preserve">ndërkombëtarizimit </w:t>
      </w:r>
      <w:r w:rsidR="00FE7C04">
        <w:t>të</w:t>
      </w:r>
      <w:r w:rsidRPr="000E1EB0">
        <w:t xml:space="preserve"> tyre</w:t>
      </w:r>
      <w:r w:rsidR="00B537C4">
        <w:t>;</w:t>
      </w:r>
    </w:p>
    <w:p w14:paraId="6D6F21D5" w14:textId="0570EC7C" w:rsidR="00650E6F" w:rsidRPr="000E1EB0" w:rsidRDefault="00650E6F" w:rsidP="00650E6F">
      <w:pPr>
        <w:pStyle w:val="AAAAAAAAAAATEX"/>
      </w:pPr>
      <w:r w:rsidRPr="000E1EB0">
        <w:t xml:space="preserve">- </w:t>
      </w:r>
      <w:r w:rsidR="00B537C4" w:rsidRPr="000E1EB0">
        <w:t xml:space="preserve">investimet </w:t>
      </w:r>
      <w:r w:rsidRPr="000E1EB0">
        <w:t>në tregun e vogël ndërkufitar dhe lehtësirat në tregti</w:t>
      </w:r>
      <w:r w:rsidR="00B537C4">
        <w:t>;</w:t>
      </w:r>
    </w:p>
    <w:p w14:paraId="6D6F21D6" w14:textId="538069ED" w:rsidR="00650E6F" w:rsidRPr="000E1EB0" w:rsidRDefault="00650E6F" w:rsidP="00650E6F">
      <w:pPr>
        <w:pStyle w:val="AAAAAAAAAAATEX"/>
      </w:pPr>
      <w:r w:rsidRPr="000E1EB0">
        <w:t xml:space="preserve">- </w:t>
      </w:r>
      <w:r w:rsidR="00B537C4" w:rsidRPr="000E1EB0">
        <w:t xml:space="preserve">nxitja </w:t>
      </w:r>
      <w:r w:rsidRPr="000E1EB0">
        <w:t>dhe mbështetja e përdorimit të qëndrueshëm të burimeve natyrore dhe mjedisit</w:t>
      </w:r>
      <w:r w:rsidR="00B537C4">
        <w:t>;</w:t>
      </w:r>
    </w:p>
    <w:p w14:paraId="6D6F21D7" w14:textId="465C80C2" w:rsidR="00650E6F" w:rsidRPr="000E1EB0" w:rsidRDefault="00650E6F" w:rsidP="00650E6F">
      <w:pPr>
        <w:pStyle w:val="AAAAAAAAAAATEX"/>
      </w:pPr>
      <w:r w:rsidRPr="000E1EB0">
        <w:t xml:space="preserve">- </w:t>
      </w:r>
      <w:r w:rsidR="00B537C4" w:rsidRPr="000E1EB0">
        <w:t xml:space="preserve">nxitja </w:t>
      </w:r>
      <w:r w:rsidRPr="000E1EB0">
        <w:t>e investimeve në infrastrukturën e vogël për përballimin në rast fatkeqësish dhe mbrojtjen e mjedisit.</w:t>
      </w:r>
    </w:p>
    <w:p w14:paraId="6D6F21D8" w14:textId="77777777" w:rsidR="00650E6F" w:rsidRPr="000E1EB0" w:rsidRDefault="00650E6F" w:rsidP="00650E6F">
      <w:pPr>
        <w:pStyle w:val="AAAAAAAAAAATEX"/>
      </w:pPr>
      <w:r w:rsidRPr="000E1EB0">
        <w:t xml:space="preserve">Përfituesit duhet të jenë persona juridikë dhe të vendosur në një vend përfitues të IPA II, pjesëmarrës në programin e BNK-së. </w:t>
      </w:r>
    </w:p>
    <w:p w14:paraId="6D6F21D9" w14:textId="77777777" w:rsidR="00650E6F" w:rsidRPr="000E1EB0" w:rsidRDefault="00650E6F" w:rsidP="00650E6F">
      <w:pPr>
        <w:pStyle w:val="AAAAAAAAAAATEX"/>
        <w:rPr>
          <w:i/>
        </w:rPr>
      </w:pPr>
      <w:r w:rsidRPr="000E1EB0">
        <w:t>Përfitues potencialë mund të jenë autoritetet vendore, njësitë ligjore të menaxhuara nga qeveritë vendore, shoqata të komunave, agjencitë e zhvillimit, organizatat e mbështetjes së bizneseve vendore, faktorët ekonomikë si, NVM-të, organizatat kulturore dhe të turizmit, OJQ-të, organet publike dhe private në mbështetje të fuqisë punëtore, institucionet e trajnimit profesional dhe teknik, organet dhe organizatat për mbrojtjen e natyrës, organet publike përgjegjëse për menaxhimin e ujit, shërbimet e zjarrit/emergjencës, shkollat, kolegjet, universitetet dhe institucionet kërkimore, duke përfshirë institucionet e trajnimit teknik dhe profesional, dhomat e tregtisë, shoqatat e banorëve të vendeve të BNK-së, organizatat e fermerëve, ndërmarrjet publike.</w:t>
      </w:r>
    </w:p>
    <w:p w14:paraId="6D6F21DA" w14:textId="77777777" w:rsidR="00650E6F" w:rsidRPr="003521D2" w:rsidRDefault="00650E6F" w:rsidP="00650E6F">
      <w:pPr>
        <w:pStyle w:val="AAAAAAAAAAATEX"/>
      </w:pPr>
      <w:r w:rsidRPr="003521D2">
        <w:t>b) Kriteri kryesor i përzgjedhjes është kapaciteti financiar dhe operacional i aplikantit.</w:t>
      </w:r>
    </w:p>
    <w:p w14:paraId="6D6F21DB" w14:textId="6C990ED4" w:rsidR="00650E6F" w:rsidRPr="003521D2" w:rsidRDefault="00650E6F" w:rsidP="00650E6F">
      <w:pPr>
        <w:pStyle w:val="AAAAAAAAAAATEX"/>
      </w:pPr>
      <w:r w:rsidRPr="003521D2">
        <w:t>c) Kriteret kryesore për dhënien e mbështetjes financiare janë</w:t>
      </w:r>
      <w:r w:rsidR="00036A7C" w:rsidRPr="003521D2">
        <w:t>:</w:t>
      </w:r>
      <w:r w:rsidRPr="003521D2">
        <w:t xml:space="preserve"> rëndësia, efektiviteti dhe fizibiliteti, qëndrueshmëria dhe efektiviteti i kostos së veprimit.</w:t>
      </w:r>
    </w:p>
    <w:p w14:paraId="6D6F21DC" w14:textId="24D10EF5" w:rsidR="00650E6F" w:rsidRPr="003521D2" w:rsidRDefault="00650E6F" w:rsidP="00650E6F">
      <w:pPr>
        <w:pStyle w:val="AAAAAAAAAAATEX"/>
      </w:pPr>
      <w:r w:rsidRPr="003521D2">
        <w:t xml:space="preserve">d) Shkalla maksimale e </w:t>
      </w:r>
      <w:r w:rsidR="00036A7C" w:rsidRPr="003521D2">
        <w:t>bashkë</w:t>
      </w:r>
      <w:r w:rsidRPr="003521D2">
        <w:t xml:space="preserve">financimit nga BE-ja për grante në bazë të thirrjeve është 85% e kostos së veprimit. </w:t>
      </w:r>
    </w:p>
    <w:p w14:paraId="6D6F21DD" w14:textId="399422B4" w:rsidR="00650E6F" w:rsidRPr="003521D2" w:rsidRDefault="00650E6F" w:rsidP="00650E6F">
      <w:pPr>
        <w:pStyle w:val="AAAAAAAAAAATEX"/>
      </w:pPr>
      <w:r w:rsidRPr="003521D2">
        <w:t xml:space="preserve">e) Shuma treguese e thirrjes/ve: 4,930,000 </w:t>
      </w:r>
      <w:r w:rsidR="003521D2" w:rsidRPr="003521D2">
        <w:t>euro</w:t>
      </w:r>
      <w:r w:rsidR="003521D2">
        <w:t>.</w:t>
      </w:r>
      <w:r w:rsidR="003521D2" w:rsidRPr="003521D2">
        <w:t xml:space="preserve"> </w:t>
      </w:r>
    </w:p>
    <w:p w14:paraId="6D6F21DE" w14:textId="7DD05E99" w:rsidR="00650E6F" w:rsidRPr="003521D2" w:rsidRDefault="00650E6F" w:rsidP="00650E6F">
      <w:pPr>
        <w:pStyle w:val="AAAAAAAAAAATEX"/>
      </w:pPr>
      <w:r w:rsidRPr="003521D2">
        <w:t>Strukturat përgjegjëse mund të vendosin të publikojnë më shumë se një thirrje për propozime. Çdo thirrje për propozime duhet të ketë të njëjt</w:t>
      </w:r>
      <w:r w:rsidR="00036A7C" w:rsidRPr="003521D2">
        <w:t>ë</w:t>
      </w:r>
      <w:r w:rsidRPr="003521D2">
        <w:t>t objektiva, rezultate, kriteret thelbësore mbi pranueshmërinë, kritere përzgjedhjeje dhe dhënieje, siç përshkruhet më sipër. Secila kontratë granti do të financohet nga një urdhër buxhetor.</w:t>
      </w:r>
    </w:p>
    <w:p w14:paraId="6D6F21DF" w14:textId="77777777" w:rsidR="00650E6F" w:rsidRPr="003521D2" w:rsidRDefault="00650E6F" w:rsidP="00650E6F">
      <w:pPr>
        <w:pStyle w:val="AAAAAAAAAAATEX"/>
      </w:pPr>
      <w:r w:rsidRPr="003521D2">
        <w:t>Strukturat përgjegjëse mund të vendosin të fillojnë një thirrje për propozime të cilat do të bashkojnë alokimet e vitit 2018 me alokimet e mëvonshme të buxhetit.</w:t>
      </w:r>
    </w:p>
    <w:p w14:paraId="6D6F21E0" w14:textId="17DF659A" w:rsidR="00650E6F" w:rsidRPr="003521D2" w:rsidRDefault="00650E6F" w:rsidP="00650E6F">
      <w:pPr>
        <w:pStyle w:val="AAAAAAAAAAATEX"/>
      </w:pPr>
      <w:r w:rsidRPr="003521D2">
        <w:t>f) Datë treguese për publikimin e thirrjes/ve për propozime: Q2 2020 për urdhrin buxhetor të viteve 2018–2020.</w:t>
      </w:r>
      <w:r w:rsidRPr="003521D2">
        <w:rPr>
          <w:highlight w:val="magenta"/>
        </w:rPr>
        <w:t xml:space="preserve"> </w:t>
      </w:r>
    </w:p>
    <w:p w14:paraId="6D6F21E1" w14:textId="77777777" w:rsidR="00650E6F" w:rsidRPr="003521D2" w:rsidRDefault="00650E6F" w:rsidP="00650E6F">
      <w:pPr>
        <w:tabs>
          <w:tab w:val="left" w:pos="1417"/>
          <w:tab w:val="left" w:pos="2126"/>
          <w:tab w:val="left" w:pos="2835"/>
        </w:tabs>
        <w:rPr>
          <w:rFonts w:ascii="Garamond" w:eastAsia="Calibri" w:hAnsi="Garamond"/>
        </w:rPr>
      </w:pPr>
    </w:p>
    <w:p w14:paraId="6D6F21E2" w14:textId="77777777" w:rsidR="00650E6F" w:rsidRPr="003521D2" w:rsidRDefault="00650E6F" w:rsidP="00650E6F">
      <w:pPr>
        <w:tabs>
          <w:tab w:val="left" w:pos="1417"/>
          <w:tab w:val="left" w:pos="2126"/>
          <w:tab w:val="left" w:pos="2835"/>
        </w:tabs>
        <w:rPr>
          <w:rFonts w:ascii="Garamond" w:hAnsi="Garamond"/>
        </w:rPr>
        <w:sectPr w:rsidR="00650E6F" w:rsidRPr="003521D2" w:rsidSect="00650E6F">
          <w:footerReference w:type="even" r:id="rId16"/>
          <w:footerReference w:type="default" r:id="rId17"/>
          <w:pgSz w:w="12240" w:h="15840"/>
          <w:pgMar w:top="1440" w:right="1440" w:bottom="1440" w:left="1440" w:header="720" w:footer="720" w:gutter="0"/>
          <w:cols w:space="720"/>
          <w:noEndnote/>
        </w:sectPr>
      </w:pPr>
    </w:p>
    <w:p w14:paraId="6D6F21E3" w14:textId="77777777" w:rsidR="00650E6F" w:rsidRPr="00E60B9B" w:rsidRDefault="00650E6F" w:rsidP="00650E6F">
      <w:pPr>
        <w:pStyle w:val="AAAAAAAAAAATEX"/>
        <w:rPr>
          <w:b/>
        </w:rPr>
      </w:pPr>
      <w:r w:rsidRPr="00E60B9B">
        <w:rPr>
          <w:b/>
        </w:rPr>
        <w:lastRenderedPageBreak/>
        <w:t>3. Buxheti</w:t>
      </w:r>
    </w:p>
    <w:tbl>
      <w:tblPr>
        <w:tblW w:w="5000" w:type="pct"/>
        <w:tblLook w:val="04A0" w:firstRow="1" w:lastRow="0" w:firstColumn="1" w:lastColumn="0" w:noHBand="0" w:noVBand="1"/>
      </w:tblPr>
      <w:tblGrid>
        <w:gridCol w:w="994"/>
        <w:gridCol w:w="995"/>
        <w:gridCol w:w="1363"/>
        <w:gridCol w:w="1116"/>
        <w:gridCol w:w="994"/>
        <w:gridCol w:w="918"/>
        <w:gridCol w:w="1363"/>
        <w:gridCol w:w="1116"/>
        <w:gridCol w:w="995"/>
        <w:gridCol w:w="918"/>
        <w:gridCol w:w="1363"/>
        <w:gridCol w:w="1117"/>
        <w:gridCol w:w="966"/>
      </w:tblGrid>
      <w:tr w:rsidR="00650E6F" w:rsidRPr="003F2B14" w14:paraId="6D6F21E8" w14:textId="77777777" w:rsidTr="001E2A37">
        <w:trPr>
          <w:trHeight w:val="245"/>
        </w:trPr>
        <w:tc>
          <w:tcPr>
            <w:tcW w:w="1569"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D6F21E4" w14:textId="77777777" w:rsidR="00650E6F" w:rsidRPr="003F2B14" w:rsidRDefault="00650E6F" w:rsidP="001E2A37">
            <w:pPr>
              <w:jc w:val="center"/>
              <w:rPr>
                <w:rFonts w:ascii="Garamond" w:hAnsi="Garamond"/>
                <w:b/>
                <w:bCs/>
                <w:color w:val="000000"/>
                <w:sz w:val="16"/>
                <w:szCs w:val="16"/>
              </w:rPr>
            </w:pPr>
            <w:r w:rsidRPr="003F2B14">
              <w:rPr>
                <w:rFonts w:ascii="Garamond" w:hAnsi="Garamond"/>
                <w:b/>
                <w:color w:val="000000"/>
                <w:sz w:val="16"/>
                <w:szCs w:val="16"/>
              </w:rPr>
              <w:t>2018</w:t>
            </w:r>
          </w:p>
        </w:tc>
        <w:tc>
          <w:tcPr>
            <w:tcW w:w="1540" w:type="pct"/>
            <w:gridSpan w:val="4"/>
            <w:tcBorders>
              <w:top w:val="single" w:sz="8" w:space="0" w:color="auto"/>
              <w:left w:val="nil"/>
              <w:bottom w:val="single" w:sz="8" w:space="0" w:color="auto"/>
              <w:right w:val="single" w:sz="8" w:space="0" w:color="000000"/>
            </w:tcBorders>
            <w:shd w:val="clear" w:color="auto" w:fill="auto"/>
            <w:vAlign w:val="center"/>
            <w:hideMark/>
          </w:tcPr>
          <w:p w14:paraId="6D6F21E5" w14:textId="77777777" w:rsidR="00650E6F" w:rsidRPr="003F2B14" w:rsidRDefault="00650E6F" w:rsidP="001E2A37">
            <w:pPr>
              <w:jc w:val="center"/>
              <w:rPr>
                <w:rFonts w:ascii="Garamond" w:hAnsi="Garamond"/>
                <w:b/>
                <w:bCs/>
                <w:color w:val="000000"/>
                <w:sz w:val="16"/>
                <w:szCs w:val="16"/>
              </w:rPr>
            </w:pPr>
            <w:r w:rsidRPr="003F2B14">
              <w:rPr>
                <w:rFonts w:ascii="Garamond" w:hAnsi="Garamond"/>
                <w:b/>
                <w:sz w:val="16"/>
                <w:szCs w:val="16"/>
              </w:rPr>
              <w:t>2019</w:t>
            </w:r>
          </w:p>
        </w:tc>
        <w:tc>
          <w:tcPr>
            <w:tcW w:w="1540" w:type="pct"/>
            <w:gridSpan w:val="4"/>
            <w:tcBorders>
              <w:top w:val="single" w:sz="8" w:space="0" w:color="auto"/>
              <w:left w:val="nil"/>
              <w:bottom w:val="single" w:sz="8" w:space="0" w:color="auto"/>
              <w:right w:val="single" w:sz="4" w:space="0" w:color="auto"/>
            </w:tcBorders>
            <w:shd w:val="clear" w:color="auto" w:fill="auto"/>
            <w:vAlign w:val="center"/>
            <w:hideMark/>
          </w:tcPr>
          <w:p w14:paraId="6D6F21E6" w14:textId="77777777" w:rsidR="00650E6F" w:rsidRPr="003F2B14" w:rsidRDefault="00650E6F" w:rsidP="001E2A37">
            <w:pPr>
              <w:jc w:val="center"/>
              <w:rPr>
                <w:rFonts w:ascii="Garamond" w:hAnsi="Garamond"/>
                <w:b/>
                <w:bCs/>
                <w:color w:val="000000"/>
                <w:sz w:val="16"/>
                <w:szCs w:val="16"/>
              </w:rPr>
            </w:pPr>
            <w:r w:rsidRPr="003F2B14">
              <w:rPr>
                <w:rFonts w:ascii="Garamond" w:hAnsi="Garamond"/>
                <w:b/>
                <w:sz w:val="16"/>
                <w:szCs w:val="16"/>
              </w:rPr>
              <w:t>2020</w:t>
            </w:r>
          </w:p>
        </w:tc>
        <w:tc>
          <w:tcPr>
            <w:tcW w:w="351" w:type="pct"/>
            <w:tcBorders>
              <w:top w:val="single" w:sz="4" w:space="0" w:color="auto"/>
              <w:left w:val="single" w:sz="4" w:space="0" w:color="auto"/>
              <w:bottom w:val="nil"/>
              <w:right w:val="single" w:sz="4" w:space="0" w:color="auto"/>
            </w:tcBorders>
            <w:shd w:val="clear" w:color="auto" w:fill="auto"/>
            <w:vAlign w:val="center"/>
            <w:hideMark/>
          </w:tcPr>
          <w:p w14:paraId="6D6F21E7" w14:textId="77777777" w:rsidR="00650E6F" w:rsidRPr="003F2B14" w:rsidRDefault="00650E6F" w:rsidP="001E2A37">
            <w:pPr>
              <w:jc w:val="center"/>
              <w:rPr>
                <w:rFonts w:ascii="Garamond" w:hAnsi="Garamond"/>
                <w:b/>
                <w:bCs/>
                <w:color w:val="000000"/>
                <w:sz w:val="16"/>
                <w:szCs w:val="16"/>
              </w:rPr>
            </w:pPr>
          </w:p>
        </w:tc>
      </w:tr>
      <w:tr w:rsidR="00650E6F" w:rsidRPr="003F2B14" w14:paraId="6D6F21F6" w14:textId="77777777" w:rsidTr="001E2A37">
        <w:trPr>
          <w:trHeight w:val="1101"/>
        </w:trPr>
        <w:tc>
          <w:tcPr>
            <w:tcW w:w="361" w:type="pct"/>
            <w:tcBorders>
              <w:left w:val="single" w:sz="8" w:space="0" w:color="auto"/>
              <w:bottom w:val="single" w:sz="8" w:space="0" w:color="000000"/>
              <w:right w:val="single" w:sz="8" w:space="0" w:color="auto"/>
            </w:tcBorders>
            <w:shd w:val="clear" w:color="auto" w:fill="auto"/>
            <w:vAlign w:val="center"/>
            <w:hideMark/>
          </w:tcPr>
          <w:p w14:paraId="6D6F21E9" w14:textId="77777777" w:rsidR="00650E6F" w:rsidRPr="003F2B14" w:rsidRDefault="00650E6F" w:rsidP="001E2A37">
            <w:pPr>
              <w:jc w:val="center"/>
              <w:rPr>
                <w:rFonts w:ascii="Garamond" w:hAnsi="Garamond"/>
                <w:color w:val="000000"/>
                <w:sz w:val="16"/>
                <w:szCs w:val="16"/>
              </w:rPr>
            </w:pPr>
          </w:p>
        </w:tc>
        <w:tc>
          <w:tcPr>
            <w:tcW w:w="347" w:type="pct"/>
            <w:tcBorders>
              <w:top w:val="nil"/>
              <w:left w:val="nil"/>
              <w:bottom w:val="single" w:sz="8" w:space="0" w:color="auto"/>
              <w:right w:val="single" w:sz="8" w:space="0" w:color="auto"/>
            </w:tcBorders>
            <w:shd w:val="clear" w:color="auto" w:fill="auto"/>
            <w:vAlign w:val="center"/>
            <w:hideMark/>
          </w:tcPr>
          <w:p w14:paraId="6D6F21EA" w14:textId="77777777" w:rsidR="00650E6F" w:rsidRPr="003F2B14" w:rsidRDefault="00650E6F" w:rsidP="001E2A37">
            <w:pPr>
              <w:jc w:val="center"/>
              <w:rPr>
                <w:rFonts w:ascii="Garamond" w:hAnsi="Garamond"/>
                <w:b/>
                <w:color w:val="000000"/>
                <w:sz w:val="16"/>
                <w:szCs w:val="16"/>
              </w:rPr>
            </w:pPr>
            <w:r w:rsidRPr="003F2B14">
              <w:rPr>
                <w:rFonts w:ascii="Garamond" w:hAnsi="Garamond"/>
                <w:b/>
                <w:color w:val="000000"/>
                <w:sz w:val="16"/>
                <w:szCs w:val="16"/>
              </w:rPr>
              <w:t>Kontributi i Bashkimit*</w:t>
            </w:r>
          </w:p>
        </w:tc>
        <w:tc>
          <w:tcPr>
            <w:tcW w:w="457" w:type="pct"/>
            <w:tcBorders>
              <w:top w:val="nil"/>
              <w:left w:val="nil"/>
              <w:bottom w:val="single" w:sz="8" w:space="0" w:color="auto"/>
              <w:right w:val="single" w:sz="8" w:space="0" w:color="auto"/>
            </w:tcBorders>
            <w:shd w:val="clear" w:color="auto" w:fill="auto"/>
            <w:vAlign w:val="center"/>
            <w:hideMark/>
          </w:tcPr>
          <w:p w14:paraId="6D6F21EB" w14:textId="3B51F165" w:rsidR="00650E6F" w:rsidRPr="003F2B14" w:rsidRDefault="003F2B14" w:rsidP="001E2A37">
            <w:pPr>
              <w:jc w:val="center"/>
              <w:rPr>
                <w:rFonts w:ascii="Garamond" w:hAnsi="Garamond"/>
                <w:b/>
                <w:color w:val="000000"/>
                <w:sz w:val="16"/>
                <w:szCs w:val="16"/>
              </w:rPr>
            </w:pPr>
            <w:r>
              <w:rPr>
                <w:rFonts w:ascii="Garamond" w:hAnsi="Garamond"/>
                <w:b/>
                <w:color w:val="000000"/>
                <w:sz w:val="16"/>
                <w:szCs w:val="16"/>
              </w:rPr>
              <w:t xml:space="preserve">Bashkëfinancimi i </w:t>
            </w:r>
            <w:r w:rsidR="00E60B9B">
              <w:rPr>
                <w:rFonts w:ascii="Garamond" w:hAnsi="Garamond"/>
                <w:b/>
                <w:color w:val="000000"/>
                <w:sz w:val="16"/>
                <w:szCs w:val="16"/>
              </w:rPr>
              <w:t>përfituesit</w:t>
            </w:r>
            <w:r>
              <w:rPr>
                <w:rFonts w:ascii="Garamond" w:hAnsi="Garamond"/>
                <w:b/>
                <w:color w:val="000000"/>
                <w:sz w:val="16"/>
                <w:szCs w:val="16"/>
              </w:rPr>
              <w:t>/</w:t>
            </w:r>
            <w:r w:rsidR="00650E6F" w:rsidRPr="003F2B14">
              <w:rPr>
                <w:rFonts w:ascii="Garamond" w:hAnsi="Garamond"/>
                <w:b/>
                <w:color w:val="000000"/>
                <w:sz w:val="16"/>
                <w:szCs w:val="16"/>
              </w:rPr>
              <w:t>ve të grantit**</w:t>
            </w:r>
          </w:p>
        </w:tc>
        <w:tc>
          <w:tcPr>
            <w:tcW w:w="404" w:type="pct"/>
            <w:tcBorders>
              <w:top w:val="nil"/>
              <w:left w:val="single" w:sz="8" w:space="0" w:color="auto"/>
              <w:bottom w:val="single" w:sz="8" w:space="0" w:color="000000"/>
              <w:right w:val="single" w:sz="8" w:space="0" w:color="auto"/>
            </w:tcBorders>
            <w:shd w:val="clear" w:color="auto" w:fill="auto"/>
            <w:vAlign w:val="center"/>
            <w:hideMark/>
          </w:tcPr>
          <w:p w14:paraId="6D6F21EC" w14:textId="77777777" w:rsidR="00650E6F" w:rsidRPr="003F2B14" w:rsidRDefault="00650E6F" w:rsidP="001E2A37">
            <w:pPr>
              <w:jc w:val="center"/>
              <w:rPr>
                <w:rFonts w:ascii="Garamond" w:hAnsi="Garamond"/>
                <w:b/>
                <w:bCs/>
                <w:color w:val="000000"/>
                <w:sz w:val="16"/>
                <w:szCs w:val="16"/>
              </w:rPr>
            </w:pPr>
            <w:r w:rsidRPr="003F2B14">
              <w:rPr>
                <w:rFonts w:ascii="Garamond" w:hAnsi="Garamond"/>
                <w:b/>
                <w:color w:val="000000"/>
                <w:sz w:val="16"/>
                <w:szCs w:val="16"/>
              </w:rPr>
              <w:t>Totali i shpenzimeve</w:t>
            </w:r>
          </w:p>
        </w:tc>
        <w:tc>
          <w:tcPr>
            <w:tcW w:w="361" w:type="pct"/>
            <w:tcBorders>
              <w:top w:val="nil"/>
              <w:left w:val="single" w:sz="8" w:space="0" w:color="auto"/>
              <w:bottom w:val="single" w:sz="8" w:space="0" w:color="000000"/>
              <w:right w:val="single" w:sz="8" w:space="0" w:color="auto"/>
            </w:tcBorders>
            <w:shd w:val="clear" w:color="auto" w:fill="auto"/>
            <w:vAlign w:val="center"/>
            <w:hideMark/>
          </w:tcPr>
          <w:p w14:paraId="6D6F21ED" w14:textId="77777777" w:rsidR="00650E6F" w:rsidRPr="003F2B14" w:rsidRDefault="00650E6F" w:rsidP="001E2A37">
            <w:pPr>
              <w:jc w:val="center"/>
              <w:rPr>
                <w:rFonts w:ascii="Garamond" w:hAnsi="Garamond"/>
                <w:b/>
                <w:color w:val="000000"/>
                <w:sz w:val="16"/>
                <w:szCs w:val="16"/>
              </w:rPr>
            </w:pPr>
          </w:p>
        </w:tc>
        <w:tc>
          <w:tcPr>
            <w:tcW w:w="318" w:type="pct"/>
            <w:tcBorders>
              <w:top w:val="nil"/>
              <w:left w:val="nil"/>
              <w:bottom w:val="single" w:sz="8" w:space="0" w:color="auto"/>
              <w:right w:val="single" w:sz="8" w:space="0" w:color="auto"/>
            </w:tcBorders>
            <w:shd w:val="clear" w:color="auto" w:fill="auto"/>
            <w:vAlign w:val="center"/>
            <w:hideMark/>
          </w:tcPr>
          <w:p w14:paraId="6D6F21EE" w14:textId="77777777" w:rsidR="00650E6F" w:rsidRPr="003F2B14" w:rsidRDefault="00650E6F" w:rsidP="001E2A37">
            <w:pPr>
              <w:jc w:val="center"/>
              <w:rPr>
                <w:rFonts w:ascii="Garamond" w:hAnsi="Garamond"/>
                <w:b/>
                <w:color w:val="000000"/>
                <w:sz w:val="16"/>
                <w:szCs w:val="16"/>
              </w:rPr>
            </w:pPr>
            <w:r w:rsidRPr="003F2B14">
              <w:rPr>
                <w:rFonts w:ascii="Garamond" w:hAnsi="Garamond"/>
                <w:b/>
                <w:color w:val="000000"/>
                <w:sz w:val="16"/>
                <w:szCs w:val="16"/>
              </w:rPr>
              <w:t>Kontributi i Bashkimit</w:t>
            </w:r>
          </w:p>
        </w:tc>
        <w:tc>
          <w:tcPr>
            <w:tcW w:w="457" w:type="pct"/>
            <w:tcBorders>
              <w:top w:val="nil"/>
              <w:left w:val="nil"/>
              <w:bottom w:val="single" w:sz="8" w:space="0" w:color="auto"/>
              <w:right w:val="single" w:sz="8" w:space="0" w:color="auto"/>
            </w:tcBorders>
            <w:shd w:val="clear" w:color="auto" w:fill="auto"/>
            <w:vAlign w:val="center"/>
            <w:hideMark/>
          </w:tcPr>
          <w:p w14:paraId="6D6F21EF" w14:textId="78D5DEF4" w:rsidR="00650E6F" w:rsidRPr="003F2B14" w:rsidRDefault="003F2B14" w:rsidP="001E2A37">
            <w:pPr>
              <w:jc w:val="center"/>
              <w:rPr>
                <w:rFonts w:ascii="Garamond" w:hAnsi="Garamond"/>
                <w:b/>
                <w:color w:val="000000"/>
                <w:sz w:val="16"/>
                <w:szCs w:val="16"/>
              </w:rPr>
            </w:pPr>
            <w:r>
              <w:rPr>
                <w:rFonts w:ascii="Garamond" w:hAnsi="Garamond"/>
                <w:b/>
                <w:color w:val="000000"/>
                <w:sz w:val="16"/>
                <w:szCs w:val="16"/>
              </w:rPr>
              <w:t xml:space="preserve">Bashkëfinancimi i </w:t>
            </w:r>
            <w:r w:rsidR="00E60B9B">
              <w:rPr>
                <w:rFonts w:ascii="Garamond" w:hAnsi="Garamond"/>
                <w:b/>
                <w:color w:val="000000"/>
                <w:sz w:val="16"/>
                <w:szCs w:val="16"/>
              </w:rPr>
              <w:t>përfituesit</w:t>
            </w:r>
            <w:r>
              <w:rPr>
                <w:rFonts w:ascii="Garamond" w:hAnsi="Garamond"/>
                <w:b/>
                <w:color w:val="000000"/>
                <w:sz w:val="16"/>
                <w:szCs w:val="16"/>
              </w:rPr>
              <w:t>/</w:t>
            </w:r>
            <w:r w:rsidR="00650E6F" w:rsidRPr="003F2B14">
              <w:rPr>
                <w:rFonts w:ascii="Garamond" w:hAnsi="Garamond"/>
                <w:b/>
                <w:color w:val="000000"/>
                <w:sz w:val="16"/>
                <w:szCs w:val="16"/>
              </w:rPr>
              <w:t>ve të grantit</w:t>
            </w:r>
          </w:p>
        </w:tc>
        <w:tc>
          <w:tcPr>
            <w:tcW w:w="404" w:type="pct"/>
            <w:tcBorders>
              <w:top w:val="nil"/>
              <w:left w:val="single" w:sz="8" w:space="0" w:color="auto"/>
              <w:bottom w:val="single" w:sz="8" w:space="0" w:color="000000"/>
              <w:right w:val="single" w:sz="8" w:space="0" w:color="auto"/>
            </w:tcBorders>
            <w:shd w:val="clear" w:color="auto" w:fill="auto"/>
            <w:vAlign w:val="center"/>
            <w:hideMark/>
          </w:tcPr>
          <w:p w14:paraId="6D6F21F0" w14:textId="77777777" w:rsidR="00650E6F" w:rsidRPr="003F2B14" w:rsidRDefault="00650E6F" w:rsidP="001E2A37">
            <w:pPr>
              <w:jc w:val="center"/>
              <w:rPr>
                <w:rFonts w:ascii="Garamond" w:hAnsi="Garamond"/>
                <w:b/>
                <w:bCs/>
                <w:color w:val="000000"/>
                <w:sz w:val="16"/>
                <w:szCs w:val="16"/>
              </w:rPr>
            </w:pPr>
            <w:r w:rsidRPr="003F2B14">
              <w:rPr>
                <w:rFonts w:ascii="Garamond" w:hAnsi="Garamond"/>
                <w:b/>
                <w:color w:val="000000"/>
                <w:sz w:val="16"/>
                <w:szCs w:val="16"/>
              </w:rPr>
              <w:t>Totali i shpenzimeve</w:t>
            </w:r>
          </w:p>
        </w:tc>
        <w:tc>
          <w:tcPr>
            <w:tcW w:w="361" w:type="pct"/>
            <w:tcBorders>
              <w:top w:val="nil"/>
              <w:left w:val="single" w:sz="8" w:space="0" w:color="auto"/>
              <w:bottom w:val="single" w:sz="8" w:space="0" w:color="000000"/>
              <w:right w:val="single" w:sz="8" w:space="0" w:color="auto"/>
            </w:tcBorders>
            <w:shd w:val="clear" w:color="auto" w:fill="auto"/>
            <w:vAlign w:val="center"/>
            <w:hideMark/>
          </w:tcPr>
          <w:p w14:paraId="6D6F21F1" w14:textId="77777777" w:rsidR="00650E6F" w:rsidRPr="003F2B14" w:rsidRDefault="00650E6F" w:rsidP="001E2A37">
            <w:pPr>
              <w:jc w:val="center"/>
              <w:rPr>
                <w:rFonts w:ascii="Garamond" w:hAnsi="Garamond"/>
                <w:b/>
                <w:color w:val="000000"/>
                <w:sz w:val="16"/>
                <w:szCs w:val="16"/>
              </w:rPr>
            </w:pPr>
          </w:p>
        </w:tc>
        <w:tc>
          <w:tcPr>
            <w:tcW w:w="318" w:type="pct"/>
            <w:tcBorders>
              <w:top w:val="nil"/>
              <w:left w:val="nil"/>
              <w:bottom w:val="single" w:sz="8" w:space="0" w:color="auto"/>
              <w:right w:val="single" w:sz="8" w:space="0" w:color="auto"/>
            </w:tcBorders>
            <w:shd w:val="clear" w:color="auto" w:fill="auto"/>
            <w:vAlign w:val="center"/>
            <w:hideMark/>
          </w:tcPr>
          <w:p w14:paraId="6D6F21F2" w14:textId="77777777" w:rsidR="00650E6F" w:rsidRPr="003F2B14" w:rsidRDefault="00650E6F" w:rsidP="001E2A37">
            <w:pPr>
              <w:jc w:val="center"/>
              <w:rPr>
                <w:rFonts w:ascii="Garamond" w:hAnsi="Garamond"/>
                <w:b/>
                <w:color w:val="000000"/>
                <w:sz w:val="16"/>
                <w:szCs w:val="16"/>
              </w:rPr>
            </w:pPr>
            <w:r w:rsidRPr="003F2B14">
              <w:rPr>
                <w:rFonts w:ascii="Garamond" w:hAnsi="Garamond"/>
                <w:b/>
                <w:color w:val="000000"/>
                <w:sz w:val="16"/>
                <w:szCs w:val="16"/>
              </w:rPr>
              <w:t>Kontributi i Bashkimit</w:t>
            </w:r>
          </w:p>
        </w:tc>
        <w:tc>
          <w:tcPr>
            <w:tcW w:w="457" w:type="pct"/>
            <w:tcBorders>
              <w:top w:val="nil"/>
              <w:left w:val="nil"/>
              <w:bottom w:val="single" w:sz="8" w:space="0" w:color="auto"/>
              <w:right w:val="single" w:sz="8" w:space="0" w:color="auto"/>
            </w:tcBorders>
            <w:shd w:val="clear" w:color="auto" w:fill="auto"/>
            <w:vAlign w:val="center"/>
            <w:hideMark/>
          </w:tcPr>
          <w:p w14:paraId="6D6F21F3" w14:textId="2E89F36D" w:rsidR="00650E6F" w:rsidRPr="003F2B14" w:rsidRDefault="003F2B14" w:rsidP="003F2B14">
            <w:pPr>
              <w:jc w:val="center"/>
              <w:rPr>
                <w:rFonts w:ascii="Garamond" w:hAnsi="Garamond"/>
                <w:b/>
                <w:color w:val="000000"/>
                <w:sz w:val="16"/>
                <w:szCs w:val="16"/>
              </w:rPr>
            </w:pPr>
            <w:r>
              <w:rPr>
                <w:rFonts w:ascii="Garamond" w:hAnsi="Garamond"/>
                <w:b/>
                <w:color w:val="000000"/>
                <w:sz w:val="16"/>
                <w:szCs w:val="16"/>
              </w:rPr>
              <w:t xml:space="preserve">Bashkëfinancimi i </w:t>
            </w:r>
            <w:r w:rsidR="00E60B9B">
              <w:rPr>
                <w:rFonts w:ascii="Garamond" w:hAnsi="Garamond"/>
                <w:b/>
                <w:color w:val="000000"/>
                <w:sz w:val="16"/>
                <w:szCs w:val="16"/>
              </w:rPr>
              <w:t>përfituesit</w:t>
            </w:r>
            <w:r w:rsidR="00650E6F" w:rsidRPr="003F2B14">
              <w:rPr>
                <w:rFonts w:ascii="Garamond" w:hAnsi="Garamond"/>
                <w:b/>
                <w:color w:val="000000"/>
                <w:sz w:val="16"/>
                <w:szCs w:val="16"/>
              </w:rPr>
              <w:t>/ve të grantit</w:t>
            </w:r>
          </w:p>
        </w:tc>
        <w:tc>
          <w:tcPr>
            <w:tcW w:w="404" w:type="pct"/>
            <w:tcBorders>
              <w:top w:val="nil"/>
              <w:left w:val="single" w:sz="8" w:space="0" w:color="auto"/>
              <w:bottom w:val="single" w:sz="8" w:space="0" w:color="000000"/>
              <w:right w:val="single" w:sz="4" w:space="0" w:color="auto"/>
            </w:tcBorders>
            <w:shd w:val="clear" w:color="auto" w:fill="auto"/>
            <w:vAlign w:val="center"/>
            <w:hideMark/>
          </w:tcPr>
          <w:p w14:paraId="6D6F21F4" w14:textId="77777777" w:rsidR="00650E6F" w:rsidRPr="003F2B14" w:rsidRDefault="00650E6F" w:rsidP="001E2A37">
            <w:pPr>
              <w:jc w:val="center"/>
              <w:rPr>
                <w:rFonts w:ascii="Garamond" w:hAnsi="Garamond"/>
                <w:b/>
                <w:bCs/>
                <w:color w:val="000000"/>
                <w:sz w:val="16"/>
                <w:szCs w:val="16"/>
              </w:rPr>
            </w:pPr>
            <w:r w:rsidRPr="003F2B14">
              <w:rPr>
                <w:rFonts w:ascii="Garamond" w:hAnsi="Garamond"/>
                <w:b/>
                <w:color w:val="000000"/>
                <w:sz w:val="16"/>
                <w:szCs w:val="16"/>
              </w:rPr>
              <w:t>Totali i shpenzimeve</w:t>
            </w:r>
          </w:p>
        </w:tc>
        <w:tc>
          <w:tcPr>
            <w:tcW w:w="351" w:type="pct"/>
            <w:tcBorders>
              <w:left w:val="single" w:sz="4" w:space="0" w:color="auto"/>
              <w:bottom w:val="single" w:sz="8" w:space="0" w:color="auto"/>
              <w:right w:val="single" w:sz="4" w:space="0" w:color="auto"/>
            </w:tcBorders>
            <w:shd w:val="clear" w:color="auto" w:fill="auto"/>
            <w:vAlign w:val="center"/>
            <w:hideMark/>
          </w:tcPr>
          <w:p w14:paraId="6D6F21F5" w14:textId="549F420A" w:rsidR="00650E6F" w:rsidRPr="003F2B14" w:rsidRDefault="00650E6F" w:rsidP="001E2A37">
            <w:pPr>
              <w:jc w:val="center"/>
              <w:rPr>
                <w:rFonts w:ascii="Garamond" w:hAnsi="Garamond"/>
                <w:b/>
                <w:bCs/>
                <w:color w:val="000000"/>
                <w:sz w:val="16"/>
                <w:szCs w:val="16"/>
              </w:rPr>
            </w:pPr>
            <w:r w:rsidRPr="003F2B14">
              <w:rPr>
                <w:rFonts w:ascii="Garamond" w:hAnsi="Garamond"/>
                <w:b/>
                <w:color w:val="000000"/>
                <w:sz w:val="16"/>
                <w:szCs w:val="16"/>
              </w:rPr>
              <w:t xml:space="preserve">Vendimi i </w:t>
            </w:r>
            <w:r w:rsidR="003F2B14" w:rsidRPr="003F2B14">
              <w:rPr>
                <w:rFonts w:ascii="Garamond" w:hAnsi="Garamond"/>
                <w:b/>
                <w:color w:val="000000"/>
                <w:sz w:val="16"/>
                <w:szCs w:val="16"/>
              </w:rPr>
              <w:t>financimit</w:t>
            </w:r>
            <w:r w:rsidR="003F2B14">
              <w:rPr>
                <w:rFonts w:ascii="Garamond" w:hAnsi="Garamond"/>
                <w:b/>
                <w:color w:val="000000"/>
                <w:sz w:val="16"/>
                <w:szCs w:val="16"/>
              </w:rPr>
              <w:t>,</w:t>
            </w:r>
            <w:r w:rsidR="003F2B14" w:rsidRPr="003F2B14">
              <w:rPr>
                <w:rFonts w:ascii="Garamond" w:hAnsi="Garamond"/>
                <w:b/>
                <w:color w:val="000000"/>
                <w:sz w:val="16"/>
                <w:szCs w:val="16"/>
              </w:rPr>
              <w:t xml:space="preserve"> total</w:t>
            </w:r>
          </w:p>
        </w:tc>
      </w:tr>
      <w:tr w:rsidR="00650E6F" w:rsidRPr="003F2B14" w14:paraId="6D6F2204" w14:textId="77777777" w:rsidTr="00650E6F">
        <w:trPr>
          <w:trHeight w:val="317"/>
        </w:trPr>
        <w:tc>
          <w:tcPr>
            <w:tcW w:w="361" w:type="pct"/>
            <w:tcBorders>
              <w:top w:val="nil"/>
              <w:left w:val="single" w:sz="8" w:space="0" w:color="auto"/>
              <w:bottom w:val="single" w:sz="4" w:space="0" w:color="auto"/>
              <w:right w:val="single" w:sz="4" w:space="0" w:color="auto"/>
            </w:tcBorders>
            <w:shd w:val="clear" w:color="auto" w:fill="auto"/>
            <w:vAlign w:val="center"/>
            <w:hideMark/>
          </w:tcPr>
          <w:p w14:paraId="6D6F21F7" w14:textId="77777777" w:rsidR="00650E6F" w:rsidRPr="003F2B14" w:rsidRDefault="00650E6F" w:rsidP="00650E6F">
            <w:pPr>
              <w:jc w:val="both"/>
              <w:rPr>
                <w:rFonts w:ascii="Garamond" w:hAnsi="Garamond"/>
                <w:bCs/>
                <w:color w:val="000000"/>
                <w:sz w:val="16"/>
                <w:szCs w:val="16"/>
              </w:rPr>
            </w:pPr>
            <w:r w:rsidRPr="003F2B14">
              <w:rPr>
                <w:rFonts w:ascii="Garamond" w:hAnsi="Garamond"/>
                <w:color w:val="000000"/>
                <w:sz w:val="16"/>
                <w:szCs w:val="16"/>
              </w:rPr>
              <w:t>Operacionet e BNK-së</w:t>
            </w:r>
          </w:p>
        </w:tc>
        <w:tc>
          <w:tcPr>
            <w:tcW w:w="347" w:type="pct"/>
            <w:tcBorders>
              <w:top w:val="nil"/>
              <w:left w:val="nil"/>
              <w:bottom w:val="single" w:sz="4" w:space="0" w:color="auto"/>
              <w:right w:val="single" w:sz="4" w:space="0" w:color="auto"/>
            </w:tcBorders>
            <w:shd w:val="clear" w:color="auto" w:fill="auto"/>
            <w:noWrap/>
            <w:vAlign w:val="center"/>
            <w:hideMark/>
          </w:tcPr>
          <w:p w14:paraId="6D6F21F8"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1.700.000</w:t>
            </w:r>
          </w:p>
        </w:tc>
        <w:tc>
          <w:tcPr>
            <w:tcW w:w="457" w:type="pct"/>
            <w:tcBorders>
              <w:top w:val="nil"/>
              <w:left w:val="nil"/>
              <w:bottom w:val="single" w:sz="4" w:space="0" w:color="auto"/>
              <w:right w:val="single" w:sz="4" w:space="0" w:color="auto"/>
            </w:tcBorders>
            <w:shd w:val="clear" w:color="auto" w:fill="auto"/>
            <w:noWrap/>
            <w:vAlign w:val="center"/>
            <w:hideMark/>
          </w:tcPr>
          <w:p w14:paraId="6D6F21F9"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300.000</w:t>
            </w:r>
          </w:p>
        </w:tc>
        <w:tc>
          <w:tcPr>
            <w:tcW w:w="404" w:type="pct"/>
            <w:tcBorders>
              <w:top w:val="nil"/>
              <w:left w:val="nil"/>
              <w:bottom w:val="single" w:sz="4" w:space="0" w:color="auto"/>
              <w:right w:val="single" w:sz="8" w:space="0" w:color="auto"/>
            </w:tcBorders>
            <w:shd w:val="clear" w:color="auto" w:fill="auto"/>
            <w:noWrap/>
            <w:vAlign w:val="center"/>
            <w:hideMark/>
          </w:tcPr>
          <w:p w14:paraId="6D6F21FA"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2.000.000</w:t>
            </w:r>
          </w:p>
        </w:tc>
        <w:tc>
          <w:tcPr>
            <w:tcW w:w="361" w:type="pct"/>
            <w:tcBorders>
              <w:top w:val="nil"/>
              <w:left w:val="nil"/>
              <w:bottom w:val="single" w:sz="4" w:space="0" w:color="auto"/>
              <w:right w:val="single" w:sz="4" w:space="0" w:color="auto"/>
            </w:tcBorders>
            <w:shd w:val="clear" w:color="auto" w:fill="auto"/>
            <w:vAlign w:val="center"/>
            <w:hideMark/>
          </w:tcPr>
          <w:p w14:paraId="6D6F21FB" w14:textId="77777777" w:rsidR="00650E6F" w:rsidRPr="003F2B14" w:rsidRDefault="00650E6F" w:rsidP="00650E6F">
            <w:pPr>
              <w:jc w:val="both"/>
              <w:rPr>
                <w:rFonts w:ascii="Garamond" w:hAnsi="Garamond"/>
                <w:bCs/>
                <w:color w:val="000000"/>
                <w:sz w:val="16"/>
                <w:szCs w:val="16"/>
              </w:rPr>
            </w:pPr>
            <w:r w:rsidRPr="003F2B14">
              <w:rPr>
                <w:rFonts w:ascii="Garamond" w:hAnsi="Garamond"/>
                <w:color w:val="000000"/>
                <w:sz w:val="16"/>
                <w:szCs w:val="16"/>
              </w:rPr>
              <w:t>Operacionet e BNK-së</w:t>
            </w:r>
          </w:p>
        </w:tc>
        <w:tc>
          <w:tcPr>
            <w:tcW w:w="318" w:type="pct"/>
            <w:tcBorders>
              <w:top w:val="nil"/>
              <w:left w:val="nil"/>
              <w:bottom w:val="single" w:sz="4" w:space="0" w:color="auto"/>
              <w:right w:val="single" w:sz="4" w:space="0" w:color="auto"/>
            </w:tcBorders>
            <w:shd w:val="clear" w:color="auto" w:fill="auto"/>
            <w:vAlign w:val="center"/>
            <w:hideMark/>
          </w:tcPr>
          <w:p w14:paraId="6D6F21FC" w14:textId="77777777" w:rsidR="00650E6F" w:rsidRPr="003F2B14" w:rsidRDefault="00650E6F" w:rsidP="003F2B14">
            <w:pPr>
              <w:jc w:val="right"/>
              <w:rPr>
                <w:rFonts w:ascii="Garamond" w:hAnsi="Garamond"/>
                <w:bCs/>
                <w:color w:val="000000"/>
                <w:sz w:val="16"/>
                <w:szCs w:val="16"/>
              </w:rPr>
            </w:pPr>
            <w:r w:rsidRPr="003F2B14">
              <w:rPr>
                <w:rFonts w:ascii="Garamond" w:hAnsi="Garamond"/>
                <w:color w:val="000000"/>
                <w:sz w:val="16"/>
                <w:szCs w:val="16"/>
              </w:rPr>
              <w:t>1.700.000</w:t>
            </w:r>
          </w:p>
        </w:tc>
        <w:tc>
          <w:tcPr>
            <w:tcW w:w="457" w:type="pct"/>
            <w:tcBorders>
              <w:top w:val="nil"/>
              <w:left w:val="nil"/>
              <w:bottom w:val="single" w:sz="4" w:space="0" w:color="auto"/>
              <w:right w:val="single" w:sz="4" w:space="0" w:color="auto"/>
            </w:tcBorders>
            <w:shd w:val="clear" w:color="auto" w:fill="auto"/>
            <w:vAlign w:val="center"/>
            <w:hideMark/>
          </w:tcPr>
          <w:p w14:paraId="6D6F21FD" w14:textId="77777777" w:rsidR="00650E6F" w:rsidRPr="003F2B14" w:rsidRDefault="00650E6F" w:rsidP="003F2B14">
            <w:pPr>
              <w:jc w:val="right"/>
              <w:rPr>
                <w:rFonts w:ascii="Garamond" w:hAnsi="Garamond"/>
                <w:bCs/>
                <w:color w:val="000000"/>
                <w:sz w:val="16"/>
                <w:szCs w:val="16"/>
              </w:rPr>
            </w:pPr>
            <w:r w:rsidRPr="003F2B14">
              <w:rPr>
                <w:rFonts w:ascii="Garamond" w:hAnsi="Garamond"/>
                <w:color w:val="000000"/>
                <w:sz w:val="16"/>
                <w:szCs w:val="16"/>
              </w:rPr>
              <w:t>300.000</w:t>
            </w:r>
          </w:p>
        </w:tc>
        <w:tc>
          <w:tcPr>
            <w:tcW w:w="404" w:type="pct"/>
            <w:tcBorders>
              <w:top w:val="nil"/>
              <w:left w:val="nil"/>
              <w:bottom w:val="single" w:sz="4" w:space="0" w:color="auto"/>
              <w:right w:val="single" w:sz="8" w:space="0" w:color="auto"/>
            </w:tcBorders>
            <w:shd w:val="clear" w:color="auto" w:fill="auto"/>
            <w:vAlign w:val="center"/>
            <w:hideMark/>
          </w:tcPr>
          <w:p w14:paraId="6D6F21FE"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2.000.000</w:t>
            </w:r>
          </w:p>
        </w:tc>
        <w:tc>
          <w:tcPr>
            <w:tcW w:w="361" w:type="pct"/>
            <w:tcBorders>
              <w:top w:val="nil"/>
              <w:left w:val="nil"/>
              <w:bottom w:val="single" w:sz="4" w:space="0" w:color="auto"/>
              <w:right w:val="single" w:sz="4" w:space="0" w:color="auto"/>
            </w:tcBorders>
            <w:shd w:val="clear" w:color="auto" w:fill="auto"/>
            <w:vAlign w:val="center"/>
            <w:hideMark/>
          </w:tcPr>
          <w:p w14:paraId="6D6F21FF" w14:textId="77777777" w:rsidR="00650E6F" w:rsidRPr="003F2B14" w:rsidRDefault="00650E6F" w:rsidP="00650E6F">
            <w:pPr>
              <w:jc w:val="both"/>
              <w:rPr>
                <w:rFonts w:ascii="Garamond" w:hAnsi="Garamond"/>
                <w:bCs/>
                <w:color w:val="000000"/>
                <w:sz w:val="16"/>
                <w:szCs w:val="16"/>
              </w:rPr>
            </w:pPr>
            <w:r w:rsidRPr="003F2B14">
              <w:rPr>
                <w:rFonts w:ascii="Garamond" w:hAnsi="Garamond"/>
                <w:color w:val="000000"/>
                <w:sz w:val="16"/>
                <w:szCs w:val="16"/>
              </w:rPr>
              <w:t>Operacionet e BNK-së</w:t>
            </w:r>
          </w:p>
        </w:tc>
        <w:tc>
          <w:tcPr>
            <w:tcW w:w="318" w:type="pct"/>
            <w:tcBorders>
              <w:top w:val="nil"/>
              <w:left w:val="nil"/>
              <w:bottom w:val="single" w:sz="4" w:space="0" w:color="auto"/>
              <w:right w:val="single" w:sz="4" w:space="0" w:color="auto"/>
            </w:tcBorders>
            <w:shd w:val="clear" w:color="auto" w:fill="auto"/>
            <w:vAlign w:val="center"/>
            <w:hideMark/>
          </w:tcPr>
          <w:p w14:paraId="6D6F2200" w14:textId="77777777" w:rsidR="00650E6F" w:rsidRPr="003F2B14" w:rsidRDefault="00650E6F" w:rsidP="003F2B14">
            <w:pPr>
              <w:jc w:val="right"/>
              <w:rPr>
                <w:rFonts w:ascii="Garamond" w:hAnsi="Garamond"/>
                <w:bCs/>
                <w:color w:val="000000"/>
                <w:sz w:val="16"/>
                <w:szCs w:val="16"/>
              </w:rPr>
            </w:pPr>
            <w:r w:rsidRPr="003F2B14">
              <w:rPr>
                <w:rFonts w:ascii="Garamond" w:hAnsi="Garamond"/>
                <w:color w:val="000000"/>
                <w:sz w:val="16"/>
                <w:szCs w:val="16"/>
              </w:rPr>
              <w:t>1.530.000</w:t>
            </w:r>
          </w:p>
        </w:tc>
        <w:tc>
          <w:tcPr>
            <w:tcW w:w="457" w:type="pct"/>
            <w:tcBorders>
              <w:top w:val="nil"/>
              <w:left w:val="nil"/>
              <w:bottom w:val="single" w:sz="4" w:space="0" w:color="auto"/>
              <w:right w:val="single" w:sz="4" w:space="0" w:color="auto"/>
            </w:tcBorders>
            <w:shd w:val="clear" w:color="auto" w:fill="auto"/>
            <w:vAlign w:val="center"/>
            <w:hideMark/>
          </w:tcPr>
          <w:p w14:paraId="6D6F2201" w14:textId="77777777" w:rsidR="00650E6F" w:rsidRPr="003F2B14" w:rsidRDefault="00650E6F" w:rsidP="003F2B14">
            <w:pPr>
              <w:jc w:val="right"/>
              <w:rPr>
                <w:rFonts w:ascii="Garamond" w:hAnsi="Garamond"/>
                <w:bCs/>
                <w:color w:val="000000"/>
                <w:sz w:val="16"/>
                <w:szCs w:val="16"/>
              </w:rPr>
            </w:pPr>
            <w:r w:rsidRPr="003F2B14">
              <w:rPr>
                <w:rFonts w:ascii="Garamond" w:hAnsi="Garamond"/>
                <w:color w:val="000000"/>
                <w:sz w:val="16"/>
                <w:szCs w:val="16"/>
              </w:rPr>
              <w:t>270.000</w:t>
            </w:r>
          </w:p>
        </w:tc>
        <w:tc>
          <w:tcPr>
            <w:tcW w:w="404" w:type="pct"/>
            <w:tcBorders>
              <w:top w:val="nil"/>
              <w:left w:val="nil"/>
              <w:bottom w:val="single" w:sz="4" w:space="0" w:color="auto"/>
              <w:right w:val="single" w:sz="4" w:space="0" w:color="auto"/>
            </w:tcBorders>
            <w:shd w:val="clear" w:color="auto" w:fill="auto"/>
            <w:vAlign w:val="center"/>
            <w:hideMark/>
          </w:tcPr>
          <w:p w14:paraId="6D6F2202"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1.800.000</w:t>
            </w:r>
          </w:p>
        </w:tc>
        <w:tc>
          <w:tcPr>
            <w:tcW w:w="351" w:type="pct"/>
            <w:tcBorders>
              <w:top w:val="nil"/>
              <w:left w:val="single" w:sz="4" w:space="0" w:color="auto"/>
              <w:bottom w:val="single" w:sz="4" w:space="0" w:color="auto"/>
              <w:right w:val="single" w:sz="4" w:space="0" w:color="auto"/>
            </w:tcBorders>
            <w:shd w:val="clear" w:color="auto" w:fill="auto"/>
            <w:vAlign w:val="center"/>
            <w:hideMark/>
          </w:tcPr>
          <w:p w14:paraId="6D6F2203"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 4.930.000</w:t>
            </w:r>
          </w:p>
        </w:tc>
      </w:tr>
      <w:tr w:rsidR="00650E6F" w:rsidRPr="003F2B14" w14:paraId="6D6F2212" w14:textId="77777777" w:rsidTr="00650E6F">
        <w:trPr>
          <w:trHeight w:val="317"/>
        </w:trPr>
        <w:tc>
          <w:tcPr>
            <w:tcW w:w="361" w:type="pct"/>
            <w:tcBorders>
              <w:top w:val="nil"/>
              <w:left w:val="single" w:sz="8" w:space="0" w:color="auto"/>
              <w:bottom w:val="single" w:sz="8" w:space="0" w:color="auto"/>
              <w:right w:val="single" w:sz="4" w:space="0" w:color="auto"/>
            </w:tcBorders>
            <w:shd w:val="clear" w:color="auto" w:fill="auto"/>
            <w:vAlign w:val="center"/>
          </w:tcPr>
          <w:p w14:paraId="6D6F2205" w14:textId="09479EC6" w:rsidR="00650E6F" w:rsidRPr="003F2B14" w:rsidRDefault="00650E6F" w:rsidP="003F2B14">
            <w:pPr>
              <w:jc w:val="center"/>
              <w:rPr>
                <w:rFonts w:ascii="Garamond" w:hAnsi="Garamond"/>
                <w:b/>
                <w:bCs/>
                <w:color w:val="000000"/>
                <w:sz w:val="16"/>
                <w:szCs w:val="16"/>
              </w:rPr>
            </w:pPr>
            <w:r w:rsidRPr="003F2B14">
              <w:rPr>
                <w:rFonts w:ascii="Garamond" w:hAnsi="Garamond"/>
                <w:b/>
                <w:color w:val="000000"/>
                <w:sz w:val="16"/>
                <w:szCs w:val="16"/>
              </w:rPr>
              <w:t>në %</w:t>
            </w:r>
          </w:p>
        </w:tc>
        <w:tc>
          <w:tcPr>
            <w:tcW w:w="347" w:type="pct"/>
            <w:tcBorders>
              <w:top w:val="nil"/>
              <w:left w:val="nil"/>
              <w:bottom w:val="single" w:sz="8" w:space="0" w:color="auto"/>
              <w:right w:val="single" w:sz="4" w:space="0" w:color="auto"/>
            </w:tcBorders>
            <w:shd w:val="clear" w:color="auto" w:fill="auto"/>
            <w:noWrap/>
            <w:vAlign w:val="center"/>
          </w:tcPr>
          <w:p w14:paraId="6D6F2206"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85</w:t>
            </w:r>
          </w:p>
        </w:tc>
        <w:tc>
          <w:tcPr>
            <w:tcW w:w="457" w:type="pct"/>
            <w:tcBorders>
              <w:top w:val="nil"/>
              <w:left w:val="nil"/>
              <w:bottom w:val="single" w:sz="8" w:space="0" w:color="auto"/>
              <w:right w:val="single" w:sz="4" w:space="0" w:color="auto"/>
            </w:tcBorders>
            <w:shd w:val="clear" w:color="auto" w:fill="auto"/>
            <w:noWrap/>
            <w:vAlign w:val="center"/>
          </w:tcPr>
          <w:p w14:paraId="6D6F2207"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15</w:t>
            </w:r>
          </w:p>
        </w:tc>
        <w:tc>
          <w:tcPr>
            <w:tcW w:w="404" w:type="pct"/>
            <w:tcBorders>
              <w:top w:val="nil"/>
              <w:left w:val="nil"/>
              <w:bottom w:val="single" w:sz="8" w:space="0" w:color="auto"/>
              <w:right w:val="single" w:sz="8" w:space="0" w:color="auto"/>
            </w:tcBorders>
            <w:shd w:val="clear" w:color="auto" w:fill="auto"/>
            <w:noWrap/>
            <w:vAlign w:val="center"/>
          </w:tcPr>
          <w:p w14:paraId="6D6F2208"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100</w:t>
            </w:r>
          </w:p>
        </w:tc>
        <w:tc>
          <w:tcPr>
            <w:tcW w:w="361" w:type="pct"/>
            <w:tcBorders>
              <w:top w:val="nil"/>
              <w:left w:val="nil"/>
              <w:bottom w:val="single" w:sz="8" w:space="0" w:color="auto"/>
              <w:right w:val="single" w:sz="4" w:space="0" w:color="auto"/>
            </w:tcBorders>
            <w:shd w:val="clear" w:color="auto" w:fill="auto"/>
            <w:vAlign w:val="center"/>
          </w:tcPr>
          <w:p w14:paraId="6D6F2209" w14:textId="77777777" w:rsidR="00650E6F" w:rsidRPr="003F2B14" w:rsidRDefault="00650E6F" w:rsidP="003F2B14">
            <w:pPr>
              <w:jc w:val="center"/>
              <w:rPr>
                <w:rFonts w:ascii="Garamond" w:hAnsi="Garamond"/>
                <w:b/>
                <w:bCs/>
                <w:color w:val="000000"/>
                <w:sz w:val="16"/>
                <w:szCs w:val="16"/>
              </w:rPr>
            </w:pPr>
            <w:r w:rsidRPr="003F2B14">
              <w:rPr>
                <w:rFonts w:ascii="Garamond" w:hAnsi="Garamond"/>
                <w:b/>
                <w:color w:val="000000"/>
                <w:sz w:val="16"/>
                <w:szCs w:val="16"/>
              </w:rPr>
              <w:t>në %</w:t>
            </w:r>
          </w:p>
        </w:tc>
        <w:tc>
          <w:tcPr>
            <w:tcW w:w="318" w:type="pct"/>
            <w:tcBorders>
              <w:top w:val="nil"/>
              <w:left w:val="nil"/>
              <w:bottom w:val="single" w:sz="8" w:space="0" w:color="auto"/>
              <w:right w:val="single" w:sz="4" w:space="0" w:color="auto"/>
            </w:tcBorders>
            <w:shd w:val="clear" w:color="auto" w:fill="auto"/>
            <w:vAlign w:val="center"/>
          </w:tcPr>
          <w:p w14:paraId="6D6F220A"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85</w:t>
            </w:r>
          </w:p>
        </w:tc>
        <w:tc>
          <w:tcPr>
            <w:tcW w:w="457" w:type="pct"/>
            <w:tcBorders>
              <w:top w:val="nil"/>
              <w:left w:val="nil"/>
              <w:bottom w:val="single" w:sz="8" w:space="0" w:color="auto"/>
              <w:right w:val="single" w:sz="4" w:space="0" w:color="auto"/>
            </w:tcBorders>
            <w:shd w:val="clear" w:color="auto" w:fill="auto"/>
            <w:vAlign w:val="center"/>
          </w:tcPr>
          <w:p w14:paraId="6D6F220B"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15</w:t>
            </w:r>
          </w:p>
        </w:tc>
        <w:tc>
          <w:tcPr>
            <w:tcW w:w="404" w:type="pct"/>
            <w:tcBorders>
              <w:top w:val="nil"/>
              <w:left w:val="nil"/>
              <w:bottom w:val="single" w:sz="8" w:space="0" w:color="auto"/>
              <w:right w:val="single" w:sz="8" w:space="0" w:color="auto"/>
            </w:tcBorders>
            <w:shd w:val="clear" w:color="auto" w:fill="auto"/>
            <w:vAlign w:val="center"/>
          </w:tcPr>
          <w:p w14:paraId="6D6F220C"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100</w:t>
            </w:r>
          </w:p>
        </w:tc>
        <w:tc>
          <w:tcPr>
            <w:tcW w:w="361" w:type="pct"/>
            <w:tcBorders>
              <w:top w:val="nil"/>
              <w:left w:val="nil"/>
              <w:bottom w:val="single" w:sz="8" w:space="0" w:color="auto"/>
              <w:right w:val="single" w:sz="4" w:space="0" w:color="auto"/>
            </w:tcBorders>
            <w:shd w:val="clear" w:color="auto" w:fill="auto"/>
            <w:vAlign w:val="center"/>
          </w:tcPr>
          <w:p w14:paraId="6D6F220D" w14:textId="77777777" w:rsidR="00650E6F" w:rsidRPr="003F2B14" w:rsidRDefault="00650E6F" w:rsidP="003F2B14">
            <w:pPr>
              <w:jc w:val="center"/>
              <w:rPr>
                <w:rFonts w:ascii="Garamond" w:hAnsi="Garamond"/>
                <w:b/>
                <w:bCs/>
                <w:color w:val="000000"/>
                <w:sz w:val="16"/>
                <w:szCs w:val="16"/>
              </w:rPr>
            </w:pPr>
            <w:r w:rsidRPr="003F2B14">
              <w:rPr>
                <w:rFonts w:ascii="Garamond" w:hAnsi="Garamond"/>
                <w:b/>
                <w:color w:val="000000"/>
                <w:sz w:val="16"/>
                <w:szCs w:val="16"/>
              </w:rPr>
              <w:t>në %</w:t>
            </w:r>
          </w:p>
        </w:tc>
        <w:tc>
          <w:tcPr>
            <w:tcW w:w="318" w:type="pct"/>
            <w:tcBorders>
              <w:top w:val="nil"/>
              <w:left w:val="nil"/>
              <w:bottom w:val="single" w:sz="8" w:space="0" w:color="auto"/>
              <w:right w:val="single" w:sz="4" w:space="0" w:color="auto"/>
            </w:tcBorders>
            <w:shd w:val="clear" w:color="auto" w:fill="auto"/>
            <w:vAlign w:val="center"/>
          </w:tcPr>
          <w:p w14:paraId="6D6F220E"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85</w:t>
            </w:r>
          </w:p>
        </w:tc>
        <w:tc>
          <w:tcPr>
            <w:tcW w:w="457" w:type="pct"/>
            <w:tcBorders>
              <w:top w:val="nil"/>
              <w:left w:val="nil"/>
              <w:bottom w:val="single" w:sz="8" w:space="0" w:color="auto"/>
              <w:right w:val="single" w:sz="4" w:space="0" w:color="auto"/>
            </w:tcBorders>
            <w:shd w:val="clear" w:color="auto" w:fill="auto"/>
            <w:vAlign w:val="center"/>
          </w:tcPr>
          <w:p w14:paraId="6D6F220F"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15</w:t>
            </w:r>
          </w:p>
        </w:tc>
        <w:tc>
          <w:tcPr>
            <w:tcW w:w="404" w:type="pct"/>
            <w:tcBorders>
              <w:top w:val="nil"/>
              <w:left w:val="nil"/>
              <w:bottom w:val="single" w:sz="8" w:space="0" w:color="auto"/>
              <w:right w:val="single" w:sz="4" w:space="0" w:color="auto"/>
            </w:tcBorders>
            <w:shd w:val="clear" w:color="auto" w:fill="auto"/>
            <w:vAlign w:val="center"/>
          </w:tcPr>
          <w:p w14:paraId="6D6F2210"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100</w:t>
            </w:r>
          </w:p>
        </w:tc>
        <w:tc>
          <w:tcPr>
            <w:tcW w:w="351" w:type="pct"/>
            <w:tcBorders>
              <w:top w:val="nil"/>
              <w:left w:val="single" w:sz="4" w:space="0" w:color="auto"/>
              <w:bottom w:val="single" w:sz="4" w:space="0" w:color="auto"/>
              <w:right w:val="single" w:sz="4" w:space="0" w:color="auto"/>
            </w:tcBorders>
            <w:shd w:val="clear" w:color="auto" w:fill="auto"/>
            <w:vAlign w:val="center"/>
          </w:tcPr>
          <w:p w14:paraId="6D6F2211" w14:textId="77777777" w:rsidR="00650E6F" w:rsidRPr="003F2B14" w:rsidRDefault="00650E6F" w:rsidP="003F2B14">
            <w:pPr>
              <w:jc w:val="right"/>
              <w:rPr>
                <w:rFonts w:ascii="Garamond" w:hAnsi="Garamond"/>
                <w:b/>
                <w:bCs/>
                <w:color w:val="000000"/>
                <w:sz w:val="16"/>
                <w:szCs w:val="16"/>
              </w:rPr>
            </w:pPr>
          </w:p>
        </w:tc>
      </w:tr>
      <w:tr w:rsidR="00650E6F" w:rsidRPr="003F2B14" w14:paraId="6D6F2220" w14:textId="77777777" w:rsidTr="00650E6F">
        <w:trPr>
          <w:trHeight w:val="317"/>
        </w:trPr>
        <w:tc>
          <w:tcPr>
            <w:tcW w:w="361" w:type="pct"/>
            <w:tcBorders>
              <w:top w:val="nil"/>
              <w:left w:val="single" w:sz="8" w:space="0" w:color="auto"/>
              <w:bottom w:val="single" w:sz="8" w:space="0" w:color="auto"/>
              <w:right w:val="single" w:sz="4" w:space="0" w:color="auto"/>
            </w:tcBorders>
            <w:shd w:val="clear" w:color="auto" w:fill="auto"/>
            <w:vAlign w:val="center"/>
            <w:hideMark/>
          </w:tcPr>
          <w:p w14:paraId="6D6F2213" w14:textId="77777777" w:rsidR="00650E6F" w:rsidRPr="003F2B14" w:rsidRDefault="00650E6F" w:rsidP="00650E6F">
            <w:pPr>
              <w:jc w:val="both"/>
              <w:rPr>
                <w:rFonts w:ascii="Garamond" w:hAnsi="Garamond"/>
                <w:b/>
                <w:bCs/>
                <w:color w:val="000000"/>
                <w:sz w:val="16"/>
                <w:szCs w:val="16"/>
              </w:rPr>
            </w:pPr>
            <w:r w:rsidRPr="003F2B14">
              <w:rPr>
                <w:rFonts w:ascii="Garamond" w:hAnsi="Garamond"/>
                <w:b/>
                <w:color w:val="000000"/>
                <w:sz w:val="16"/>
                <w:szCs w:val="16"/>
              </w:rPr>
              <w:t>TOTALI 2018</w:t>
            </w:r>
          </w:p>
        </w:tc>
        <w:tc>
          <w:tcPr>
            <w:tcW w:w="347" w:type="pct"/>
            <w:tcBorders>
              <w:top w:val="nil"/>
              <w:left w:val="nil"/>
              <w:bottom w:val="single" w:sz="8" w:space="0" w:color="auto"/>
              <w:right w:val="single" w:sz="4" w:space="0" w:color="auto"/>
            </w:tcBorders>
            <w:shd w:val="clear" w:color="auto" w:fill="auto"/>
            <w:noWrap/>
            <w:vAlign w:val="center"/>
            <w:hideMark/>
          </w:tcPr>
          <w:p w14:paraId="6D6F2214"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1.700.000</w:t>
            </w:r>
          </w:p>
        </w:tc>
        <w:tc>
          <w:tcPr>
            <w:tcW w:w="457" w:type="pct"/>
            <w:tcBorders>
              <w:top w:val="nil"/>
              <w:left w:val="nil"/>
              <w:bottom w:val="single" w:sz="8" w:space="0" w:color="auto"/>
              <w:right w:val="single" w:sz="4" w:space="0" w:color="auto"/>
            </w:tcBorders>
            <w:shd w:val="clear" w:color="auto" w:fill="auto"/>
            <w:noWrap/>
            <w:vAlign w:val="center"/>
            <w:hideMark/>
          </w:tcPr>
          <w:p w14:paraId="6D6F2215"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300.000</w:t>
            </w:r>
          </w:p>
        </w:tc>
        <w:tc>
          <w:tcPr>
            <w:tcW w:w="404" w:type="pct"/>
            <w:tcBorders>
              <w:top w:val="nil"/>
              <w:left w:val="nil"/>
              <w:bottom w:val="single" w:sz="8" w:space="0" w:color="auto"/>
              <w:right w:val="single" w:sz="8" w:space="0" w:color="auto"/>
            </w:tcBorders>
            <w:shd w:val="clear" w:color="auto" w:fill="auto"/>
            <w:noWrap/>
            <w:vAlign w:val="center"/>
            <w:hideMark/>
          </w:tcPr>
          <w:p w14:paraId="6D6F2216"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2.000.000</w:t>
            </w:r>
          </w:p>
        </w:tc>
        <w:tc>
          <w:tcPr>
            <w:tcW w:w="361" w:type="pct"/>
            <w:tcBorders>
              <w:top w:val="nil"/>
              <w:left w:val="nil"/>
              <w:bottom w:val="single" w:sz="8" w:space="0" w:color="auto"/>
              <w:right w:val="single" w:sz="4" w:space="0" w:color="auto"/>
            </w:tcBorders>
            <w:shd w:val="clear" w:color="auto" w:fill="auto"/>
            <w:vAlign w:val="center"/>
            <w:hideMark/>
          </w:tcPr>
          <w:p w14:paraId="6D6F2217" w14:textId="77777777" w:rsidR="00650E6F" w:rsidRPr="003F2B14" w:rsidRDefault="00650E6F" w:rsidP="00650E6F">
            <w:pPr>
              <w:jc w:val="both"/>
              <w:rPr>
                <w:rFonts w:ascii="Garamond" w:hAnsi="Garamond"/>
                <w:b/>
                <w:bCs/>
                <w:color w:val="000000"/>
                <w:sz w:val="16"/>
                <w:szCs w:val="16"/>
              </w:rPr>
            </w:pPr>
            <w:r w:rsidRPr="003F2B14">
              <w:rPr>
                <w:rFonts w:ascii="Garamond" w:hAnsi="Garamond"/>
                <w:b/>
                <w:color w:val="000000"/>
                <w:sz w:val="16"/>
                <w:szCs w:val="16"/>
              </w:rPr>
              <w:t>TOTALI 2019</w:t>
            </w:r>
          </w:p>
        </w:tc>
        <w:tc>
          <w:tcPr>
            <w:tcW w:w="318" w:type="pct"/>
            <w:tcBorders>
              <w:top w:val="nil"/>
              <w:left w:val="nil"/>
              <w:bottom w:val="single" w:sz="8" w:space="0" w:color="auto"/>
              <w:right w:val="single" w:sz="4" w:space="0" w:color="auto"/>
            </w:tcBorders>
            <w:shd w:val="clear" w:color="auto" w:fill="auto"/>
            <w:vAlign w:val="center"/>
            <w:hideMark/>
          </w:tcPr>
          <w:p w14:paraId="6D6F2218"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1.700.000</w:t>
            </w:r>
          </w:p>
        </w:tc>
        <w:tc>
          <w:tcPr>
            <w:tcW w:w="457" w:type="pct"/>
            <w:tcBorders>
              <w:top w:val="nil"/>
              <w:left w:val="nil"/>
              <w:bottom w:val="single" w:sz="8" w:space="0" w:color="auto"/>
              <w:right w:val="single" w:sz="4" w:space="0" w:color="auto"/>
            </w:tcBorders>
            <w:shd w:val="clear" w:color="auto" w:fill="auto"/>
            <w:vAlign w:val="center"/>
            <w:hideMark/>
          </w:tcPr>
          <w:p w14:paraId="6D6F2219"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300.000</w:t>
            </w:r>
          </w:p>
        </w:tc>
        <w:tc>
          <w:tcPr>
            <w:tcW w:w="404" w:type="pct"/>
            <w:tcBorders>
              <w:top w:val="nil"/>
              <w:left w:val="nil"/>
              <w:bottom w:val="single" w:sz="8" w:space="0" w:color="auto"/>
              <w:right w:val="single" w:sz="8" w:space="0" w:color="auto"/>
            </w:tcBorders>
            <w:shd w:val="clear" w:color="auto" w:fill="auto"/>
            <w:vAlign w:val="center"/>
            <w:hideMark/>
          </w:tcPr>
          <w:p w14:paraId="6D6F221A"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2.000.000</w:t>
            </w:r>
          </w:p>
        </w:tc>
        <w:tc>
          <w:tcPr>
            <w:tcW w:w="361" w:type="pct"/>
            <w:tcBorders>
              <w:top w:val="nil"/>
              <w:left w:val="nil"/>
              <w:bottom w:val="single" w:sz="8" w:space="0" w:color="auto"/>
              <w:right w:val="single" w:sz="4" w:space="0" w:color="auto"/>
            </w:tcBorders>
            <w:shd w:val="clear" w:color="auto" w:fill="auto"/>
            <w:vAlign w:val="center"/>
            <w:hideMark/>
          </w:tcPr>
          <w:p w14:paraId="6D6F221B" w14:textId="77777777" w:rsidR="00650E6F" w:rsidRPr="003F2B14" w:rsidRDefault="00650E6F" w:rsidP="00650E6F">
            <w:pPr>
              <w:jc w:val="both"/>
              <w:rPr>
                <w:rFonts w:ascii="Garamond" w:hAnsi="Garamond"/>
                <w:b/>
                <w:bCs/>
                <w:color w:val="000000"/>
                <w:sz w:val="16"/>
                <w:szCs w:val="16"/>
              </w:rPr>
            </w:pPr>
            <w:r w:rsidRPr="003F2B14">
              <w:rPr>
                <w:rFonts w:ascii="Garamond" w:hAnsi="Garamond"/>
                <w:b/>
                <w:color w:val="000000"/>
                <w:sz w:val="16"/>
                <w:szCs w:val="16"/>
              </w:rPr>
              <w:t>TOTALI 2020</w:t>
            </w:r>
          </w:p>
        </w:tc>
        <w:tc>
          <w:tcPr>
            <w:tcW w:w="318" w:type="pct"/>
            <w:tcBorders>
              <w:top w:val="nil"/>
              <w:left w:val="nil"/>
              <w:bottom w:val="single" w:sz="8" w:space="0" w:color="auto"/>
              <w:right w:val="single" w:sz="4" w:space="0" w:color="auto"/>
            </w:tcBorders>
            <w:shd w:val="clear" w:color="auto" w:fill="auto"/>
            <w:vAlign w:val="center"/>
            <w:hideMark/>
          </w:tcPr>
          <w:p w14:paraId="6D6F221C"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1.530.000</w:t>
            </w:r>
          </w:p>
        </w:tc>
        <w:tc>
          <w:tcPr>
            <w:tcW w:w="457" w:type="pct"/>
            <w:tcBorders>
              <w:top w:val="nil"/>
              <w:left w:val="nil"/>
              <w:bottom w:val="single" w:sz="8" w:space="0" w:color="auto"/>
              <w:right w:val="single" w:sz="4" w:space="0" w:color="auto"/>
            </w:tcBorders>
            <w:shd w:val="clear" w:color="auto" w:fill="auto"/>
            <w:vAlign w:val="center"/>
            <w:hideMark/>
          </w:tcPr>
          <w:p w14:paraId="6D6F221D" w14:textId="77777777" w:rsidR="00650E6F" w:rsidRPr="003F2B14" w:rsidRDefault="00650E6F" w:rsidP="003F2B14">
            <w:pPr>
              <w:jc w:val="right"/>
              <w:rPr>
                <w:rFonts w:ascii="Garamond" w:hAnsi="Garamond"/>
                <w:b/>
                <w:bCs/>
                <w:color w:val="000000"/>
                <w:sz w:val="16"/>
                <w:szCs w:val="16"/>
              </w:rPr>
            </w:pPr>
            <w:r w:rsidRPr="003F2B14">
              <w:rPr>
                <w:rFonts w:ascii="Garamond" w:hAnsi="Garamond"/>
                <w:color w:val="000000"/>
                <w:sz w:val="16"/>
                <w:szCs w:val="16"/>
              </w:rPr>
              <w:t>270.000</w:t>
            </w:r>
          </w:p>
        </w:tc>
        <w:tc>
          <w:tcPr>
            <w:tcW w:w="404" w:type="pct"/>
            <w:tcBorders>
              <w:top w:val="nil"/>
              <w:left w:val="nil"/>
              <w:bottom w:val="single" w:sz="8" w:space="0" w:color="auto"/>
              <w:right w:val="single" w:sz="4" w:space="0" w:color="auto"/>
            </w:tcBorders>
            <w:shd w:val="clear" w:color="auto" w:fill="auto"/>
            <w:vAlign w:val="center"/>
            <w:hideMark/>
          </w:tcPr>
          <w:p w14:paraId="6D6F221E" w14:textId="77777777" w:rsidR="00650E6F" w:rsidRPr="003F2B14" w:rsidRDefault="00650E6F" w:rsidP="003F2B14">
            <w:pPr>
              <w:jc w:val="right"/>
              <w:rPr>
                <w:rFonts w:ascii="Garamond" w:hAnsi="Garamond"/>
                <w:color w:val="000000"/>
                <w:sz w:val="16"/>
                <w:szCs w:val="16"/>
              </w:rPr>
            </w:pPr>
            <w:r w:rsidRPr="003F2B14">
              <w:rPr>
                <w:rFonts w:ascii="Garamond" w:hAnsi="Garamond"/>
                <w:color w:val="000000"/>
                <w:sz w:val="16"/>
                <w:szCs w:val="16"/>
              </w:rPr>
              <w:t>1.800.000</w:t>
            </w:r>
          </w:p>
        </w:tc>
        <w:tc>
          <w:tcPr>
            <w:tcW w:w="351" w:type="pct"/>
            <w:tcBorders>
              <w:top w:val="nil"/>
              <w:left w:val="single" w:sz="4" w:space="0" w:color="auto"/>
              <w:bottom w:val="single" w:sz="4" w:space="0" w:color="auto"/>
              <w:right w:val="single" w:sz="4" w:space="0" w:color="auto"/>
            </w:tcBorders>
            <w:shd w:val="clear" w:color="auto" w:fill="auto"/>
            <w:vAlign w:val="center"/>
            <w:hideMark/>
          </w:tcPr>
          <w:p w14:paraId="6D6F221F" w14:textId="77777777" w:rsidR="00650E6F" w:rsidRPr="003F2B14" w:rsidRDefault="00650E6F" w:rsidP="003F2B14">
            <w:pPr>
              <w:jc w:val="right"/>
              <w:rPr>
                <w:rFonts w:ascii="Garamond" w:hAnsi="Garamond"/>
                <w:b/>
                <w:bCs/>
                <w:color w:val="000000"/>
                <w:sz w:val="16"/>
                <w:szCs w:val="16"/>
              </w:rPr>
            </w:pPr>
            <w:r w:rsidRPr="003F2B14">
              <w:rPr>
                <w:rFonts w:ascii="Garamond" w:hAnsi="Garamond"/>
                <w:b/>
                <w:color w:val="000000"/>
                <w:sz w:val="16"/>
                <w:szCs w:val="16"/>
              </w:rPr>
              <w:t> 5.800.000</w:t>
            </w:r>
          </w:p>
        </w:tc>
      </w:tr>
    </w:tbl>
    <w:p w14:paraId="6D6F2221" w14:textId="53023624" w:rsidR="00650E6F" w:rsidRPr="000E1EB0" w:rsidRDefault="00650E6F" w:rsidP="00650E6F">
      <w:pPr>
        <w:pStyle w:val="AAAAAAAAAAATEX"/>
        <w:rPr>
          <w:sz w:val="18"/>
          <w:szCs w:val="18"/>
        </w:rPr>
      </w:pPr>
      <w:r w:rsidRPr="003F2B14">
        <w:t>*</w:t>
      </w:r>
      <w:r w:rsidRPr="000E1EB0">
        <w:t xml:space="preserve"> </w:t>
      </w:r>
      <w:r w:rsidRPr="000E1EB0">
        <w:rPr>
          <w:sz w:val="18"/>
        </w:rPr>
        <w:t xml:space="preserve">Kontributi i Bashkimit është llogaritur në raport me shpenzimet e lejuara, të cilat bazohen në totalin e shpenzimeve të pranueshme, duke përfshirë shpenzimet publike dhe private. Shkalla e </w:t>
      </w:r>
      <w:r w:rsidR="00036A7C">
        <w:rPr>
          <w:sz w:val="18"/>
        </w:rPr>
        <w:t>bashkë</w:t>
      </w:r>
      <w:r w:rsidRPr="000E1EB0">
        <w:rPr>
          <w:sz w:val="18"/>
        </w:rPr>
        <w:t>financimit të Bashkimit për çdo prioritet nuk duhet të jetë më pak se 20% dhe jo më e lartë se 85% e shpenzimeve të lejueshme.</w:t>
      </w:r>
      <w:r w:rsidR="009A5DA1">
        <w:rPr>
          <w:sz w:val="18"/>
        </w:rPr>
        <w:t xml:space="preserve"> </w:t>
      </w:r>
    </w:p>
    <w:p w14:paraId="6D6F2222" w14:textId="4416ACD5" w:rsidR="00650E6F" w:rsidRPr="000E1EB0" w:rsidRDefault="00650E6F" w:rsidP="00650E6F">
      <w:pPr>
        <w:pStyle w:val="AAAAAAAAAAATEX"/>
        <w:rPr>
          <w:sz w:val="18"/>
          <w:szCs w:val="18"/>
        </w:rPr>
      </w:pPr>
      <w:r w:rsidRPr="003F2B14">
        <w:t>**</w:t>
      </w:r>
      <w:r w:rsidR="00B471D8" w:rsidRPr="003F2B14">
        <w:t xml:space="preserve"> </w:t>
      </w:r>
      <w:r w:rsidR="00036A7C">
        <w:rPr>
          <w:sz w:val="18"/>
        </w:rPr>
        <w:t>Bashkë</w:t>
      </w:r>
      <w:r w:rsidRPr="000E1EB0">
        <w:rPr>
          <w:sz w:val="18"/>
        </w:rPr>
        <w:t>financimi i prioriteteve do të sigurohet nga përfituesit e granteve. Përfituesit e grantit duhet të kontribuojnë me një minimum prej 15% të kostos totale të lejueshme të projektit.</w:t>
      </w:r>
    </w:p>
    <w:p w14:paraId="6D6F2223" w14:textId="77777777" w:rsidR="00650E6F" w:rsidRPr="000E1EB0" w:rsidRDefault="00650E6F" w:rsidP="00650E6F">
      <w:pPr>
        <w:spacing w:before="240" w:after="120"/>
        <w:jc w:val="both"/>
        <w:rPr>
          <w:rFonts w:ascii="Garamond" w:hAnsi="Garamond"/>
          <w:sz w:val="16"/>
          <w:szCs w:val="16"/>
          <w:highlight w:val="magenta"/>
        </w:rPr>
      </w:pPr>
    </w:p>
    <w:p w14:paraId="6D6F2224" w14:textId="77777777" w:rsidR="00650E6F" w:rsidRPr="000E1EB0" w:rsidRDefault="00650E6F" w:rsidP="00650E6F">
      <w:pPr>
        <w:rPr>
          <w:rFonts w:ascii="Garamond" w:hAnsi="Garamond"/>
        </w:rPr>
        <w:sectPr w:rsidR="00650E6F" w:rsidRPr="000E1EB0" w:rsidSect="00650E6F">
          <w:pgSz w:w="16838" w:h="11906" w:orient="landscape" w:code="9"/>
          <w:pgMar w:top="1418" w:right="1418" w:bottom="1418" w:left="1418" w:header="1304" w:footer="1134" w:gutter="0"/>
          <w:cols w:space="708"/>
          <w:docGrid w:linePitch="360"/>
        </w:sectPr>
      </w:pPr>
    </w:p>
    <w:p w14:paraId="6D6F2225" w14:textId="77777777" w:rsidR="00650E6F" w:rsidRPr="00901AFC" w:rsidRDefault="00650E6F" w:rsidP="00650E6F">
      <w:pPr>
        <w:pStyle w:val="AAAAAAAAAAATEX"/>
        <w:rPr>
          <w:b/>
        </w:rPr>
      </w:pPr>
      <w:r w:rsidRPr="00901AFC">
        <w:rPr>
          <w:b/>
        </w:rPr>
        <w:lastRenderedPageBreak/>
        <w:t>4. Zbatimi</w:t>
      </w:r>
    </w:p>
    <w:p w14:paraId="6D6F2226" w14:textId="62C96481" w:rsidR="00650E6F" w:rsidRPr="000E1EB0" w:rsidRDefault="00650E6F" w:rsidP="00AB613A">
      <w:pPr>
        <w:pStyle w:val="AAAAAAAAAAATEX"/>
        <w:rPr>
          <w:b/>
        </w:rPr>
      </w:pPr>
      <w:r w:rsidRPr="000E1EB0">
        <w:rPr>
          <w:b/>
        </w:rPr>
        <w:t xml:space="preserve">4.1 Mënyra e zbatimit dhe </w:t>
      </w:r>
      <w:r w:rsidR="00697D8C" w:rsidRPr="000E1EB0">
        <w:rPr>
          <w:b/>
        </w:rPr>
        <w:t xml:space="preserve">rregullat </w:t>
      </w:r>
      <w:r w:rsidRPr="000E1EB0">
        <w:rPr>
          <w:b/>
        </w:rPr>
        <w:t>e përgjithshme për procedurat e prokurimit dhe dhënies së grantit</w:t>
      </w:r>
    </w:p>
    <w:p w14:paraId="6D6F2227" w14:textId="77777777" w:rsidR="00650E6F" w:rsidRPr="000E1EB0" w:rsidRDefault="00AB613A" w:rsidP="00AB613A">
      <w:pPr>
        <w:pStyle w:val="AAAAAAAAAAATEX"/>
        <w:rPr>
          <w:b/>
        </w:rPr>
      </w:pPr>
      <w:r w:rsidRPr="000E1EB0">
        <w:rPr>
          <w:b/>
        </w:rPr>
        <w:t xml:space="preserve">Menaxhimi </w:t>
      </w:r>
      <w:r w:rsidR="00650E6F" w:rsidRPr="000E1EB0">
        <w:rPr>
          <w:b/>
        </w:rPr>
        <w:t>i drejtpërdrejtë:</w:t>
      </w:r>
    </w:p>
    <w:p w14:paraId="6D6F2228" w14:textId="4C06E65C" w:rsidR="00650E6F" w:rsidRPr="000E1EB0" w:rsidRDefault="00650E6F" w:rsidP="00650E6F">
      <w:pPr>
        <w:pStyle w:val="AAAAAAAAAAATEX"/>
      </w:pPr>
      <w:r w:rsidRPr="000E1EB0">
        <w:t xml:space="preserve">Ky program do të zbatohet me menaxhim </w:t>
      </w:r>
      <w:r w:rsidR="003D23AA">
        <w:t>të drejtpërdrejtë nga Komisioni/</w:t>
      </w:r>
      <w:r w:rsidRPr="000E1EB0">
        <w:t>nga delegacionet e Bashkimit</w:t>
      </w:r>
      <w:r w:rsidR="003D23AA">
        <w:t>,</w:t>
      </w:r>
      <w:r w:rsidRPr="000E1EB0">
        <w:t xml:space="preserve"> në përputhje me nenin 62(1)(a) të Rregullores Financiare.</w:t>
      </w:r>
    </w:p>
    <w:p w14:paraId="6D6F2229" w14:textId="5B2E05FA" w:rsidR="00650E6F" w:rsidRPr="00DD30AA" w:rsidRDefault="00650E6F" w:rsidP="00650E6F">
      <w:pPr>
        <w:pStyle w:val="AAAAAAAAAAATEX"/>
        <w:rPr>
          <w:b/>
        </w:rPr>
      </w:pPr>
      <w:r w:rsidRPr="00DD30AA">
        <w:rPr>
          <w:b/>
        </w:rPr>
        <w:t xml:space="preserve">5. Marrëveshjet e </w:t>
      </w:r>
      <w:r w:rsidR="0072513B" w:rsidRPr="00DD30AA">
        <w:rPr>
          <w:b/>
        </w:rPr>
        <w:t xml:space="preserve">monitorimit të performancës </w:t>
      </w:r>
    </w:p>
    <w:p w14:paraId="6D6F222A" w14:textId="6C7EF214" w:rsidR="00650E6F" w:rsidRPr="000E1EB0" w:rsidRDefault="00650E6F" w:rsidP="00650E6F">
      <w:pPr>
        <w:pStyle w:val="AAAAAAAAAAATEX"/>
      </w:pPr>
      <w:r w:rsidRPr="000E1EB0">
        <w:t xml:space="preserve">Si pjesë e kornizës së tij të matjes së performancës, Komisioni do të monitorojë dhe </w:t>
      </w:r>
      <w:r w:rsidR="003D23AA">
        <w:t xml:space="preserve">do të </w:t>
      </w:r>
      <w:r w:rsidRPr="000E1EB0">
        <w:t>vlerësojë progresin drejt arritjes së objektivave specifik</w:t>
      </w:r>
      <w:r w:rsidR="009575AA" w:rsidRPr="000E1EB0">
        <w:t>ë</w:t>
      </w:r>
      <w:r w:rsidR="000D6E3A">
        <w:t xml:space="preserve"> të përcaktuar</w:t>
      </w:r>
      <w:r w:rsidRPr="000E1EB0">
        <w:t xml:space="preserve"> në Rregulloren e IPA II</w:t>
      </w:r>
      <w:r w:rsidR="000D6E3A">
        <w:t>,</w:t>
      </w:r>
      <w:r w:rsidRPr="000E1EB0">
        <w:t xml:space="preserve"> në bazë të treguesve të paracaktuar, të qartë, të matshëm e transparent</w:t>
      </w:r>
      <w:r w:rsidR="000D6E3A">
        <w:t>ë</w:t>
      </w:r>
      <w:r w:rsidR="004B4D45">
        <w:t>. Progres</w:t>
      </w:r>
      <w:r w:rsidRPr="000E1EB0">
        <w:t>raportet e përmendura në nenin 4 të Rregullores së IPA II do të merren si pikë referimi në vlerësimin e rezultateve të ndihmës IPA II.</w:t>
      </w:r>
    </w:p>
    <w:p w14:paraId="6D6F222B" w14:textId="72204DF0" w:rsidR="00650E6F" w:rsidRPr="000E1EB0" w:rsidRDefault="00650E6F" w:rsidP="00650E6F">
      <w:pPr>
        <w:pStyle w:val="AAAAAAAAAAATEX"/>
      </w:pPr>
      <w:r w:rsidRPr="000E1EB0">
        <w:t xml:space="preserve">Komisioni do të mbledhë nga të gjitha burimet e të dhënave mbi performancën (procesin, treguesit e produkteve dhe </w:t>
      </w:r>
      <w:r w:rsidR="004B4D45">
        <w:t xml:space="preserve">të </w:t>
      </w:r>
      <w:r w:rsidRPr="000E1EB0">
        <w:t>rezultateve), të dhëna që do të mblidhen dhe të analizohen në aspektin e matjes së progresit kundrejt objektivave dhe synimeve të përcaktuara për secilin nga veprimet e këtij programi, si dhe në Dokumentin Strategjik Indikativ.</w:t>
      </w:r>
    </w:p>
    <w:p w14:paraId="6D6F222C" w14:textId="36A03F47" w:rsidR="00650E6F" w:rsidRPr="000E1EB0" w:rsidRDefault="00650E6F" w:rsidP="00650E6F">
      <w:pPr>
        <w:pStyle w:val="AAAAAAAAAAATEX"/>
      </w:pPr>
      <w:r w:rsidRPr="000E1EB0">
        <w:t>Koordinatorët Kombëtarë të IPA-s</w:t>
      </w:r>
      <w:r w:rsidR="005C5312">
        <w:t>ë</w:t>
      </w:r>
      <w:r w:rsidRPr="000E1EB0">
        <w:t xml:space="preserve"> (KKIPA-t) do të mbledhin informacion mbi performancën e veprimeve dhe programeve (procesin, treguesit e produkteve dhe rezultateve) dhe </w:t>
      </w:r>
      <w:r w:rsidR="005C5312">
        <w:t xml:space="preserve">do </w:t>
      </w:r>
      <w:r w:rsidRPr="000E1EB0">
        <w:t>të koordinoj</w:t>
      </w:r>
      <w:r w:rsidR="00D07402">
        <w:t>n</w:t>
      </w:r>
      <w:r w:rsidRPr="000E1EB0">
        <w:t xml:space="preserve">ë grumbullimin dhe prodhimin e treguesve që vijnë nga burimet kombëtare. </w:t>
      </w:r>
    </w:p>
    <w:p w14:paraId="6D6F222D" w14:textId="40CC43FA" w:rsidR="00650E6F" w:rsidRPr="000E1EB0" w:rsidRDefault="00650E6F" w:rsidP="00650E6F">
      <w:pPr>
        <w:pStyle w:val="AAAAAAAAAAATEX"/>
      </w:pPr>
      <w:r w:rsidRPr="000E1EB0">
        <w:t xml:space="preserve">Progresi i përgjithshëm do të monitorohet nëpërmjet mënyrave të mëposhtme: a) </w:t>
      </w:r>
      <w:r w:rsidR="00D07402" w:rsidRPr="000E1EB0">
        <w:t>sistemi</w:t>
      </w:r>
      <w:r w:rsidR="00D07402">
        <w:t xml:space="preserve"> </w:t>
      </w:r>
      <w:r w:rsidRPr="000E1EB0">
        <w:t xml:space="preserve">Monitorim i Orientuar në Rezultate (MOR); b) </w:t>
      </w:r>
      <w:r w:rsidR="00D07402" w:rsidRPr="000E1EB0">
        <w:t xml:space="preserve">monitorimi </w:t>
      </w:r>
      <w:r w:rsidRPr="000E1EB0">
        <w:t xml:space="preserve">i vetë përfituesve të IPA II; c) </w:t>
      </w:r>
      <w:r w:rsidR="00D07402" w:rsidRPr="000E1EB0">
        <w:t xml:space="preserve">vetëmonitorimi </w:t>
      </w:r>
      <w:r w:rsidRPr="000E1EB0">
        <w:t xml:space="preserve">i kryer nga delegacionet e BE-së; d) </w:t>
      </w:r>
      <w:r w:rsidR="00D07402" w:rsidRPr="000E1EB0">
        <w:t xml:space="preserve">monitorimi </w:t>
      </w:r>
      <w:r w:rsidRPr="000E1EB0">
        <w:t>i përbashkët i Drejtorisë së Përgjithshme të Negociatave të Fqinjësisë dhe Zgjerimit (NEAR) dhe Përfituesit të IPA II, ku pajtueshmëria, koherenca, efektiviteti, efikasiteti dhe koordinimi</w:t>
      </w:r>
      <w:r w:rsidR="00D07402">
        <w:t>,</w:t>
      </w:r>
      <w:r w:rsidRPr="000E1EB0">
        <w:t xml:space="preserve"> në zbatimin e ndihmës financiare do të monitorohet rregullisht nga një komision Monitorimi i IPA II, i mbështetur nga Komisioni i Përbashkët i Monitorimit, i cili do të sigurojë një proces monitorimi në nivel programi. </w:t>
      </w:r>
    </w:p>
    <w:p w14:paraId="02F1853F" w14:textId="77777777" w:rsidR="0025226A" w:rsidRDefault="0025226A" w:rsidP="00650E6F">
      <w:pPr>
        <w:spacing w:after="0" w:line="240" w:lineRule="auto"/>
        <w:ind w:firstLine="284"/>
        <w:outlineLvl w:val="0"/>
        <w:rPr>
          <w:rFonts w:ascii="Garamond" w:hAnsi="Garamond" w:cs="Tahoma"/>
          <w:b/>
          <w:sz w:val="24"/>
          <w:szCs w:val="24"/>
        </w:rPr>
      </w:pPr>
      <w:bookmarkStart w:id="0" w:name="_Toc437600579"/>
    </w:p>
    <w:p w14:paraId="6D6F222E" w14:textId="1EBA74DB" w:rsidR="00650E6F" w:rsidRPr="000E1EB0" w:rsidRDefault="00650E6F" w:rsidP="0025226A">
      <w:pPr>
        <w:spacing w:after="0" w:line="240" w:lineRule="auto"/>
        <w:ind w:firstLine="284"/>
        <w:jc w:val="center"/>
        <w:outlineLvl w:val="0"/>
        <w:rPr>
          <w:rFonts w:ascii="Garamond" w:eastAsia="Times New Roman" w:hAnsi="Garamond" w:cs="Tahoma"/>
          <w:b/>
          <w:sz w:val="24"/>
          <w:szCs w:val="24"/>
        </w:rPr>
      </w:pPr>
      <w:r w:rsidRPr="000E1EB0">
        <w:rPr>
          <w:rFonts w:ascii="Garamond" w:hAnsi="Garamond" w:cs="Tahoma"/>
          <w:b/>
          <w:sz w:val="24"/>
          <w:szCs w:val="24"/>
        </w:rPr>
        <w:t>INSTRUMENTI I NDIHMËS SË PARAANËTARËSIMIT</w:t>
      </w:r>
      <w:bookmarkEnd w:id="0"/>
      <w:r w:rsidR="009A5DA1">
        <w:rPr>
          <w:rFonts w:ascii="Garamond" w:hAnsi="Garamond" w:cs="Tahoma"/>
          <w:b/>
          <w:sz w:val="24"/>
          <w:szCs w:val="24"/>
        </w:rPr>
        <w:t xml:space="preserve"> </w:t>
      </w:r>
      <w:r w:rsidR="00BE160D">
        <w:rPr>
          <w:rFonts w:ascii="Garamond" w:eastAsia="Times New Roman" w:hAnsi="Garamond" w:cs="Tahoma"/>
          <w:b/>
          <w:sz w:val="24"/>
          <w:szCs w:val="24"/>
        </w:rPr>
        <w:t>2014–2020</w:t>
      </w:r>
    </w:p>
    <w:p w14:paraId="6D6F222F" w14:textId="77777777" w:rsidR="00650E6F" w:rsidRPr="000E1EB0" w:rsidRDefault="00650E6F" w:rsidP="0025226A">
      <w:pPr>
        <w:spacing w:after="0" w:line="240" w:lineRule="auto"/>
        <w:ind w:firstLine="284"/>
        <w:jc w:val="center"/>
        <w:rPr>
          <w:rFonts w:ascii="Garamond" w:eastAsia="Times New Roman" w:hAnsi="Garamond" w:cs="Tahoma"/>
          <w:b/>
          <w:sz w:val="24"/>
          <w:szCs w:val="24"/>
        </w:rPr>
      </w:pPr>
      <w:r w:rsidRPr="000E1EB0">
        <w:rPr>
          <w:rFonts w:ascii="Garamond" w:hAnsi="Garamond" w:cs="Tahoma"/>
          <w:b/>
          <w:sz w:val="24"/>
          <w:szCs w:val="24"/>
        </w:rPr>
        <w:t>PROGRAMI IPA CBC</w:t>
      </w:r>
    </w:p>
    <w:p w14:paraId="06916F86" w14:textId="77777777" w:rsidR="0025226A" w:rsidRDefault="0025226A" w:rsidP="00650E6F">
      <w:pPr>
        <w:spacing w:after="0" w:line="240" w:lineRule="auto"/>
        <w:ind w:firstLine="284"/>
        <w:rPr>
          <w:rFonts w:ascii="Garamond" w:eastAsia="Times New Roman" w:hAnsi="Garamond" w:cs="Tahoma"/>
          <w:sz w:val="24"/>
          <w:szCs w:val="24"/>
        </w:rPr>
      </w:pPr>
    </w:p>
    <w:p w14:paraId="6D6F2230" w14:textId="5FF1ED20" w:rsidR="00650E6F" w:rsidRPr="000E1EB0" w:rsidRDefault="00EB5DEB" w:rsidP="00272626">
      <w:pPr>
        <w:spacing w:after="0" w:line="240" w:lineRule="auto"/>
        <w:ind w:firstLine="284"/>
        <w:jc w:val="center"/>
        <w:rPr>
          <w:rFonts w:ascii="Garamond" w:eastAsia="Times New Roman" w:hAnsi="Garamond" w:cs="Tahoma"/>
          <w:sz w:val="24"/>
          <w:szCs w:val="24"/>
        </w:rPr>
      </w:pPr>
      <w:r>
        <w:rPr>
          <w:rFonts w:ascii="Garamond" w:eastAsia="Times New Roman" w:hAnsi="Garamond" w:cs="Tahoma"/>
          <w:sz w:val="24"/>
          <w:szCs w:val="24"/>
        </w:rPr>
        <w:t>ISH-REPU</w:t>
      </w:r>
      <w:r w:rsidR="00D07402">
        <w:rPr>
          <w:rFonts w:ascii="Garamond" w:eastAsia="Times New Roman" w:hAnsi="Garamond" w:cs="Tahoma"/>
          <w:sz w:val="24"/>
          <w:szCs w:val="24"/>
        </w:rPr>
        <w:t>BLIKA JUGOSLLAVE E MAQEDONISË</w:t>
      </w:r>
    </w:p>
    <w:p w14:paraId="6D6F2231" w14:textId="77777777" w:rsidR="00650E6F" w:rsidRPr="000E1EB0" w:rsidRDefault="00650E6F" w:rsidP="00272626">
      <w:pPr>
        <w:spacing w:after="0" w:line="240" w:lineRule="auto"/>
        <w:ind w:firstLine="284"/>
        <w:jc w:val="center"/>
        <w:rPr>
          <w:rFonts w:ascii="Garamond" w:eastAsia="Times New Roman" w:hAnsi="Garamond" w:cs="Tahoma"/>
          <w:sz w:val="24"/>
          <w:szCs w:val="24"/>
        </w:rPr>
      </w:pPr>
      <w:r w:rsidRPr="000E1EB0">
        <w:rPr>
          <w:rFonts w:ascii="Garamond" w:eastAsia="Times New Roman" w:hAnsi="Garamond" w:cs="Tahoma"/>
          <w:sz w:val="24"/>
          <w:szCs w:val="24"/>
        </w:rPr>
        <w:t>REPUBLIKA E SHQIPËRISË</w:t>
      </w:r>
    </w:p>
    <w:p w14:paraId="6D6F2232" w14:textId="4D66337D" w:rsidR="00650E6F" w:rsidRPr="000E1EB0" w:rsidRDefault="00272626" w:rsidP="00272626">
      <w:pPr>
        <w:spacing w:after="0" w:line="240" w:lineRule="auto"/>
        <w:ind w:firstLine="284"/>
        <w:jc w:val="center"/>
        <w:rPr>
          <w:rFonts w:ascii="Garamond" w:eastAsia="Times New Roman" w:hAnsi="Garamond" w:cs="Tahoma"/>
          <w:sz w:val="24"/>
          <w:szCs w:val="24"/>
        </w:rPr>
      </w:pPr>
      <w:r w:rsidRPr="000E1EB0">
        <w:rPr>
          <w:rFonts w:ascii="Garamond" w:hAnsi="Garamond" w:cs="Tahoma"/>
          <w:sz w:val="24"/>
          <w:szCs w:val="24"/>
        </w:rPr>
        <w:t xml:space="preserve">Miratuar më </w:t>
      </w:r>
      <w:r w:rsidR="00650E6F" w:rsidRPr="000E1EB0">
        <w:rPr>
          <w:rFonts w:ascii="Garamond" w:eastAsia="Times New Roman" w:hAnsi="Garamond" w:cs="Tahoma"/>
          <w:sz w:val="24"/>
          <w:szCs w:val="24"/>
        </w:rPr>
        <w:t>11</w:t>
      </w:r>
      <w:r w:rsidR="009F4005">
        <w:rPr>
          <w:rFonts w:ascii="Garamond" w:eastAsia="Times New Roman" w:hAnsi="Garamond" w:cs="Tahoma"/>
          <w:sz w:val="24"/>
          <w:szCs w:val="24"/>
        </w:rPr>
        <w:t>.</w:t>
      </w:r>
      <w:r w:rsidR="00650E6F" w:rsidRPr="000E1EB0">
        <w:rPr>
          <w:rFonts w:ascii="Garamond" w:eastAsia="Times New Roman" w:hAnsi="Garamond" w:cs="Tahoma"/>
          <w:sz w:val="24"/>
          <w:szCs w:val="24"/>
        </w:rPr>
        <w:t>12</w:t>
      </w:r>
      <w:r w:rsidR="009F4005">
        <w:rPr>
          <w:rFonts w:ascii="Garamond" w:eastAsia="Times New Roman" w:hAnsi="Garamond" w:cs="Tahoma"/>
          <w:sz w:val="24"/>
          <w:szCs w:val="24"/>
        </w:rPr>
        <w:t>.</w:t>
      </w:r>
      <w:r w:rsidR="00650E6F" w:rsidRPr="000E1EB0">
        <w:rPr>
          <w:rFonts w:ascii="Garamond" w:eastAsia="Times New Roman" w:hAnsi="Garamond" w:cs="Tahoma"/>
          <w:sz w:val="24"/>
          <w:szCs w:val="24"/>
        </w:rPr>
        <w:t>2014</w:t>
      </w:r>
    </w:p>
    <w:p w14:paraId="29A8F9BD" w14:textId="77777777" w:rsidR="00272626" w:rsidRDefault="00272626" w:rsidP="00650E6F">
      <w:pPr>
        <w:spacing w:after="0" w:line="240" w:lineRule="auto"/>
        <w:ind w:firstLine="284"/>
        <w:rPr>
          <w:rFonts w:ascii="Garamond" w:hAnsi="Garamond" w:cs="Tahoma"/>
          <w:sz w:val="24"/>
          <w:szCs w:val="24"/>
        </w:rPr>
      </w:pPr>
    </w:p>
    <w:p w14:paraId="6D6F2233" w14:textId="6C2DCDF0" w:rsidR="00650E6F" w:rsidRPr="00272626" w:rsidRDefault="00272626" w:rsidP="00650E6F">
      <w:pPr>
        <w:spacing w:after="0" w:line="240" w:lineRule="auto"/>
        <w:ind w:firstLine="284"/>
        <w:rPr>
          <w:rFonts w:ascii="Garamond" w:hAnsi="Garamond" w:cs="Tahoma"/>
          <w:b/>
          <w:sz w:val="24"/>
          <w:szCs w:val="24"/>
        </w:rPr>
      </w:pPr>
      <w:r w:rsidRPr="00272626">
        <w:rPr>
          <w:rFonts w:ascii="Garamond" w:hAnsi="Garamond" w:cs="Tahoma"/>
          <w:b/>
          <w:sz w:val="24"/>
          <w:szCs w:val="24"/>
        </w:rPr>
        <w:t>Tabela e përmbajtjes</w:t>
      </w:r>
    </w:p>
    <w:p w14:paraId="6D6F2235" w14:textId="34425138"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INSTRUMENTI I NDIHMËS SË PARAANËTARËSIMIT </w:t>
      </w:r>
      <w:r w:rsidR="00BE160D">
        <w:rPr>
          <w:rFonts w:ascii="Garamond" w:hAnsi="Garamond" w:cs="Tahoma"/>
          <w:sz w:val="24"/>
          <w:szCs w:val="24"/>
        </w:rPr>
        <w:t>2014–2020</w:t>
      </w:r>
      <w:r w:rsidRPr="000E1EB0">
        <w:rPr>
          <w:rFonts w:ascii="Garamond" w:hAnsi="Garamond" w:cs="Tahoma"/>
          <w:sz w:val="24"/>
          <w:szCs w:val="24"/>
        </w:rPr>
        <w:t xml:space="preserve"> </w:t>
      </w:r>
    </w:p>
    <w:p w14:paraId="6D6F2236"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AKRONIME </w:t>
      </w:r>
    </w:p>
    <w:p w14:paraId="6D6F2237"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PËRMBLEDHJE </w:t>
      </w:r>
    </w:p>
    <w:p w14:paraId="6D6F2238"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SEKSIONI 1 </w:t>
      </w:r>
    </w:p>
    <w:p w14:paraId="6D6F2239"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PËRMBLEDHJE E PROGRAMIT </w:t>
      </w:r>
    </w:p>
    <w:p w14:paraId="6D6F223A"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1.1 Përmbledhje e Programit </w:t>
      </w:r>
    </w:p>
    <w:p w14:paraId="6D6F223B"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1.2 Përgatitja e programit dhe përfshirja e partnerëve </w:t>
      </w:r>
    </w:p>
    <w:p w14:paraId="6D6F223C"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SEKSIONI 2 </w:t>
      </w:r>
    </w:p>
    <w:p w14:paraId="6D6F223D"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ZONA E PROGRAMIT </w:t>
      </w:r>
    </w:p>
    <w:p w14:paraId="6D6F223E" w14:textId="4C549903"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2.1 Analiza e </w:t>
      </w:r>
      <w:r w:rsidR="009F4005" w:rsidRPr="000E1EB0">
        <w:rPr>
          <w:rFonts w:ascii="Garamond" w:hAnsi="Garamond" w:cs="Tahoma"/>
          <w:sz w:val="24"/>
          <w:szCs w:val="24"/>
        </w:rPr>
        <w:t xml:space="preserve">situatës </w:t>
      </w:r>
      <w:r w:rsidRPr="000E1EB0">
        <w:rPr>
          <w:rFonts w:ascii="Garamond" w:hAnsi="Garamond" w:cs="Tahoma"/>
          <w:sz w:val="24"/>
          <w:szCs w:val="24"/>
        </w:rPr>
        <w:t xml:space="preserve">– Përmbledhje </w:t>
      </w:r>
    </w:p>
    <w:p w14:paraId="6D6F223F"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2.2 Gjetjet kryesore </w:t>
      </w:r>
    </w:p>
    <w:p w14:paraId="6D6F2240"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SEKSIONI 3 </w:t>
      </w:r>
    </w:p>
    <w:p w14:paraId="6D6F2241" w14:textId="77777777"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STRATEGJIA E PROGRAMIT </w:t>
      </w:r>
    </w:p>
    <w:p w14:paraId="6D6F2242" w14:textId="72C18F99"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lastRenderedPageBreak/>
        <w:t xml:space="preserve">3.1 Arsyetimi </w:t>
      </w:r>
      <w:r w:rsidR="00D07402">
        <w:rPr>
          <w:rFonts w:ascii="Garamond" w:hAnsi="Garamond" w:cs="Tahoma"/>
          <w:sz w:val="24"/>
          <w:szCs w:val="24"/>
        </w:rPr>
        <w:t>–</w:t>
      </w:r>
      <w:r w:rsidRPr="000E1EB0">
        <w:rPr>
          <w:rFonts w:ascii="Garamond" w:hAnsi="Garamond" w:cs="Tahoma"/>
          <w:sz w:val="24"/>
          <w:szCs w:val="24"/>
        </w:rPr>
        <w:t xml:space="preserve"> </w:t>
      </w:r>
      <w:r w:rsidR="00F752AB" w:rsidRPr="000E1EB0">
        <w:rPr>
          <w:rFonts w:ascii="Garamond" w:hAnsi="Garamond" w:cs="Tahoma"/>
          <w:sz w:val="24"/>
          <w:szCs w:val="24"/>
        </w:rPr>
        <w:t xml:space="preserve">arsyetimi </w:t>
      </w:r>
      <w:r w:rsidRPr="000E1EB0">
        <w:rPr>
          <w:rFonts w:ascii="Garamond" w:hAnsi="Garamond" w:cs="Tahoma"/>
          <w:sz w:val="24"/>
          <w:szCs w:val="24"/>
        </w:rPr>
        <w:t xml:space="preserve">për strategjinë e zgjedhur të ndërhyrjes </w:t>
      </w:r>
    </w:p>
    <w:p w14:paraId="6D6F2243" w14:textId="4B799F31" w:rsidR="00650E6F" w:rsidRPr="000E1EB0" w:rsidRDefault="00650E6F" w:rsidP="00650E6F">
      <w:pPr>
        <w:spacing w:after="0" w:line="240" w:lineRule="auto"/>
        <w:ind w:firstLine="284"/>
        <w:rPr>
          <w:rFonts w:ascii="Garamond" w:hAnsi="Garamond" w:cs="Tahoma"/>
          <w:sz w:val="24"/>
          <w:szCs w:val="24"/>
        </w:rPr>
      </w:pPr>
      <w:r w:rsidRPr="000E1EB0">
        <w:rPr>
          <w:rFonts w:ascii="Garamond" w:hAnsi="Garamond" w:cs="Tahoma"/>
          <w:sz w:val="24"/>
          <w:szCs w:val="24"/>
        </w:rPr>
        <w:t xml:space="preserve">3.2 Përshkrimi i </w:t>
      </w:r>
      <w:r w:rsidR="00D07402" w:rsidRPr="000E1EB0">
        <w:rPr>
          <w:rFonts w:ascii="Garamond" w:hAnsi="Garamond" w:cs="Tahoma"/>
          <w:sz w:val="24"/>
          <w:szCs w:val="24"/>
        </w:rPr>
        <w:t xml:space="preserve">prioriteteve tematike </w:t>
      </w:r>
      <w:r w:rsidRPr="000E1EB0">
        <w:rPr>
          <w:rFonts w:ascii="Garamond" w:hAnsi="Garamond" w:cs="Tahoma"/>
          <w:sz w:val="24"/>
          <w:szCs w:val="24"/>
        </w:rPr>
        <w:t>të Programit</w:t>
      </w:r>
      <w:r w:rsidRPr="000E1EB0">
        <w:rPr>
          <w:rFonts w:ascii="Garamond" w:hAnsi="Garamond" w:cs="Tahoma"/>
          <w:sz w:val="24"/>
          <w:szCs w:val="24"/>
        </w:rPr>
        <w:tab/>
        <w:t xml:space="preserve"> </w:t>
      </w:r>
    </w:p>
    <w:p w14:paraId="6D6F2244"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3.3 Çështjet horizontale dhe të ndërthurura</w:t>
      </w:r>
      <w:r w:rsidRPr="0003021D">
        <w:rPr>
          <w:rFonts w:ascii="Garamond" w:hAnsi="Garamond" w:cs="Tahoma"/>
          <w:sz w:val="24"/>
          <w:szCs w:val="24"/>
        </w:rPr>
        <w:tab/>
        <w:t xml:space="preserve"> </w:t>
      </w:r>
    </w:p>
    <w:p w14:paraId="6D6F2245"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SEKSIONI 4 </w:t>
      </w:r>
    </w:p>
    <w:p w14:paraId="6D6F2246"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PLANI FINANCIAR </w:t>
      </w:r>
    </w:p>
    <w:p w14:paraId="6D6F2247"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SEKSIONI 5 </w:t>
      </w:r>
    </w:p>
    <w:p w14:paraId="6D6F2248"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DISPOZITAT ZBATUESE </w:t>
      </w:r>
    </w:p>
    <w:p w14:paraId="6D6F2249"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LISTA E SHTOJCAVE </w:t>
      </w:r>
    </w:p>
    <w:p w14:paraId="6D6F224A"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SHTOJCA 1 </w:t>
      </w:r>
    </w:p>
    <w:p w14:paraId="6D6F224B"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Analiza e Situatës dhe Analiza SWOT </w:t>
      </w:r>
    </w:p>
    <w:p w14:paraId="6D6F224C" w14:textId="77777777" w:rsidR="00650E6F" w:rsidRPr="0003021D"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 xml:space="preserve">Analiza e Situatës së Zonës së Programit </w:t>
      </w:r>
    </w:p>
    <w:p w14:paraId="6D6F224D" w14:textId="77777777" w:rsidR="00650E6F" w:rsidRPr="000E1EB0" w:rsidRDefault="00650E6F" w:rsidP="00650E6F">
      <w:pPr>
        <w:spacing w:after="0" w:line="240" w:lineRule="auto"/>
        <w:ind w:firstLine="284"/>
        <w:rPr>
          <w:rFonts w:ascii="Garamond" w:hAnsi="Garamond" w:cs="Tahoma"/>
          <w:sz w:val="24"/>
          <w:szCs w:val="24"/>
        </w:rPr>
      </w:pPr>
      <w:r w:rsidRPr="0003021D">
        <w:rPr>
          <w:rFonts w:ascii="Garamond" w:hAnsi="Garamond" w:cs="Tahoma"/>
          <w:sz w:val="24"/>
          <w:szCs w:val="24"/>
        </w:rPr>
        <w:t>Analiza SWOT</w:t>
      </w:r>
      <w:r w:rsidRPr="000E1EB0">
        <w:rPr>
          <w:rFonts w:ascii="Garamond" w:hAnsi="Garamond" w:cs="Tahoma"/>
          <w:sz w:val="24"/>
          <w:szCs w:val="24"/>
        </w:rPr>
        <w:t xml:space="preserve"> </w:t>
      </w:r>
    </w:p>
    <w:p w14:paraId="6D6F224E" w14:textId="77777777" w:rsidR="00650E6F" w:rsidRDefault="00650E6F" w:rsidP="00650E6F">
      <w:pPr>
        <w:spacing w:after="0" w:line="240" w:lineRule="auto"/>
        <w:ind w:firstLine="284"/>
        <w:rPr>
          <w:rFonts w:ascii="Garamond" w:hAnsi="Garamond" w:cs="Tahoma"/>
          <w:sz w:val="24"/>
          <w:szCs w:val="24"/>
        </w:rPr>
      </w:pPr>
    </w:p>
    <w:p w14:paraId="3E88846B" w14:textId="1B5D46BC" w:rsidR="003C5DF4" w:rsidRPr="000E1EB0" w:rsidRDefault="003C5DF4" w:rsidP="003C5DF4">
      <w:pPr>
        <w:spacing w:after="0" w:line="240" w:lineRule="auto"/>
        <w:ind w:firstLine="284"/>
        <w:rPr>
          <w:rFonts w:ascii="Garamond" w:hAnsi="Garamond" w:cs="Tahoma"/>
          <w:sz w:val="24"/>
          <w:szCs w:val="24"/>
        </w:rPr>
      </w:pPr>
      <w:r w:rsidRPr="003C5DF4">
        <w:rPr>
          <w:rFonts w:ascii="Garamond" w:hAnsi="Garamond" w:cs="Tahoma"/>
          <w:b/>
          <w:sz w:val="24"/>
          <w:szCs w:val="24"/>
        </w:rPr>
        <w:t>Akronime</w:t>
      </w:r>
      <w:r w:rsidRPr="000E1EB0">
        <w:rPr>
          <w:rFonts w:ascii="Garamond" w:hAnsi="Garamond" w:cs="Tahoma"/>
          <w:sz w:val="24"/>
          <w:szCs w:val="24"/>
        </w:rPr>
        <w:t xml:space="preserve"> </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
        <w:gridCol w:w="6747"/>
      </w:tblGrid>
      <w:tr w:rsidR="00650E6F" w:rsidRPr="000E1EB0" w14:paraId="6D6F2251" w14:textId="77777777" w:rsidTr="003C5DF4">
        <w:tc>
          <w:tcPr>
            <w:tcW w:w="813" w:type="dxa"/>
          </w:tcPr>
          <w:p w14:paraId="6D6F224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CBC</w:t>
            </w:r>
          </w:p>
        </w:tc>
        <w:tc>
          <w:tcPr>
            <w:tcW w:w="6747" w:type="dxa"/>
          </w:tcPr>
          <w:p w14:paraId="6D6F2250" w14:textId="2159B856" w:rsidR="00650E6F" w:rsidRPr="000E1EB0" w:rsidRDefault="00650E6F" w:rsidP="009F4005">
            <w:pPr>
              <w:rPr>
                <w:rFonts w:ascii="Garamond" w:hAnsi="Garamond" w:cs="Tahoma"/>
                <w:sz w:val="20"/>
                <w:szCs w:val="20"/>
                <w:lang w:val="sq-AL"/>
              </w:rPr>
            </w:pPr>
            <w:r w:rsidRPr="000E1EB0">
              <w:rPr>
                <w:rFonts w:ascii="Garamond" w:hAnsi="Garamond" w:cs="Tahoma"/>
                <w:sz w:val="20"/>
                <w:szCs w:val="20"/>
                <w:lang w:val="sq-AL"/>
              </w:rPr>
              <w:t xml:space="preserve">Bashkëpunimi </w:t>
            </w:r>
            <w:r w:rsidR="009F4005" w:rsidRPr="000E1EB0">
              <w:rPr>
                <w:rFonts w:ascii="Garamond" w:hAnsi="Garamond" w:cs="Tahoma"/>
                <w:sz w:val="20"/>
                <w:szCs w:val="20"/>
                <w:lang w:val="sq-AL"/>
              </w:rPr>
              <w:t>ndërkufitar</w:t>
            </w:r>
          </w:p>
        </w:tc>
      </w:tr>
      <w:tr w:rsidR="00650E6F" w:rsidRPr="000E1EB0" w14:paraId="6D6F2254" w14:textId="77777777" w:rsidTr="003C5DF4">
        <w:tc>
          <w:tcPr>
            <w:tcW w:w="813" w:type="dxa"/>
          </w:tcPr>
          <w:p w14:paraId="6D6F2252"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CfP</w:t>
            </w:r>
          </w:p>
        </w:tc>
        <w:tc>
          <w:tcPr>
            <w:tcW w:w="6747" w:type="dxa"/>
          </w:tcPr>
          <w:p w14:paraId="6D6F2253" w14:textId="72AB5942"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Thirrje për </w:t>
            </w:r>
            <w:r w:rsidR="009F4005" w:rsidRPr="000E1EB0">
              <w:rPr>
                <w:rFonts w:ascii="Garamond" w:hAnsi="Garamond" w:cs="Tahoma"/>
                <w:sz w:val="20"/>
                <w:szCs w:val="20"/>
                <w:lang w:val="sq-AL"/>
              </w:rPr>
              <w:t>propozime</w:t>
            </w:r>
          </w:p>
        </w:tc>
      </w:tr>
      <w:tr w:rsidR="00650E6F" w:rsidRPr="000E1EB0" w14:paraId="6D6F2257" w14:textId="77777777" w:rsidTr="003C5DF4">
        <w:tc>
          <w:tcPr>
            <w:tcW w:w="813" w:type="dxa"/>
          </w:tcPr>
          <w:p w14:paraId="6D6F2255"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CSO</w:t>
            </w:r>
          </w:p>
        </w:tc>
        <w:tc>
          <w:tcPr>
            <w:tcW w:w="6747" w:type="dxa"/>
          </w:tcPr>
          <w:p w14:paraId="6D6F2256" w14:textId="5A1AE3CA"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Organizatë </w:t>
            </w:r>
            <w:r w:rsidR="00045548" w:rsidRPr="000E1EB0">
              <w:rPr>
                <w:rFonts w:ascii="Garamond" w:hAnsi="Garamond" w:cs="Tahoma"/>
                <w:sz w:val="20"/>
                <w:szCs w:val="20"/>
                <w:lang w:val="sq-AL"/>
              </w:rPr>
              <w:t xml:space="preserve">në mbështetje të </w:t>
            </w:r>
            <w:r w:rsidRPr="000E1EB0">
              <w:rPr>
                <w:rFonts w:ascii="Garamond" w:hAnsi="Garamond" w:cs="Tahoma"/>
                <w:sz w:val="20"/>
                <w:szCs w:val="20"/>
                <w:lang w:val="sq-AL"/>
              </w:rPr>
              <w:t>Komunitetit</w:t>
            </w:r>
          </w:p>
        </w:tc>
      </w:tr>
      <w:tr w:rsidR="00650E6F" w:rsidRPr="000E1EB0" w14:paraId="6D6F225A" w14:textId="77777777" w:rsidTr="003C5DF4">
        <w:tc>
          <w:tcPr>
            <w:tcW w:w="813" w:type="dxa"/>
          </w:tcPr>
          <w:p w14:paraId="6D6F2258"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DG</w:t>
            </w:r>
          </w:p>
        </w:tc>
        <w:tc>
          <w:tcPr>
            <w:tcW w:w="6747" w:type="dxa"/>
          </w:tcPr>
          <w:p w14:paraId="6D6F2259"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Drejtoria e Përgjithshme</w:t>
            </w:r>
          </w:p>
        </w:tc>
      </w:tr>
      <w:tr w:rsidR="00650E6F" w:rsidRPr="000E1EB0" w14:paraId="6D6F225D" w14:textId="77777777" w:rsidTr="003C5DF4">
        <w:tc>
          <w:tcPr>
            <w:tcW w:w="813" w:type="dxa"/>
          </w:tcPr>
          <w:p w14:paraId="6D6F225B"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ERE</w:t>
            </w:r>
          </w:p>
        </w:tc>
        <w:tc>
          <w:tcPr>
            <w:tcW w:w="6747" w:type="dxa"/>
          </w:tcPr>
          <w:p w14:paraId="6D6F225C"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Autoriteti Kombëtar Rregullator i Energjisë Elektrike (Republika e Shqipërisë)</w:t>
            </w:r>
          </w:p>
        </w:tc>
      </w:tr>
      <w:tr w:rsidR="00650E6F" w:rsidRPr="000E1EB0" w14:paraId="6D6F2260" w14:textId="77777777" w:rsidTr="003C5DF4">
        <w:tc>
          <w:tcPr>
            <w:tcW w:w="813" w:type="dxa"/>
          </w:tcPr>
          <w:p w14:paraId="6D6F225E"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EC</w:t>
            </w:r>
          </w:p>
        </w:tc>
        <w:tc>
          <w:tcPr>
            <w:tcW w:w="6747" w:type="dxa"/>
          </w:tcPr>
          <w:p w14:paraId="6D6F225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Komisioni Evropian </w:t>
            </w:r>
          </w:p>
        </w:tc>
      </w:tr>
      <w:tr w:rsidR="00650E6F" w:rsidRPr="000E1EB0" w14:paraId="6D6F2263" w14:textId="77777777" w:rsidTr="003C5DF4">
        <w:tc>
          <w:tcPr>
            <w:tcW w:w="813" w:type="dxa"/>
          </w:tcPr>
          <w:p w14:paraId="6D6F2261"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EU</w:t>
            </w:r>
          </w:p>
        </w:tc>
        <w:tc>
          <w:tcPr>
            <w:tcW w:w="6747" w:type="dxa"/>
          </w:tcPr>
          <w:p w14:paraId="6D6F2262"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Bashkimi Evropian</w:t>
            </w:r>
          </w:p>
        </w:tc>
      </w:tr>
      <w:tr w:rsidR="00650E6F" w:rsidRPr="000E1EB0" w14:paraId="6D6F2266" w14:textId="77777777" w:rsidTr="003C5DF4">
        <w:tc>
          <w:tcPr>
            <w:tcW w:w="813" w:type="dxa"/>
          </w:tcPr>
          <w:p w14:paraId="6D6F2264"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GBER</w:t>
            </w:r>
          </w:p>
        </w:tc>
        <w:tc>
          <w:tcPr>
            <w:tcW w:w="6747" w:type="dxa"/>
          </w:tcPr>
          <w:p w14:paraId="6D6F2265" w14:textId="0168EA54"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Rregullorja e </w:t>
            </w:r>
            <w:r w:rsidR="00045548" w:rsidRPr="000E1EB0">
              <w:rPr>
                <w:rFonts w:ascii="Garamond" w:hAnsi="Garamond" w:cs="Tahoma"/>
                <w:sz w:val="20"/>
                <w:szCs w:val="20"/>
                <w:lang w:val="sq-AL"/>
              </w:rPr>
              <w:t xml:space="preserve">përgjithshme e bllokimit dhe përjashtimeve </w:t>
            </w:r>
            <w:r w:rsidRPr="000E1EB0">
              <w:rPr>
                <w:rFonts w:ascii="Garamond" w:hAnsi="Garamond" w:cs="Tahoma"/>
                <w:sz w:val="20"/>
                <w:szCs w:val="20"/>
                <w:lang w:val="sq-AL"/>
              </w:rPr>
              <w:t>(BE)</w:t>
            </w:r>
          </w:p>
        </w:tc>
      </w:tr>
      <w:tr w:rsidR="00650E6F" w:rsidRPr="000E1EB0" w14:paraId="6D6F2269" w14:textId="77777777" w:rsidTr="003C5DF4">
        <w:tc>
          <w:tcPr>
            <w:tcW w:w="813" w:type="dxa"/>
          </w:tcPr>
          <w:p w14:paraId="6D6F2267"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GDP</w:t>
            </w:r>
          </w:p>
        </w:tc>
        <w:tc>
          <w:tcPr>
            <w:tcW w:w="6747" w:type="dxa"/>
          </w:tcPr>
          <w:p w14:paraId="6D6F2268" w14:textId="45EFD562"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Prodhimi i </w:t>
            </w:r>
            <w:r w:rsidR="009F1715" w:rsidRPr="000E1EB0">
              <w:rPr>
                <w:rFonts w:ascii="Garamond" w:hAnsi="Garamond" w:cs="Tahoma"/>
                <w:sz w:val="20"/>
                <w:szCs w:val="20"/>
                <w:lang w:val="sq-AL"/>
              </w:rPr>
              <w:t>brendshëm bruto</w:t>
            </w:r>
          </w:p>
        </w:tc>
      </w:tr>
      <w:tr w:rsidR="00650E6F" w:rsidRPr="000E1EB0" w14:paraId="6D6F226C" w14:textId="77777777" w:rsidTr="003C5DF4">
        <w:tc>
          <w:tcPr>
            <w:tcW w:w="813" w:type="dxa"/>
          </w:tcPr>
          <w:p w14:paraId="6D6F226A"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GfA</w:t>
            </w:r>
          </w:p>
        </w:tc>
        <w:tc>
          <w:tcPr>
            <w:tcW w:w="6747" w:type="dxa"/>
          </w:tcPr>
          <w:p w14:paraId="6D6F226B" w14:textId="75D8C54E"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Udhëzimet për </w:t>
            </w:r>
            <w:r w:rsidR="009F4005" w:rsidRPr="000E1EB0">
              <w:rPr>
                <w:rFonts w:ascii="Garamond" w:hAnsi="Garamond" w:cs="Tahoma"/>
                <w:sz w:val="20"/>
                <w:szCs w:val="20"/>
                <w:lang w:val="sq-AL"/>
              </w:rPr>
              <w:t>aplikantët</w:t>
            </w:r>
          </w:p>
        </w:tc>
      </w:tr>
      <w:tr w:rsidR="00650E6F" w:rsidRPr="000E1EB0" w14:paraId="6D6F226F" w14:textId="77777777" w:rsidTr="003C5DF4">
        <w:tc>
          <w:tcPr>
            <w:tcW w:w="813" w:type="dxa"/>
          </w:tcPr>
          <w:p w14:paraId="6D6F226D"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GVA</w:t>
            </w:r>
          </w:p>
        </w:tc>
        <w:tc>
          <w:tcPr>
            <w:tcW w:w="6747" w:type="dxa"/>
          </w:tcPr>
          <w:p w14:paraId="6D6F226E" w14:textId="253F8686"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Vlera e </w:t>
            </w:r>
            <w:r w:rsidR="009F4005" w:rsidRPr="000E1EB0">
              <w:rPr>
                <w:rFonts w:ascii="Garamond" w:hAnsi="Garamond" w:cs="Tahoma"/>
                <w:sz w:val="20"/>
                <w:szCs w:val="20"/>
                <w:lang w:val="sq-AL"/>
              </w:rPr>
              <w:t>shtuar bruto</w:t>
            </w:r>
          </w:p>
        </w:tc>
      </w:tr>
      <w:tr w:rsidR="00650E6F" w:rsidRPr="000E1EB0" w14:paraId="6D6F2272" w14:textId="77777777" w:rsidTr="003C5DF4">
        <w:tc>
          <w:tcPr>
            <w:tcW w:w="813" w:type="dxa"/>
          </w:tcPr>
          <w:p w14:paraId="6D6F2270"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HR</w:t>
            </w:r>
          </w:p>
        </w:tc>
        <w:tc>
          <w:tcPr>
            <w:tcW w:w="6747" w:type="dxa"/>
          </w:tcPr>
          <w:p w14:paraId="6D6F2271" w14:textId="76D7DBE4"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Burimet </w:t>
            </w:r>
            <w:r w:rsidR="009F4005" w:rsidRPr="000E1EB0">
              <w:rPr>
                <w:rFonts w:ascii="Garamond" w:hAnsi="Garamond" w:cs="Tahoma"/>
                <w:sz w:val="20"/>
                <w:szCs w:val="20"/>
                <w:lang w:val="sq-AL"/>
              </w:rPr>
              <w:t>njerëzore</w:t>
            </w:r>
          </w:p>
        </w:tc>
      </w:tr>
      <w:tr w:rsidR="00650E6F" w:rsidRPr="000E1EB0" w14:paraId="6D6F2275" w14:textId="77777777" w:rsidTr="003C5DF4">
        <w:tc>
          <w:tcPr>
            <w:tcW w:w="813" w:type="dxa"/>
          </w:tcPr>
          <w:p w14:paraId="6D6F2273"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ICT</w:t>
            </w:r>
          </w:p>
        </w:tc>
        <w:tc>
          <w:tcPr>
            <w:tcW w:w="6747" w:type="dxa"/>
          </w:tcPr>
          <w:p w14:paraId="6D6F2274" w14:textId="35220202"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Teknologjia e </w:t>
            </w:r>
            <w:r w:rsidR="009F4005" w:rsidRPr="000E1EB0">
              <w:rPr>
                <w:rFonts w:ascii="Garamond" w:hAnsi="Garamond" w:cs="Tahoma"/>
                <w:sz w:val="20"/>
                <w:szCs w:val="20"/>
                <w:lang w:val="sq-AL"/>
              </w:rPr>
              <w:t xml:space="preserve">informacionit dhe </w:t>
            </w:r>
            <w:r w:rsidR="00B3021A">
              <w:rPr>
                <w:rFonts w:ascii="Garamond" w:hAnsi="Garamond" w:cs="Tahoma"/>
                <w:sz w:val="20"/>
                <w:szCs w:val="20"/>
                <w:lang w:val="sq-AL"/>
              </w:rPr>
              <w:t xml:space="preserve">e </w:t>
            </w:r>
            <w:r w:rsidR="009F4005" w:rsidRPr="000E1EB0">
              <w:rPr>
                <w:rFonts w:ascii="Garamond" w:hAnsi="Garamond" w:cs="Tahoma"/>
                <w:sz w:val="20"/>
                <w:szCs w:val="20"/>
                <w:lang w:val="sq-AL"/>
              </w:rPr>
              <w:t>komunikimit</w:t>
            </w:r>
          </w:p>
        </w:tc>
      </w:tr>
      <w:tr w:rsidR="00650E6F" w:rsidRPr="000E1EB0" w14:paraId="6D6F2278" w14:textId="77777777" w:rsidTr="003C5DF4">
        <w:tc>
          <w:tcPr>
            <w:tcW w:w="813" w:type="dxa"/>
          </w:tcPr>
          <w:p w14:paraId="6D6F2276"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INSTAT</w:t>
            </w:r>
          </w:p>
        </w:tc>
        <w:tc>
          <w:tcPr>
            <w:tcW w:w="6747" w:type="dxa"/>
          </w:tcPr>
          <w:p w14:paraId="6D6F2277"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Instituti Statistikor i Republikës së Shqipërisë</w:t>
            </w:r>
          </w:p>
        </w:tc>
      </w:tr>
      <w:tr w:rsidR="00650E6F" w:rsidRPr="000E1EB0" w14:paraId="6D6F227B" w14:textId="77777777" w:rsidTr="003C5DF4">
        <w:tc>
          <w:tcPr>
            <w:tcW w:w="813" w:type="dxa"/>
          </w:tcPr>
          <w:p w14:paraId="6D6F2279"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IPA</w:t>
            </w:r>
          </w:p>
        </w:tc>
        <w:tc>
          <w:tcPr>
            <w:tcW w:w="6747" w:type="dxa"/>
          </w:tcPr>
          <w:p w14:paraId="6D6F227A" w14:textId="24CA30D1" w:rsidR="00650E6F" w:rsidRPr="000E1EB0" w:rsidRDefault="00650E6F" w:rsidP="009F4005">
            <w:pPr>
              <w:rPr>
                <w:rFonts w:ascii="Garamond" w:hAnsi="Garamond" w:cs="Tahoma"/>
                <w:sz w:val="20"/>
                <w:szCs w:val="20"/>
                <w:lang w:val="sq-AL"/>
              </w:rPr>
            </w:pPr>
            <w:r w:rsidRPr="000E1EB0">
              <w:rPr>
                <w:rFonts w:ascii="Garamond" w:hAnsi="Garamond" w:cs="Tahoma"/>
                <w:sz w:val="20"/>
                <w:szCs w:val="20"/>
                <w:lang w:val="sq-AL"/>
              </w:rPr>
              <w:t xml:space="preserve">Instrumenti i Ndihmës së </w:t>
            </w:r>
            <w:r w:rsidR="00002798" w:rsidRPr="000E1EB0">
              <w:rPr>
                <w:rFonts w:ascii="Garamond" w:hAnsi="Garamond" w:cs="Tahoma"/>
                <w:sz w:val="20"/>
                <w:szCs w:val="20"/>
                <w:lang w:val="sq-AL"/>
              </w:rPr>
              <w:t>Para</w:t>
            </w:r>
            <w:r w:rsidR="00002798">
              <w:rPr>
                <w:rFonts w:ascii="Garamond" w:hAnsi="Garamond" w:cs="Tahoma"/>
                <w:sz w:val="20"/>
                <w:szCs w:val="20"/>
                <w:lang w:val="sq-AL"/>
              </w:rPr>
              <w:t>a</w:t>
            </w:r>
            <w:r w:rsidR="00002798" w:rsidRPr="000E1EB0">
              <w:rPr>
                <w:rFonts w:ascii="Garamond" w:hAnsi="Garamond" w:cs="Tahoma"/>
                <w:sz w:val="20"/>
                <w:szCs w:val="20"/>
                <w:lang w:val="sq-AL"/>
              </w:rPr>
              <w:t>nëtarësimit</w:t>
            </w:r>
          </w:p>
        </w:tc>
      </w:tr>
      <w:tr w:rsidR="00650E6F" w:rsidRPr="000E1EB0" w14:paraId="6D6F227E" w14:textId="77777777" w:rsidTr="003C5DF4">
        <w:tc>
          <w:tcPr>
            <w:tcW w:w="813" w:type="dxa"/>
          </w:tcPr>
          <w:p w14:paraId="6D6F227C"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JTF</w:t>
            </w:r>
          </w:p>
        </w:tc>
        <w:tc>
          <w:tcPr>
            <w:tcW w:w="6747" w:type="dxa"/>
          </w:tcPr>
          <w:p w14:paraId="6D6F227D" w14:textId="473793AC" w:rsidR="00650E6F" w:rsidRPr="000E1EB0" w:rsidRDefault="00650E6F" w:rsidP="009F1715">
            <w:pPr>
              <w:rPr>
                <w:rFonts w:ascii="Garamond" w:hAnsi="Garamond" w:cs="Tahoma"/>
                <w:sz w:val="20"/>
                <w:szCs w:val="20"/>
                <w:lang w:val="sq-AL"/>
              </w:rPr>
            </w:pPr>
            <w:r w:rsidRPr="000E1EB0">
              <w:rPr>
                <w:rFonts w:ascii="Garamond" w:hAnsi="Garamond" w:cs="Tahoma"/>
                <w:sz w:val="20"/>
                <w:szCs w:val="20"/>
                <w:lang w:val="sq-AL"/>
              </w:rPr>
              <w:t>Task</w:t>
            </w:r>
            <w:r w:rsidR="006F095B">
              <w:rPr>
                <w:rFonts w:ascii="Garamond" w:hAnsi="Garamond" w:cs="Tahoma"/>
                <w:sz w:val="20"/>
                <w:szCs w:val="20"/>
                <w:lang w:val="sq-AL"/>
              </w:rPr>
              <w:t>-</w:t>
            </w:r>
            <w:r w:rsidRPr="000E1EB0">
              <w:rPr>
                <w:rFonts w:ascii="Garamond" w:hAnsi="Garamond" w:cs="Tahoma"/>
                <w:sz w:val="20"/>
                <w:szCs w:val="20"/>
                <w:lang w:val="sq-AL"/>
              </w:rPr>
              <w:t>Forca e Përbashkët</w:t>
            </w:r>
          </w:p>
        </w:tc>
      </w:tr>
      <w:tr w:rsidR="00650E6F" w:rsidRPr="000E1EB0" w14:paraId="6D6F2281" w14:textId="77777777" w:rsidTr="003C5DF4">
        <w:tc>
          <w:tcPr>
            <w:tcW w:w="813" w:type="dxa"/>
          </w:tcPr>
          <w:p w14:paraId="6D6F227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JTS</w:t>
            </w:r>
          </w:p>
        </w:tc>
        <w:tc>
          <w:tcPr>
            <w:tcW w:w="6747" w:type="dxa"/>
          </w:tcPr>
          <w:p w14:paraId="6D6F2280"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Sekretariati i Përbashkët Teknik</w:t>
            </w:r>
          </w:p>
        </w:tc>
      </w:tr>
      <w:tr w:rsidR="00650E6F" w:rsidRPr="000E1EB0" w14:paraId="6D6F2284" w14:textId="77777777" w:rsidTr="003C5DF4">
        <w:tc>
          <w:tcPr>
            <w:tcW w:w="813" w:type="dxa"/>
          </w:tcPr>
          <w:p w14:paraId="6D6F2282"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KPI</w:t>
            </w:r>
          </w:p>
        </w:tc>
        <w:tc>
          <w:tcPr>
            <w:tcW w:w="6747" w:type="dxa"/>
          </w:tcPr>
          <w:p w14:paraId="6D6F2283" w14:textId="40C39AD1"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Treguesit </w:t>
            </w:r>
            <w:r w:rsidR="006F095B" w:rsidRPr="000E1EB0">
              <w:rPr>
                <w:rFonts w:ascii="Garamond" w:hAnsi="Garamond" w:cs="Tahoma"/>
                <w:sz w:val="20"/>
                <w:szCs w:val="20"/>
                <w:lang w:val="sq-AL"/>
              </w:rPr>
              <w:t>kryesorë të performancës</w:t>
            </w:r>
          </w:p>
        </w:tc>
      </w:tr>
      <w:tr w:rsidR="00650E6F" w:rsidRPr="000E1EB0" w14:paraId="6D6F2287" w14:textId="77777777" w:rsidTr="003C5DF4">
        <w:tc>
          <w:tcPr>
            <w:tcW w:w="813" w:type="dxa"/>
          </w:tcPr>
          <w:p w14:paraId="6D6F2285"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LFS</w:t>
            </w:r>
          </w:p>
        </w:tc>
        <w:tc>
          <w:tcPr>
            <w:tcW w:w="6747" w:type="dxa"/>
          </w:tcPr>
          <w:p w14:paraId="6D6F2286" w14:textId="22CEE2B3"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Anketim mbi </w:t>
            </w:r>
            <w:r w:rsidR="006F095B" w:rsidRPr="000E1EB0">
              <w:rPr>
                <w:rFonts w:ascii="Garamond" w:hAnsi="Garamond" w:cs="Tahoma"/>
                <w:sz w:val="20"/>
                <w:szCs w:val="20"/>
                <w:lang w:val="sq-AL"/>
              </w:rPr>
              <w:t>fuqinë punëtore</w:t>
            </w:r>
          </w:p>
        </w:tc>
      </w:tr>
      <w:tr w:rsidR="00650E6F" w:rsidRPr="000E1EB0" w14:paraId="6D6F228A" w14:textId="77777777" w:rsidTr="003C5DF4">
        <w:tc>
          <w:tcPr>
            <w:tcW w:w="813" w:type="dxa"/>
          </w:tcPr>
          <w:p w14:paraId="6D6F2288"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LP</w:t>
            </w:r>
          </w:p>
        </w:tc>
        <w:tc>
          <w:tcPr>
            <w:tcW w:w="6747" w:type="dxa"/>
          </w:tcPr>
          <w:p w14:paraId="6D6F2289" w14:textId="52E28EA2"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Partneri </w:t>
            </w:r>
            <w:r w:rsidR="009F1715" w:rsidRPr="000E1EB0">
              <w:rPr>
                <w:rFonts w:ascii="Garamond" w:hAnsi="Garamond" w:cs="Tahoma"/>
                <w:sz w:val="20"/>
                <w:szCs w:val="20"/>
                <w:lang w:val="sq-AL"/>
              </w:rPr>
              <w:t xml:space="preserve">udhëheqës </w:t>
            </w:r>
            <w:r w:rsidRPr="000E1EB0">
              <w:rPr>
                <w:rFonts w:ascii="Garamond" w:hAnsi="Garamond" w:cs="Tahoma"/>
                <w:sz w:val="20"/>
                <w:szCs w:val="20"/>
                <w:lang w:val="sq-AL"/>
              </w:rPr>
              <w:t>(Parimi i Partnerit Udhëheqës)</w:t>
            </w:r>
          </w:p>
        </w:tc>
      </w:tr>
      <w:tr w:rsidR="00650E6F" w:rsidRPr="000E1EB0" w14:paraId="6D6F228D" w14:textId="77777777" w:rsidTr="003C5DF4">
        <w:tc>
          <w:tcPr>
            <w:tcW w:w="813" w:type="dxa"/>
          </w:tcPr>
          <w:p w14:paraId="6D6F228B"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LSMS</w:t>
            </w:r>
          </w:p>
        </w:tc>
        <w:tc>
          <w:tcPr>
            <w:tcW w:w="6747" w:type="dxa"/>
          </w:tcPr>
          <w:p w14:paraId="6D6F228C" w14:textId="06589EA6"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Studimi për </w:t>
            </w:r>
            <w:r w:rsidR="006F095B" w:rsidRPr="000E1EB0">
              <w:rPr>
                <w:rFonts w:ascii="Garamond" w:hAnsi="Garamond" w:cs="Tahoma"/>
                <w:sz w:val="20"/>
                <w:szCs w:val="20"/>
                <w:lang w:val="sq-AL"/>
              </w:rPr>
              <w:t xml:space="preserve">matjen e standardeve të jetesës </w:t>
            </w:r>
            <w:r w:rsidRPr="000E1EB0">
              <w:rPr>
                <w:rFonts w:ascii="Garamond" w:hAnsi="Garamond" w:cs="Tahoma"/>
                <w:sz w:val="20"/>
                <w:szCs w:val="20"/>
                <w:lang w:val="sq-AL"/>
              </w:rPr>
              <w:t>(Banka Botërore)</w:t>
            </w:r>
          </w:p>
        </w:tc>
      </w:tr>
      <w:tr w:rsidR="00650E6F" w:rsidRPr="000E1EB0" w14:paraId="6D6F2290" w14:textId="77777777" w:rsidTr="003C5DF4">
        <w:tc>
          <w:tcPr>
            <w:tcW w:w="813" w:type="dxa"/>
          </w:tcPr>
          <w:p w14:paraId="6D6F228E"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MIS</w:t>
            </w:r>
          </w:p>
        </w:tc>
        <w:tc>
          <w:tcPr>
            <w:tcW w:w="6747" w:type="dxa"/>
          </w:tcPr>
          <w:p w14:paraId="6D6F228F" w14:textId="2DEB9891"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Sistemi i Menaxhimit t</w:t>
            </w:r>
            <w:r w:rsidR="001D3D53" w:rsidRPr="000E1EB0">
              <w:rPr>
                <w:rFonts w:ascii="Garamond" w:hAnsi="Garamond" w:cs="Tahoma"/>
                <w:sz w:val="20"/>
                <w:szCs w:val="20"/>
                <w:lang w:val="sq-AL"/>
              </w:rPr>
              <w:t>ë</w:t>
            </w:r>
            <w:r w:rsidRPr="000E1EB0">
              <w:rPr>
                <w:rFonts w:ascii="Garamond" w:hAnsi="Garamond" w:cs="Tahoma"/>
                <w:sz w:val="20"/>
                <w:szCs w:val="20"/>
                <w:lang w:val="sq-AL"/>
              </w:rPr>
              <w:t xml:space="preserve"> Informacionit</w:t>
            </w:r>
          </w:p>
        </w:tc>
      </w:tr>
      <w:tr w:rsidR="00650E6F" w:rsidRPr="000E1EB0" w14:paraId="6D6F2293" w14:textId="77777777" w:rsidTr="003C5DF4">
        <w:tc>
          <w:tcPr>
            <w:tcW w:w="813" w:type="dxa"/>
          </w:tcPr>
          <w:p w14:paraId="6D6F2291"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MoU</w:t>
            </w:r>
          </w:p>
        </w:tc>
        <w:tc>
          <w:tcPr>
            <w:tcW w:w="6747" w:type="dxa"/>
          </w:tcPr>
          <w:p w14:paraId="6D6F2292" w14:textId="58890A56" w:rsidR="00650E6F" w:rsidRPr="000E1EB0" w:rsidRDefault="00650E6F" w:rsidP="00123DC6">
            <w:pPr>
              <w:rPr>
                <w:rFonts w:ascii="Garamond" w:hAnsi="Garamond" w:cs="Tahoma"/>
                <w:sz w:val="20"/>
                <w:szCs w:val="20"/>
                <w:lang w:val="sq-AL"/>
              </w:rPr>
            </w:pPr>
            <w:r w:rsidRPr="000E1EB0">
              <w:rPr>
                <w:rFonts w:ascii="Garamond" w:hAnsi="Garamond" w:cs="Tahoma"/>
                <w:sz w:val="20"/>
                <w:szCs w:val="20"/>
                <w:lang w:val="sq-AL"/>
              </w:rPr>
              <w:t xml:space="preserve">Memorandum </w:t>
            </w:r>
            <w:r w:rsidR="00123DC6">
              <w:rPr>
                <w:rFonts w:ascii="Garamond" w:hAnsi="Garamond" w:cs="Tahoma"/>
                <w:sz w:val="20"/>
                <w:szCs w:val="20"/>
                <w:lang w:val="sq-AL"/>
              </w:rPr>
              <w:t>m</w:t>
            </w:r>
            <w:r w:rsidRPr="000E1EB0">
              <w:rPr>
                <w:rFonts w:ascii="Garamond" w:hAnsi="Garamond" w:cs="Tahoma"/>
                <w:sz w:val="20"/>
                <w:szCs w:val="20"/>
                <w:lang w:val="sq-AL"/>
              </w:rPr>
              <w:t>irëkuptimi</w:t>
            </w:r>
          </w:p>
        </w:tc>
      </w:tr>
      <w:tr w:rsidR="00650E6F" w:rsidRPr="000E1EB0" w14:paraId="6D6F2296" w14:textId="77777777" w:rsidTr="003C5DF4">
        <w:tc>
          <w:tcPr>
            <w:tcW w:w="813" w:type="dxa"/>
          </w:tcPr>
          <w:p w14:paraId="6D6F2294"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NACE</w:t>
            </w:r>
          </w:p>
        </w:tc>
        <w:tc>
          <w:tcPr>
            <w:tcW w:w="6747" w:type="dxa"/>
          </w:tcPr>
          <w:p w14:paraId="6D6F2295" w14:textId="369E3B23"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Klasifikimi </w:t>
            </w:r>
            <w:r w:rsidR="00123DC6" w:rsidRPr="000E1EB0">
              <w:rPr>
                <w:rFonts w:ascii="Garamond" w:hAnsi="Garamond" w:cs="Tahoma"/>
                <w:sz w:val="20"/>
                <w:szCs w:val="20"/>
                <w:lang w:val="sq-AL"/>
              </w:rPr>
              <w:t>statistikor i aktiviteteve ekonomike n</w:t>
            </w:r>
            <w:r w:rsidRPr="000E1EB0">
              <w:rPr>
                <w:rFonts w:ascii="Garamond" w:hAnsi="Garamond" w:cs="Tahoma"/>
                <w:sz w:val="20"/>
                <w:szCs w:val="20"/>
                <w:lang w:val="sq-AL"/>
              </w:rPr>
              <w:t>ë Komunitetin Evropian</w:t>
            </w:r>
          </w:p>
        </w:tc>
      </w:tr>
      <w:tr w:rsidR="00650E6F" w:rsidRPr="000E1EB0" w14:paraId="6D6F2299" w14:textId="77777777" w:rsidTr="003C5DF4">
        <w:tc>
          <w:tcPr>
            <w:tcW w:w="813" w:type="dxa"/>
          </w:tcPr>
          <w:p w14:paraId="6D6F2297"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NATO</w:t>
            </w:r>
          </w:p>
        </w:tc>
        <w:tc>
          <w:tcPr>
            <w:tcW w:w="6747" w:type="dxa"/>
          </w:tcPr>
          <w:p w14:paraId="6D6F2298"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Organizata e Traktatit të Atlantikut Verior</w:t>
            </w:r>
          </w:p>
        </w:tc>
      </w:tr>
      <w:tr w:rsidR="00650E6F" w:rsidRPr="000E1EB0" w14:paraId="6D6F229C" w14:textId="77777777" w:rsidTr="003C5DF4">
        <w:tc>
          <w:tcPr>
            <w:tcW w:w="813" w:type="dxa"/>
          </w:tcPr>
          <w:p w14:paraId="6D6F229A"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NGO</w:t>
            </w:r>
          </w:p>
        </w:tc>
        <w:tc>
          <w:tcPr>
            <w:tcW w:w="6747" w:type="dxa"/>
          </w:tcPr>
          <w:p w14:paraId="6D6F229B" w14:textId="4E56344A"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Organizatë </w:t>
            </w:r>
            <w:r w:rsidR="00002798">
              <w:rPr>
                <w:rFonts w:ascii="Garamond" w:hAnsi="Garamond" w:cs="Tahoma"/>
                <w:sz w:val="20"/>
                <w:szCs w:val="20"/>
                <w:lang w:val="sq-AL"/>
              </w:rPr>
              <w:t>jo</w:t>
            </w:r>
            <w:r w:rsidR="00002798" w:rsidRPr="000E1EB0">
              <w:rPr>
                <w:rFonts w:ascii="Garamond" w:hAnsi="Garamond" w:cs="Tahoma"/>
                <w:sz w:val="20"/>
                <w:szCs w:val="20"/>
                <w:lang w:val="sq-AL"/>
              </w:rPr>
              <w:t>qeveritare</w:t>
            </w:r>
          </w:p>
        </w:tc>
      </w:tr>
      <w:tr w:rsidR="00650E6F" w:rsidRPr="000E1EB0" w14:paraId="6D6F229F" w14:textId="77777777" w:rsidTr="003C5DF4">
        <w:tc>
          <w:tcPr>
            <w:tcW w:w="813" w:type="dxa"/>
          </w:tcPr>
          <w:p w14:paraId="6D6F229D"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NIPAC</w:t>
            </w:r>
          </w:p>
        </w:tc>
        <w:tc>
          <w:tcPr>
            <w:tcW w:w="6747" w:type="dxa"/>
          </w:tcPr>
          <w:p w14:paraId="6D6F229E" w14:textId="3329D062"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Koordinatori Kombëtar i IPA-s</w:t>
            </w:r>
            <w:r w:rsidR="00002798">
              <w:rPr>
                <w:rFonts w:ascii="Garamond" w:hAnsi="Garamond" w:cs="Tahoma"/>
                <w:sz w:val="20"/>
                <w:szCs w:val="20"/>
                <w:lang w:val="sq-AL"/>
              </w:rPr>
              <w:t>ë</w:t>
            </w:r>
          </w:p>
        </w:tc>
      </w:tr>
      <w:tr w:rsidR="00650E6F" w:rsidRPr="000E1EB0" w14:paraId="6D6F22A2" w14:textId="77777777" w:rsidTr="003C5DF4">
        <w:tc>
          <w:tcPr>
            <w:tcW w:w="813" w:type="dxa"/>
          </w:tcPr>
          <w:p w14:paraId="6D6F22A0"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NSDI</w:t>
            </w:r>
          </w:p>
        </w:tc>
        <w:tc>
          <w:tcPr>
            <w:tcW w:w="6747" w:type="dxa"/>
          </w:tcPr>
          <w:p w14:paraId="6D6F22A1"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Strategjia Kombëtare për Zhvillim dhe Integrim (Republika e Shqipërisë)</w:t>
            </w:r>
          </w:p>
        </w:tc>
      </w:tr>
      <w:tr w:rsidR="00650E6F" w:rsidRPr="000E1EB0" w14:paraId="6D6F22A5" w14:textId="77777777" w:rsidTr="003C5DF4">
        <w:tc>
          <w:tcPr>
            <w:tcW w:w="813" w:type="dxa"/>
          </w:tcPr>
          <w:p w14:paraId="6D6F22A3"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NUTS</w:t>
            </w:r>
          </w:p>
        </w:tc>
        <w:tc>
          <w:tcPr>
            <w:tcW w:w="6747" w:type="dxa"/>
          </w:tcPr>
          <w:p w14:paraId="6D6F22A4"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Nomenklatura e Njësive Territoriale për Statistikat</w:t>
            </w:r>
          </w:p>
        </w:tc>
      </w:tr>
      <w:tr w:rsidR="00650E6F" w:rsidRPr="000E1EB0" w14:paraId="6D6F22A8" w14:textId="77777777" w:rsidTr="003C5DF4">
        <w:tc>
          <w:tcPr>
            <w:tcW w:w="813" w:type="dxa"/>
          </w:tcPr>
          <w:p w14:paraId="6D6F22A6"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OS</w:t>
            </w:r>
          </w:p>
        </w:tc>
        <w:tc>
          <w:tcPr>
            <w:tcW w:w="6747" w:type="dxa"/>
          </w:tcPr>
          <w:p w14:paraId="6D6F22A7" w14:textId="7294C7F6"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Struktura </w:t>
            </w:r>
            <w:r w:rsidR="0014110E" w:rsidRPr="000E1EB0">
              <w:rPr>
                <w:rFonts w:ascii="Garamond" w:hAnsi="Garamond" w:cs="Tahoma"/>
                <w:sz w:val="20"/>
                <w:szCs w:val="20"/>
                <w:lang w:val="sq-AL"/>
              </w:rPr>
              <w:t>operative</w:t>
            </w:r>
          </w:p>
        </w:tc>
      </w:tr>
      <w:tr w:rsidR="00650E6F" w:rsidRPr="000E1EB0" w14:paraId="6D6F22AB" w14:textId="77777777" w:rsidTr="003C5DF4">
        <w:tc>
          <w:tcPr>
            <w:tcW w:w="813" w:type="dxa"/>
          </w:tcPr>
          <w:p w14:paraId="6D6F22A9"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PRAG</w:t>
            </w:r>
          </w:p>
        </w:tc>
        <w:tc>
          <w:tcPr>
            <w:tcW w:w="6747" w:type="dxa"/>
          </w:tcPr>
          <w:p w14:paraId="6D6F22AA" w14:textId="5EBE13A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Udhëzime </w:t>
            </w:r>
            <w:r w:rsidR="0014110E" w:rsidRPr="000E1EB0">
              <w:rPr>
                <w:rFonts w:ascii="Garamond" w:hAnsi="Garamond" w:cs="Tahoma"/>
                <w:sz w:val="20"/>
                <w:szCs w:val="20"/>
                <w:lang w:val="sq-AL"/>
              </w:rPr>
              <w:t xml:space="preserve">praktike të procedurave të kontraktimit për veprimet e jashtme </w:t>
            </w:r>
            <w:r w:rsidRPr="000E1EB0">
              <w:rPr>
                <w:rFonts w:ascii="Garamond" w:hAnsi="Garamond" w:cs="Tahoma"/>
                <w:sz w:val="20"/>
                <w:szCs w:val="20"/>
                <w:lang w:val="sq-AL"/>
              </w:rPr>
              <w:t>të KE</w:t>
            </w:r>
            <w:r w:rsidR="0014110E">
              <w:rPr>
                <w:rFonts w:ascii="Garamond" w:hAnsi="Garamond" w:cs="Tahoma"/>
                <w:sz w:val="20"/>
                <w:szCs w:val="20"/>
                <w:lang w:val="sq-AL"/>
              </w:rPr>
              <w:t>-s</w:t>
            </w:r>
            <w:r w:rsidR="0014110E" w:rsidRPr="000E1EB0">
              <w:rPr>
                <w:rFonts w:ascii="Garamond" w:hAnsi="Garamond" w:cs="Tahoma"/>
                <w:sz w:val="20"/>
                <w:szCs w:val="20"/>
                <w:lang w:val="sq-AL"/>
              </w:rPr>
              <w:t>ë</w:t>
            </w:r>
          </w:p>
        </w:tc>
      </w:tr>
      <w:tr w:rsidR="00650E6F" w:rsidRPr="000E1EB0" w14:paraId="6D6F22AE" w14:textId="77777777" w:rsidTr="003C5DF4">
        <w:tc>
          <w:tcPr>
            <w:tcW w:w="813" w:type="dxa"/>
          </w:tcPr>
          <w:p w14:paraId="6D6F22AC"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RDI</w:t>
            </w:r>
          </w:p>
        </w:tc>
        <w:tc>
          <w:tcPr>
            <w:tcW w:w="6747" w:type="dxa"/>
          </w:tcPr>
          <w:p w14:paraId="6D6F22AD" w14:textId="7E4396EB"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Kërkimi shkencor, </w:t>
            </w:r>
            <w:r w:rsidR="0014110E" w:rsidRPr="000E1EB0">
              <w:rPr>
                <w:rFonts w:ascii="Garamond" w:hAnsi="Garamond" w:cs="Tahoma"/>
                <w:sz w:val="20"/>
                <w:szCs w:val="20"/>
                <w:lang w:val="sq-AL"/>
              </w:rPr>
              <w:t>zhvillimi dhe inovacioni</w:t>
            </w:r>
          </w:p>
        </w:tc>
      </w:tr>
      <w:tr w:rsidR="00650E6F" w:rsidRPr="000E1EB0" w14:paraId="6D6F22B1" w14:textId="77777777" w:rsidTr="003C5DF4">
        <w:tc>
          <w:tcPr>
            <w:tcW w:w="813" w:type="dxa"/>
          </w:tcPr>
          <w:p w14:paraId="6D6F22A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SBA</w:t>
            </w:r>
          </w:p>
        </w:tc>
        <w:tc>
          <w:tcPr>
            <w:tcW w:w="6747" w:type="dxa"/>
          </w:tcPr>
          <w:p w14:paraId="6D6F22B0" w14:textId="144C94D9"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Akti për </w:t>
            </w:r>
            <w:r w:rsidR="0014110E" w:rsidRPr="000E1EB0">
              <w:rPr>
                <w:rFonts w:ascii="Garamond" w:hAnsi="Garamond" w:cs="Tahoma"/>
                <w:sz w:val="20"/>
                <w:szCs w:val="20"/>
                <w:lang w:val="sq-AL"/>
              </w:rPr>
              <w:t xml:space="preserve">biznesin e vogël </w:t>
            </w:r>
            <w:r w:rsidRPr="000E1EB0">
              <w:rPr>
                <w:rFonts w:ascii="Garamond" w:hAnsi="Garamond" w:cs="Tahoma"/>
                <w:sz w:val="20"/>
                <w:szCs w:val="20"/>
                <w:lang w:val="sq-AL"/>
              </w:rPr>
              <w:t>(EU)</w:t>
            </w:r>
          </w:p>
        </w:tc>
      </w:tr>
      <w:tr w:rsidR="00650E6F" w:rsidRPr="000E1EB0" w14:paraId="6D6F22B4" w14:textId="77777777" w:rsidTr="003C5DF4">
        <w:tc>
          <w:tcPr>
            <w:tcW w:w="813" w:type="dxa"/>
          </w:tcPr>
          <w:p w14:paraId="6D6F22B2"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SME</w:t>
            </w:r>
          </w:p>
        </w:tc>
        <w:tc>
          <w:tcPr>
            <w:tcW w:w="6747" w:type="dxa"/>
          </w:tcPr>
          <w:p w14:paraId="6D6F22B3" w14:textId="6AF3E4E4"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Ndërmarrje </w:t>
            </w:r>
            <w:r w:rsidR="0014110E" w:rsidRPr="000E1EB0">
              <w:rPr>
                <w:rFonts w:ascii="Garamond" w:hAnsi="Garamond" w:cs="Tahoma"/>
                <w:sz w:val="20"/>
                <w:szCs w:val="20"/>
                <w:lang w:val="sq-AL"/>
              </w:rPr>
              <w:t>të vogla dhe të mesme, duke përfshirë firmat e vogla</w:t>
            </w:r>
          </w:p>
        </w:tc>
      </w:tr>
      <w:tr w:rsidR="00650E6F" w:rsidRPr="000E1EB0" w14:paraId="6D6F22B7" w14:textId="77777777" w:rsidTr="003C5DF4">
        <w:tc>
          <w:tcPr>
            <w:tcW w:w="813" w:type="dxa"/>
          </w:tcPr>
          <w:p w14:paraId="6D6F22B5"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OMC</w:t>
            </w:r>
          </w:p>
        </w:tc>
        <w:tc>
          <w:tcPr>
            <w:tcW w:w="6747" w:type="dxa"/>
          </w:tcPr>
          <w:p w14:paraId="6D6F22B6" w14:textId="769CD148"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Metoda e </w:t>
            </w:r>
            <w:r w:rsidR="00A148CA" w:rsidRPr="000E1EB0">
              <w:rPr>
                <w:rFonts w:ascii="Garamond" w:hAnsi="Garamond" w:cs="Tahoma"/>
                <w:sz w:val="20"/>
                <w:szCs w:val="20"/>
                <w:lang w:val="sq-AL"/>
              </w:rPr>
              <w:t xml:space="preserve">hapur e koordinimit për mbrojtjen sociale dhe përfshirjen sociale </w:t>
            </w:r>
            <w:r w:rsidRPr="000E1EB0">
              <w:rPr>
                <w:rFonts w:ascii="Garamond" w:hAnsi="Garamond" w:cs="Tahoma"/>
                <w:sz w:val="20"/>
                <w:szCs w:val="20"/>
                <w:lang w:val="sq-AL"/>
              </w:rPr>
              <w:t>(BE)</w:t>
            </w:r>
          </w:p>
        </w:tc>
      </w:tr>
      <w:tr w:rsidR="00650E6F" w:rsidRPr="000E1EB0" w14:paraId="6D6F22BA" w14:textId="77777777" w:rsidTr="003C5DF4">
        <w:tc>
          <w:tcPr>
            <w:tcW w:w="813" w:type="dxa"/>
          </w:tcPr>
          <w:p w14:paraId="6D6F22B8"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SWOT</w:t>
            </w:r>
          </w:p>
        </w:tc>
        <w:tc>
          <w:tcPr>
            <w:tcW w:w="6747" w:type="dxa"/>
          </w:tcPr>
          <w:p w14:paraId="6D6F22B9" w14:textId="3CA9D5E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Analiza e </w:t>
            </w:r>
            <w:r w:rsidR="00A148CA" w:rsidRPr="000E1EB0">
              <w:rPr>
                <w:rFonts w:ascii="Garamond" w:hAnsi="Garamond" w:cs="Tahoma"/>
                <w:sz w:val="20"/>
                <w:szCs w:val="20"/>
                <w:lang w:val="sq-AL"/>
              </w:rPr>
              <w:t>pikave të forta, pikave të dobëta, mundësive dhe kërcënimeve</w:t>
            </w:r>
          </w:p>
        </w:tc>
      </w:tr>
      <w:tr w:rsidR="00650E6F" w:rsidRPr="000E1EB0" w14:paraId="6D6F22BD" w14:textId="77777777" w:rsidTr="003C5DF4">
        <w:tc>
          <w:tcPr>
            <w:tcW w:w="813" w:type="dxa"/>
          </w:tcPr>
          <w:p w14:paraId="6D6F22BB"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TP</w:t>
            </w:r>
          </w:p>
        </w:tc>
        <w:tc>
          <w:tcPr>
            <w:tcW w:w="6747" w:type="dxa"/>
          </w:tcPr>
          <w:p w14:paraId="6D6F22BC" w14:textId="20D1E2BE"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Prioritet </w:t>
            </w:r>
            <w:r w:rsidR="0014110E" w:rsidRPr="000E1EB0">
              <w:rPr>
                <w:rFonts w:ascii="Garamond" w:hAnsi="Garamond" w:cs="Tahoma"/>
                <w:sz w:val="20"/>
                <w:szCs w:val="20"/>
                <w:lang w:val="sq-AL"/>
              </w:rPr>
              <w:t>tematik</w:t>
            </w:r>
          </w:p>
        </w:tc>
      </w:tr>
    </w:tbl>
    <w:p w14:paraId="6D6F22BE" w14:textId="77777777" w:rsidR="00650E6F" w:rsidRPr="000E1EB0" w:rsidRDefault="00650E6F" w:rsidP="00650E6F">
      <w:pPr>
        <w:spacing w:after="0" w:line="240" w:lineRule="auto"/>
        <w:ind w:firstLine="284"/>
        <w:rPr>
          <w:rFonts w:ascii="Garamond" w:hAnsi="Garamond" w:cs="Tahoma"/>
          <w:sz w:val="24"/>
          <w:szCs w:val="24"/>
        </w:rPr>
      </w:pPr>
    </w:p>
    <w:p w14:paraId="6D6F22BF" w14:textId="77777777" w:rsidR="00650E6F" w:rsidRPr="000E1EB0" w:rsidRDefault="00650E6F" w:rsidP="00650E6F">
      <w:pPr>
        <w:spacing w:after="0" w:line="240" w:lineRule="auto"/>
        <w:ind w:firstLine="284"/>
        <w:jc w:val="center"/>
        <w:rPr>
          <w:rFonts w:ascii="Garamond" w:hAnsi="Garamond" w:cs="Tahoma"/>
          <w:sz w:val="24"/>
          <w:szCs w:val="24"/>
        </w:rPr>
      </w:pPr>
      <w:r w:rsidRPr="000E1EB0">
        <w:rPr>
          <w:rFonts w:ascii="Garamond" w:hAnsi="Garamond" w:cs="Tahoma"/>
          <w:noProof/>
          <w:lang w:val="en-US"/>
        </w:rPr>
        <w:lastRenderedPageBreak/>
        <w:drawing>
          <wp:inline distT="0" distB="0" distL="0" distR="0" wp14:anchorId="6D6F2CD0" wp14:editId="71D0AFE1">
            <wp:extent cx="3437206" cy="2538000"/>
            <wp:effectExtent l="0" t="0" r="0" b="0"/>
            <wp:docPr id="14" name="Picture 14" descr="C:\Users\Tomasz\AppData\Local\Microsoft\Windows\Temporary Internet Files\Content.Outlook\C5DS28JT\LOGO IPA CBC Programme Macedonia - Alb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AppData\Local\Microsoft\Windows\Temporary Internet Files\Content.Outlook\C5DS28JT\LOGO IPA CBC Programme Macedonia - Albani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311" b="14192"/>
                    <a:stretch/>
                  </pic:blipFill>
                  <pic:spPr bwMode="auto">
                    <a:xfrm>
                      <a:off x="0" y="0"/>
                      <a:ext cx="3440495" cy="2540428"/>
                    </a:xfrm>
                    <a:prstGeom prst="rect">
                      <a:avLst/>
                    </a:prstGeom>
                    <a:noFill/>
                    <a:ln>
                      <a:noFill/>
                    </a:ln>
                    <a:extLst>
                      <a:ext uri="{53640926-AAD7-44D8-BBD7-CCE9431645EC}">
                        <a14:shadowObscured xmlns:a14="http://schemas.microsoft.com/office/drawing/2010/main"/>
                      </a:ext>
                    </a:extLst>
                  </pic:spPr>
                </pic:pic>
              </a:graphicData>
            </a:graphic>
          </wp:inline>
        </w:drawing>
      </w:r>
    </w:p>
    <w:p w14:paraId="6D6F22C0" w14:textId="77777777" w:rsidR="00650E6F" w:rsidRPr="000E1EB0" w:rsidRDefault="00650E6F" w:rsidP="00650E6F">
      <w:pPr>
        <w:pStyle w:val="AAAATEX"/>
      </w:pPr>
      <w:r w:rsidRPr="00584648">
        <w:rPr>
          <w:b/>
        </w:rPr>
        <w:t>Përmbledhje</w:t>
      </w:r>
    </w:p>
    <w:tbl>
      <w:tblPr>
        <w:tblStyle w:val="MediumGrid3-Accent1"/>
        <w:tblW w:w="0" w:type="auto"/>
        <w:tblLook w:val="01E0" w:firstRow="1" w:lastRow="1" w:firstColumn="1" w:lastColumn="1" w:noHBand="0" w:noVBand="0"/>
      </w:tblPr>
      <w:tblGrid>
        <w:gridCol w:w="2088"/>
        <w:gridCol w:w="7122"/>
      </w:tblGrid>
      <w:tr w:rsidR="00650E6F" w:rsidRPr="000E1EB0" w14:paraId="6D6F22C3" w14:textId="77777777" w:rsidTr="00650E6F">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088" w:type="dxa"/>
          </w:tcPr>
          <w:p w14:paraId="6D6F22C1" w14:textId="40E5033F"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Titulli i </w:t>
            </w:r>
            <w:r w:rsidR="00002798" w:rsidRPr="000E1EB0">
              <w:rPr>
                <w:rFonts w:ascii="Garamond" w:hAnsi="Garamond" w:cs="Tahoma"/>
                <w:sz w:val="20"/>
                <w:szCs w:val="20"/>
                <w:lang w:val="sq-AL"/>
              </w:rPr>
              <w:t>Programit</w:t>
            </w:r>
          </w:p>
        </w:tc>
        <w:tc>
          <w:tcPr>
            <w:cnfStyle w:val="000100000000" w:firstRow="0" w:lastRow="0" w:firstColumn="0" w:lastColumn="1" w:oddVBand="0" w:evenVBand="0" w:oddHBand="0" w:evenHBand="0" w:firstRowFirstColumn="0" w:firstRowLastColumn="0" w:lastRowFirstColumn="0" w:lastRowLastColumn="0"/>
            <w:tcW w:w="7122" w:type="dxa"/>
          </w:tcPr>
          <w:p w14:paraId="6D6F22C2" w14:textId="0CE3139A"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Programi BNK: </w:t>
            </w:r>
            <w:r w:rsidR="00EB5DEB">
              <w:rPr>
                <w:rFonts w:ascii="Garamond" w:hAnsi="Garamond" w:cs="Tahoma"/>
                <w:sz w:val="20"/>
                <w:szCs w:val="20"/>
                <w:lang w:val="sq-AL"/>
              </w:rPr>
              <w:t>ish-Repu</w:t>
            </w:r>
            <w:r w:rsidRPr="000E1EB0">
              <w:rPr>
                <w:rFonts w:ascii="Garamond" w:hAnsi="Garamond" w:cs="Tahoma"/>
                <w:sz w:val="20"/>
                <w:szCs w:val="20"/>
                <w:lang w:val="sq-AL"/>
              </w:rPr>
              <w:t>blika Jugosllave e Maqedonisë dhe Republika e Shqipërisë</w:t>
            </w:r>
          </w:p>
        </w:tc>
      </w:tr>
      <w:tr w:rsidR="00650E6F" w:rsidRPr="000E1EB0" w14:paraId="6D6F22C7" w14:textId="77777777" w:rsidTr="00650E6F">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088" w:type="dxa"/>
          </w:tcPr>
          <w:p w14:paraId="6D6F22C4" w14:textId="041EBB70"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Zona e </w:t>
            </w:r>
            <w:r w:rsidR="00002798" w:rsidRPr="000E1EB0">
              <w:rPr>
                <w:rFonts w:ascii="Garamond" w:hAnsi="Garamond" w:cs="Tahoma"/>
                <w:sz w:val="20"/>
                <w:szCs w:val="20"/>
                <w:lang w:val="sq-AL"/>
              </w:rPr>
              <w:t>Programit</w:t>
            </w:r>
          </w:p>
        </w:tc>
        <w:tc>
          <w:tcPr>
            <w:cnfStyle w:val="000100000000" w:firstRow="0" w:lastRow="0" w:firstColumn="0" w:lastColumn="1" w:oddVBand="0" w:evenVBand="0" w:oddHBand="0" w:evenHBand="0" w:firstRowFirstColumn="0" w:firstRowLastColumn="0" w:lastRowFirstColumn="0" w:lastRowLastColumn="0"/>
            <w:tcW w:w="7122" w:type="dxa"/>
          </w:tcPr>
          <w:p w14:paraId="6D6F22C5" w14:textId="46107F8D" w:rsidR="00650E6F" w:rsidRPr="000E1EB0" w:rsidRDefault="00002798" w:rsidP="00650E6F">
            <w:pPr>
              <w:rPr>
                <w:rFonts w:ascii="Garamond" w:hAnsi="Garamond" w:cs="Tahoma"/>
                <w:sz w:val="20"/>
                <w:szCs w:val="20"/>
                <w:lang w:val="sq-AL"/>
              </w:rPr>
            </w:pPr>
            <w:r>
              <w:rPr>
                <w:rFonts w:ascii="Garamond" w:hAnsi="Garamond" w:cs="Tahoma"/>
                <w:sz w:val="20"/>
                <w:szCs w:val="20"/>
                <w:lang w:val="sq-AL"/>
              </w:rPr>
              <w:t>Ish</w:t>
            </w:r>
            <w:r w:rsidR="00EB5DEB">
              <w:rPr>
                <w:rFonts w:ascii="Garamond" w:hAnsi="Garamond" w:cs="Tahoma"/>
                <w:sz w:val="20"/>
                <w:szCs w:val="20"/>
                <w:lang w:val="sq-AL"/>
              </w:rPr>
              <w:t>-Repu</w:t>
            </w:r>
            <w:r w:rsidR="00650E6F" w:rsidRPr="000E1EB0">
              <w:rPr>
                <w:rFonts w:ascii="Garamond" w:hAnsi="Garamond" w:cs="Tahoma"/>
                <w:sz w:val="20"/>
                <w:szCs w:val="20"/>
                <w:lang w:val="sq-AL"/>
              </w:rPr>
              <w:t>blika Jugosllave e Maqedonisë: Pellagoni, Pollog, Jug-perëndimi</w:t>
            </w:r>
          </w:p>
          <w:p w14:paraId="6D6F22C6"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Republika e Shqipërisë: Dibër, Elbasan, Korçë</w:t>
            </w:r>
          </w:p>
        </w:tc>
      </w:tr>
      <w:tr w:rsidR="00650E6F" w:rsidRPr="000E1EB0" w14:paraId="6D6F22CA" w14:textId="77777777" w:rsidTr="00650E6F">
        <w:trPr>
          <w:trHeight w:val="656"/>
        </w:trPr>
        <w:tc>
          <w:tcPr>
            <w:cnfStyle w:val="001000000000" w:firstRow="0" w:lastRow="0" w:firstColumn="1" w:lastColumn="0" w:oddVBand="0" w:evenVBand="0" w:oddHBand="0" w:evenHBand="0" w:firstRowFirstColumn="0" w:firstRowLastColumn="0" w:lastRowFirstColumn="0" w:lastRowLastColumn="0"/>
            <w:tcW w:w="2088" w:type="dxa"/>
          </w:tcPr>
          <w:p w14:paraId="6D6F22C8" w14:textId="1EE1D10C"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Objektivi i përgjithshëm i </w:t>
            </w:r>
            <w:r w:rsidR="00002798" w:rsidRPr="000E1EB0">
              <w:rPr>
                <w:rFonts w:ascii="Garamond" w:hAnsi="Garamond" w:cs="Tahoma"/>
                <w:sz w:val="20"/>
                <w:szCs w:val="20"/>
                <w:lang w:val="sq-AL"/>
              </w:rPr>
              <w:t>Programit</w:t>
            </w:r>
          </w:p>
        </w:tc>
        <w:tc>
          <w:tcPr>
            <w:cnfStyle w:val="000100000000" w:firstRow="0" w:lastRow="0" w:firstColumn="0" w:lastColumn="1" w:oddVBand="0" w:evenVBand="0" w:oddHBand="0" w:evenHBand="0" w:firstRowFirstColumn="0" w:firstRowLastColumn="0" w:lastRowFirstColumn="0" w:lastRowLastColumn="0"/>
            <w:tcW w:w="7122" w:type="dxa"/>
          </w:tcPr>
          <w:p w14:paraId="6D6F22C9"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Të stimulojë një zhvillim më të ekuilibruar, gjithëpërfshirës dhe të qëndrueshëm në aspektin social-ekonomik, në zonën kufitare</w:t>
            </w:r>
          </w:p>
        </w:tc>
      </w:tr>
      <w:tr w:rsidR="00650E6F" w:rsidRPr="000E1EB0" w14:paraId="6D6F22D3" w14:textId="77777777" w:rsidTr="00650E6F">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2088" w:type="dxa"/>
          </w:tcPr>
          <w:p w14:paraId="6D6F22CB" w14:textId="4FC0A7ED"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Prioritetet tematike të </w:t>
            </w:r>
            <w:r w:rsidR="00002798" w:rsidRPr="000E1EB0">
              <w:rPr>
                <w:rFonts w:ascii="Garamond" w:hAnsi="Garamond" w:cs="Tahoma"/>
                <w:sz w:val="20"/>
                <w:szCs w:val="20"/>
                <w:lang w:val="sq-AL"/>
              </w:rPr>
              <w:t>Programit</w:t>
            </w:r>
          </w:p>
        </w:tc>
        <w:tc>
          <w:tcPr>
            <w:cnfStyle w:val="000100000000" w:firstRow="0" w:lastRow="0" w:firstColumn="0" w:lastColumn="1" w:oddVBand="0" w:evenVBand="0" w:oddHBand="0" w:evenHBand="0" w:firstRowFirstColumn="0" w:firstRowLastColumn="0" w:lastRowFirstColumn="0" w:lastRowLastColumn="0"/>
            <w:tcW w:w="7122" w:type="dxa"/>
          </w:tcPr>
          <w:p w14:paraId="6D6F22CC" w14:textId="6CCB23A8" w:rsidR="00650E6F" w:rsidRPr="000E1EB0" w:rsidRDefault="00002798" w:rsidP="00002798">
            <w:pPr>
              <w:pStyle w:val="ListParagraph"/>
              <w:spacing w:after="0" w:line="240" w:lineRule="auto"/>
              <w:ind w:left="0"/>
              <w:rPr>
                <w:rFonts w:ascii="Garamond" w:hAnsi="Garamond" w:cs="Tahoma"/>
                <w:sz w:val="20"/>
                <w:szCs w:val="20"/>
                <w:lang w:val="sq-AL"/>
              </w:rPr>
            </w:pPr>
            <w:r>
              <w:rPr>
                <w:rFonts w:ascii="Garamond" w:hAnsi="Garamond" w:cs="Tahoma"/>
                <w:sz w:val="20"/>
                <w:szCs w:val="20"/>
                <w:lang w:val="sq-AL"/>
              </w:rPr>
              <w:t xml:space="preserve">1. </w:t>
            </w:r>
            <w:r w:rsidR="00650E6F" w:rsidRPr="000E1EB0">
              <w:rPr>
                <w:rFonts w:ascii="Garamond" w:hAnsi="Garamond" w:cs="Tahoma"/>
                <w:sz w:val="20"/>
                <w:szCs w:val="20"/>
                <w:lang w:val="sq-AL"/>
              </w:rPr>
              <w:t>Nxitja e turizmit, kulturës dhe trashëgimisë natyrore (TP4)</w:t>
            </w:r>
          </w:p>
          <w:p w14:paraId="6D6F22CD" w14:textId="77777777" w:rsidR="00650E6F" w:rsidRPr="000E1EB0" w:rsidRDefault="00650E6F" w:rsidP="00650E6F">
            <w:pPr>
              <w:rPr>
                <w:rFonts w:ascii="Garamond" w:hAnsi="Garamond" w:cs="Tahoma"/>
                <w:sz w:val="20"/>
                <w:szCs w:val="20"/>
                <w:lang w:val="sq-AL"/>
              </w:rPr>
            </w:pPr>
          </w:p>
          <w:p w14:paraId="6D6F22CE" w14:textId="41CE748A" w:rsidR="00650E6F" w:rsidRPr="000E1EB0" w:rsidRDefault="00002798" w:rsidP="00002798">
            <w:pPr>
              <w:pStyle w:val="ListParagraph"/>
              <w:spacing w:after="0" w:line="240" w:lineRule="auto"/>
              <w:ind w:left="0"/>
              <w:rPr>
                <w:rFonts w:ascii="Garamond" w:hAnsi="Garamond" w:cs="Tahoma"/>
                <w:sz w:val="20"/>
                <w:szCs w:val="20"/>
                <w:lang w:val="sq-AL"/>
              </w:rPr>
            </w:pPr>
            <w:r>
              <w:rPr>
                <w:rFonts w:ascii="Garamond" w:hAnsi="Garamond" w:cs="Tahoma"/>
                <w:sz w:val="20"/>
                <w:szCs w:val="20"/>
                <w:lang w:val="sq-AL"/>
              </w:rPr>
              <w:t xml:space="preserve">2. </w:t>
            </w:r>
            <w:r w:rsidR="00650E6F" w:rsidRPr="000E1EB0">
              <w:rPr>
                <w:rFonts w:ascii="Garamond" w:hAnsi="Garamond" w:cs="Tahoma"/>
                <w:sz w:val="20"/>
                <w:szCs w:val="20"/>
                <w:lang w:val="sq-AL"/>
              </w:rPr>
              <w:t>Rritja e konkurrencës, biznesit, tregtisë dhe investimeve (TP7)</w:t>
            </w:r>
          </w:p>
          <w:p w14:paraId="6D6F22CF" w14:textId="77777777" w:rsidR="00650E6F" w:rsidRPr="000E1EB0" w:rsidRDefault="00650E6F" w:rsidP="00650E6F">
            <w:pPr>
              <w:pStyle w:val="ListParagraph"/>
              <w:ind w:left="0"/>
              <w:rPr>
                <w:rFonts w:ascii="Garamond" w:hAnsi="Garamond" w:cs="Tahoma"/>
                <w:sz w:val="20"/>
                <w:szCs w:val="20"/>
                <w:lang w:val="sq-AL"/>
              </w:rPr>
            </w:pPr>
          </w:p>
          <w:p w14:paraId="6D6F22D0" w14:textId="07FC5418" w:rsidR="00650E6F" w:rsidRPr="000E1EB0" w:rsidRDefault="00002798" w:rsidP="00002798">
            <w:pPr>
              <w:pStyle w:val="ListParagraph"/>
              <w:spacing w:after="0" w:line="240" w:lineRule="auto"/>
              <w:ind w:left="0"/>
              <w:rPr>
                <w:rFonts w:ascii="Garamond" w:hAnsi="Garamond" w:cs="Tahoma"/>
                <w:sz w:val="20"/>
                <w:szCs w:val="20"/>
                <w:lang w:val="sq-AL"/>
              </w:rPr>
            </w:pPr>
            <w:r>
              <w:rPr>
                <w:rFonts w:ascii="Garamond" w:hAnsi="Garamond" w:cs="Tahoma"/>
                <w:sz w:val="20"/>
                <w:szCs w:val="20"/>
                <w:lang w:val="sq-AL"/>
              </w:rPr>
              <w:t xml:space="preserve">3. </w:t>
            </w:r>
            <w:r w:rsidR="00650E6F" w:rsidRPr="000E1EB0">
              <w:rPr>
                <w:rFonts w:ascii="Garamond" w:hAnsi="Garamond" w:cs="Tahoma"/>
                <w:sz w:val="20"/>
                <w:szCs w:val="20"/>
                <w:lang w:val="sq-AL"/>
              </w:rPr>
              <w:t xml:space="preserve">Mbrojtja e mjedisit, nxitja e përshtatjes dhe </w:t>
            </w:r>
            <w:r>
              <w:rPr>
                <w:rFonts w:ascii="Garamond" w:hAnsi="Garamond" w:cs="Tahoma"/>
                <w:sz w:val="20"/>
                <w:szCs w:val="20"/>
                <w:lang w:val="sq-AL"/>
              </w:rPr>
              <w:t xml:space="preserve">e </w:t>
            </w:r>
            <w:r w:rsidR="00650E6F" w:rsidRPr="000E1EB0">
              <w:rPr>
                <w:rFonts w:ascii="Garamond" w:hAnsi="Garamond" w:cs="Tahoma"/>
                <w:sz w:val="20"/>
                <w:szCs w:val="20"/>
                <w:lang w:val="sq-AL"/>
              </w:rPr>
              <w:t>lehtësimit ndaj ndryshimeve klimatike, parandalimi dhe menaxhimi i rrezikut (TP2)</w:t>
            </w:r>
          </w:p>
          <w:p w14:paraId="3A65E510" w14:textId="77777777" w:rsidR="00097942" w:rsidRDefault="00097942" w:rsidP="00C32817">
            <w:pPr>
              <w:rPr>
                <w:rFonts w:ascii="Garamond" w:hAnsi="Garamond" w:cs="Tahoma"/>
                <w:sz w:val="20"/>
                <w:szCs w:val="20"/>
                <w:lang w:val="sq-AL"/>
              </w:rPr>
            </w:pPr>
          </w:p>
          <w:p w14:paraId="6D6F22D2" w14:textId="6965997C" w:rsidR="00650E6F" w:rsidRPr="00C32817" w:rsidRDefault="00C32817" w:rsidP="00C32817">
            <w:pPr>
              <w:rPr>
                <w:rFonts w:ascii="Garamond" w:hAnsi="Garamond" w:cs="Tahoma"/>
                <w:sz w:val="20"/>
                <w:szCs w:val="20"/>
                <w:lang w:val="sq-AL"/>
              </w:rPr>
            </w:pPr>
            <w:r>
              <w:rPr>
                <w:rFonts w:ascii="Garamond" w:hAnsi="Garamond" w:cs="Tahoma"/>
                <w:sz w:val="20"/>
                <w:szCs w:val="20"/>
                <w:lang w:val="sq-AL"/>
              </w:rPr>
              <w:t xml:space="preserve">4. </w:t>
            </w:r>
            <w:r w:rsidR="00650E6F" w:rsidRPr="00C32817">
              <w:rPr>
                <w:rFonts w:ascii="Garamond" w:hAnsi="Garamond" w:cs="Tahoma"/>
                <w:sz w:val="20"/>
                <w:szCs w:val="20"/>
                <w:lang w:val="sq-AL"/>
              </w:rPr>
              <w:t>Asistenca teknike</w:t>
            </w:r>
          </w:p>
        </w:tc>
      </w:tr>
      <w:tr w:rsidR="00650E6F" w:rsidRPr="000E1EB0" w14:paraId="6D6F22E0" w14:textId="77777777" w:rsidTr="0034233B">
        <w:trPr>
          <w:trHeight w:val="705"/>
        </w:trPr>
        <w:tc>
          <w:tcPr>
            <w:cnfStyle w:val="001000000000" w:firstRow="0" w:lastRow="0" w:firstColumn="1" w:lastColumn="0" w:oddVBand="0" w:evenVBand="0" w:oddHBand="0" w:evenHBand="0" w:firstRowFirstColumn="0" w:firstRowLastColumn="0" w:lastRowFirstColumn="0" w:lastRowLastColumn="0"/>
            <w:tcW w:w="2088" w:type="dxa"/>
          </w:tcPr>
          <w:p w14:paraId="6D6F22D4" w14:textId="3ACDD014"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Objektivat </w:t>
            </w:r>
            <w:r w:rsidR="0014110E" w:rsidRPr="000E1EB0">
              <w:rPr>
                <w:rFonts w:ascii="Garamond" w:hAnsi="Garamond" w:cs="Tahoma"/>
                <w:sz w:val="20"/>
                <w:szCs w:val="20"/>
                <w:lang w:val="sq-AL"/>
              </w:rPr>
              <w:t xml:space="preserve">specifikë </w:t>
            </w:r>
            <w:r w:rsidRPr="000E1EB0">
              <w:rPr>
                <w:rFonts w:ascii="Garamond" w:hAnsi="Garamond" w:cs="Tahoma"/>
                <w:sz w:val="20"/>
                <w:szCs w:val="20"/>
                <w:lang w:val="sq-AL"/>
              </w:rPr>
              <w:t>të Programit</w:t>
            </w:r>
          </w:p>
        </w:tc>
        <w:tc>
          <w:tcPr>
            <w:cnfStyle w:val="000100000000" w:firstRow="0" w:lastRow="0" w:firstColumn="0" w:lastColumn="1" w:oddVBand="0" w:evenVBand="0" w:oddHBand="0" w:evenHBand="0" w:firstRowFirstColumn="0" w:firstRowLastColumn="0" w:lastRowFirstColumn="0" w:lastRowLastColumn="0"/>
            <w:tcW w:w="7122" w:type="dxa"/>
          </w:tcPr>
          <w:p w14:paraId="6D6F22D5"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TP 1: Nxitja e turizmit, kulturës dhe trashëgimisë natyrore</w:t>
            </w:r>
          </w:p>
          <w:p w14:paraId="6D6F22D6" w14:textId="16ABFCDD" w:rsidR="00650E6F" w:rsidRPr="000E1EB0" w:rsidRDefault="00650E6F" w:rsidP="00650E6F">
            <w:pPr>
              <w:pStyle w:val="ListParagraph"/>
              <w:ind w:left="0"/>
              <w:rPr>
                <w:rFonts w:ascii="Garamond" w:hAnsi="Garamond" w:cs="Tahoma"/>
                <w:sz w:val="20"/>
                <w:szCs w:val="20"/>
                <w:lang w:val="sq-AL"/>
              </w:rPr>
            </w:pPr>
            <w:r w:rsidRPr="000E1EB0">
              <w:rPr>
                <w:rFonts w:ascii="Garamond" w:hAnsi="Garamond" w:cs="Tahoma"/>
                <w:sz w:val="20"/>
                <w:szCs w:val="20"/>
                <w:lang w:val="sq-AL"/>
              </w:rPr>
              <w:t xml:space="preserve">OS 1: Potenciali i turizmit është zhvilluar nga promovimi i trashëgimisë dhe </w:t>
            </w:r>
            <w:r w:rsidR="00002798">
              <w:rPr>
                <w:rFonts w:ascii="Garamond" w:hAnsi="Garamond" w:cs="Tahoma"/>
                <w:sz w:val="20"/>
                <w:szCs w:val="20"/>
                <w:lang w:val="sq-AL"/>
              </w:rPr>
              <w:t xml:space="preserve">i </w:t>
            </w:r>
            <w:r w:rsidRPr="000E1EB0">
              <w:rPr>
                <w:rFonts w:ascii="Garamond" w:hAnsi="Garamond" w:cs="Tahoma"/>
                <w:sz w:val="20"/>
                <w:szCs w:val="20"/>
                <w:lang w:val="sq-AL"/>
              </w:rPr>
              <w:t xml:space="preserve">vlerave kulturore </w:t>
            </w:r>
          </w:p>
          <w:p w14:paraId="6D6F22D7" w14:textId="77777777" w:rsidR="00650E6F" w:rsidRPr="000E1EB0" w:rsidRDefault="00650E6F" w:rsidP="00650E6F">
            <w:pPr>
              <w:pStyle w:val="ListParagraph"/>
              <w:ind w:left="0"/>
              <w:rPr>
                <w:rFonts w:ascii="Garamond" w:hAnsi="Garamond" w:cs="Tahoma"/>
                <w:sz w:val="20"/>
                <w:szCs w:val="20"/>
                <w:lang w:val="sq-AL"/>
              </w:rPr>
            </w:pPr>
          </w:p>
          <w:p w14:paraId="6D6F22D8"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TP 2:</w:t>
            </w:r>
            <w:r w:rsidRPr="000E1EB0">
              <w:rPr>
                <w:rFonts w:ascii="Garamond" w:hAnsi="Garamond" w:cs="Tahoma"/>
                <w:lang w:val="sq-AL"/>
              </w:rPr>
              <w:t xml:space="preserve"> </w:t>
            </w:r>
            <w:r w:rsidRPr="000E1EB0">
              <w:rPr>
                <w:rFonts w:ascii="Garamond" w:hAnsi="Garamond" w:cs="Tahoma"/>
                <w:sz w:val="20"/>
                <w:szCs w:val="20"/>
                <w:lang w:val="sq-AL"/>
              </w:rPr>
              <w:t xml:space="preserve">Rritja e konkurrencës, biznesit, tregtisë dhe investimeve </w:t>
            </w:r>
          </w:p>
          <w:p w14:paraId="6D6F22D9" w14:textId="77777777" w:rsidR="00650E6F" w:rsidRPr="000E1EB0" w:rsidRDefault="00650E6F" w:rsidP="00650E6F">
            <w:pPr>
              <w:pStyle w:val="ListParagraph"/>
              <w:ind w:left="0"/>
              <w:rPr>
                <w:rFonts w:ascii="Garamond" w:hAnsi="Garamond" w:cs="Tahoma"/>
                <w:sz w:val="20"/>
                <w:szCs w:val="20"/>
                <w:lang w:val="sq-AL"/>
              </w:rPr>
            </w:pPr>
            <w:r w:rsidRPr="000E1EB0">
              <w:rPr>
                <w:rFonts w:ascii="Garamond" w:hAnsi="Garamond" w:cs="Tahoma"/>
                <w:sz w:val="20"/>
                <w:szCs w:val="20"/>
                <w:lang w:val="sq-AL"/>
              </w:rPr>
              <w:t xml:space="preserve">OS 2: Kapaciteti produktiv i NVM-ve dhe aksesi i tyre në tregje janë forcuar </w:t>
            </w:r>
          </w:p>
          <w:p w14:paraId="6D6F22DA" w14:textId="77777777" w:rsidR="00650E6F" w:rsidRPr="000E1EB0" w:rsidRDefault="00650E6F" w:rsidP="00650E6F">
            <w:pPr>
              <w:pStyle w:val="ListParagraph"/>
              <w:ind w:left="0"/>
              <w:rPr>
                <w:rFonts w:ascii="Garamond" w:hAnsi="Garamond" w:cs="Tahoma"/>
                <w:sz w:val="20"/>
                <w:szCs w:val="20"/>
                <w:lang w:val="sq-AL"/>
              </w:rPr>
            </w:pPr>
          </w:p>
          <w:p w14:paraId="6D6F22DB" w14:textId="14E6711D"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TP 3: Mbrojtja e mjedisit, nxitja e përshtatjes dhe </w:t>
            </w:r>
            <w:r w:rsidR="00002798">
              <w:rPr>
                <w:rFonts w:ascii="Garamond" w:hAnsi="Garamond" w:cs="Tahoma"/>
                <w:sz w:val="20"/>
                <w:szCs w:val="20"/>
                <w:lang w:val="sq-AL"/>
              </w:rPr>
              <w:t xml:space="preserve">e </w:t>
            </w:r>
            <w:r w:rsidRPr="000E1EB0">
              <w:rPr>
                <w:rFonts w:ascii="Garamond" w:hAnsi="Garamond" w:cs="Tahoma"/>
                <w:sz w:val="20"/>
                <w:szCs w:val="20"/>
                <w:lang w:val="sq-AL"/>
              </w:rPr>
              <w:t>lehtësimit ndaj ndryshimeve klimatike, parandalimi dhe menaxhimi i rrezikut</w:t>
            </w:r>
          </w:p>
          <w:p w14:paraId="6D6F22DC" w14:textId="77777777" w:rsidR="00650E6F" w:rsidRPr="000E1EB0" w:rsidRDefault="00650E6F" w:rsidP="00650E6F">
            <w:pPr>
              <w:pStyle w:val="ListParagraph"/>
              <w:ind w:left="0"/>
              <w:rPr>
                <w:rFonts w:ascii="Garamond" w:hAnsi="Garamond" w:cs="Tahoma"/>
                <w:sz w:val="20"/>
                <w:szCs w:val="20"/>
                <w:lang w:val="sq-AL"/>
              </w:rPr>
            </w:pPr>
            <w:r w:rsidRPr="000E1EB0">
              <w:rPr>
                <w:rFonts w:ascii="Garamond" w:hAnsi="Garamond" w:cs="Tahoma"/>
                <w:sz w:val="20"/>
                <w:szCs w:val="20"/>
                <w:lang w:val="sq-AL"/>
              </w:rPr>
              <w:t xml:space="preserve">OS 3: Ndërgjegjësimi për një ekonomi të gjelbër, mjedis të pastër dhe ndryshimet klimatike është rritur </w:t>
            </w:r>
          </w:p>
          <w:p w14:paraId="6D6F22DE"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Asistenca teknike</w:t>
            </w:r>
          </w:p>
          <w:p w14:paraId="6D6F22DF" w14:textId="7968B049" w:rsidR="00650E6F" w:rsidRPr="000E1EB0" w:rsidRDefault="00650E6F" w:rsidP="0034233B">
            <w:pPr>
              <w:pStyle w:val="ListParagraph"/>
              <w:ind w:left="0"/>
              <w:rPr>
                <w:rFonts w:ascii="Garamond" w:hAnsi="Garamond" w:cs="Tahoma"/>
                <w:sz w:val="20"/>
                <w:szCs w:val="20"/>
                <w:lang w:val="sq-AL"/>
              </w:rPr>
            </w:pPr>
            <w:r w:rsidRPr="000E1EB0">
              <w:rPr>
                <w:rFonts w:ascii="Garamond" w:hAnsi="Garamond" w:cs="Tahoma"/>
                <w:sz w:val="20"/>
                <w:szCs w:val="20"/>
                <w:lang w:val="sq-AL"/>
              </w:rPr>
              <w:t>Zbatimi efektiv, efikas, transparent dhe në kohë i programit dhe rritja e ndërgjegjësimit</w:t>
            </w:r>
          </w:p>
        </w:tc>
      </w:tr>
      <w:tr w:rsidR="00650E6F" w:rsidRPr="000E1EB0" w14:paraId="6D6F22E3"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6D6F22E1" w14:textId="1E9AB180"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Alokimi financiar </w:t>
            </w:r>
            <w:r w:rsidR="00BE160D">
              <w:rPr>
                <w:rFonts w:ascii="Garamond" w:hAnsi="Garamond" w:cs="Tahoma"/>
                <w:sz w:val="20"/>
                <w:szCs w:val="20"/>
                <w:lang w:val="sq-AL"/>
              </w:rPr>
              <w:t>2014–2020</w:t>
            </w:r>
          </w:p>
        </w:tc>
        <w:tc>
          <w:tcPr>
            <w:cnfStyle w:val="000100000000" w:firstRow="0" w:lastRow="0" w:firstColumn="0" w:lastColumn="1" w:oddVBand="0" w:evenVBand="0" w:oddHBand="0" w:evenHBand="0" w:firstRowFirstColumn="0" w:firstRowLastColumn="0" w:lastRowFirstColumn="0" w:lastRowLastColumn="0"/>
            <w:tcW w:w="7122" w:type="dxa"/>
          </w:tcPr>
          <w:p w14:paraId="6D6F22E2" w14:textId="7F20FA2A" w:rsidR="00650E6F" w:rsidRPr="000E1EB0" w:rsidRDefault="00650E6F" w:rsidP="00650E6F">
            <w:pPr>
              <w:rPr>
                <w:rFonts w:ascii="Garamond" w:hAnsi="Garamond" w:cs="Tahoma"/>
                <w:color w:val="FFFF00"/>
                <w:sz w:val="20"/>
                <w:szCs w:val="20"/>
                <w:lang w:val="sq-AL"/>
              </w:rPr>
            </w:pPr>
            <w:r w:rsidRPr="000E1EB0">
              <w:rPr>
                <w:rFonts w:ascii="Garamond" w:hAnsi="Garamond" w:cs="Tahoma"/>
                <w:sz w:val="20"/>
                <w:szCs w:val="20"/>
                <w:lang w:val="sq-AL"/>
              </w:rPr>
              <w:t xml:space="preserve">11 900 000.00 </w:t>
            </w:r>
            <w:r w:rsidR="00002798" w:rsidRPr="000E1EB0">
              <w:rPr>
                <w:rFonts w:ascii="Garamond" w:hAnsi="Garamond" w:cs="Tahoma"/>
                <w:sz w:val="20"/>
                <w:szCs w:val="20"/>
                <w:lang w:val="sq-AL"/>
              </w:rPr>
              <w:t>euro</w:t>
            </w:r>
          </w:p>
        </w:tc>
      </w:tr>
      <w:tr w:rsidR="00650E6F" w:rsidRPr="000E1EB0" w14:paraId="6D6F22E6" w14:textId="77777777" w:rsidTr="00650E6F">
        <w:tc>
          <w:tcPr>
            <w:cnfStyle w:val="001000000000" w:firstRow="0" w:lastRow="0" w:firstColumn="1" w:lastColumn="0" w:oddVBand="0" w:evenVBand="0" w:oddHBand="0" w:evenHBand="0" w:firstRowFirstColumn="0" w:firstRowLastColumn="0" w:lastRowFirstColumn="0" w:lastRowLastColumn="0"/>
            <w:tcW w:w="2088" w:type="dxa"/>
          </w:tcPr>
          <w:p w14:paraId="6D6F22E4" w14:textId="5C297BA5"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Metoda e </w:t>
            </w:r>
            <w:r w:rsidR="00002798" w:rsidRPr="000E1EB0">
              <w:rPr>
                <w:rFonts w:ascii="Garamond" w:hAnsi="Garamond" w:cs="Tahoma"/>
                <w:sz w:val="20"/>
                <w:szCs w:val="20"/>
                <w:lang w:val="sq-AL"/>
              </w:rPr>
              <w:t>zbatimit</w:t>
            </w:r>
          </w:p>
        </w:tc>
        <w:tc>
          <w:tcPr>
            <w:cnfStyle w:val="000100000000" w:firstRow="0" w:lastRow="0" w:firstColumn="0" w:lastColumn="1" w:oddVBand="0" w:evenVBand="0" w:oddHBand="0" w:evenHBand="0" w:firstRowFirstColumn="0" w:firstRowLastColumn="0" w:lastRowFirstColumn="0" w:lastRowLastColumn="0"/>
            <w:tcW w:w="7122" w:type="dxa"/>
          </w:tcPr>
          <w:p w14:paraId="6D6F22E5"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Menaxhim i drejtpërdrejtë</w:t>
            </w:r>
          </w:p>
        </w:tc>
      </w:tr>
      <w:tr w:rsidR="00650E6F" w:rsidRPr="000E1EB0" w14:paraId="6D6F22E9" w14:textId="77777777" w:rsidTr="00650E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88" w:type="dxa"/>
          </w:tcPr>
          <w:p w14:paraId="6D6F22E7" w14:textId="57CB5B59"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lastRenderedPageBreak/>
              <w:t xml:space="preserve">Autoriteti </w:t>
            </w:r>
            <w:r w:rsidR="00002798" w:rsidRPr="000E1EB0">
              <w:rPr>
                <w:rFonts w:ascii="Garamond" w:hAnsi="Garamond" w:cs="Tahoma"/>
                <w:sz w:val="20"/>
                <w:szCs w:val="20"/>
                <w:lang w:val="sq-AL"/>
              </w:rPr>
              <w:t>kontraktues</w:t>
            </w:r>
          </w:p>
        </w:tc>
        <w:tc>
          <w:tcPr>
            <w:cnfStyle w:val="000100000000" w:firstRow="0" w:lastRow="0" w:firstColumn="0" w:lastColumn="1" w:oddVBand="0" w:evenVBand="0" w:oddHBand="0" w:evenHBand="0" w:firstRowFirstColumn="0" w:firstRowLastColumn="0" w:lastRowFirstColumn="0" w:lastRowLastColumn="0"/>
            <w:tcW w:w="7122" w:type="dxa"/>
          </w:tcPr>
          <w:p w14:paraId="6D6F22E8" w14:textId="75A4E6B3" w:rsidR="00650E6F" w:rsidRPr="000E1EB0" w:rsidRDefault="00650E6F" w:rsidP="00CD0D0B">
            <w:pPr>
              <w:rPr>
                <w:rFonts w:ascii="Garamond" w:hAnsi="Garamond" w:cs="Tahoma"/>
                <w:sz w:val="20"/>
                <w:szCs w:val="20"/>
                <w:lang w:val="sq-AL"/>
              </w:rPr>
            </w:pPr>
            <w:r w:rsidRPr="000E1EB0">
              <w:rPr>
                <w:rFonts w:ascii="Garamond" w:hAnsi="Garamond" w:cs="Tahoma"/>
                <w:sz w:val="20"/>
                <w:szCs w:val="20"/>
                <w:lang w:val="sq-AL"/>
              </w:rPr>
              <w:t>Delegacioni i Bashkimit Evropian në ish</w:t>
            </w:r>
            <w:r w:rsidR="00CD0D0B">
              <w:rPr>
                <w:rFonts w:ascii="Garamond" w:hAnsi="Garamond" w:cs="Tahoma"/>
                <w:sz w:val="20"/>
                <w:szCs w:val="20"/>
                <w:lang w:val="sq-AL"/>
              </w:rPr>
              <w:t>-</w:t>
            </w:r>
            <w:r w:rsidRPr="000E1EB0">
              <w:rPr>
                <w:rFonts w:ascii="Garamond" w:hAnsi="Garamond" w:cs="Tahoma"/>
                <w:sz w:val="20"/>
                <w:szCs w:val="20"/>
                <w:lang w:val="sq-AL"/>
              </w:rPr>
              <w:t>Republikën Jugosllave të Maqedonisë</w:t>
            </w:r>
          </w:p>
        </w:tc>
      </w:tr>
      <w:tr w:rsidR="00650E6F" w:rsidRPr="000E1EB0" w14:paraId="6D6F22EE" w14:textId="77777777" w:rsidTr="00650E6F">
        <w:trPr>
          <w:trHeight w:val="412"/>
        </w:trPr>
        <w:tc>
          <w:tcPr>
            <w:cnfStyle w:val="001000000000" w:firstRow="0" w:lastRow="0" w:firstColumn="1" w:lastColumn="0" w:oddVBand="0" w:evenVBand="0" w:oddHBand="0" w:evenHBand="0" w:firstRowFirstColumn="0" w:firstRowLastColumn="0" w:lastRowFirstColumn="0" w:lastRowLastColumn="0"/>
            <w:tcW w:w="2088" w:type="dxa"/>
          </w:tcPr>
          <w:p w14:paraId="6D6F22EA"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Autoritetet përkatëse nga pjesëmarrësit, përfitues të IPA II </w:t>
            </w:r>
          </w:p>
        </w:tc>
        <w:tc>
          <w:tcPr>
            <w:cnfStyle w:val="000100000000" w:firstRow="0" w:lastRow="0" w:firstColumn="0" w:lastColumn="1" w:oddVBand="0" w:evenVBand="0" w:oddHBand="0" w:evenHBand="0" w:firstRowFirstColumn="0" w:firstRowLastColumn="0" w:lastRowFirstColumn="0" w:lastRowLastColumn="0"/>
            <w:tcW w:w="7122" w:type="dxa"/>
          </w:tcPr>
          <w:p w14:paraId="6D6F22EB" w14:textId="764DD9ED"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Ministria e Vetë</w:t>
            </w:r>
            <w:r w:rsidR="002358DF">
              <w:rPr>
                <w:rFonts w:ascii="Garamond" w:hAnsi="Garamond" w:cs="Tahoma"/>
                <w:sz w:val="20"/>
                <w:szCs w:val="20"/>
                <w:lang w:val="sq-AL"/>
              </w:rPr>
              <w:t>q</w:t>
            </w:r>
            <w:r w:rsidR="002358DF" w:rsidRPr="000E1EB0">
              <w:rPr>
                <w:rFonts w:ascii="Garamond" w:hAnsi="Garamond" w:cs="Tahoma"/>
                <w:sz w:val="20"/>
                <w:szCs w:val="20"/>
                <w:lang w:val="sq-AL"/>
              </w:rPr>
              <w:t xml:space="preserve">everisjes </w:t>
            </w:r>
            <w:r w:rsidRPr="000E1EB0">
              <w:rPr>
                <w:rFonts w:ascii="Garamond" w:hAnsi="Garamond" w:cs="Tahoma"/>
                <w:sz w:val="20"/>
                <w:szCs w:val="20"/>
                <w:lang w:val="sq-AL"/>
              </w:rPr>
              <w:t>Lokale (ish-Republika Jugosllave e Maqedonisë)</w:t>
            </w:r>
          </w:p>
          <w:p w14:paraId="6D6F22EC" w14:textId="77777777" w:rsidR="00650E6F" w:rsidRPr="000E1EB0" w:rsidRDefault="00650E6F" w:rsidP="00650E6F">
            <w:pPr>
              <w:rPr>
                <w:rFonts w:ascii="Garamond" w:hAnsi="Garamond" w:cs="Tahoma"/>
                <w:sz w:val="20"/>
                <w:szCs w:val="20"/>
                <w:lang w:val="sq-AL"/>
              </w:rPr>
            </w:pPr>
          </w:p>
          <w:p w14:paraId="6D6F22ED"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Ministria e Integrimit Evropian (Republika e Shqipërisë)</w:t>
            </w:r>
          </w:p>
        </w:tc>
      </w:tr>
      <w:tr w:rsidR="00650E6F" w:rsidRPr="000E1EB0" w14:paraId="6D6F22F2" w14:textId="77777777" w:rsidTr="00650E6F">
        <w:trPr>
          <w:cnfStyle w:val="010000000000" w:firstRow="0" w:lastRow="1"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088" w:type="dxa"/>
          </w:tcPr>
          <w:p w14:paraId="6D6F22E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JTS/Antena</w:t>
            </w:r>
          </w:p>
        </w:tc>
        <w:tc>
          <w:tcPr>
            <w:cnfStyle w:val="000100000000" w:firstRow="0" w:lastRow="0" w:firstColumn="0" w:lastColumn="1" w:oddVBand="0" w:evenVBand="0" w:oddHBand="0" w:evenHBand="0" w:firstRowFirstColumn="0" w:firstRowLastColumn="0" w:lastRowFirstColumn="0" w:lastRowLastColumn="0"/>
            <w:tcW w:w="7122" w:type="dxa"/>
          </w:tcPr>
          <w:p w14:paraId="6D6F22F0" w14:textId="144734DB"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JTS në Strugë, </w:t>
            </w:r>
            <w:r w:rsidR="00EB5DEB">
              <w:rPr>
                <w:rFonts w:ascii="Garamond" w:hAnsi="Garamond" w:cs="Tahoma"/>
                <w:sz w:val="20"/>
                <w:szCs w:val="20"/>
                <w:lang w:val="sq-AL"/>
              </w:rPr>
              <w:t>ish-Repu</w:t>
            </w:r>
            <w:r w:rsidRPr="000E1EB0">
              <w:rPr>
                <w:rFonts w:ascii="Garamond" w:hAnsi="Garamond" w:cs="Tahoma"/>
                <w:sz w:val="20"/>
                <w:szCs w:val="20"/>
                <w:lang w:val="sq-AL"/>
              </w:rPr>
              <w:t>blika Jugosllave e Maqedonisë</w:t>
            </w:r>
          </w:p>
          <w:p w14:paraId="6D6F22F1"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Antena në Elbasan, Republika e Shqipërisë</w:t>
            </w:r>
          </w:p>
        </w:tc>
      </w:tr>
    </w:tbl>
    <w:p w14:paraId="1462FF00" w14:textId="77777777" w:rsidR="00585CF3" w:rsidRDefault="00585CF3" w:rsidP="00650E6F">
      <w:pPr>
        <w:pStyle w:val="AAAATEX"/>
        <w:rPr>
          <w:b/>
        </w:rPr>
      </w:pPr>
    </w:p>
    <w:p w14:paraId="6D6F22F3" w14:textId="13972B5D" w:rsidR="00650E6F" w:rsidRPr="00DB729C" w:rsidRDefault="00DB729C" w:rsidP="00DB729C">
      <w:pPr>
        <w:pStyle w:val="AAAATEX"/>
        <w:jc w:val="center"/>
      </w:pPr>
      <w:r w:rsidRPr="00DB729C">
        <w:t>SEKSIONI 1</w:t>
      </w:r>
    </w:p>
    <w:p w14:paraId="6D6F22F4" w14:textId="7D7F06CE" w:rsidR="00650E6F" w:rsidRPr="00DB729C" w:rsidRDefault="00DB729C" w:rsidP="00DB729C">
      <w:pPr>
        <w:pStyle w:val="AAAATEX"/>
        <w:jc w:val="center"/>
      </w:pPr>
      <w:r w:rsidRPr="00DB729C">
        <w:t>PËRMBLEDHJE E PROGRAMIT</w:t>
      </w:r>
    </w:p>
    <w:p w14:paraId="7EBC9FD7" w14:textId="77777777" w:rsidR="00DB729C" w:rsidRDefault="00DB729C" w:rsidP="00650E6F">
      <w:pPr>
        <w:pStyle w:val="AAAATEX"/>
      </w:pPr>
    </w:p>
    <w:p w14:paraId="6D6F22F5" w14:textId="2D7A1692" w:rsidR="00650E6F" w:rsidRPr="00DE34AF" w:rsidRDefault="00650E6F" w:rsidP="00650E6F">
      <w:pPr>
        <w:pStyle w:val="AAAATEX"/>
      </w:pPr>
      <w:r w:rsidRPr="00C7040B">
        <w:t>Programi për bashkëpunim ndërkufitar ndërmjet Malit të Zi (MZ) dhe Shqipërisë (AL) do të zbatohet në kuadrin e Ins</w:t>
      </w:r>
      <w:r w:rsidR="006669C6" w:rsidRPr="00C7040B">
        <w:t>trumentit të Asistencës së Paraa</w:t>
      </w:r>
      <w:r w:rsidRPr="00C7040B">
        <w:t xml:space="preserve">nëtarësimit (IPA II). IPA II mbështet bashkëpunimin ndërkufitar me qëllim promovimin e marrëdhënieve të mira fqinjësore, nxitjen e integrimit në Bashkimin Evropian dhe promovimin e zhvillimit social ekonomik. Dispozitat ligjore </w:t>
      </w:r>
      <w:r w:rsidRPr="00DE34AF">
        <w:t>për zbatimin e tij janë të përcaktuara në pjesët e mëposhtme të legjislacionit:</w:t>
      </w:r>
    </w:p>
    <w:p w14:paraId="6D6F22F6" w14:textId="564B1AC3" w:rsidR="00650E6F" w:rsidRPr="00DE34AF" w:rsidRDefault="00650E6F" w:rsidP="00650E6F">
      <w:pPr>
        <w:pStyle w:val="AAAATEX"/>
      </w:pPr>
      <w:r w:rsidRPr="00DE34AF">
        <w:t xml:space="preserve">- Rregullorja (BE) </w:t>
      </w:r>
      <w:r w:rsidR="00585CF3" w:rsidRPr="00DE34AF">
        <w:t>nr</w:t>
      </w:r>
      <w:r w:rsidRPr="00DE34AF">
        <w:t>. 231/2014 e Parlamentit Evropian dhe e Këshillit</w:t>
      </w:r>
      <w:r w:rsidR="00C7040B" w:rsidRPr="00DE34AF">
        <w:t>,</w:t>
      </w:r>
      <w:r w:rsidRPr="00DE34AF">
        <w:t xml:space="preserve"> e datës 11 mars 2014, për krijimin e Ins</w:t>
      </w:r>
      <w:r w:rsidR="00585CF3" w:rsidRPr="00DE34AF">
        <w:t xml:space="preserve">trumentit për Asistencën e Paraanëtarësimit </w:t>
      </w:r>
      <w:r w:rsidRPr="00DE34AF">
        <w:t xml:space="preserve">(IPA II); </w:t>
      </w:r>
    </w:p>
    <w:p w14:paraId="6D6F22F7" w14:textId="3139C9FF" w:rsidR="00650E6F" w:rsidRPr="000E1EB0" w:rsidRDefault="00650E6F" w:rsidP="00650E6F">
      <w:pPr>
        <w:pStyle w:val="AAAATEX"/>
      </w:pPr>
      <w:r w:rsidRPr="00FB7F53">
        <w:t xml:space="preserve">- Rregullorja (BE) </w:t>
      </w:r>
      <w:r w:rsidR="00585CF3" w:rsidRPr="00FB7F53">
        <w:t>nr</w:t>
      </w:r>
      <w:r w:rsidRPr="00FB7F53">
        <w:t>. 236/2014 e Parlamentit Evropian dhe e Këshillit e datës 11 mars 2014, që</w:t>
      </w:r>
      <w:r w:rsidRPr="000E1EB0">
        <w:t xml:space="preserve"> përcakton rregullat dhe procedurat e përbashkëta për zbatimin e instrumenteve t</w:t>
      </w:r>
      <w:r w:rsidR="001D3D53" w:rsidRPr="000E1EB0">
        <w:t>ë</w:t>
      </w:r>
      <w:r w:rsidRPr="000E1EB0">
        <w:t xml:space="preserve"> Bashkimit Evropian për financimin e veprimit të jashtëm; </w:t>
      </w:r>
    </w:p>
    <w:p w14:paraId="6D6F22F8" w14:textId="2B2FC4EB" w:rsidR="00650E6F" w:rsidRPr="000E1EB0" w:rsidRDefault="00650E6F" w:rsidP="00650E6F">
      <w:pPr>
        <w:pStyle w:val="AAAATEX"/>
      </w:pPr>
      <w:r w:rsidRPr="000E1EB0">
        <w:t xml:space="preserve">- Rregullorja </w:t>
      </w:r>
      <w:r w:rsidR="00585CF3" w:rsidRPr="000E1EB0">
        <w:t xml:space="preserve">zbatuese </w:t>
      </w:r>
      <w:r w:rsidRPr="000E1EB0">
        <w:t xml:space="preserve">e Komisionit të BE-së </w:t>
      </w:r>
      <w:r w:rsidR="00585CF3" w:rsidRPr="000E1EB0">
        <w:t>nr</w:t>
      </w:r>
      <w:r w:rsidRPr="000E1EB0">
        <w:t>. 447/2014</w:t>
      </w:r>
      <w:r w:rsidR="00647DAA">
        <w:t>,</w:t>
      </w:r>
      <w:r w:rsidRPr="000E1EB0">
        <w:t xml:space="preserve"> e datës 2 maj 2014, mbi rregullat specifike për zbatimin e rregullores IPA II.</w:t>
      </w:r>
    </w:p>
    <w:p w14:paraId="6D6F22F9" w14:textId="77777777" w:rsidR="00650E6F" w:rsidRPr="000E1EB0" w:rsidRDefault="00650E6F" w:rsidP="00650E6F">
      <w:pPr>
        <w:pStyle w:val="AAAATEX"/>
        <w:rPr>
          <w:b/>
        </w:rPr>
      </w:pPr>
      <w:r w:rsidRPr="000E1EB0">
        <w:rPr>
          <w:b/>
        </w:rPr>
        <w:t xml:space="preserve">1.1 Përmbledhje e Programit </w:t>
      </w:r>
    </w:p>
    <w:p w14:paraId="6D6F22FA" w14:textId="54CB3C73" w:rsidR="00650E6F" w:rsidRPr="000E1EB0" w:rsidRDefault="00650E6F" w:rsidP="00650E6F">
      <w:pPr>
        <w:pStyle w:val="AAAATEX"/>
      </w:pPr>
      <w:r w:rsidRPr="000E1EB0">
        <w:t xml:space="preserve">Ky Program Bashkëpunimi Ndërkufitar mbulon periudhën </w:t>
      </w:r>
      <w:r w:rsidR="00BE160D">
        <w:t>2014–2020</w:t>
      </w:r>
      <w:r w:rsidRPr="000E1EB0">
        <w:t xml:space="preserve"> dhe lidhet me Perspektivën e Re Financiare të Komunitetit Evropian. Ai është hartuar mbi bazën e një analize të hollësishme të situatës në zonën e programit</w:t>
      </w:r>
      <w:r w:rsidR="006F40F6">
        <w:t>.</w:t>
      </w:r>
    </w:p>
    <w:p w14:paraId="6D6F22FB" w14:textId="0648B9F8" w:rsidR="00650E6F" w:rsidRPr="000E1EB0" w:rsidRDefault="00650E6F" w:rsidP="00650E6F">
      <w:pPr>
        <w:pStyle w:val="AAAATEX"/>
      </w:pPr>
      <w:r w:rsidRPr="000E1EB0">
        <w:t xml:space="preserve">Zona kufitare e </w:t>
      </w:r>
      <w:r w:rsidR="00A96222">
        <w:t>i</w:t>
      </w:r>
      <w:r w:rsidRPr="000E1EB0">
        <w:t>sh</w:t>
      </w:r>
      <w:r w:rsidR="00A96222">
        <w:t>-</w:t>
      </w:r>
      <w:r w:rsidRPr="000E1EB0">
        <w:t xml:space="preserve">Republikës Jugosllave të Maqedonisë </w:t>
      </w:r>
      <w:r w:rsidR="00F46B52">
        <w:t>–</w:t>
      </w:r>
      <w:r w:rsidRPr="000E1EB0">
        <w:t xml:space="preserve"> Republikës</w:t>
      </w:r>
      <w:r w:rsidR="00F46B52">
        <w:t xml:space="preserve"> </w:t>
      </w:r>
      <w:r w:rsidRPr="000E1EB0">
        <w:t>së Shqipërisë përbën një nga zonat më të varfra dhe me më pak mundësi dhe kushte të favorshme për zhvillim social-ekonomik në të gjithë kontinentin evropian, për shkak të karakterit rural, malor dhe të largët të Zonës BNK. Përveç kësaj, situata aktuale e zhvillimit të Zonës së Programit është rrjedhojë e një sërë faktorësh historikë, demografikë, politikë, gjeografikë dhe ekonomikë, të cilët nuk mund të kapërcehen në një periudhë kohore të shkurtër.</w:t>
      </w:r>
    </w:p>
    <w:p w14:paraId="6D6F22FC" w14:textId="76454C16" w:rsidR="00650E6F" w:rsidRPr="000E1EB0" w:rsidRDefault="00650E6F" w:rsidP="00650E6F">
      <w:pPr>
        <w:pStyle w:val="AAAATEX"/>
      </w:pPr>
      <w:r w:rsidRPr="000E1EB0">
        <w:t xml:space="preserve">Ndërhyrja dhe aktivitetet e propozuara rrjedhin nga </w:t>
      </w:r>
      <w:r w:rsidR="00A96222">
        <w:t>“</w:t>
      </w:r>
      <w:r w:rsidRPr="000E1EB0">
        <w:t>grupi i problemeve</w:t>
      </w:r>
      <w:r w:rsidR="00A96222">
        <w:t>”</w:t>
      </w:r>
      <w:r w:rsidRPr="000E1EB0">
        <w:t xml:space="preserve"> e kombinuar me analizën strategjike të bilancit dhe burimet e kufizuara të Programit. Ajo synon të trajtojë nyjat problematike më të rëndësishme dhe mundësitë strategjike të identifikuara nëpërmjet analizës social-ekonomike dhe SWOT, përkatësisht: </w:t>
      </w:r>
    </w:p>
    <w:p w14:paraId="6D6F22FD" w14:textId="2DDF5CEF" w:rsidR="00650E6F" w:rsidRPr="000E1EB0" w:rsidRDefault="00650E6F" w:rsidP="00650E6F">
      <w:pPr>
        <w:pStyle w:val="AAAATEX"/>
      </w:pPr>
      <w:r w:rsidRPr="000E1EB0">
        <w:t>1. nivelet e ulëta të aktivitetit ekonomik së bashku me mospërputhjen e kërkesës dhe ofertës në tregun e punës</w:t>
      </w:r>
      <w:r w:rsidR="00533437">
        <w:t>;</w:t>
      </w:r>
      <w:r w:rsidRPr="000E1EB0">
        <w:t xml:space="preserve"> </w:t>
      </w:r>
    </w:p>
    <w:p w14:paraId="6D6F22FE" w14:textId="2790548C" w:rsidR="00650E6F" w:rsidRPr="000E1EB0" w:rsidRDefault="00650E6F" w:rsidP="00650E6F">
      <w:pPr>
        <w:pStyle w:val="AAAATEX"/>
      </w:pPr>
      <w:r w:rsidRPr="000E1EB0">
        <w:t>2. infrastrukturën e pazhvilluar dhe të vjetërsuar</w:t>
      </w:r>
      <w:r w:rsidR="00726793">
        <w:t>;</w:t>
      </w:r>
      <w:r w:rsidRPr="000E1EB0">
        <w:t xml:space="preserve"> dhe </w:t>
      </w:r>
    </w:p>
    <w:p w14:paraId="6D6F22FF" w14:textId="77777777" w:rsidR="00650E6F" w:rsidRPr="000E1EB0" w:rsidRDefault="00650E6F" w:rsidP="00650E6F">
      <w:pPr>
        <w:pStyle w:val="AAAATEX"/>
      </w:pPr>
      <w:r w:rsidRPr="000E1EB0">
        <w:t xml:space="preserve">3. potencialet në zhvillimin e turizmit dhe shkëmbimin kulturor. </w:t>
      </w:r>
    </w:p>
    <w:p w14:paraId="6D6F2300" w14:textId="4461A352" w:rsidR="00650E6F" w:rsidRPr="000E1EB0" w:rsidRDefault="00650E6F" w:rsidP="00650E6F">
      <w:pPr>
        <w:pStyle w:val="AAAATEX"/>
      </w:pPr>
      <w:r w:rsidRPr="000E1EB0">
        <w:t xml:space="preserve">Realisht nuk pritet që </w:t>
      </w:r>
      <w:r w:rsidRPr="000E1EB0">
        <w:rPr>
          <w:b/>
          <w:bCs/>
        </w:rPr>
        <w:t>Zona e Programit</w:t>
      </w:r>
      <w:r w:rsidRPr="000E1EB0">
        <w:t xml:space="preserve"> të rritet shpejt edhe pse </w:t>
      </w:r>
      <w:r w:rsidRPr="000E1EB0">
        <w:rPr>
          <w:b/>
          <w:bCs/>
        </w:rPr>
        <w:t>po shkon drejt një zhvillimi social-ekonomik më të balancuar, gjithëpërfshirës dhe të qëndrueshëm</w:t>
      </w:r>
      <w:r w:rsidRPr="000E1EB0">
        <w:t xml:space="preserve"> përmes testimit të instrumenteve dhe zgjidhjeve reja, duke mësuar nga rajone të tjera dhe duke mobilizuar dhe shfrytëzuar potencialin e brendshëm. Kjo mund të çojë në standarde më të larta të jetesës, vetëbesim dhe siguri sociale.</w:t>
      </w:r>
    </w:p>
    <w:p w14:paraId="6D6F2301" w14:textId="77777777" w:rsidR="00650E6F" w:rsidRPr="000E1EB0" w:rsidRDefault="00650E6F" w:rsidP="00650E6F">
      <w:pPr>
        <w:pStyle w:val="AAAATEX"/>
      </w:pPr>
      <w:r w:rsidRPr="000E1EB0">
        <w:t>Programi përqendrohet në tri prioritete tematike të Rregullores IPA II që rrjedhin nga analiza e nevojave-mundësive. Përkatësisht, këto janë:</w:t>
      </w:r>
    </w:p>
    <w:p w14:paraId="6D6F2302" w14:textId="77777777" w:rsidR="00650E6F" w:rsidRPr="000E1EB0" w:rsidRDefault="00650E6F" w:rsidP="00650E6F">
      <w:pPr>
        <w:pStyle w:val="AAAATEX"/>
      </w:pPr>
      <w:r w:rsidRPr="000E1EB0">
        <w:t>1. Nxitja e turizmit, kulturës dhe trashëgimisë natyrore (i nxitur nga mundësitë);</w:t>
      </w:r>
    </w:p>
    <w:p w14:paraId="6D6F2303" w14:textId="77777777" w:rsidR="00650E6F" w:rsidRPr="000E1EB0" w:rsidRDefault="00650E6F" w:rsidP="00650E6F">
      <w:pPr>
        <w:pStyle w:val="AAAATEX"/>
      </w:pPr>
      <w:r w:rsidRPr="000E1EB0">
        <w:lastRenderedPageBreak/>
        <w:t>2. Rritja e konkurrencës, biznesit, tregtisë dhe investimeve (i nxitur nga nevojat dhe mundësitë);</w:t>
      </w:r>
    </w:p>
    <w:p w14:paraId="6D6F2304" w14:textId="77777777" w:rsidR="00650E6F" w:rsidRPr="000E1EB0" w:rsidRDefault="00650E6F" w:rsidP="00650E6F">
      <w:pPr>
        <w:pStyle w:val="AAAATEX"/>
      </w:pPr>
      <w:r w:rsidRPr="000E1EB0">
        <w:t>3. Mbrojtja e mjedisit, nxitja e përshtatjes dhe lehtësimit ndaj ndryshimeve klimatike, parandalimi dhe menaxhimi i rrezikut (i nxitur nga nevojat).</w:t>
      </w:r>
    </w:p>
    <w:p w14:paraId="6D6F2305" w14:textId="1348894C" w:rsidR="00650E6F" w:rsidRPr="000E1EB0" w:rsidRDefault="00650E6F" w:rsidP="00650E6F">
      <w:pPr>
        <w:pStyle w:val="AAAATEX"/>
      </w:pPr>
      <w:r w:rsidRPr="000E1EB0">
        <w:t xml:space="preserve">Programi BNK përfshin e një prioritet mbi </w:t>
      </w:r>
      <w:r w:rsidR="00A96222" w:rsidRPr="000E1EB0">
        <w:t>asistencën teknike</w:t>
      </w:r>
      <w:r w:rsidRPr="000E1EB0">
        <w:t>.</w:t>
      </w:r>
    </w:p>
    <w:p w14:paraId="6D6F2306" w14:textId="77777777" w:rsidR="00650E6F" w:rsidRPr="000E1EB0" w:rsidRDefault="00650E6F" w:rsidP="00650E6F">
      <w:pPr>
        <w:pStyle w:val="AAAATEX"/>
        <w:rPr>
          <w:b/>
        </w:rPr>
      </w:pPr>
      <w:r w:rsidRPr="000E1EB0">
        <w:rPr>
          <w:b/>
        </w:rPr>
        <w:t xml:space="preserve">1.2 Përgatitja e programit dhe përfshirja e partnerëve </w:t>
      </w:r>
    </w:p>
    <w:p w14:paraId="6D6F2307" w14:textId="1BF94CE1" w:rsidR="00650E6F" w:rsidRPr="000E1EB0" w:rsidRDefault="00650E6F" w:rsidP="00650E6F">
      <w:pPr>
        <w:pStyle w:val="AAAATEX"/>
      </w:pPr>
      <w:r w:rsidRPr="000E1EB0">
        <w:t>Procesi i programimit të këtij Programi IPA II BNK për ish</w:t>
      </w:r>
      <w:r w:rsidR="00A96222">
        <w:t>-</w:t>
      </w:r>
      <w:r w:rsidRPr="000E1EB0">
        <w:t xml:space="preserve">Republikën Jugosllave të Maqedonisë dhe Republikën e Shqipërisë filloi në korrik të vitit 2013. E gjithë rrjedha e programimit u bazua në përvojën e përbashkët të procesit që ishte zhvilluar në periudhën </w:t>
      </w:r>
      <w:r w:rsidR="00BC47F8">
        <w:t>2007–2013</w:t>
      </w:r>
      <w:r w:rsidRPr="000E1EB0">
        <w:t>.</w:t>
      </w:r>
    </w:p>
    <w:p w14:paraId="6D6F2308" w14:textId="1A99ADDE" w:rsidR="00650E6F" w:rsidRPr="000E1EB0" w:rsidRDefault="00650E6F" w:rsidP="00650E6F">
      <w:pPr>
        <w:pStyle w:val="AAAATEX"/>
      </w:pPr>
      <w:r w:rsidRPr="000E1EB0">
        <w:t>Zhvillimi i këtij dokumenti të Programit u drejtua nga Task</w:t>
      </w:r>
      <w:r w:rsidR="00212FD8">
        <w:t>-</w:t>
      </w:r>
      <w:r w:rsidRPr="000E1EB0">
        <w:t xml:space="preserve">Forca e përbashkët e përbërë nga përfaqësues të dy </w:t>
      </w:r>
      <w:r w:rsidR="00230F06" w:rsidRPr="000E1EB0">
        <w:t>strukturave operative</w:t>
      </w:r>
      <w:r w:rsidRPr="000E1EB0">
        <w:t>, delegatët e zyrës së NIPAC në të dy</w:t>
      </w:r>
      <w:r w:rsidR="00230F06">
        <w:t>ja</w:t>
      </w:r>
      <w:r w:rsidRPr="000E1EB0">
        <w:t xml:space="preserve"> vendet, përfaqësues të rajoneve të Zonës së Programit NUTS-3 dhe disa njësi vetëqeverisëse. Puna e JTF u lehtësua dhe mbështet nëpërmjet Projektit të Asistencës Teknike CBIB+, financuar nga BE</w:t>
      </w:r>
      <w:r w:rsidR="00A96222">
        <w:t>-</w:t>
      </w:r>
      <w:r w:rsidR="001B443D">
        <w:t>j</w:t>
      </w:r>
      <w:r w:rsidR="00A96222">
        <w:t>a</w:t>
      </w:r>
      <w:r w:rsidRPr="000E1EB0">
        <w:t>, i cili solli praktikën më të mirë ndërkombëtare në këtë proces.</w:t>
      </w:r>
    </w:p>
    <w:p w14:paraId="6D6F2309" w14:textId="1592C451" w:rsidR="00650E6F" w:rsidRPr="000E1EB0" w:rsidRDefault="00650E6F" w:rsidP="00650E6F">
      <w:pPr>
        <w:pStyle w:val="AAAATEX"/>
      </w:pPr>
      <w:r w:rsidRPr="000E1EB0">
        <w:t>Sesionet e punës së SO</w:t>
      </w:r>
      <w:r w:rsidR="00A11F2F">
        <w:t>-ve</w:t>
      </w:r>
      <w:r w:rsidRPr="000E1EB0">
        <w:t xml:space="preserve"> dhe JTF</w:t>
      </w:r>
      <w:r w:rsidR="00A11F2F">
        <w:t>-ve</w:t>
      </w:r>
      <w:r w:rsidRPr="000E1EB0">
        <w:t xml:space="preserve"> u realizuan në të gjithë fazën e programimit, në mënyrë që të siguronin komunikim efektiv për të identifikuar prioritetet tematike për t</w:t>
      </w:r>
      <w:r w:rsidR="004303A8">
        <w:t>’</w:t>
      </w:r>
      <w:r w:rsidRPr="000E1EB0">
        <w:t xml:space="preserve">u trajtuar në strategjinë e zhvillimit të </w:t>
      </w:r>
      <w:r w:rsidR="008A7560">
        <w:t>z</w:t>
      </w:r>
      <w:r w:rsidRPr="000E1EB0">
        <w:t xml:space="preserve">onës së Programit dhe për ngritjen e strukturave të përshtatshme të zbatimit dhe </w:t>
      </w:r>
      <w:r w:rsidR="008A7560" w:rsidRPr="000E1EB0">
        <w:t xml:space="preserve">të </w:t>
      </w:r>
      <w:r w:rsidRPr="000E1EB0">
        <w:t>monitorimit. Përveç konsultimeve midis dy OS-ve, në kuadër të lehtësimit të të mësuarit dhe rrjetëzimit nën Projektin CBIB+, u zhvilluan:</w:t>
      </w:r>
    </w:p>
    <w:p w14:paraId="6D6F230A" w14:textId="77777777" w:rsidR="00650E6F" w:rsidRPr="000E1EB0" w:rsidRDefault="00650E6F" w:rsidP="00650E6F">
      <w:pPr>
        <w:pStyle w:val="AAAATEX"/>
      </w:pPr>
    </w:p>
    <w:tbl>
      <w:tblPr>
        <w:tblStyle w:val="MediumGrid3-Accent1"/>
        <w:tblW w:w="0" w:type="auto"/>
        <w:tblLook w:val="04A0" w:firstRow="1" w:lastRow="0" w:firstColumn="1" w:lastColumn="0" w:noHBand="0" w:noVBand="1"/>
      </w:tblPr>
      <w:tblGrid>
        <w:gridCol w:w="2660"/>
        <w:gridCol w:w="6627"/>
      </w:tblGrid>
      <w:tr w:rsidR="00650E6F" w:rsidRPr="000E1EB0" w14:paraId="6D6F230D"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0B" w14:textId="03692C61"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Data/</w:t>
            </w:r>
            <w:r w:rsidR="00432F1E" w:rsidRPr="000E1EB0">
              <w:rPr>
                <w:rFonts w:ascii="Garamond" w:hAnsi="Garamond" w:cs="Tahoma"/>
                <w:sz w:val="20"/>
                <w:szCs w:val="20"/>
                <w:lang w:val="sq-AL"/>
              </w:rPr>
              <w:t>vendi</w:t>
            </w:r>
          </w:p>
        </w:tc>
        <w:tc>
          <w:tcPr>
            <w:tcW w:w="6627" w:type="dxa"/>
          </w:tcPr>
          <w:p w14:paraId="6D6F230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Aktiviteti</w:t>
            </w:r>
          </w:p>
        </w:tc>
      </w:tr>
      <w:tr w:rsidR="00650E6F" w:rsidRPr="000E1EB0" w14:paraId="6D6F231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0E" w14:textId="252DED8C"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18</w:t>
            </w:r>
            <w:r w:rsidR="004F1449">
              <w:rPr>
                <w:rFonts w:ascii="Garamond" w:hAnsi="Garamond" w:cs="Tahoma"/>
                <w:b w:val="0"/>
                <w:sz w:val="20"/>
                <w:szCs w:val="20"/>
                <w:lang w:val="sq-AL"/>
              </w:rPr>
              <w:t>.</w:t>
            </w:r>
            <w:r w:rsidRPr="000E1EB0">
              <w:rPr>
                <w:rFonts w:ascii="Garamond" w:hAnsi="Garamond" w:cs="Tahoma"/>
                <w:b w:val="0"/>
                <w:sz w:val="20"/>
                <w:szCs w:val="20"/>
                <w:lang w:val="sq-AL"/>
              </w:rPr>
              <w:t>7</w:t>
            </w:r>
            <w:r w:rsidR="004F1449">
              <w:rPr>
                <w:rFonts w:ascii="Garamond" w:hAnsi="Garamond" w:cs="Tahoma"/>
                <w:b w:val="0"/>
                <w:sz w:val="20"/>
                <w:szCs w:val="20"/>
                <w:lang w:val="sq-AL"/>
              </w:rPr>
              <w:t>.</w:t>
            </w:r>
            <w:r w:rsidRPr="000E1EB0">
              <w:rPr>
                <w:rFonts w:ascii="Garamond" w:hAnsi="Garamond" w:cs="Tahoma"/>
                <w:b w:val="0"/>
                <w:sz w:val="20"/>
                <w:szCs w:val="20"/>
                <w:lang w:val="sq-AL"/>
              </w:rPr>
              <w:t>2013, Strugë</w:t>
            </w:r>
          </w:p>
        </w:tc>
        <w:tc>
          <w:tcPr>
            <w:tcW w:w="6627" w:type="dxa"/>
          </w:tcPr>
          <w:p w14:paraId="6D6F230F" w14:textId="3905FFF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Takim i </w:t>
            </w:r>
            <w:r w:rsidR="00432F1E" w:rsidRPr="000E1EB0">
              <w:rPr>
                <w:rFonts w:ascii="Garamond" w:hAnsi="Garamond" w:cs="Tahoma"/>
                <w:sz w:val="20"/>
                <w:szCs w:val="20"/>
                <w:lang w:val="sq-AL"/>
              </w:rPr>
              <w:t>strukturave operative</w:t>
            </w:r>
            <w:r w:rsidRPr="000E1EB0">
              <w:rPr>
                <w:rFonts w:ascii="Garamond" w:hAnsi="Garamond" w:cs="Tahoma"/>
                <w:sz w:val="20"/>
                <w:szCs w:val="20"/>
                <w:lang w:val="sq-AL"/>
              </w:rPr>
              <w:t xml:space="preserve">: identifikimi i sfidave dhe çështjeve kryesore; shkurtimi fillestar i listës së </w:t>
            </w:r>
            <w:r w:rsidR="00D06AB1" w:rsidRPr="000E1EB0">
              <w:rPr>
                <w:rFonts w:ascii="Garamond" w:hAnsi="Garamond" w:cs="Tahoma"/>
                <w:sz w:val="20"/>
                <w:szCs w:val="20"/>
                <w:lang w:val="sq-AL"/>
              </w:rPr>
              <w:t xml:space="preserve">prioriteteve tematike </w:t>
            </w:r>
            <w:r w:rsidRPr="000E1EB0">
              <w:rPr>
                <w:rFonts w:ascii="Garamond" w:hAnsi="Garamond" w:cs="Tahoma"/>
                <w:sz w:val="20"/>
                <w:szCs w:val="20"/>
                <w:lang w:val="sq-AL"/>
              </w:rPr>
              <w:t xml:space="preserve">dhe marrëveshja për analizën SWOT. </w:t>
            </w:r>
          </w:p>
        </w:tc>
      </w:tr>
      <w:tr w:rsidR="00650E6F" w:rsidRPr="000E1EB0" w14:paraId="6D6F2313"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11" w14:textId="6DA543C1"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23</w:t>
            </w:r>
            <w:r w:rsidR="004F1449">
              <w:rPr>
                <w:rFonts w:ascii="Garamond" w:hAnsi="Garamond" w:cs="Tahoma"/>
                <w:b w:val="0"/>
                <w:sz w:val="20"/>
                <w:szCs w:val="20"/>
                <w:lang w:val="sq-AL"/>
              </w:rPr>
              <w:t>.</w:t>
            </w:r>
            <w:r w:rsidRPr="000E1EB0">
              <w:rPr>
                <w:rFonts w:ascii="Garamond" w:hAnsi="Garamond" w:cs="Tahoma"/>
                <w:b w:val="0"/>
                <w:sz w:val="20"/>
                <w:szCs w:val="20"/>
                <w:lang w:val="sq-AL"/>
              </w:rPr>
              <w:t>9</w:t>
            </w:r>
            <w:r w:rsidR="004F1449">
              <w:rPr>
                <w:rFonts w:ascii="Garamond" w:hAnsi="Garamond" w:cs="Tahoma"/>
                <w:b w:val="0"/>
                <w:sz w:val="20"/>
                <w:szCs w:val="20"/>
                <w:lang w:val="sq-AL"/>
              </w:rPr>
              <w:t>.</w:t>
            </w:r>
            <w:r w:rsidRPr="000E1EB0">
              <w:rPr>
                <w:rFonts w:ascii="Garamond" w:hAnsi="Garamond" w:cs="Tahoma"/>
                <w:b w:val="0"/>
                <w:sz w:val="20"/>
                <w:szCs w:val="20"/>
                <w:lang w:val="sq-AL"/>
              </w:rPr>
              <w:t>2013, Shkup</w:t>
            </w:r>
          </w:p>
        </w:tc>
        <w:tc>
          <w:tcPr>
            <w:tcW w:w="6627" w:type="dxa"/>
          </w:tcPr>
          <w:p w14:paraId="6D6F2312" w14:textId="05C98E22" w:rsidR="00650E6F" w:rsidRPr="000E1EB0" w:rsidRDefault="00650E6F" w:rsidP="00FB1DDA">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Takimi i parë me Ministrinë e Vetëqeverisjes Lokale, Delegacionin e Bashkimit Evropian, ekipin e programimit dhe pikën e kontaktit kombëtare në </w:t>
            </w:r>
            <w:r w:rsidR="00EB5DEB">
              <w:rPr>
                <w:rFonts w:ascii="Garamond" w:hAnsi="Garamond" w:cs="Tahoma"/>
                <w:sz w:val="20"/>
                <w:szCs w:val="20"/>
                <w:lang w:val="sq-AL"/>
              </w:rPr>
              <w:t>ish-Repu</w:t>
            </w:r>
            <w:r w:rsidRPr="000E1EB0">
              <w:rPr>
                <w:rFonts w:ascii="Garamond" w:hAnsi="Garamond" w:cs="Tahoma"/>
                <w:sz w:val="20"/>
                <w:szCs w:val="20"/>
                <w:lang w:val="sq-AL"/>
              </w:rPr>
              <w:t>blikën Jugosllave të Maqedonisë.</w:t>
            </w:r>
          </w:p>
        </w:tc>
      </w:tr>
      <w:tr w:rsidR="00650E6F" w:rsidRPr="000E1EB0" w14:paraId="6D6F231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14" w14:textId="355B219B"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27</w:t>
            </w:r>
            <w:r w:rsidR="004F1449">
              <w:rPr>
                <w:rFonts w:ascii="Garamond" w:hAnsi="Garamond" w:cs="Tahoma"/>
                <w:b w:val="0"/>
                <w:sz w:val="20"/>
                <w:szCs w:val="20"/>
                <w:lang w:val="sq-AL"/>
              </w:rPr>
              <w:t>.</w:t>
            </w:r>
            <w:r w:rsidRPr="000E1EB0">
              <w:rPr>
                <w:rFonts w:ascii="Garamond" w:hAnsi="Garamond" w:cs="Tahoma"/>
                <w:b w:val="0"/>
                <w:sz w:val="20"/>
                <w:szCs w:val="20"/>
                <w:lang w:val="sq-AL"/>
              </w:rPr>
              <w:t>9</w:t>
            </w:r>
            <w:r w:rsidR="004F1449">
              <w:rPr>
                <w:rFonts w:ascii="Garamond" w:hAnsi="Garamond" w:cs="Tahoma"/>
                <w:b w:val="0"/>
                <w:sz w:val="20"/>
                <w:szCs w:val="20"/>
                <w:lang w:val="sq-AL"/>
              </w:rPr>
              <w:t>.</w:t>
            </w:r>
            <w:r w:rsidRPr="000E1EB0">
              <w:rPr>
                <w:rFonts w:ascii="Garamond" w:hAnsi="Garamond" w:cs="Tahoma"/>
                <w:b w:val="0"/>
                <w:sz w:val="20"/>
                <w:szCs w:val="20"/>
                <w:lang w:val="sq-AL"/>
              </w:rPr>
              <w:t>2013, Tiranë</w:t>
            </w:r>
          </w:p>
        </w:tc>
        <w:tc>
          <w:tcPr>
            <w:tcW w:w="6627" w:type="dxa"/>
          </w:tcPr>
          <w:p w14:paraId="6D6F2315"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Trajnim mbi zhvillimin dhe formulimin e strategjisë: 14 pjesëmarrës (OSs, JTF, JTS, CBIB+): shpjegimi i procesit të programimit të IPA II CBC, diskutimi i mësimeve të nxjerra nga programi/et aktual/e, planifikimi hap pas hapi (analiza e situatës, gjetjet kryesore (SWOT, nevojat), bërja e zgjedhjeve strategjike – zgjedhja e prioriteteve, përcaktimi i prioriteteve, treguesit dhe objektivat), kontrolli i logjikës së ndërhyrjes, çështjet horizontale dhe ndërsektoriale.</w:t>
            </w:r>
          </w:p>
        </w:tc>
      </w:tr>
      <w:tr w:rsidR="00650E6F" w:rsidRPr="000E1EB0" w14:paraId="6D6F2319"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17" w14:textId="150F693C"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30</w:t>
            </w:r>
            <w:r w:rsidR="004F1449">
              <w:rPr>
                <w:rFonts w:ascii="Garamond" w:hAnsi="Garamond" w:cs="Tahoma"/>
                <w:b w:val="0"/>
                <w:sz w:val="20"/>
                <w:szCs w:val="20"/>
                <w:lang w:val="sq-AL"/>
              </w:rPr>
              <w:t>.</w:t>
            </w:r>
            <w:r w:rsidRPr="000E1EB0">
              <w:rPr>
                <w:rFonts w:ascii="Garamond" w:hAnsi="Garamond" w:cs="Tahoma"/>
                <w:b w:val="0"/>
                <w:sz w:val="20"/>
                <w:szCs w:val="20"/>
                <w:lang w:val="sq-AL"/>
              </w:rPr>
              <w:t>9</w:t>
            </w:r>
            <w:r w:rsidR="004F1449">
              <w:rPr>
                <w:rFonts w:ascii="Garamond" w:hAnsi="Garamond" w:cs="Tahoma"/>
                <w:b w:val="0"/>
                <w:sz w:val="20"/>
                <w:szCs w:val="20"/>
                <w:lang w:val="sq-AL"/>
              </w:rPr>
              <w:t>.</w:t>
            </w:r>
            <w:r w:rsidRPr="000E1EB0">
              <w:rPr>
                <w:rFonts w:ascii="Garamond" w:hAnsi="Garamond" w:cs="Tahoma"/>
                <w:b w:val="0"/>
                <w:sz w:val="20"/>
                <w:szCs w:val="20"/>
                <w:lang w:val="sq-AL"/>
              </w:rPr>
              <w:t>2013, Shkup</w:t>
            </w:r>
          </w:p>
        </w:tc>
        <w:tc>
          <w:tcPr>
            <w:tcW w:w="6627" w:type="dxa"/>
          </w:tcPr>
          <w:p w14:paraId="6D6F2318"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Trajnim mbi zhvillimin dhe formulimin e strategjisë: 21 pjesëmarrës (OSs, JTF, JTS, CBIB+): shpjegimi i procesit të programimit të IPA II CBC, diskutimi i mësimeve të nxjerra nga programi/et aktual/e, planifikimi hap pas hapi (analiza e situatës, gjetjet kryesore (SWOT, nevojat), bërja e zgjedhjeve strategjike – zgjedhja e prioriteteve, përcaktimi i prioriteteve, treguesit dhe objektivat), kontrolli i logjikës së ndërhyrjes, çështjet horizontale dhe ndërsektoriale.</w:t>
            </w:r>
          </w:p>
        </w:tc>
      </w:tr>
      <w:tr w:rsidR="00650E6F" w:rsidRPr="000E1EB0" w14:paraId="6D6F231C"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1A" w14:textId="0FC178E5"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4</w:t>
            </w:r>
            <w:r w:rsidR="004F1449">
              <w:rPr>
                <w:rFonts w:ascii="Garamond" w:hAnsi="Garamond" w:cs="Tahoma"/>
                <w:b w:val="0"/>
                <w:sz w:val="20"/>
                <w:szCs w:val="20"/>
                <w:lang w:val="sq-AL"/>
              </w:rPr>
              <w:t>.</w:t>
            </w:r>
            <w:r w:rsidRPr="000E1EB0">
              <w:rPr>
                <w:rFonts w:ascii="Garamond" w:hAnsi="Garamond" w:cs="Tahoma"/>
                <w:b w:val="0"/>
                <w:sz w:val="20"/>
                <w:szCs w:val="20"/>
                <w:lang w:val="sq-AL"/>
              </w:rPr>
              <w:t>10</w:t>
            </w:r>
            <w:r w:rsidR="004F1449">
              <w:rPr>
                <w:rFonts w:ascii="Garamond" w:hAnsi="Garamond" w:cs="Tahoma"/>
                <w:b w:val="0"/>
                <w:sz w:val="20"/>
                <w:szCs w:val="20"/>
                <w:lang w:val="sq-AL"/>
              </w:rPr>
              <w:t>.</w:t>
            </w:r>
            <w:r w:rsidRPr="000E1EB0">
              <w:rPr>
                <w:rFonts w:ascii="Garamond" w:hAnsi="Garamond" w:cs="Tahoma"/>
                <w:b w:val="0"/>
                <w:sz w:val="20"/>
                <w:szCs w:val="20"/>
                <w:lang w:val="sq-AL"/>
              </w:rPr>
              <w:t>2013, Shkup</w:t>
            </w:r>
          </w:p>
        </w:tc>
        <w:tc>
          <w:tcPr>
            <w:tcW w:w="6627" w:type="dxa"/>
          </w:tcPr>
          <w:p w14:paraId="6D6F231B" w14:textId="768C9DBD" w:rsidR="00650E6F" w:rsidRPr="000E1EB0" w:rsidRDefault="00650E6F" w:rsidP="004F1449">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Takim i Task</w:t>
            </w:r>
            <w:r w:rsidR="004F1449">
              <w:rPr>
                <w:rFonts w:ascii="Garamond" w:hAnsi="Garamond" w:cs="Tahoma"/>
                <w:sz w:val="20"/>
                <w:szCs w:val="20"/>
                <w:lang w:val="sq-AL"/>
              </w:rPr>
              <w:t>-</w:t>
            </w:r>
            <w:r w:rsidRPr="000E1EB0">
              <w:rPr>
                <w:rFonts w:ascii="Garamond" w:hAnsi="Garamond" w:cs="Tahoma"/>
                <w:sz w:val="20"/>
                <w:szCs w:val="20"/>
                <w:lang w:val="sq-AL"/>
              </w:rPr>
              <w:t>Forcës së përbashkët: reagime nga analiza SWOT fillestare, takimi me ekipin e Asistencës Teknike, diskutim mbi prioritetet tematike dhe logjikën e ndërhyrjes, hapat për të përfunduar dokumentin e Programit (14 pjesëmarrës).</w:t>
            </w:r>
          </w:p>
        </w:tc>
      </w:tr>
      <w:tr w:rsidR="00650E6F" w:rsidRPr="000E1EB0" w14:paraId="6D6F231F"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1D" w14:textId="31F78297"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24</w:t>
            </w:r>
            <w:r w:rsidR="004F1449">
              <w:rPr>
                <w:rFonts w:ascii="Garamond" w:hAnsi="Garamond" w:cs="Tahoma"/>
                <w:b w:val="0"/>
                <w:sz w:val="20"/>
                <w:szCs w:val="20"/>
                <w:lang w:val="sq-AL"/>
              </w:rPr>
              <w:t>.</w:t>
            </w:r>
            <w:r w:rsidRPr="000E1EB0">
              <w:rPr>
                <w:rFonts w:ascii="Garamond" w:hAnsi="Garamond" w:cs="Tahoma"/>
                <w:b w:val="0"/>
                <w:sz w:val="20"/>
                <w:szCs w:val="20"/>
                <w:lang w:val="sq-AL"/>
              </w:rPr>
              <w:t>10</w:t>
            </w:r>
            <w:r w:rsidR="004F1449">
              <w:rPr>
                <w:rFonts w:ascii="Garamond" w:hAnsi="Garamond" w:cs="Tahoma"/>
                <w:b w:val="0"/>
                <w:sz w:val="20"/>
                <w:szCs w:val="20"/>
                <w:lang w:val="sq-AL"/>
              </w:rPr>
              <w:t>.</w:t>
            </w:r>
            <w:r w:rsidRPr="000E1EB0">
              <w:rPr>
                <w:rFonts w:ascii="Garamond" w:hAnsi="Garamond" w:cs="Tahoma"/>
                <w:b w:val="0"/>
                <w:sz w:val="20"/>
                <w:szCs w:val="20"/>
                <w:lang w:val="sq-AL"/>
              </w:rPr>
              <w:t>2013, Strugë</w:t>
            </w:r>
          </w:p>
        </w:tc>
        <w:tc>
          <w:tcPr>
            <w:tcW w:w="6627" w:type="dxa"/>
          </w:tcPr>
          <w:p w14:paraId="6D6F231E" w14:textId="36993E53" w:rsidR="00650E6F" w:rsidRPr="000E1EB0" w:rsidRDefault="00650E6F" w:rsidP="004F1449">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Takim i Task</w:t>
            </w:r>
            <w:r w:rsidR="004F1449">
              <w:rPr>
                <w:rFonts w:ascii="Garamond" w:hAnsi="Garamond" w:cs="Tahoma"/>
                <w:sz w:val="20"/>
                <w:szCs w:val="20"/>
                <w:lang w:val="sq-AL"/>
              </w:rPr>
              <w:t>-</w:t>
            </w:r>
            <w:r w:rsidRPr="000E1EB0">
              <w:rPr>
                <w:rFonts w:ascii="Garamond" w:hAnsi="Garamond" w:cs="Tahoma"/>
                <w:sz w:val="20"/>
                <w:szCs w:val="20"/>
                <w:lang w:val="sq-AL"/>
              </w:rPr>
              <w:t>Forcës së përbashkët: situata përfshirëse dhe analiza SWOT, konfirmimi i prioriteteve tematike dhe përzgjedhja fillestare e aktiviteteve dhe aksioneve; diskutimi mbi treguesit; alokimet financiare.</w:t>
            </w:r>
          </w:p>
        </w:tc>
      </w:tr>
      <w:tr w:rsidR="00650E6F" w:rsidRPr="000E1EB0" w14:paraId="6D6F232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20" w14:textId="06E3D559"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7</w:t>
            </w:r>
            <w:r w:rsidR="004F1449">
              <w:rPr>
                <w:rFonts w:ascii="Garamond" w:hAnsi="Garamond" w:cs="Tahoma"/>
                <w:b w:val="0"/>
                <w:sz w:val="20"/>
                <w:szCs w:val="20"/>
                <w:lang w:val="sq-AL"/>
              </w:rPr>
              <w:t>.</w:t>
            </w:r>
            <w:r w:rsidRPr="000E1EB0">
              <w:rPr>
                <w:rFonts w:ascii="Garamond" w:hAnsi="Garamond" w:cs="Tahoma"/>
                <w:b w:val="0"/>
                <w:sz w:val="20"/>
                <w:szCs w:val="20"/>
                <w:lang w:val="sq-AL"/>
              </w:rPr>
              <w:t>11</w:t>
            </w:r>
            <w:r w:rsidR="004F1449">
              <w:rPr>
                <w:rFonts w:ascii="Garamond" w:hAnsi="Garamond" w:cs="Tahoma"/>
                <w:b w:val="0"/>
                <w:sz w:val="20"/>
                <w:szCs w:val="20"/>
                <w:lang w:val="sq-AL"/>
              </w:rPr>
              <w:t>.</w:t>
            </w:r>
            <w:r w:rsidRPr="000E1EB0">
              <w:rPr>
                <w:rFonts w:ascii="Garamond" w:hAnsi="Garamond" w:cs="Tahoma"/>
                <w:b w:val="0"/>
                <w:sz w:val="20"/>
                <w:szCs w:val="20"/>
                <w:lang w:val="sq-AL"/>
              </w:rPr>
              <w:t>2013, Tiranë</w:t>
            </w:r>
          </w:p>
        </w:tc>
        <w:tc>
          <w:tcPr>
            <w:tcW w:w="6627" w:type="dxa"/>
          </w:tcPr>
          <w:p w14:paraId="6D6F2321" w14:textId="36437100" w:rsidR="00650E6F" w:rsidRPr="000E1EB0" w:rsidRDefault="00650E6F" w:rsidP="00FB1DDA">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Takim i Task</w:t>
            </w:r>
            <w:r w:rsidR="00FB1DDA">
              <w:rPr>
                <w:rFonts w:ascii="Garamond" w:hAnsi="Garamond" w:cs="Tahoma"/>
                <w:sz w:val="20"/>
                <w:szCs w:val="20"/>
                <w:lang w:val="sq-AL"/>
              </w:rPr>
              <w:t>-</w:t>
            </w:r>
            <w:r w:rsidRPr="000E1EB0">
              <w:rPr>
                <w:rFonts w:ascii="Garamond" w:hAnsi="Garamond" w:cs="Tahoma"/>
                <w:sz w:val="20"/>
                <w:szCs w:val="20"/>
                <w:lang w:val="sq-AL"/>
              </w:rPr>
              <w:t xml:space="preserve">Forcës së përbashkët: </w:t>
            </w:r>
            <w:r w:rsidR="00FB1DDA" w:rsidRPr="000E1EB0">
              <w:rPr>
                <w:rFonts w:ascii="Garamond" w:hAnsi="Garamond" w:cs="Tahoma"/>
                <w:sz w:val="20"/>
                <w:szCs w:val="20"/>
                <w:lang w:val="sq-AL"/>
              </w:rPr>
              <w:t xml:space="preserve">diskutimi </w:t>
            </w:r>
            <w:r w:rsidRPr="000E1EB0">
              <w:rPr>
                <w:rFonts w:ascii="Garamond" w:hAnsi="Garamond" w:cs="Tahoma"/>
                <w:sz w:val="20"/>
                <w:szCs w:val="20"/>
                <w:lang w:val="sq-AL"/>
              </w:rPr>
              <w:t>mbi Strategjinë e Ndërhyrjes së Programit dhe Aktivitetet.</w:t>
            </w:r>
          </w:p>
        </w:tc>
      </w:tr>
      <w:tr w:rsidR="00650E6F" w:rsidRPr="000E1EB0" w14:paraId="6D6F2325"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23" w14:textId="0A605DD2"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21-22</w:t>
            </w:r>
            <w:r w:rsidR="004F1449">
              <w:rPr>
                <w:rFonts w:ascii="Garamond" w:hAnsi="Garamond" w:cs="Tahoma"/>
                <w:b w:val="0"/>
                <w:sz w:val="20"/>
                <w:szCs w:val="20"/>
                <w:lang w:val="sq-AL"/>
              </w:rPr>
              <w:t>.</w:t>
            </w:r>
            <w:r w:rsidRPr="000E1EB0">
              <w:rPr>
                <w:rFonts w:ascii="Garamond" w:hAnsi="Garamond" w:cs="Tahoma"/>
                <w:b w:val="0"/>
                <w:sz w:val="20"/>
                <w:szCs w:val="20"/>
                <w:lang w:val="sq-AL"/>
              </w:rPr>
              <w:t>11</w:t>
            </w:r>
            <w:r w:rsidR="004F1449">
              <w:rPr>
                <w:rFonts w:ascii="Garamond" w:hAnsi="Garamond" w:cs="Tahoma"/>
                <w:b w:val="0"/>
                <w:sz w:val="20"/>
                <w:szCs w:val="20"/>
                <w:lang w:val="sq-AL"/>
              </w:rPr>
              <w:t>.</w:t>
            </w:r>
            <w:r w:rsidRPr="000E1EB0">
              <w:rPr>
                <w:rFonts w:ascii="Garamond" w:hAnsi="Garamond" w:cs="Tahoma"/>
                <w:b w:val="0"/>
                <w:sz w:val="20"/>
                <w:szCs w:val="20"/>
                <w:lang w:val="sq-AL"/>
              </w:rPr>
              <w:t>2013, Beograd</w:t>
            </w:r>
          </w:p>
        </w:tc>
        <w:tc>
          <w:tcPr>
            <w:tcW w:w="6627" w:type="dxa"/>
          </w:tcPr>
          <w:p w14:paraId="6D6F2324"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Forumi Rajonal Konsultativ CBC</w:t>
            </w:r>
          </w:p>
        </w:tc>
      </w:tr>
      <w:tr w:rsidR="00650E6F" w:rsidRPr="000E1EB0" w14:paraId="6D6F232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26" w14:textId="22EFDDC5"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6</w:t>
            </w:r>
            <w:r w:rsidR="004F1449">
              <w:rPr>
                <w:rFonts w:ascii="Garamond" w:hAnsi="Garamond" w:cs="Tahoma"/>
                <w:b w:val="0"/>
                <w:sz w:val="20"/>
                <w:szCs w:val="20"/>
                <w:lang w:val="sq-AL"/>
              </w:rPr>
              <w:t>.</w:t>
            </w: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2013, Elbasan</w:t>
            </w:r>
          </w:p>
        </w:tc>
        <w:tc>
          <w:tcPr>
            <w:tcW w:w="6627" w:type="dxa"/>
          </w:tcPr>
          <w:p w14:paraId="6D6F2327" w14:textId="3E8258D2" w:rsidR="00650E6F" w:rsidRPr="000E1EB0" w:rsidRDefault="00650E6F" w:rsidP="00092B25">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Konsultim publik: </w:t>
            </w:r>
            <w:r w:rsidR="00FB1DDA">
              <w:rPr>
                <w:rFonts w:ascii="Garamond" w:hAnsi="Garamond" w:cs="Tahoma"/>
                <w:sz w:val="20"/>
                <w:szCs w:val="20"/>
                <w:lang w:val="sq-AL"/>
              </w:rPr>
              <w:t>u</w:t>
            </w:r>
            <w:r w:rsidRPr="000E1EB0">
              <w:rPr>
                <w:rFonts w:ascii="Garamond" w:hAnsi="Garamond" w:cs="Tahoma"/>
                <w:sz w:val="20"/>
                <w:szCs w:val="20"/>
                <w:lang w:val="sq-AL"/>
              </w:rPr>
              <w:t xml:space="preserve"> prezantua Dokumenti i Programit, si dhe procesi i zhvillimit të tij, zgjedhja e prioriteteve tematike dhe hapat e </w:t>
            </w:r>
            <w:r w:rsidR="00092B25" w:rsidRPr="000E1EB0">
              <w:rPr>
                <w:rFonts w:ascii="Garamond" w:hAnsi="Garamond" w:cs="Tahoma"/>
                <w:sz w:val="20"/>
                <w:szCs w:val="20"/>
                <w:lang w:val="sq-AL"/>
              </w:rPr>
              <w:t>ardhshëm</w:t>
            </w:r>
            <w:r w:rsidRPr="000E1EB0">
              <w:rPr>
                <w:rFonts w:ascii="Garamond" w:hAnsi="Garamond" w:cs="Tahoma"/>
                <w:sz w:val="20"/>
                <w:szCs w:val="20"/>
                <w:lang w:val="sq-AL"/>
              </w:rPr>
              <w:t>. Zgjedhja e prioriteteve tematike u konfirmua nga palët e interesuara (14 pjesëmarrës).</w:t>
            </w:r>
          </w:p>
        </w:tc>
      </w:tr>
      <w:tr w:rsidR="00650E6F" w:rsidRPr="000E1EB0" w14:paraId="6D6F232B"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29" w14:textId="3F529B45"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11</w:t>
            </w:r>
            <w:r w:rsidR="004F1449">
              <w:rPr>
                <w:rFonts w:ascii="Garamond" w:hAnsi="Garamond" w:cs="Tahoma"/>
                <w:b w:val="0"/>
                <w:sz w:val="20"/>
                <w:szCs w:val="20"/>
                <w:lang w:val="sq-AL"/>
              </w:rPr>
              <w:t>.</w:t>
            </w: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2013, Tiranë</w:t>
            </w:r>
          </w:p>
        </w:tc>
        <w:tc>
          <w:tcPr>
            <w:tcW w:w="6627" w:type="dxa"/>
          </w:tcPr>
          <w:p w14:paraId="6D6F232A" w14:textId="78692CC9"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Takimi i Komitetit Monitorues të përbashkët: një temë e veçantë e rendit të ditës ishte prezantimi i procesit të programimit </w:t>
            </w:r>
            <w:r w:rsidR="00BE160D">
              <w:rPr>
                <w:rFonts w:ascii="Garamond" w:hAnsi="Garamond" w:cs="Tahoma"/>
                <w:sz w:val="20"/>
                <w:szCs w:val="20"/>
                <w:lang w:val="sq-AL"/>
              </w:rPr>
              <w:t>2014–2020</w:t>
            </w:r>
            <w:r w:rsidRPr="000E1EB0">
              <w:rPr>
                <w:rFonts w:ascii="Garamond" w:hAnsi="Garamond" w:cs="Tahoma"/>
                <w:sz w:val="20"/>
                <w:szCs w:val="20"/>
                <w:lang w:val="sq-AL"/>
              </w:rPr>
              <w:t xml:space="preserve"> midis </w:t>
            </w:r>
            <w:r w:rsidR="00EB5DEB">
              <w:rPr>
                <w:rFonts w:ascii="Garamond" w:hAnsi="Garamond" w:cs="Tahoma"/>
                <w:sz w:val="20"/>
                <w:szCs w:val="20"/>
                <w:lang w:val="sq-AL"/>
              </w:rPr>
              <w:t>ish-Repu</w:t>
            </w:r>
            <w:r w:rsidRPr="000E1EB0">
              <w:rPr>
                <w:rFonts w:ascii="Garamond" w:hAnsi="Garamond" w:cs="Tahoma"/>
                <w:sz w:val="20"/>
                <w:szCs w:val="20"/>
                <w:lang w:val="sq-AL"/>
              </w:rPr>
              <w:t xml:space="preserve">blikës </w:t>
            </w:r>
            <w:r w:rsidRPr="000E1EB0">
              <w:rPr>
                <w:rFonts w:ascii="Garamond" w:hAnsi="Garamond" w:cs="Tahoma"/>
                <w:sz w:val="20"/>
                <w:szCs w:val="20"/>
                <w:lang w:val="sq-AL"/>
              </w:rPr>
              <w:lastRenderedPageBreak/>
              <w:t>Jugosllave të Maqedonisë-Republikës së Shqipërisë para përfaqësuesve të JMC</w:t>
            </w:r>
            <w:r w:rsidR="00967A78">
              <w:rPr>
                <w:rFonts w:ascii="Garamond" w:hAnsi="Garamond" w:cs="Tahoma"/>
                <w:sz w:val="20"/>
                <w:szCs w:val="20"/>
                <w:lang w:val="sq-AL"/>
              </w:rPr>
              <w:t>-s</w:t>
            </w:r>
            <w:r w:rsidR="00967A78" w:rsidRPr="000E1EB0">
              <w:rPr>
                <w:rFonts w:ascii="Garamond" w:hAnsi="Garamond" w:cs="Tahoma"/>
                <w:sz w:val="20"/>
                <w:szCs w:val="20"/>
                <w:lang w:val="sq-AL"/>
              </w:rPr>
              <w:t>ë</w:t>
            </w:r>
            <w:r w:rsidRPr="000E1EB0">
              <w:rPr>
                <w:rFonts w:ascii="Garamond" w:hAnsi="Garamond" w:cs="Tahoma"/>
                <w:sz w:val="20"/>
                <w:szCs w:val="20"/>
                <w:lang w:val="sq-AL"/>
              </w:rPr>
              <w:t xml:space="preserve"> nga ministritë e linjës së të dy</w:t>
            </w:r>
            <w:r w:rsidR="003579EB">
              <w:rPr>
                <w:rFonts w:ascii="Garamond" w:hAnsi="Garamond" w:cs="Tahoma"/>
                <w:sz w:val="20"/>
                <w:szCs w:val="20"/>
                <w:lang w:val="sq-AL"/>
              </w:rPr>
              <w:t>ja</w:t>
            </w:r>
            <w:r w:rsidRPr="000E1EB0">
              <w:rPr>
                <w:rFonts w:ascii="Garamond" w:hAnsi="Garamond" w:cs="Tahoma"/>
                <w:sz w:val="20"/>
                <w:szCs w:val="20"/>
                <w:lang w:val="sq-AL"/>
              </w:rPr>
              <w:t xml:space="preserve"> vendeve, përfaqësuesve të pushtetit vendor, EUD dhe OS-ve (36 përfaqësues).</w:t>
            </w:r>
          </w:p>
        </w:tc>
      </w:tr>
      <w:tr w:rsidR="00650E6F" w:rsidRPr="000E1EB0" w14:paraId="6D6F232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2C" w14:textId="3FB83382"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lastRenderedPageBreak/>
              <w:t>12</w:t>
            </w:r>
            <w:r w:rsidR="004F1449">
              <w:rPr>
                <w:rFonts w:ascii="Garamond" w:hAnsi="Garamond" w:cs="Tahoma"/>
                <w:b w:val="0"/>
                <w:sz w:val="20"/>
                <w:szCs w:val="20"/>
                <w:lang w:val="sq-AL"/>
              </w:rPr>
              <w:t>.</w:t>
            </w: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2013, Tiranë</w:t>
            </w:r>
          </w:p>
        </w:tc>
        <w:tc>
          <w:tcPr>
            <w:tcW w:w="6627" w:type="dxa"/>
          </w:tcPr>
          <w:p w14:paraId="6D6F232D" w14:textId="31573709" w:rsidR="00650E6F" w:rsidRPr="000E1EB0" w:rsidRDefault="00650E6F" w:rsidP="00D8100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Takim teknik me OS-në, DG ENLARG, EUD dhe CBIB+: u zhvillua diskutim mbi Strategjinë e Programit dhe programe të tjera CBC në zhvillim e sipër.</w:t>
            </w:r>
          </w:p>
        </w:tc>
      </w:tr>
      <w:tr w:rsidR="00650E6F" w:rsidRPr="000E1EB0" w14:paraId="6D6F2331"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2F" w14:textId="7DEF7570"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2013, Pogradec</w:t>
            </w:r>
          </w:p>
        </w:tc>
        <w:tc>
          <w:tcPr>
            <w:tcW w:w="6627" w:type="dxa"/>
          </w:tcPr>
          <w:p w14:paraId="6D6F2330" w14:textId="343544EA" w:rsidR="00650E6F" w:rsidRPr="000E1EB0" w:rsidRDefault="00650E6F" w:rsidP="002F4589">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Seminar i konsultimit publik paraprak: </w:t>
            </w:r>
            <w:r w:rsidR="003D35E2" w:rsidRPr="000E1EB0">
              <w:rPr>
                <w:rFonts w:ascii="Garamond" w:hAnsi="Garamond" w:cs="Tahoma"/>
                <w:sz w:val="20"/>
                <w:szCs w:val="20"/>
                <w:lang w:val="sq-AL"/>
              </w:rPr>
              <w:t>u</w:t>
            </w:r>
            <w:r w:rsidRPr="000E1EB0">
              <w:rPr>
                <w:rFonts w:ascii="Garamond" w:hAnsi="Garamond" w:cs="Tahoma"/>
                <w:sz w:val="20"/>
                <w:szCs w:val="20"/>
                <w:lang w:val="sq-AL"/>
              </w:rPr>
              <w:t xml:space="preserve"> prezantua Dokumenti i Programit te palët e interesuara, si dhe procesi i zhvillimit të tij, zgjedhja e prioriteteve tematike dhe hapat e </w:t>
            </w:r>
            <w:r w:rsidR="002F4589" w:rsidRPr="000E1EB0">
              <w:rPr>
                <w:rFonts w:ascii="Garamond" w:hAnsi="Garamond" w:cs="Tahoma"/>
                <w:sz w:val="20"/>
                <w:szCs w:val="20"/>
                <w:lang w:val="sq-AL"/>
              </w:rPr>
              <w:t>ardhshëm</w:t>
            </w:r>
            <w:r w:rsidRPr="000E1EB0">
              <w:rPr>
                <w:rFonts w:ascii="Garamond" w:hAnsi="Garamond" w:cs="Tahoma"/>
                <w:sz w:val="20"/>
                <w:szCs w:val="20"/>
                <w:lang w:val="sq-AL"/>
              </w:rPr>
              <w:t>. Zgjedhja e prioriteteve tematike u konfirmua nga palët e interesuara (11 pjesëmarrës).</w:t>
            </w:r>
          </w:p>
        </w:tc>
      </w:tr>
      <w:tr w:rsidR="00650E6F" w:rsidRPr="000E1EB0" w14:paraId="6D6F2334"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32" w14:textId="73B8E5E2"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13</w:t>
            </w:r>
            <w:r w:rsidR="004F1449">
              <w:rPr>
                <w:rFonts w:ascii="Garamond" w:hAnsi="Garamond" w:cs="Tahoma"/>
                <w:b w:val="0"/>
                <w:sz w:val="20"/>
                <w:szCs w:val="20"/>
                <w:lang w:val="sq-AL"/>
              </w:rPr>
              <w:t>.</w:t>
            </w: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2013, Korçë</w:t>
            </w:r>
          </w:p>
        </w:tc>
        <w:tc>
          <w:tcPr>
            <w:tcW w:w="6627" w:type="dxa"/>
          </w:tcPr>
          <w:p w14:paraId="6D6F2333" w14:textId="51CBDDD3" w:rsidR="00650E6F" w:rsidRPr="000E1EB0" w:rsidRDefault="00650E6F" w:rsidP="00200689">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Seminar i konsultimit publik paraprak: </w:t>
            </w:r>
            <w:r w:rsidR="003D35E2" w:rsidRPr="000E1EB0">
              <w:rPr>
                <w:rFonts w:ascii="Garamond" w:hAnsi="Garamond" w:cs="Tahoma"/>
                <w:sz w:val="20"/>
                <w:szCs w:val="20"/>
                <w:lang w:val="sq-AL"/>
              </w:rPr>
              <w:t>u</w:t>
            </w:r>
            <w:r w:rsidRPr="000E1EB0">
              <w:rPr>
                <w:rFonts w:ascii="Garamond" w:hAnsi="Garamond" w:cs="Tahoma"/>
                <w:sz w:val="20"/>
                <w:szCs w:val="20"/>
                <w:lang w:val="sq-AL"/>
              </w:rPr>
              <w:t xml:space="preserve"> prezantua Dokumenti i Programit te palët e interesuara, si dhe procesi i zhvillimit të tij, zgjedhja e prioriteteve tematike dhe hapat e </w:t>
            </w:r>
            <w:r w:rsidR="00092B25" w:rsidRPr="000E1EB0">
              <w:rPr>
                <w:rFonts w:ascii="Garamond" w:hAnsi="Garamond" w:cs="Tahoma"/>
                <w:sz w:val="20"/>
                <w:szCs w:val="20"/>
                <w:lang w:val="sq-AL"/>
              </w:rPr>
              <w:t>ardhshëm</w:t>
            </w:r>
            <w:r w:rsidRPr="000E1EB0">
              <w:rPr>
                <w:rFonts w:ascii="Garamond" w:hAnsi="Garamond" w:cs="Tahoma"/>
                <w:sz w:val="20"/>
                <w:szCs w:val="20"/>
                <w:lang w:val="sq-AL"/>
              </w:rPr>
              <w:t>. Zgjedhja e prioriteteve tematike u konfirmua nga palët e interesuara (13 pjesëmarrës).</w:t>
            </w:r>
          </w:p>
        </w:tc>
      </w:tr>
      <w:tr w:rsidR="00650E6F" w:rsidRPr="000E1EB0" w14:paraId="6D6F2337"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35" w14:textId="61656C31"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16</w:t>
            </w:r>
            <w:r w:rsidR="004F1449">
              <w:rPr>
                <w:rFonts w:ascii="Garamond" w:hAnsi="Garamond" w:cs="Tahoma"/>
                <w:b w:val="0"/>
                <w:sz w:val="20"/>
                <w:szCs w:val="20"/>
                <w:lang w:val="sq-AL"/>
              </w:rPr>
              <w:t>.</w:t>
            </w:r>
            <w:r w:rsidRPr="000E1EB0">
              <w:rPr>
                <w:rFonts w:ascii="Garamond" w:hAnsi="Garamond" w:cs="Tahoma"/>
                <w:b w:val="0"/>
                <w:sz w:val="20"/>
                <w:szCs w:val="20"/>
                <w:lang w:val="sq-AL"/>
              </w:rPr>
              <w:t>12</w:t>
            </w:r>
            <w:r w:rsidR="004F1449">
              <w:rPr>
                <w:rFonts w:ascii="Garamond" w:hAnsi="Garamond" w:cs="Tahoma"/>
                <w:b w:val="0"/>
                <w:sz w:val="20"/>
                <w:szCs w:val="20"/>
                <w:lang w:val="sq-AL"/>
              </w:rPr>
              <w:t>.</w:t>
            </w:r>
            <w:r w:rsidRPr="000E1EB0">
              <w:rPr>
                <w:rFonts w:ascii="Garamond" w:hAnsi="Garamond" w:cs="Tahoma"/>
                <w:b w:val="0"/>
                <w:sz w:val="20"/>
                <w:szCs w:val="20"/>
                <w:lang w:val="sq-AL"/>
              </w:rPr>
              <w:t>2013, Dibër</w:t>
            </w:r>
          </w:p>
        </w:tc>
        <w:tc>
          <w:tcPr>
            <w:tcW w:w="6627" w:type="dxa"/>
          </w:tcPr>
          <w:p w14:paraId="6D6F2336" w14:textId="32CF4AC2" w:rsidR="00650E6F" w:rsidRPr="000E1EB0" w:rsidRDefault="00650E6F" w:rsidP="00200689">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Seminar i konsultimit publik paraprak: </w:t>
            </w:r>
            <w:r w:rsidR="003D35E2" w:rsidRPr="000E1EB0">
              <w:rPr>
                <w:rFonts w:ascii="Garamond" w:hAnsi="Garamond" w:cs="Tahoma"/>
                <w:sz w:val="20"/>
                <w:szCs w:val="20"/>
                <w:lang w:val="sq-AL"/>
              </w:rPr>
              <w:t>u</w:t>
            </w:r>
            <w:r w:rsidRPr="000E1EB0">
              <w:rPr>
                <w:rFonts w:ascii="Garamond" w:hAnsi="Garamond" w:cs="Tahoma"/>
                <w:sz w:val="20"/>
                <w:szCs w:val="20"/>
                <w:lang w:val="sq-AL"/>
              </w:rPr>
              <w:t xml:space="preserve"> prezantua Dokumenti i Programit te palët e interesuara, si dhe procesi i zhvillimit të tij, zgjedhja e prioriteteve tematike dhe hapat e </w:t>
            </w:r>
            <w:r w:rsidR="00092B25" w:rsidRPr="000E1EB0">
              <w:rPr>
                <w:rFonts w:ascii="Garamond" w:hAnsi="Garamond" w:cs="Tahoma"/>
                <w:sz w:val="20"/>
                <w:szCs w:val="20"/>
                <w:lang w:val="sq-AL"/>
              </w:rPr>
              <w:t>ardhshëm</w:t>
            </w:r>
            <w:r w:rsidRPr="000E1EB0">
              <w:rPr>
                <w:rFonts w:ascii="Garamond" w:hAnsi="Garamond" w:cs="Tahoma"/>
                <w:sz w:val="20"/>
                <w:szCs w:val="20"/>
                <w:lang w:val="sq-AL"/>
              </w:rPr>
              <w:t>. Zgjedhja e prioriteteve tematike u konfirmua nga palët e interesuara (15 pjesëmarrës).</w:t>
            </w:r>
          </w:p>
        </w:tc>
      </w:tr>
      <w:tr w:rsidR="00650E6F" w:rsidRPr="000E1EB0" w14:paraId="6D6F233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38" w14:textId="550267B6"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14</w:t>
            </w:r>
            <w:r w:rsidR="004F1449">
              <w:rPr>
                <w:rFonts w:ascii="Garamond" w:hAnsi="Garamond" w:cs="Tahoma"/>
                <w:b w:val="0"/>
                <w:sz w:val="20"/>
                <w:szCs w:val="20"/>
                <w:lang w:val="sq-AL"/>
              </w:rPr>
              <w:t>.</w:t>
            </w:r>
            <w:r w:rsidRPr="000E1EB0">
              <w:rPr>
                <w:rFonts w:ascii="Garamond" w:hAnsi="Garamond" w:cs="Tahoma"/>
                <w:b w:val="0"/>
                <w:sz w:val="20"/>
                <w:szCs w:val="20"/>
                <w:lang w:val="sq-AL"/>
              </w:rPr>
              <w:t>3/2014, Strugë</w:t>
            </w:r>
          </w:p>
        </w:tc>
        <w:tc>
          <w:tcPr>
            <w:tcW w:w="6627" w:type="dxa"/>
          </w:tcPr>
          <w:p w14:paraId="6D6F2339" w14:textId="2DD0114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Konferenca e konsultimit publik me pjesëmarrjen e palëve të interesuara nga të dy</w:t>
            </w:r>
            <w:r w:rsidR="003D35E2">
              <w:rPr>
                <w:rFonts w:ascii="Garamond" w:hAnsi="Garamond" w:cs="Tahoma"/>
                <w:sz w:val="20"/>
                <w:szCs w:val="20"/>
                <w:lang w:val="sq-AL"/>
              </w:rPr>
              <w:t>ja</w:t>
            </w:r>
            <w:r w:rsidRPr="000E1EB0">
              <w:rPr>
                <w:rFonts w:ascii="Garamond" w:hAnsi="Garamond" w:cs="Tahoma"/>
                <w:sz w:val="20"/>
                <w:szCs w:val="20"/>
                <w:lang w:val="sq-AL"/>
              </w:rPr>
              <w:t xml:space="preserve"> vendet: Komenti mbi përmbajtjen teknike të ndërhyrjes së Programit dhe propozimi për </w:t>
            </w:r>
            <w:r w:rsidR="00856D4F">
              <w:rPr>
                <w:rFonts w:ascii="Garamond" w:hAnsi="Garamond" w:cs="Tahoma"/>
                <w:sz w:val="20"/>
                <w:szCs w:val="20"/>
                <w:lang w:val="sq-AL"/>
              </w:rPr>
              <w:t>ri</w:t>
            </w:r>
            <w:r w:rsidRPr="000E1EB0">
              <w:rPr>
                <w:rFonts w:ascii="Garamond" w:hAnsi="Garamond" w:cs="Tahoma"/>
                <w:sz w:val="20"/>
                <w:szCs w:val="20"/>
                <w:lang w:val="sq-AL"/>
              </w:rPr>
              <w:t>formulimin e aktiviteteve të Programit (54 pjesëmarrës).</w:t>
            </w:r>
          </w:p>
        </w:tc>
      </w:tr>
      <w:tr w:rsidR="00650E6F" w:rsidRPr="000E1EB0" w14:paraId="6D6F233D" w14:textId="77777777" w:rsidTr="00650E6F">
        <w:tc>
          <w:tcPr>
            <w:cnfStyle w:val="001000000000" w:firstRow="0" w:lastRow="0" w:firstColumn="1" w:lastColumn="0" w:oddVBand="0" w:evenVBand="0" w:oddHBand="0" w:evenHBand="0" w:firstRowFirstColumn="0" w:firstRowLastColumn="0" w:lastRowFirstColumn="0" w:lastRowLastColumn="0"/>
            <w:tcW w:w="2660" w:type="dxa"/>
          </w:tcPr>
          <w:p w14:paraId="6D6F233B" w14:textId="0F33AF69" w:rsidR="00650E6F" w:rsidRPr="000E1EB0" w:rsidRDefault="00650E6F" w:rsidP="004F1449">
            <w:pPr>
              <w:jc w:val="both"/>
              <w:rPr>
                <w:rFonts w:ascii="Garamond" w:hAnsi="Garamond" w:cs="Tahoma"/>
                <w:b w:val="0"/>
                <w:sz w:val="20"/>
                <w:szCs w:val="20"/>
                <w:lang w:val="sq-AL"/>
              </w:rPr>
            </w:pPr>
            <w:r w:rsidRPr="000E1EB0">
              <w:rPr>
                <w:rFonts w:ascii="Garamond" w:hAnsi="Garamond" w:cs="Tahoma"/>
                <w:b w:val="0"/>
                <w:sz w:val="20"/>
                <w:szCs w:val="20"/>
                <w:lang w:val="sq-AL"/>
              </w:rPr>
              <w:t>31</w:t>
            </w:r>
            <w:r w:rsidR="004F1449">
              <w:rPr>
                <w:rFonts w:ascii="Garamond" w:hAnsi="Garamond" w:cs="Tahoma"/>
                <w:b w:val="0"/>
                <w:sz w:val="20"/>
                <w:szCs w:val="20"/>
                <w:lang w:val="sq-AL"/>
              </w:rPr>
              <w:t>.</w:t>
            </w:r>
            <w:r w:rsidRPr="000E1EB0">
              <w:rPr>
                <w:rFonts w:ascii="Garamond" w:hAnsi="Garamond" w:cs="Tahoma"/>
                <w:b w:val="0"/>
                <w:sz w:val="20"/>
                <w:szCs w:val="20"/>
                <w:lang w:val="sq-AL"/>
              </w:rPr>
              <w:t>3</w:t>
            </w:r>
            <w:r w:rsidR="004F1449">
              <w:rPr>
                <w:rFonts w:ascii="Garamond" w:hAnsi="Garamond" w:cs="Tahoma"/>
                <w:b w:val="0"/>
                <w:sz w:val="20"/>
                <w:szCs w:val="20"/>
                <w:lang w:val="sq-AL"/>
              </w:rPr>
              <w:t>.</w:t>
            </w:r>
            <w:r w:rsidRPr="000E1EB0">
              <w:rPr>
                <w:rFonts w:ascii="Garamond" w:hAnsi="Garamond" w:cs="Tahoma"/>
                <w:b w:val="0"/>
                <w:sz w:val="20"/>
                <w:szCs w:val="20"/>
                <w:lang w:val="sq-AL"/>
              </w:rPr>
              <w:t>2014, Strugë</w:t>
            </w:r>
          </w:p>
        </w:tc>
        <w:tc>
          <w:tcPr>
            <w:tcW w:w="6627" w:type="dxa"/>
          </w:tcPr>
          <w:p w14:paraId="6D6F233C" w14:textId="6DA105B8"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Takimi i Sekretariatit të Përbashkët Teknik: </w:t>
            </w:r>
            <w:r w:rsidR="003D35E2" w:rsidRPr="000E1EB0">
              <w:rPr>
                <w:rFonts w:ascii="Garamond" w:hAnsi="Garamond" w:cs="Tahoma"/>
                <w:sz w:val="20"/>
                <w:szCs w:val="20"/>
                <w:lang w:val="sq-AL"/>
              </w:rPr>
              <w:t xml:space="preserve">diskutim </w:t>
            </w:r>
            <w:r w:rsidRPr="000E1EB0">
              <w:rPr>
                <w:rFonts w:ascii="Garamond" w:hAnsi="Garamond" w:cs="Tahoma"/>
                <w:sz w:val="20"/>
                <w:szCs w:val="20"/>
                <w:lang w:val="sq-AL"/>
              </w:rPr>
              <w:t>mbi përmbajtjen e Programit (drafti i dytë), konsensus për ndërhyrjen, aksionet dhe aktivitetet që kanë vijuar nga aktivitetet e konsultimit publik, të mbajtura deri në këtë moment (20 pjesëmarrës).</w:t>
            </w:r>
          </w:p>
        </w:tc>
      </w:tr>
      <w:tr w:rsidR="00650E6F" w:rsidRPr="000E1EB0" w14:paraId="6D6F234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D6F233E"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Maj 2014</w:t>
            </w:r>
          </w:p>
        </w:tc>
        <w:tc>
          <w:tcPr>
            <w:tcW w:w="6627" w:type="dxa"/>
          </w:tcPr>
          <w:p w14:paraId="6D6F233F" w14:textId="7A1C9135" w:rsidR="00650E6F" w:rsidRPr="000E1EB0" w:rsidRDefault="00650E6F" w:rsidP="00200689">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Dorëzimi i draftit final të programit te Komisioni Evropian. </w:t>
            </w:r>
          </w:p>
        </w:tc>
      </w:tr>
    </w:tbl>
    <w:p w14:paraId="1F1FCA99" w14:textId="77777777" w:rsidR="00F955E6" w:rsidRDefault="00F955E6" w:rsidP="00650E6F">
      <w:pPr>
        <w:pStyle w:val="AAAATEX"/>
      </w:pPr>
    </w:p>
    <w:p w14:paraId="6D6F2341" w14:textId="0D2B6E48" w:rsidR="00650E6F" w:rsidRPr="000E1EB0" w:rsidRDefault="00650E6F" w:rsidP="00650E6F">
      <w:pPr>
        <w:pStyle w:val="AAAATEX"/>
      </w:pPr>
      <w:r w:rsidRPr="000E1EB0">
        <w:t xml:space="preserve">Gjithashtu, partnerë të tjerë të rëndësishëm socialë dhe ekonomikë u ftuan të marrin pjesë aktivisht në procesin e programimit për Programin IPA CBC II për periudhën </w:t>
      </w:r>
      <w:r w:rsidR="00BE160D">
        <w:t>2014–2020</w:t>
      </w:r>
      <w:r w:rsidRPr="000E1EB0">
        <w:t xml:space="preserve"> midis </w:t>
      </w:r>
      <w:r w:rsidR="00EB5DEB">
        <w:t>ish-Repu</w:t>
      </w:r>
      <w:r w:rsidRPr="000E1EB0">
        <w:t xml:space="preserve">blikës Jugosllave të Maqedonisë dhe Republikës së Shqipërisë. Qëllimi i kësaj ishte i trefishtë: </w:t>
      </w:r>
    </w:p>
    <w:p w14:paraId="6D6F2342" w14:textId="77777777" w:rsidR="00650E6F" w:rsidRPr="000E1EB0" w:rsidRDefault="00650E6F" w:rsidP="00650E6F">
      <w:pPr>
        <w:pStyle w:val="AAAATEX"/>
      </w:pPr>
      <w:r w:rsidRPr="000E1EB0">
        <w:t>1. Të informojë publikun e gjerë mbi gjendjen e përgatitjes së programit për bashkëpunimin ndërkufitar, duke përfshirë fushat orientuese të aktiviteteve të pranueshme për tu mbështetur në kuadrin e këtij programi;</w:t>
      </w:r>
    </w:p>
    <w:p w14:paraId="6D6F2343" w14:textId="77777777" w:rsidR="00650E6F" w:rsidRPr="000E1EB0" w:rsidRDefault="00650E6F" w:rsidP="00650E6F">
      <w:pPr>
        <w:pStyle w:val="AAAATEX"/>
      </w:pPr>
      <w:r w:rsidRPr="000E1EB0">
        <w:t>2. Të kontribuojë për analizën SWOT dhe identifikimin e nevojave dhe mundësive prioritare për ndërhyrjet CBC; dhe</w:t>
      </w:r>
    </w:p>
    <w:p w14:paraId="6D6F2344" w14:textId="77777777" w:rsidR="00650E6F" w:rsidRPr="000E1EB0" w:rsidRDefault="00650E6F" w:rsidP="00650E6F">
      <w:pPr>
        <w:pStyle w:val="AAAATEX"/>
      </w:pPr>
      <w:r w:rsidRPr="000E1EB0">
        <w:t>3. Ti ofrojë publikut të gjerë një mundësi për të shprehur mendimet e tyre dhe për të dhënë kontribut të vlefshëm në procesin e programimit. Konsultimi publik është organizuar para finalizimit të dokumentit të Programit.</w:t>
      </w:r>
    </w:p>
    <w:p w14:paraId="6D6F2345" w14:textId="77777777" w:rsidR="00650E6F" w:rsidRPr="000E1EB0" w:rsidRDefault="00650E6F" w:rsidP="00650E6F">
      <w:pPr>
        <w:pStyle w:val="AAAATEX"/>
      </w:pPr>
      <w:r w:rsidRPr="000E1EB0">
        <w:t xml:space="preserve">Krahas atyre, parimi i partneritetit është zbatuar nëpërmjet konsultimeve individuale të koordinuara me mbi 80 organizata të shoqërisë civile, kryesisht për analizën SWOT dhe caktimin e prioriteteve tematike, si edhe nëpërmjet pjesëmarrjes së palëve kryesore të interesuara rajonale dhe lokale në seminaret konsultative. </w:t>
      </w:r>
    </w:p>
    <w:p w14:paraId="2D83B8DF" w14:textId="77777777" w:rsidR="00772180" w:rsidRDefault="00772180" w:rsidP="00650E6F">
      <w:pPr>
        <w:pStyle w:val="AAAATEX"/>
        <w:rPr>
          <w:b/>
        </w:rPr>
      </w:pPr>
    </w:p>
    <w:p w14:paraId="6D6F2346" w14:textId="642086B9" w:rsidR="00650E6F" w:rsidRPr="00E11A7A" w:rsidRDefault="00E11A7A" w:rsidP="00E11A7A">
      <w:pPr>
        <w:pStyle w:val="AAAATEX"/>
        <w:jc w:val="center"/>
      </w:pPr>
      <w:r w:rsidRPr="00E11A7A">
        <w:t>SEKSIONI 2</w:t>
      </w:r>
    </w:p>
    <w:p w14:paraId="6D6F2347" w14:textId="19D2F280" w:rsidR="00650E6F" w:rsidRPr="00E11A7A" w:rsidRDefault="00E11A7A" w:rsidP="00E11A7A">
      <w:pPr>
        <w:pStyle w:val="AAAATEX"/>
        <w:jc w:val="center"/>
      </w:pPr>
      <w:r w:rsidRPr="00E11A7A">
        <w:t>ZONA E PROGRAMIT</w:t>
      </w:r>
    </w:p>
    <w:p w14:paraId="693842A2" w14:textId="77777777" w:rsidR="00E11A7A" w:rsidRDefault="00E11A7A" w:rsidP="00650E6F">
      <w:pPr>
        <w:pStyle w:val="AAAATEX"/>
      </w:pPr>
    </w:p>
    <w:p w14:paraId="6D6F2348" w14:textId="5BD8EC82" w:rsidR="00650E6F" w:rsidRPr="000E1EB0" w:rsidRDefault="00650E6F" w:rsidP="00650E6F">
      <w:pPr>
        <w:pStyle w:val="AAAATEX"/>
      </w:pPr>
      <w:r w:rsidRPr="000E1EB0">
        <w:t>Mbulimi gjeografik dhe madhësia e zonës përfituese të Programit rrjedh nga asistenca e mëparshme IPA CBC për ish</w:t>
      </w:r>
      <w:r w:rsidR="00772180">
        <w:t>-</w:t>
      </w:r>
      <w:r w:rsidRPr="000E1EB0">
        <w:t>Republikën Jugosllave të Maqedonisë dhe Republikën e Shqipërisë dhe mbulon tr</w:t>
      </w:r>
      <w:r w:rsidR="00212FD8">
        <w:t>i</w:t>
      </w:r>
      <w:r w:rsidRPr="000E1EB0">
        <w:t xml:space="preserve"> rajone NUTS-3 në secilin nga vendet. Këto rajone janë të shënuara më poshtë.</w:t>
      </w:r>
    </w:p>
    <w:p w14:paraId="6D6F2349"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3095"/>
        <w:gridCol w:w="3096"/>
        <w:gridCol w:w="3096"/>
      </w:tblGrid>
      <w:tr w:rsidR="00650E6F" w:rsidRPr="000E1EB0" w14:paraId="6D6F234D"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34A" w14:textId="020C572C" w:rsidR="00650E6F" w:rsidRPr="000E1EB0" w:rsidRDefault="009A5DA1" w:rsidP="00772180">
            <w:pPr>
              <w:jc w:val="center"/>
              <w:rPr>
                <w:rFonts w:ascii="Garamond" w:hAnsi="Garamond" w:cs="Tahoma"/>
                <w:sz w:val="20"/>
                <w:szCs w:val="20"/>
                <w:lang w:val="sq-AL"/>
              </w:rPr>
            </w:pPr>
            <w:r>
              <w:rPr>
                <w:rFonts w:ascii="Garamond" w:hAnsi="Garamond" w:cs="Tahoma"/>
                <w:sz w:val="20"/>
                <w:szCs w:val="20"/>
                <w:lang w:val="sq-AL"/>
              </w:rPr>
              <w:t xml:space="preserve"> </w:t>
            </w:r>
            <w:r w:rsidR="00650E6F" w:rsidRPr="000E1EB0">
              <w:rPr>
                <w:rFonts w:ascii="Garamond" w:hAnsi="Garamond" w:cs="Tahoma"/>
                <w:sz w:val="20"/>
                <w:szCs w:val="20"/>
                <w:lang w:val="sq-AL"/>
              </w:rPr>
              <w:t>Rajonet e ish</w:t>
            </w:r>
            <w:r w:rsidR="00772180">
              <w:rPr>
                <w:rFonts w:ascii="Garamond" w:hAnsi="Garamond" w:cs="Tahoma"/>
                <w:sz w:val="20"/>
                <w:szCs w:val="20"/>
                <w:lang w:val="sq-AL"/>
              </w:rPr>
              <w:t>-</w:t>
            </w:r>
            <w:r w:rsidR="00650E6F" w:rsidRPr="000E1EB0">
              <w:rPr>
                <w:rFonts w:ascii="Garamond" w:hAnsi="Garamond" w:cs="Tahoma"/>
                <w:sz w:val="20"/>
                <w:szCs w:val="20"/>
                <w:lang w:val="sq-AL"/>
              </w:rPr>
              <w:t>Republikës Jugosllave të Maqedonisë</w:t>
            </w:r>
          </w:p>
        </w:tc>
        <w:tc>
          <w:tcPr>
            <w:tcW w:w="3096" w:type="dxa"/>
          </w:tcPr>
          <w:p w14:paraId="6D6F234B"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Madhësia e Zonës së Programit (km</w:t>
            </w:r>
            <w:r w:rsidRPr="000E1EB0">
              <w:rPr>
                <w:rFonts w:ascii="Garamond" w:hAnsi="Garamond" w:cs="Tahoma"/>
                <w:sz w:val="20"/>
                <w:szCs w:val="20"/>
                <w:vertAlign w:val="superscript"/>
                <w:lang w:val="sq-AL"/>
              </w:rPr>
              <w:t>2</w:t>
            </w:r>
            <w:r w:rsidRPr="000E1EB0">
              <w:rPr>
                <w:rFonts w:ascii="Garamond" w:hAnsi="Garamond" w:cs="Tahoma"/>
                <w:sz w:val="20"/>
                <w:szCs w:val="20"/>
                <w:lang w:val="sq-AL"/>
              </w:rPr>
              <w:t>)</w:t>
            </w:r>
          </w:p>
        </w:tc>
        <w:tc>
          <w:tcPr>
            <w:tcW w:w="3096" w:type="dxa"/>
          </w:tcPr>
          <w:p w14:paraId="6D6F234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Zona e Programit si % e madhësisë së shtetit</w:t>
            </w:r>
          </w:p>
        </w:tc>
      </w:tr>
      <w:tr w:rsidR="00650E6F" w:rsidRPr="000E1EB0" w14:paraId="6D6F2351"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34E"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Pellagonia</w:t>
            </w:r>
          </w:p>
        </w:tc>
        <w:tc>
          <w:tcPr>
            <w:tcW w:w="3096" w:type="dxa"/>
          </w:tcPr>
          <w:p w14:paraId="6D6F234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4,717</w:t>
            </w:r>
          </w:p>
        </w:tc>
        <w:tc>
          <w:tcPr>
            <w:tcW w:w="3096" w:type="dxa"/>
          </w:tcPr>
          <w:p w14:paraId="6D6F235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18.3</w:t>
            </w:r>
          </w:p>
        </w:tc>
      </w:tr>
      <w:tr w:rsidR="00650E6F" w:rsidRPr="000E1EB0" w14:paraId="6D6F2355"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352"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lastRenderedPageBreak/>
              <w:t>Jug-Perëndimi</w:t>
            </w:r>
          </w:p>
        </w:tc>
        <w:tc>
          <w:tcPr>
            <w:tcW w:w="3096" w:type="dxa"/>
          </w:tcPr>
          <w:p w14:paraId="6D6F235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3,340</w:t>
            </w:r>
          </w:p>
        </w:tc>
        <w:tc>
          <w:tcPr>
            <w:tcW w:w="3096" w:type="dxa"/>
          </w:tcPr>
          <w:p w14:paraId="6D6F235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13.0</w:t>
            </w:r>
          </w:p>
        </w:tc>
      </w:tr>
      <w:tr w:rsidR="00650E6F" w:rsidRPr="000E1EB0" w14:paraId="6D6F2359"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356"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Pollogu</w:t>
            </w:r>
          </w:p>
        </w:tc>
        <w:tc>
          <w:tcPr>
            <w:tcW w:w="3096" w:type="dxa"/>
          </w:tcPr>
          <w:p w14:paraId="6D6F235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2,416</w:t>
            </w:r>
          </w:p>
        </w:tc>
        <w:tc>
          <w:tcPr>
            <w:tcW w:w="3096" w:type="dxa"/>
          </w:tcPr>
          <w:p w14:paraId="6D6F235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9.4</w:t>
            </w:r>
          </w:p>
        </w:tc>
      </w:tr>
      <w:tr w:rsidR="00650E6F" w:rsidRPr="000E1EB0" w14:paraId="6D6F235D"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35A"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TOTAL</w:t>
            </w:r>
          </w:p>
        </w:tc>
        <w:tc>
          <w:tcPr>
            <w:tcW w:w="3096" w:type="dxa"/>
          </w:tcPr>
          <w:p w14:paraId="6D6F235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10,473</w:t>
            </w:r>
          </w:p>
        </w:tc>
        <w:tc>
          <w:tcPr>
            <w:tcW w:w="3096" w:type="dxa"/>
          </w:tcPr>
          <w:p w14:paraId="6D6F235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40.7</w:t>
            </w:r>
          </w:p>
        </w:tc>
      </w:tr>
    </w:tbl>
    <w:p w14:paraId="6D6F235E"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3095"/>
        <w:gridCol w:w="3096"/>
        <w:gridCol w:w="3096"/>
      </w:tblGrid>
      <w:tr w:rsidR="00650E6F" w:rsidRPr="000E1EB0" w14:paraId="6D6F2362"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35F"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Rajonet e Republikës së Shqipërisë</w:t>
            </w:r>
          </w:p>
        </w:tc>
        <w:tc>
          <w:tcPr>
            <w:tcW w:w="3096" w:type="dxa"/>
          </w:tcPr>
          <w:p w14:paraId="6D6F236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Madhësia e Zonës së Programit (km</w:t>
            </w:r>
            <w:r w:rsidRPr="000E1EB0">
              <w:rPr>
                <w:rFonts w:ascii="Garamond" w:hAnsi="Garamond" w:cs="Tahoma"/>
                <w:sz w:val="20"/>
                <w:szCs w:val="20"/>
                <w:vertAlign w:val="superscript"/>
                <w:lang w:val="sq-AL"/>
              </w:rPr>
              <w:t>2</w:t>
            </w:r>
            <w:r w:rsidRPr="000E1EB0">
              <w:rPr>
                <w:rFonts w:ascii="Garamond" w:hAnsi="Garamond" w:cs="Tahoma"/>
                <w:sz w:val="20"/>
                <w:szCs w:val="20"/>
                <w:lang w:val="sq-AL"/>
              </w:rPr>
              <w:t>)</w:t>
            </w:r>
          </w:p>
        </w:tc>
        <w:tc>
          <w:tcPr>
            <w:tcW w:w="3096" w:type="dxa"/>
          </w:tcPr>
          <w:p w14:paraId="6D6F236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Zona e Programit si % e madhësisë së shtetit</w:t>
            </w:r>
          </w:p>
        </w:tc>
      </w:tr>
      <w:tr w:rsidR="00650E6F" w:rsidRPr="000E1EB0" w14:paraId="6D6F236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363"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Korça</w:t>
            </w:r>
          </w:p>
        </w:tc>
        <w:tc>
          <w:tcPr>
            <w:tcW w:w="3096" w:type="dxa"/>
          </w:tcPr>
          <w:p w14:paraId="6D6F236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3,711</w:t>
            </w:r>
          </w:p>
        </w:tc>
        <w:tc>
          <w:tcPr>
            <w:tcW w:w="3096" w:type="dxa"/>
          </w:tcPr>
          <w:p w14:paraId="6D6F236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12.9</w:t>
            </w:r>
          </w:p>
        </w:tc>
      </w:tr>
      <w:tr w:rsidR="00650E6F" w:rsidRPr="000E1EB0" w14:paraId="6D6F236A"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367"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Dibra</w:t>
            </w:r>
          </w:p>
        </w:tc>
        <w:tc>
          <w:tcPr>
            <w:tcW w:w="3096" w:type="dxa"/>
          </w:tcPr>
          <w:p w14:paraId="6D6F236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2,586</w:t>
            </w:r>
          </w:p>
        </w:tc>
        <w:tc>
          <w:tcPr>
            <w:tcW w:w="3096" w:type="dxa"/>
          </w:tcPr>
          <w:p w14:paraId="6D6F236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9.0</w:t>
            </w:r>
          </w:p>
        </w:tc>
      </w:tr>
      <w:tr w:rsidR="00650E6F" w:rsidRPr="000E1EB0" w14:paraId="6D6F236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36B"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Elbasani</w:t>
            </w:r>
          </w:p>
        </w:tc>
        <w:tc>
          <w:tcPr>
            <w:tcW w:w="3096" w:type="dxa"/>
          </w:tcPr>
          <w:p w14:paraId="6D6F236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3,199</w:t>
            </w:r>
          </w:p>
        </w:tc>
        <w:tc>
          <w:tcPr>
            <w:tcW w:w="3096" w:type="dxa"/>
          </w:tcPr>
          <w:p w14:paraId="6D6F236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11.1</w:t>
            </w:r>
          </w:p>
        </w:tc>
      </w:tr>
      <w:tr w:rsidR="00650E6F" w:rsidRPr="000E1EB0" w14:paraId="6D6F2372"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36F"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TOTAL</w:t>
            </w:r>
          </w:p>
        </w:tc>
        <w:tc>
          <w:tcPr>
            <w:tcW w:w="3096" w:type="dxa"/>
          </w:tcPr>
          <w:p w14:paraId="6D6F237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9,496</w:t>
            </w:r>
          </w:p>
        </w:tc>
        <w:tc>
          <w:tcPr>
            <w:tcW w:w="3096" w:type="dxa"/>
          </w:tcPr>
          <w:p w14:paraId="6D6F237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33.0</w:t>
            </w:r>
          </w:p>
        </w:tc>
      </w:tr>
    </w:tbl>
    <w:p w14:paraId="6D6F2373" w14:textId="77777777" w:rsidR="00650E6F" w:rsidRPr="000E1EB0" w:rsidRDefault="00650E6F" w:rsidP="00650E6F">
      <w:pPr>
        <w:pStyle w:val="AAAATEX"/>
        <w:rPr>
          <w:i/>
        </w:rPr>
      </w:pPr>
      <w:r w:rsidRPr="000E1EB0">
        <w:rPr>
          <w:i/>
        </w:rPr>
        <w:t>Burimi: Zyra e Statistikave, INSTAT</w:t>
      </w:r>
    </w:p>
    <w:p w14:paraId="22EBEFED" w14:textId="77777777" w:rsidR="00125F52" w:rsidRDefault="00125F52" w:rsidP="00650E6F">
      <w:pPr>
        <w:pStyle w:val="AAAATEX"/>
      </w:pPr>
    </w:p>
    <w:p w14:paraId="6D6F2374" w14:textId="506B96C1" w:rsidR="00650E6F" w:rsidRPr="000E1EB0" w:rsidRDefault="00650E6F" w:rsidP="00650E6F">
      <w:pPr>
        <w:pStyle w:val="AAAATEX"/>
      </w:pPr>
      <w:r w:rsidRPr="000E1EB0">
        <w:t>Madhësia e përgjithshme e Zonës Ndërkufitare në të dy</w:t>
      </w:r>
      <w:r w:rsidR="0000683A">
        <w:t>ja</w:t>
      </w:r>
      <w:r w:rsidRPr="000E1EB0">
        <w:t xml:space="preserve"> vendet është 19,969 km</w:t>
      </w:r>
      <w:r w:rsidRPr="00125F52">
        <w:rPr>
          <w:vertAlign w:val="superscript"/>
        </w:rPr>
        <w:t>2</w:t>
      </w:r>
      <w:r w:rsidRPr="000E1EB0">
        <w:t xml:space="preserve">. Rajonet e </w:t>
      </w:r>
      <w:r w:rsidR="00EB5DEB">
        <w:t>ish-Repu</w:t>
      </w:r>
      <w:r w:rsidRPr="000E1EB0">
        <w:t>blikës Jugosllave të Maqedonisë përbëjnë 52,5% dhe rajonet e Republikës së Shqipërisë përbëjnë 47.5% të madhësisë së zonës së bashkëpunimit ndërkufitar.</w:t>
      </w:r>
    </w:p>
    <w:p w14:paraId="6D6F2375" w14:textId="5399DACC" w:rsidR="00650E6F" w:rsidRPr="000E1EB0" w:rsidRDefault="00650E6F" w:rsidP="00650E6F">
      <w:pPr>
        <w:pStyle w:val="AAAATEX"/>
      </w:pPr>
      <w:r w:rsidRPr="000E1EB0">
        <w:t>Gjatësia e kufirit midis të dy</w:t>
      </w:r>
      <w:r w:rsidR="0000683A">
        <w:t>ja</w:t>
      </w:r>
      <w:r w:rsidRPr="000E1EB0">
        <w:t xml:space="preserve"> vendeve që përfaqësojnë zonën e Programit është 191 km. Vija kufitare është e shumëllojshme: 151 km është kufi tokësor, 12 km është kufi në lumin Drin dhe 28 km i kufirit përshkon liqenin e Ohrit dhe Prespës.</w:t>
      </w:r>
    </w:p>
    <w:p w14:paraId="6D6F2376" w14:textId="77777777" w:rsidR="00650E6F" w:rsidRPr="000E1EB0" w:rsidRDefault="00650E6F" w:rsidP="00650E6F">
      <w:pPr>
        <w:pStyle w:val="AAAATEX"/>
      </w:pPr>
      <w:r w:rsidRPr="000E1EB0">
        <w:t>Ka 4 pika të vendkalimeve kufitare ndërmjet ish-Republikës Jugosllave të Maqedonisë dhe Republikës së Shqipërisë:</w:t>
      </w:r>
    </w:p>
    <w:p w14:paraId="6D6F2377" w14:textId="66564933" w:rsidR="00650E6F" w:rsidRPr="000E1EB0" w:rsidRDefault="00650E6F" w:rsidP="00650E6F">
      <w:pPr>
        <w:pStyle w:val="AAAATEX"/>
      </w:pPr>
      <w:r w:rsidRPr="000E1EB0">
        <w:t>1. Nga ish-Republika Jugos</w:t>
      </w:r>
      <w:r w:rsidR="001325AA">
        <w:t>llave e Maqedonisë, përmes Qafëth</w:t>
      </w:r>
      <w:r w:rsidRPr="000E1EB0">
        <w:t>anës, duke çuar në Pogradec, Librazhd dhe Elbasan;</w:t>
      </w:r>
    </w:p>
    <w:p w14:paraId="6D6F2378" w14:textId="77777777" w:rsidR="00650E6F" w:rsidRPr="000E1EB0" w:rsidRDefault="00650E6F" w:rsidP="00650E6F">
      <w:pPr>
        <w:pStyle w:val="AAAATEX"/>
      </w:pPr>
      <w:r w:rsidRPr="000E1EB0">
        <w:t>2. Nga ish-Republika Jugosllave e Maqedonisë, përmes Tushemishtit, në skajin juglindor të liqenit të Ohrit, duke çuar në Pogradec;</w:t>
      </w:r>
    </w:p>
    <w:p w14:paraId="6D6F2379" w14:textId="77777777" w:rsidR="00650E6F" w:rsidRPr="000E1EB0" w:rsidRDefault="00650E6F" w:rsidP="00650E6F">
      <w:pPr>
        <w:pStyle w:val="AAAATEX"/>
      </w:pPr>
      <w:r w:rsidRPr="000E1EB0">
        <w:t xml:space="preserve">3. Nga ish-Republika Jugosllave e Maqedonisë, përmes Bllatës, duke çuar në Peshkopi, Bulqizë dhe Burrel; </w:t>
      </w:r>
    </w:p>
    <w:p w14:paraId="6D6F237A" w14:textId="1E379B08" w:rsidR="00650E6F" w:rsidRPr="000E1EB0" w:rsidRDefault="00650E6F" w:rsidP="00650E6F">
      <w:pPr>
        <w:pStyle w:val="AAAATEX"/>
      </w:pPr>
      <w:r w:rsidRPr="000E1EB0">
        <w:t xml:space="preserve">4. Nga ish-Republika Jugosllave e Maqedonisë, përmes Goricës, duke çuar në brigjet veriore të </w:t>
      </w:r>
      <w:r w:rsidR="00467CED" w:rsidRPr="000E1EB0">
        <w:t xml:space="preserve">liqenit </w:t>
      </w:r>
      <w:r w:rsidRPr="000E1EB0">
        <w:t>të Prespës.</w:t>
      </w:r>
    </w:p>
    <w:p w14:paraId="6D6F237B" w14:textId="2BF610B1" w:rsidR="00650E6F" w:rsidRPr="000E1EB0" w:rsidRDefault="00650E6F" w:rsidP="00650E6F">
      <w:pPr>
        <w:pStyle w:val="AAAATEX"/>
      </w:pPr>
      <w:r w:rsidRPr="000E1EB0">
        <w:t>Gjashtë rajonet që përbëjnë zonën e Programit kanë një popullsi prej 1,427,675 banorë, nga të cilët ish-Republika Jugosllave e Maqedonisë përmban 54% të këtij numri dhe Republika e Shqipërisë përmban 46% të tyre.</w:t>
      </w:r>
      <w:r w:rsidRPr="000E1EB0">
        <w:rPr>
          <w:rStyle w:val="FootnoteReference"/>
        </w:rPr>
        <w:footnoteReference w:id="7"/>
      </w:r>
      <w:r w:rsidRPr="000E1EB0">
        <w:t xml:space="preserve"> </w:t>
      </w:r>
    </w:p>
    <w:p w14:paraId="6D6F237C" w14:textId="7AA1A211" w:rsidR="00650E6F" w:rsidRPr="000E1EB0" w:rsidRDefault="00650E6F" w:rsidP="00650E6F">
      <w:pPr>
        <w:pStyle w:val="AAAATEX"/>
      </w:pPr>
      <w:r w:rsidRPr="000E1EB0">
        <w:t>Rajonet e pranueshme në territorin e ish</w:t>
      </w:r>
      <w:r w:rsidR="00467CED">
        <w:t>-</w:t>
      </w:r>
      <w:r w:rsidRPr="000E1EB0">
        <w:t>Republikës Jugosllave të Maqedonisë përfshijnë 27 komuna, ndërsa në territorin e Republikës së Shqipërisë janë 12 rrethe (me 17 komuna)</w:t>
      </w:r>
      <w:r w:rsidR="002F4589">
        <w:t>,</w:t>
      </w:r>
      <w:r w:rsidRPr="000E1EB0">
        <w:t xml:space="preserve"> që hyjnë në zonën e Programit. Këto janë të shënuara më poshtë.</w:t>
      </w:r>
    </w:p>
    <w:p w14:paraId="6D6F237D" w14:textId="77777777" w:rsidR="00650E6F" w:rsidRPr="000E1EB0" w:rsidRDefault="00650E6F" w:rsidP="00650E6F">
      <w:pPr>
        <w:pStyle w:val="AAAATEX"/>
        <w:rPr>
          <w:b/>
        </w:rPr>
      </w:pPr>
      <w:r w:rsidRPr="000E1EB0">
        <w:rPr>
          <w:b/>
        </w:rPr>
        <w:t>Në ish-Republikën Jugosllave të Maqedonisë:</w:t>
      </w:r>
    </w:p>
    <w:p w14:paraId="6D6F237E" w14:textId="12DBCCEF" w:rsidR="00650E6F" w:rsidRPr="000E1EB0" w:rsidRDefault="00650E6F" w:rsidP="00650E6F">
      <w:pPr>
        <w:pStyle w:val="AAAATEX"/>
      </w:pPr>
      <w:r w:rsidRPr="000E1EB0">
        <w:t>- Rajoni i Pellagonisë përfshin 9 komuna: Manastir, Demir Hisar, Dollnen, Krivogashtan, Krushevë, Mogilla, Novac, Prilep dhe Resnjë;</w:t>
      </w:r>
    </w:p>
    <w:p w14:paraId="6D6F237F" w14:textId="77777777" w:rsidR="00650E6F" w:rsidRPr="000E1EB0" w:rsidRDefault="00650E6F" w:rsidP="00650E6F">
      <w:pPr>
        <w:pStyle w:val="AAAATEX"/>
      </w:pPr>
      <w:r w:rsidRPr="000E1EB0">
        <w:t>- Rajoni i Pollogut përfshin 9 komuna: Bogovinjë, Bërvenicë, Gostivar, Jegunovcë, Mavrovë dhe Rostushë, Tearcë, Tetovë, Vrapçisht dhe Zhelinë;</w:t>
      </w:r>
    </w:p>
    <w:p w14:paraId="6D6F2380" w14:textId="77777777" w:rsidR="00650E6F" w:rsidRPr="000E1EB0" w:rsidRDefault="00650E6F" w:rsidP="00650E6F">
      <w:pPr>
        <w:pStyle w:val="AAAATEX"/>
      </w:pPr>
      <w:r w:rsidRPr="000E1EB0">
        <w:t>- Rajoni Jugperëndimor mbulon 9 komuna: Qendër Zhupë, Dibër, Debarcë, Kërçovë, Brod, Ohër, Plasnicë, Strugë dhe Vevçan.</w:t>
      </w:r>
    </w:p>
    <w:p w14:paraId="6D6F2381" w14:textId="77777777" w:rsidR="00650E6F" w:rsidRPr="000E1EB0" w:rsidRDefault="00650E6F" w:rsidP="00650E6F">
      <w:pPr>
        <w:pStyle w:val="AAAATEX"/>
        <w:rPr>
          <w:b/>
        </w:rPr>
      </w:pPr>
      <w:r w:rsidRPr="000E1EB0">
        <w:rPr>
          <w:b/>
        </w:rPr>
        <w:t>Në Republikën e Shqipërisë:</w:t>
      </w:r>
    </w:p>
    <w:p w14:paraId="6D6F2382" w14:textId="6533CC50" w:rsidR="00650E6F" w:rsidRPr="000E1EB0" w:rsidRDefault="00650E6F" w:rsidP="00650E6F">
      <w:pPr>
        <w:pStyle w:val="AAAATEX"/>
      </w:pPr>
      <w:r w:rsidRPr="000E1EB0">
        <w:t xml:space="preserve">- </w:t>
      </w:r>
      <w:r w:rsidR="00E11A7A" w:rsidRPr="000E1EB0">
        <w:t xml:space="preserve">qarku </w:t>
      </w:r>
      <w:r w:rsidRPr="000E1EB0">
        <w:t>i Dibrës përfshin rrethet: Bulqizë, Burrel dhe Dibër;</w:t>
      </w:r>
    </w:p>
    <w:p w14:paraId="6D6F2383" w14:textId="01EAA5E6" w:rsidR="00650E6F" w:rsidRPr="000E1EB0" w:rsidRDefault="00650E6F" w:rsidP="00650E6F">
      <w:pPr>
        <w:pStyle w:val="AAAATEX"/>
      </w:pPr>
      <w:r w:rsidRPr="000E1EB0">
        <w:t xml:space="preserve">- </w:t>
      </w:r>
      <w:r w:rsidR="00E11A7A" w:rsidRPr="000E1EB0">
        <w:t xml:space="preserve">qarku </w:t>
      </w:r>
      <w:r w:rsidRPr="000E1EB0">
        <w:t>Elbasan përfshin rrethet</w:t>
      </w:r>
      <w:r w:rsidR="003C20B5">
        <w:t>:</w:t>
      </w:r>
      <w:r w:rsidRPr="000E1EB0">
        <w:t xml:space="preserve"> Cërrik, Elbasan, Gramsh, Librazhd dhe Peqin;</w:t>
      </w:r>
    </w:p>
    <w:p w14:paraId="6D6F2384" w14:textId="21EB1451" w:rsidR="00650E6F" w:rsidRPr="000E1EB0" w:rsidRDefault="00650E6F" w:rsidP="00650E6F">
      <w:pPr>
        <w:pStyle w:val="AAAATEX"/>
      </w:pPr>
      <w:r w:rsidRPr="000E1EB0">
        <w:t xml:space="preserve">- </w:t>
      </w:r>
      <w:r w:rsidR="00E11A7A" w:rsidRPr="000E1EB0">
        <w:t xml:space="preserve">qarku </w:t>
      </w:r>
      <w:r w:rsidRPr="000E1EB0">
        <w:t>Korçë përfshin rrethet</w:t>
      </w:r>
      <w:r w:rsidR="003C20B5">
        <w:t>:</w:t>
      </w:r>
      <w:r w:rsidRPr="000E1EB0">
        <w:t xml:space="preserve"> Devoll, Korçë, Kolonjë dhe Pogradec.</w:t>
      </w:r>
    </w:p>
    <w:p w14:paraId="6D6F2385" w14:textId="77777777" w:rsidR="00650E6F" w:rsidRPr="000E1EB0" w:rsidRDefault="00650E6F" w:rsidP="00650E6F">
      <w:pPr>
        <w:pStyle w:val="AAAATEX"/>
      </w:pPr>
    </w:p>
    <w:p w14:paraId="6D6F2386" w14:textId="77777777" w:rsidR="00650E6F" w:rsidRPr="000E1EB0" w:rsidRDefault="00650E6F" w:rsidP="00650E6F">
      <w:pPr>
        <w:pStyle w:val="AAAATEX"/>
        <w:jc w:val="center"/>
      </w:pPr>
      <w:r w:rsidRPr="000E1EB0">
        <w:rPr>
          <w:noProof/>
          <w:sz w:val="20"/>
          <w:szCs w:val="20"/>
          <w:lang w:val="en-US"/>
        </w:rPr>
        <w:drawing>
          <wp:inline distT="0" distB="0" distL="0" distR="0" wp14:anchorId="6D6F2CD2" wp14:editId="6D6F2CD3">
            <wp:extent cx="4988966" cy="4826378"/>
            <wp:effectExtent l="0" t="0" r="2540" b="0"/>
            <wp:docPr id="1" name="Picture 1" descr="C:\Users\Tomasz\AppData\Local\Microsoft\Windows\Temporary Internet Files\Content.Outlook\EJOEFB61\MK-AL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AppData\Local\Microsoft\Windows\Temporary Internet Files\Content.Outlook\EJOEFB61\MK-AL map.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91586" cy="4828912"/>
                    </a:xfrm>
                    <a:prstGeom prst="rect">
                      <a:avLst/>
                    </a:prstGeom>
                    <a:noFill/>
                    <a:ln>
                      <a:noFill/>
                    </a:ln>
                  </pic:spPr>
                </pic:pic>
              </a:graphicData>
            </a:graphic>
          </wp:inline>
        </w:drawing>
      </w:r>
    </w:p>
    <w:p w14:paraId="6D6F2387" w14:textId="28F6AB5B" w:rsidR="00650E6F" w:rsidRPr="000E1EB0" w:rsidRDefault="00650E6F" w:rsidP="00650E6F">
      <w:pPr>
        <w:pStyle w:val="AAAATEX"/>
        <w:rPr>
          <w:b/>
        </w:rPr>
      </w:pPr>
      <w:r w:rsidRPr="000E1EB0">
        <w:rPr>
          <w:b/>
        </w:rPr>
        <w:t xml:space="preserve">2.1 Analiza e </w:t>
      </w:r>
      <w:r w:rsidR="00467CED" w:rsidRPr="000E1EB0">
        <w:rPr>
          <w:b/>
        </w:rPr>
        <w:t>situatës – përmbledhje</w:t>
      </w:r>
    </w:p>
    <w:p w14:paraId="6D6F2388" w14:textId="78B8CD8B" w:rsidR="00650E6F" w:rsidRPr="000E1EB0" w:rsidRDefault="00650E6F" w:rsidP="00650E6F">
      <w:pPr>
        <w:pStyle w:val="AAAATEX"/>
      </w:pPr>
      <w:r w:rsidRPr="000E1EB0">
        <w:t>Zona e Programit karakterizohet nga burime të pasura natyrore, diversitet etnik dhe kulturë e ngjashme, por me gjuhë të ndryshme të folura. Megjithatë, më e rëndësishmja është se zonat kufitare në ish</w:t>
      </w:r>
      <w:r w:rsidR="00467CED">
        <w:t>-</w:t>
      </w:r>
      <w:r w:rsidRPr="000E1EB0">
        <w:t xml:space="preserve">Republikën Jugosllave të Maqedonisë dhe Republikën e Shqipërisë shfaqin trashëgimi të ndryshme ekonomike, që përcakton arsyetimin dhe potencialin për bashkëpunim ndërmjet njerëzve dhe institucioneve përtej kufirit për integrim dhe kohezion social dhe ekonomik më të mirë të rajonit. </w:t>
      </w:r>
    </w:p>
    <w:p w14:paraId="6D6F2389" w14:textId="676B6C74" w:rsidR="00650E6F" w:rsidRPr="000E1EB0" w:rsidRDefault="00650E6F" w:rsidP="00650E6F">
      <w:pPr>
        <w:pStyle w:val="AAAATEX"/>
      </w:pPr>
      <w:r w:rsidRPr="000E1EB0">
        <w:t xml:space="preserve">Kjo përmbledhje bën dallimin ndërmjet aspekteve të përgjithshme dhe demografike, ekonomike dhe sociale të kohezionit, që frymëzojnë Strategjinë për ndërhyrjen e bashkëpunimit ndërkufitar </w:t>
      </w:r>
      <w:r w:rsidR="00BE160D">
        <w:t>2014–2020</w:t>
      </w:r>
      <w:r w:rsidRPr="000E1EB0">
        <w:t>, ndërsa një situatë më e hollësishme dhe analiza SWOT janë bashkëlidhur si shtojca në dokumentin e Programit.</w:t>
      </w:r>
    </w:p>
    <w:p w14:paraId="6D6F238A" w14:textId="0EB691AE" w:rsidR="00650E6F" w:rsidRPr="000E1EB0" w:rsidRDefault="00650E6F" w:rsidP="00650E6F">
      <w:pPr>
        <w:pStyle w:val="AAAATEX"/>
        <w:rPr>
          <w:b/>
          <w:bCs/>
        </w:rPr>
      </w:pPr>
      <w:r w:rsidRPr="000E1EB0">
        <w:rPr>
          <w:b/>
          <w:bCs/>
        </w:rPr>
        <w:t xml:space="preserve">Aspektet </w:t>
      </w:r>
      <w:r w:rsidR="000F5EE0" w:rsidRPr="000E1EB0">
        <w:rPr>
          <w:b/>
          <w:bCs/>
        </w:rPr>
        <w:t>e përgjithshme dhe demografike</w:t>
      </w:r>
    </w:p>
    <w:p w14:paraId="6D6F238B" w14:textId="63AB3007" w:rsidR="00650E6F" w:rsidRPr="000E1EB0" w:rsidRDefault="00650E6F" w:rsidP="00650E6F">
      <w:pPr>
        <w:pStyle w:val="AAAATEX"/>
      </w:pPr>
      <w:r w:rsidRPr="000E1EB0">
        <w:t xml:space="preserve">1. </w:t>
      </w:r>
      <w:r w:rsidRPr="000E1EB0">
        <w:rPr>
          <w:b/>
          <w:bCs/>
        </w:rPr>
        <w:t>Natyra dhe mjedisi janë të pasura me male, fusha kodrinore të kryqëzuara me lumenj, lugina dhe liqene</w:t>
      </w:r>
      <w:r w:rsidRPr="000E1EB0">
        <w:t>. Kjo zonë përmban tr</w:t>
      </w:r>
      <w:r w:rsidR="000F5EE0">
        <w:t>i</w:t>
      </w:r>
      <w:r w:rsidRPr="000E1EB0">
        <w:t xml:space="preserve"> rezervuare të mëdha të ujit në rajon: </w:t>
      </w:r>
      <w:r w:rsidR="000F5EE0">
        <w:t>l</w:t>
      </w:r>
      <w:r w:rsidRPr="000E1EB0">
        <w:t xml:space="preserve">iqenin e Ohrit, Prespës dhe Dibrës, të rrethuar nga një </w:t>
      </w:r>
      <w:r w:rsidR="0076266B" w:rsidRPr="000E1EB0">
        <w:t>park kombëtar</w:t>
      </w:r>
      <w:r w:rsidR="0076266B">
        <w:t>,</w:t>
      </w:r>
      <w:r w:rsidR="0076266B" w:rsidRPr="000E1EB0">
        <w:t xml:space="preserve"> </w:t>
      </w:r>
      <w:r w:rsidRPr="000E1EB0">
        <w:t xml:space="preserve">duke krijuar kështu </w:t>
      </w:r>
      <w:r w:rsidRPr="000E1EB0">
        <w:rPr>
          <w:b/>
          <w:bCs/>
        </w:rPr>
        <w:t>kushte të favorshme për zhvillimin e energjisë hidrike</w:t>
      </w:r>
      <w:r w:rsidRPr="000E1EB0">
        <w:t>, në të cilën të dy</w:t>
      </w:r>
      <w:r w:rsidR="00875840">
        <w:t>ja</w:t>
      </w:r>
      <w:r w:rsidRPr="000E1EB0">
        <w:t xml:space="preserve"> vendet kanë investuar tashmë. Zonat ekologjikisht të ndjeshme janë të pajisura me mundësitë e zhvillimit të turizmit dhe </w:t>
      </w:r>
      <w:r w:rsidRPr="000E1EB0">
        <w:rPr>
          <w:b/>
          <w:bCs/>
        </w:rPr>
        <w:t>rajoni përmban gati gjysmën e pyjeve të të dy</w:t>
      </w:r>
      <w:r w:rsidR="00921AA0">
        <w:rPr>
          <w:b/>
          <w:bCs/>
        </w:rPr>
        <w:t>ja</w:t>
      </w:r>
      <w:r w:rsidRPr="000E1EB0">
        <w:rPr>
          <w:b/>
          <w:bCs/>
        </w:rPr>
        <w:t xml:space="preserve"> vendeve</w:t>
      </w:r>
      <w:r w:rsidRPr="000E1EB0">
        <w:t xml:space="preserve">. </w:t>
      </w:r>
    </w:p>
    <w:p w14:paraId="6D6F238C" w14:textId="7D7338C8" w:rsidR="00650E6F" w:rsidRPr="000E1EB0" w:rsidRDefault="00650E6F" w:rsidP="00650E6F">
      <w:pPr>
        <w:pStyle w:val="AAAATEX"/>
      </w:pPr>
      <w:r w:rsidRPr="000E1EB0">
        <w:lastRenderedPageBreak/>
        <w:t xml:space="preserve">2. </w:t>
      </w:r>
      <w:r w:rsidRPr="000E1EB0">
        <w:rPr>
          <w:b/>
          <w:bCs/>
        </w:rPr>
        <w:t xml:space="preserve">Zona e Programit përmban dy korridore të transportit </w:t>
      </w:r>
      <w:r w:rsidR="000F5EE0" w:rsidRPr="000E1EB0">
        <w:rPr>
          <w:b/>
          <w:bCs/>
        </w:rPr>
        <w:t>panevropian</w:t>
      </w:r>
      <w:r w:rsidRPr="000E1EB0">
        <w:rPr>
          <w:b/>
          <w:bCs/>
        </w:rPr>
        <w:t xml:space="preserve">: </w:t>
      </w:r>
      <w:r w:rsidRPr="000E1EB0">
        <w:t xml:space="preserve">Korridori VIII dhe Dega D e Korridorit X, të cilat hapin mundësi ekonomike përgjatë dy rrugëve të transportit, por gjithashtu krijojnë sfida në aspektin e mirëmbajtjes së mjedisit dhe infrastrukturës. </w:t>
      </w:r>
    </w:p>
    <w:p w14:paraId="6D6F238D" w14:textId="77B8AFD1" w:rsidR="00650E6F" w:rsidRPr="000E1EB0" w:rsidRDefault="00650E6F" w:rsidP="00650E6F">
      <w:pPr>
        <w:pStyle w:val="AAAATEX"/>
      </w:pPr>
      <w:r w:rsidRPr="000E1EB0">
        <w:t xml:space="preserve">3. </w:t>
      </w:r>
      <w:r w:rsidRPr="000E1EB0">
        <w:rPr>
          <w:b/>
          <w:bCs/>
        </w:rPr>
        <w:t>Të dy</w:t>
      </w:r>
      <w:r w:rsidR="00921AA0">
        <w:rPr>
          <w:b/>
          <w:bCs/>
        </w:rPr>
        <w:t>ja</w:t>
      </w:r>
      <w:r w:rsidRPr="000E1EB0">
        <w:rPr>
          <w:b/>
          <w:bCs/>
        </w:rPr>
        <w:t xml:space="preserve"> vendet shfaqin një nivel pothuajse të barabartë të zhvillimit ekonomik </w:t>
      </w:r>
      <w:r w:rsidRPr="000E1EB0">
        <w:t>dhe gëzojnë përmirësimin e vazhdueshëm në marrëdhëniet dypalëshe, si dhe rritje në shkëmbimin e mallrave dhe shërbimeve. Ish</w:t>
      </w:r>
      <w:r w:rsidR="00527A3C">
        <w:t>-</w:t>
      </w:r>
      <w:r w:rsidRPr="000E1EB0">
        <w:t>Republika Jugosllave e Maqedonisë ka marrë statusin e vendit kandidat në BE, ndërsa aplikimi i Republikës së Shqipërisë varet nga progresi i mëtejshëm i reformës së administratës publike dhe rishikimi i rregullave dhe procedurave parlamentare.</w:t>
      </w:r>
    </w:p>
    <w:p w14:paraId="6D6F238E" w14:textId="71EC3CDD" w:rsidR="00650E6F" w:rsidRPr="000E1EB0" w:rsidRDefault="00650E6F" w:rsidP="00650E6F">
      <w:pPr>
        <w:pStyle w:val="AAAATEX"/>
        <w:rPr>
          <w:b/>
          <w:bCs/>
        </w:rPr>
      </w:pPr>
      <w:r w:rsidRPr="000E1EB0">
        <w:t>4. Të dy</w:t>
      </w:r>
      <w:r w:rsidR="00583574">
        <w:t>ja</w:t>
      </w:r>
      <w:r w:rsidRPr="000E1EB0">
        <w:t xml:space="preserve"> vendet gëzojnë norma pozitive të rritjes natyrore, por numri i popullsisë po rritet më shpejt në Republikën e Shqipërisë se sa në ish-Republikën Jugosllave të Maqedonisë. </w:t>
      </w:r>
      <w:r w:rsidRPr="000E1EB0">
        <w:rPr>
          <w:b/>
          <w:bCs/>
        </w:rPr>
        <w:t xml:space="preserve">Megjithatë, me përjashtim të rajonit të Pollogut dhe atij Jugperëndimor, zona e programit po përjeton tendenca negative. </w:t>
      </w:r>
      <w:r w:rsidRPr="000E1EB0">
        <w:t>Të dy</w:t>
      </w:r>
      <w:r w:rsidR="000A176C">
        <w:t>ja</w:t>
      </w:r>
      <w:r w:rsidRPr="000E1EB0">
        <w:t xml:space="preserve"> vendet vuajnë nga </w:t>
      </w:r>
      <w:r w:rsidRPr="000E1EB0">
        <w:rPr>
          <w:b/>
          <w:bCs/>
        </w:rPr>
        <w:t>migrimet e jashtme, të cilët mund të kontribuojnë në shpopullim.</w:t>
      </w:r>
      <w:r w:rsidRPr="000E1EB0">
        <w:t xml:space="preserve"> Indeksi mesatar i dendësisë së popullsisë është i ngjashëm në të dyja anët e kufirit, por </w:t>
      </w:r>
      <w:r w:rsidRPr="000E1EB0">
        <w:rPr>
          <w:b/>
          <w:bCs/>
        </w:rPr>
        <w:t>shifra shumë të ulëta të dendësisë së popullsisë janë regjistruar në rrethet (prefekturat) e Dibrës dhe Korçës, të cilat tregojnë karakterin e tyre rural dhe periferik.</w:t>
      </w:r>
    </w:p>
    <w:p w14:paraId="6D6F238F" w14:textId="77777777" w:rsidR="00650E6F" w:rsidRPr="000E1EB0" w:rsidRDefault="00650E6F" w:rsidP="00650E6F">
      <w:pPr>
        <w:pStyle w:val="AAAATEX"/>
      </w:pPr>
      <w:r w:rsidRPr="000E1EB0">
        <w:t xml:space="preserve">5. Popullsia në zonën e programit është relativisht e re (36 vjeç), por </w:t>
      </w:r>
      <w:r w:rsidRPr="000E1EB0">
        <w:rPr>
          <w:b/>
          <w:bCs/>
        </w:rPr>
        <w:t>Pellagonia me një moshë mesatare të popullsie prej 40 vjeç, përbën dallim</w:t>
      </w:r>
      <w:r w:rsidRPr="000E1EB0">
        <w:t xml:space="preserve"> nga pjesa tjetër e rajonit. </w:t>
      </w:r>
    </w:p>
    <w:p w14:paraId="6D6F2390" w14:textId="75D17415" w:rsidR="00650E6F" w:rsidRPr="000E1EB0" w:rsidRDefault="00650E6F" w:rsidP="00650E6F">
      <w:pPr>
        <w:pStyle w:val="AAAATEX"/>
        <w:rPr>
          <w:b/>
          <w:bCs/>
        </w:rPr>
      </w:pPr>
      <w:r w:rsidRPr="000E1EB0">
        <w:rPr>
          <w:b/>
          <w:bCs/>
        </w:rPr>
        <w:t xml:space="preserve">Kohezioni </w:t>
      </w:r>
      <w:r w:rsidR="00527A3C" w:rsidRPr="000E1EB0">
        <w:rPr>
          <w:b/>
          <w:bCs/>
        </w:rPr>
        <w:t>ekonomik</w:t>
      </w:r>
    </w:p>
    <w:p w14:paraId="6D6F2391" w14:textId="5DBFD903" w:rsidR="00650E6F" w:rsidRPr="000E1EB0" w:rsidRDefault="00650E6F" w:rsidP="00650E6F">
      <w:pPr>
        <w:pStyle w:val="AAAATEX"/>
      </w:pPr>
      <w:r w:rsidRPr="000E1EB0">
        <w:t>6. Pabarazitë rajonale në të dy</w:t>
      </w:r>
      <w:r w:rsidR="0049259E">
        <w:t>ja</w:t>
      </w:r>
      <w:r w:rsidRPr="000E1EB0">
        <w:t xml:space="preserve"> vendet në aspektin e GDP-së për frymë, në përgjithësi konsiderohen të moderuara, por </w:t>
      </w:r>
      <w:r w:rsidRPr="000E1EB0">
        <w:rPr>
          <w:b/>
          <w:bCs/>
        </w:rPr>
        <w:t>zona e programit përmban rajone që në mënyrë të qartë mbeten prapa; këto janë: Pollogu në ish</w:t>
      </w:r>
      <w:r w:rsidR="00527A3C">
        <w:rPr>
          <w:b/>
          <w:bCs/>
        </w:rPr>
        <w:t>-</w:t>
      </w:r>
      <w:r w:rsidRPr="000E1EB0">
        <w:rPr>
          <w:b/>
          <w:bCs/>
        </w:rPr>
        <w:t xml:space="preserve">Republikën Jugosllave të Maqedonisë dhe Dibra në Republikën e Shqipërisë </w:t>
      </w:r>
      <w:r w:rsidRPr="000E1EB0">
        <w:t>(përkatësisht 47% dhe 62% e shifrave kombëtare).</w:t>
      </w:r>
    </w:p>
    <w:p w14:paraId="6D6F2392" w14:textId="19EB2B7F" w:rsidR="00650E6F" w:rsidRPr="000E1EB0" w:rsidRDefault="00650E6F" w:rsidP="00650E6F">
      <w:pPr>
        <w:pStyle w:val="AAAATEX"/>
      </w:pPr>
      <w:r w:rsidRPr="000E1EB0">
        <w:t xml:space="preserve">7. </w:t>
      </w:r>
      <w:r w:rsidRPr="000E1EB0">
        <w:rPr>
          <w:b/>
          <w:bCs/>
        </w:rPr>
        <w:t xml:space="preserve">Struktura e ekonomisë e përcaktuar nga GVA është e ndryshme në të dyja anët e kufirit. </w:t>
      </w:r>
      <w:r w:rsidRPr="000E1EB0">
        <w:t>Ndërsa rajonet e Republikës së Shqipërisë mbështeten në bujqësi, pylltari, peshkim dhe tregjet me shumicë dhe pakicë, rajonet në territorin e ish</w:t>
      </w:r>
      <w:r w:rsidR="00527A3C">
        <w:t>-</w:t>
      </w:r>
      <w:r w:rsidRPr="000E1EB0">
        <w:t>Republikës Jugosllave të Maqedonisë mbështeten në industri, e cila është më e zhvilluar se në Shqipëri, ndërtim dhe tregjet e shërbimeve.</w:t>
      </w:r>
      <w:r w:rsidRPr="000E1EB0">
        <w:rPr>
          <w:b/>
          <w:bCs/>
        </w:rPr>
        <w:t xml:space="preserve"> Megjithatë, këto nuk përkthehen në GDP shumë më të lartë për shifrat kapitale dhe tregojnë nivele të ulëta të konkurrencës së këtyre sektorëve dhe industrive.</w:t>
      </w:r>
    </w:p>
    <w:p w14:paraId="6D6F2393" w14:textId="77777777" w:rsidR="00650E6F" w:rsidRPr="000E1EB0" w:rsidRDefault="00650E6F" w:rsidP="00650E6F">
      <w:pPr>
        <w:pStyle w:val="AAAATEX"/>
      </w:pPr>
      <w:r w:rsidRPr="000E1EB0">
        <w:t xml:space="preserve">8. </w:t>
      </w:r>
      <w:r w:rsidRPr="000E1EB0">
        <w:rPr>
          <w:b/>
          <w:bCs/>
        </w:rPr>
        <w:t xml:space="preserve">Konkurrenca e ulët është reflektuar në nivelet e ulëta të ndërkombëtarizimit </w:t>
      </w:r>
      <w:r w:rsidRPr="000E1EB0">
        <w:t>të ekonomisë së zonës së Programit. Vetëm Pellagonia në ish-Republikën Jugosllave të Maqedonisë dhe Elbasani në Republikën e Shqipërisë, dëshmojnë një pozicion të shquar në tregun e jashtëm, kryesisht për shkak të industrisë minerare, ndërsa rajonet e tjera luajnë rol të parëndësishëm.</w:t>
      </w:r>
    </w:p>
    <w:p w14:paraId="6D6F2394" w14:textId="77777777" w:rsidR="00650E6F" w:rsidRPr="000E1EB0" w:rsidRDefault="00650E6F" w:rsidP="00650E6F">
      <w:pPr>
        <w:pStyle w:val="AAAATEX"/>
      </w:pPr>
      <w:r w:rsidRPr="000E1EB0">
        <w:t xml:space="preserve">9. </w:t>
      </w:r>
      <w:r w:rsidRPr="000E1EB0">
        <w:rPr>
          <w:b/>
          <w:bCs/>
        </w:rPr>
        <w:t xml:space="preserve">Sipërmarrja </w:t>
      </w:r>
      <w:r w:rsidRPr="000E1EB0">
        <w:t>e dëshmuar nga dendësia e SME-ve në raport me dendësinë e popullsisë është</w:t>
      </w:r>
      <w:r w:rsidRPr="000E1EB0">
        <w:rPr>
          <w:b/>
          <w:bCs/>
        </w:rPr>
        <w:t xml:space="preserve"> në nivele shumë të ulëta, </w:t>
      </w:r>
      <w:r w:rsidRPr="000E1EB0">
        <w:t>e cila është një çështje e shqetësimit të lartë.</w:t>
      </w:r>
      <w:r w:rsidRPr="000E1EB0">
        <w:rPr>
          <w:b/>
          <w:bCs/>
        </w:rPr>
        <w:t xml:space="preserve"> Rregullat administrative </w:t>
      </w:r>
      <w:r w:rsidRPr="000E1EB0">
        <w:t>të komplikuar dhe afatgjatë</w:t>
      </w:r>
      <w:r w:rsidRPr="000E1EB0">
        <w:rPr>
          <w:b/>
          <w:bCs/>
        </w:rPr>
        <w:t xml:space="preserve"> për tregtinë e jashtme </w:t>
      </w:r>
      <w:r w:rsidRPr="000E1EB0">
        <w:t xml:space="preserve">konsiderohen si burokraci, </w:t>
      </w:r>
      <w:r w:rsidRPr="000E1EB0">
        <w:rPr>
          <w:b/>
          <w:bCs/>
        </w:rPr>
        <w:t>duke penguar mundësitë e tregtisë</w:t>
      </w:r>
      <w:r w:rsidRPr="000E1EB0">
        <w:t>.</w:t>
      </w:r>
    </w:p>
    <w:p w14:paraId="6D6F2395" w14:textId="6DF06EC4" w:rsidR="00650E6F" w:rsidRPr="000E1EB0" w:rsidRDefault="00650E6F" w:rsidP="00650E6F">
      <w:pPr>
        <w:pStyle w:val="AAAATEX"/>
      </w:pPr>
      <w:r w:rsidRPr="000E1EB0">
        <w:t xml:space="preserve">10. </w:t>
      </w:r>
      <w:r w:rsidRPr="000E1EB0">
        <w:rPr>
          <w:b/>
          <w:bCs/>
        </w:rPr>
        <w:t>Shkalla e punësimit është e ulët në ish</w:t>
      </w:r>
      <w:r w:rsidR="00527A3C">
        <w:rPr>
          <w:b/>
          <w:bCs/>
        </w:rPr>
        <w:t>-</w:t>
      </w:r>
      <w:r w:rsidRPr="000E1EB0">
        <w:rPr>
          <w:b/>
          <w:bCs/>
        </w:rPr>
        <w:t xml:space="preserve">Republikën Jugosllave të Maqedonisë dhe në mënyrë të konsiderueshme më e lartë në Republikën e Shqipërisë, </w:t>
      </w:r>
      <w:r w:rsidRPr="000E1EB0">
        <w:t xml:space="preserve">por për këtë të fundit </w:t>
      </w:r>
      <w:r w:rsidRPr="000E1EB0">
        <w:rPr>
          <w:b/>
          <w:bCs/>
        </w:rPr>
        <w:t xml:space="preserve">shkalla e punësimit të lartë rezulton nga niveli minimal i jetesës dhe nga prodhimi bujqësor në shkallë të ulët, i cili siguron një formë të sigurimeve shoqërore </w:t>
      </w:r>
      <w:r w:rsidRPr="000E1EB0">
        <w:t>për pjesën më të madhe të popullsisë rurale dhe shërben si amortizator kundër normave të larta të papunësisë së regjistruar.</w:t>
      </w:r>
    </w:p>
    <w:p w14:paraId="6D6F2396" w14:textId="24002F82" w:rsidR="00650E6F" w:rsidRPr="000E1EB0" w:rsidRDefault="00650E6F" w:rsidP="00650E6F">
      <w:pPr>
        <w:pStyle w:val="AAAATEX"/>
      </w:pPr>
      <w:r w:rsidRPr="000E1EB0">
        <w:t>11</w:t>
      </w:r>
      <w:r w:rsidR="002B60ED">
        <w:t>.</w:t>
      </w:r>
      <w:r w:rsidRPr="000E1EB0">
        <w:t xml:space="preserve"> Zona e programit ka </w:t>
      </w:r>
      <w:r w:rsidRPr="000E1EB0">
        <w:rPr>
          <w:b/>
          <w:bCs/>
        </w:rPr>
        <w:t>potencial të lartë turistik</w:t>
      </w:r>
      <w:r w:rsidRPr="000E1EB0">
        <w:t>, por këto mundësi janë përqendruar kryesisht në anën e kufirit të ish</w:t>
      </w:r>
      <w:r w:rsidR="004F5B07">
        <w:t>-</w:t>
      </w:r>
      <w:r w:rsidRPr="000E1EB0">
        <w:t>Republikës Jugosllave të Maqedonisë.</w:t>
      </w:r>
    </w:p>
    <w:p w14:paraId="6D6F2397" w14:textId="77777777" w:rsidR="00650E6F" w:rsidRPr="000E1EB0" w:rsidRDefault="00650E6F" w:rsidP="00650E6F">
      <w:pPr>
        <w:pStyle w:val="AAAATEX"/>
      </w:pPr>
      <w:r w:rsidRPr="000E1EB0">
        <w:t xml:space="preserve">12. </w:t>
      </w:r>
      <w:r w:rsidRPr="000E1EB0">
        <w:rPr>
          <w:b/>
          <w:bCs/>
        </w:rPr>
        <w:t>Ekonomia rurale është e fragmentuar, por në një shkallë më të lartë në zonën e programit në Republikën e Shqipërisë</w:t>
      </w:r>
      <w:r w:rsidRPr="000E1EB0">
        <w:t xml:space="preserve"> dhe pronarët e vegjël bujqësorë kanë vështirësi për të hyrë në treg. Prodhimi është mesatarisht i larmishëm dhe gama e prodhimeve kryesore bujqësore në të dyja anët e kufirit është më shumë plotësuese sesa konkurruese. </w:t>
      </w:r>
    </w:p>
    <w:p w14:paraId="6D6F2398" w14:textId="0CBF9FF5" w:rsidR="00650E6F" w:rsidRPr="000E1EB0" w:rsidRDefault="00650E6F" w:rsidP="00650E6F">
      <w:pPr>
        <w:pStyle w:val="AAAATEX"/>
      </w:pPr>
      <w:r w:rsidRPr="000E1EB0">
        <w:lastRenderedPageBreak/>
        <w:t>13. Infrastruktura e transportit është e pazhvilluar dhe</w:t>
      </w:r>
      <w:r w:rsidR="00550AC7">
        <w:t xml:space="preserve"> kjo lidhet si me rrugët lokale</w:t>
      </w:r>
      <w:r w:rsidRPr="000E1EB0">
        <w:t xml:space="preserve"> edhe me rrugët kryesore të Korridorit VIII.</w:t>
      </w:r>
    </w:p>
    <w:p w14:paraId="6D6F2399" w14:textId="0B7F8415" w:rsidR="00650E6F" w:rsidRPr="000E1EB0" w:rsidRDefault="00650E6F" w:rsidP="00650E6F">
      <w:pPr>
        <w:pStyle w:val="AAAATEX"/>
        <w:rPr>
          <w:b/>
          <w:bCs/>
        </w:rPr>
      </w:pPr>
      <w:r w:rsidRPr="000E1EB0">
        <w:rPr>
          <w:b/>
          <w:bCs/>
        </w:rPr>
        <w:t xml:space="preserve">Kohezioni </w:t>
      </w:r>
      <w:r w:rsidR="004F5B07" w:rsidRPr="000E1EB0">
        <w:rPr>
          <w:b/>
          <w:bCs/>
        </w:rPr>
        <w:t>social</w:t>
      </w:r>
    </w:p>
    <w:p w14:paraId="6D6F239A" w14:textId="77777777" w:rsidR="00650E6F" w:rsidRPr="000E1EB0" w:rsidRDefault="00650E6F" w:rsidP="00650E6F">
      <w:pPr>
        <w:pStyle w:val="AAAATEX"/>
      </w:pPr>
      <w:r w:rsidRPr="00610091">
        <w:t xml:space="preserve">14. </w:t>
      </w:r>
      <w:r w:rsidRPr="00610091">
        <w:rPr>
          <w:b/>
          <w:bCs/>
        </w:rPr>
        <w:t>Zona e programit përmban pakica etnike të konsiderueshme</w:t>
      </w:r>
      <w:r w:rsidRPr="00610091">
        <w:t>: shqiptarë, romë, turq dhe të tjerë.</w:t>
      </w:r>
    </w:p>
    <w:p w14:paraId="6D6F239B" w14:textId="77777777" w:rsidR="00650E6F" w:rsidRPr="000E1EB0" w:rsidRDefault="00650E6F" w:rsidP="00650E6F">
      <w:pPr>
        <w:pStyle w:val="AAAATEX"/>
      </w:pPr>
      <w:r w:rsidRPr="000E1EB0">
        <w:t xml:space="preserve">15. </w:t>
      </w:r>
      <w:r w:rsidRPr="000E1EB0">
        <w:rPr>
          <w:b/>
          <w:bCs/>
        </w:rPr>
        <w:t xml:space="preserve">Nivelet e papunësisë janë shumë të larta për ish-Republikën Jugosllave të Maqedonisë dhe relativisht të ulëta në Republikën e Shqipërisë. </w:t>
      </w:r>
      <w:r w:rsidRPr="000E1EB0">
        <w:t xml:space="preserve">Për këtë të fundit, kjo dukuri është shkaktuar nga punësimi i lartë (kryesisht informal) në pronat bujqësore. </w:t>
      </w:r>
    </w:p>
    <w:p w14:paraId="6D6F239C" w14:textId="77777777" w:rsidR="00650E6F" w:rsidRPr="000E1EB0" w:rsidRDefault="00650E6F" w:rsidP="00650E6F">
      <w:pPr>
        <w:pStyle w:val="AAAATEX"/>
      </w:pPr>
      <w:r w:rsidRPr="000E1EB0">
        <w:t>16. Pagat neto të punonjësve janë në nivele të ngjashme.</w:t>
      </w:r>
    </w:p>
    <w:p w14:paraId="6D6F239D" w14:textId="1CEBF345" w:rsidR="00650E6F" w:rsidRPr="000E1EB0" w:rsidRDefault="00650E6F" w:rsidP="00650E6F">
      <w:pPr>
        <w:pStyle w:val="AAAATEX"/>
      </w:pPr>
      <w:r w:rsidRPr="000E1EB0">
        <w:t>17.</w:t>
      </w:r>
      <w:r w:rsidRPr="000E1EB0">
        <w:tab/>
      </w:r>
      <w:r w:rsidRPr="000E1EB0">
        <w:rPr>
          <w:b/>
          <w:bCs/>
        </w:rPr>
        <w:t>Zona e Programit në Republikën e Shqipërisë përjeton përjashtim di</w:t>
      </w:r>
      <w:r w:rsidR="009E21A8">
        <w:rPr>
          <w:b/>
          <w:bCs/>
        </w:rPr>
        <w:t>gj</w:t>
      </w:r>
      <w:r w:rsidRPr="000E1EB0">
        <w:rPr>
          <w:b/>
          <w:bCs/>
        </w:rPr>
        <w:t xml:space="preserve">ital. </w:t>
      </w:r>
      <w:r w:rsidRPr="000E1EB0">
        <w:t>Përdorimi i kompjuterëve dhe i Internetit është në nivele të ulëta të papranueshme.</w:t>
      </w:r>
    </w:p>
    <w:p w14:paraId="6D6F239E" w14:textId="6F7D0425" w:rsidR="00650E6F" w:rsidRPr="000E1EB0" w:rsidRDefault="00650E6F" w:rsidP="00650E6F">
      <w:pPr>
        <w:pStyle w:val="AAAATEX"/>
      </w:pPr>
      <w:r w:rsidRPr="000E1EB0">
        <w:t>18. Aksesi në arsimin fillor është i balancuar, por ka një sforcim të dëshmuar në arsimin e mesëm në rajonin e Dibrës. Kjo prefekturë</w:t>
      </w:r>
      <w:r w:rsidR="00550AC7">
        <w:t>,</w:t>
      </w:r>
      <w:r w:rsidRPr="000E1EB0">
        <w:t xml:space="preserve"> gjithashtu</w:t>
      </w:r>
      <w:r w:rsidR="00550AC7">
        <w:t>,</w:t>
      </w:r>
      <w:r w:rsidRPr="000E1EB0">
        <w:t xml:space="preserve"> </w:t>
      </w:r>
      <w:r w:rsidRPr="000E1EB0">
        <w:rPr>
          <w:b/>
          <w:bCs/>
        </w:rPr>
        <w:t>pëson shkallën më të lartë të largimit të popullsisë me arsim të lartë në të gjithë zonën e Programit</w:t>
      </w:r>
      <w:r w:rsidRPr="000E1EB0">
        <w:t>.</w:t>
      </w:r>
    </w:p>
    <w:p w14:paraId="6D6F239F" w14:textId="4A83515D" w:rsidR="00650E6F" w:rsidRPr="000E1EB0" w:rsidRDefault="00650E6F" w:rsidP="00650E6F">
      <w:pPr>
        <w:pStyle w:val="AAAATEX"/>
      </w:pPr>
      <w:r w:rsidRPr="000E1EB0">
        <w:t xml:space="preserve">19. </w:t>
      </w:r>
      <w:r w:rsidRPr="000E1EB0">
        <w:rPr>
          <w:b/>
          <w:bCs/>
        </w:rPr>
        <w:t xml:space="preserve">Nuk ka të dhëna specifike mbi RDI, por praktikisht mungon bashkëpunimi ndërmjet institucioneve të arsimit </w:t>
      </w:r>
      <w:r w:rsidRPr="000E1EB0">
        <w:t>në të dy</w:t>
      </w:r>
      <w:r w:rsidR="0000683A">
        <w:t>ja</w:t>
      </w:r>
      <w:r w:rsidRPr="000E1EB0">
        <w:t xml:space="preserve"> vendet dhe fusha e hulumtimit, zhvillimit dhe inovacionit nuk është eksploruar.</w:t>
      </w:r>
    </w:p>
    <w:p w14:paraId="6D6F23A0" w14:textId="77777777" w:rsidR="00650E6F" w:rsidRPr="000E1EB0" w:rsidRDefault="00650E6F" w:rsidP="00650E6F">
      <w:pPr>
        <w:pStyle w:val="AAAATEX"/>
      </w:pPr>
      <w:r w:rsidRPr="000E1EB0">
        <w:t xml:space="preserve">20. </w:t>
      </w:r>
      <w:r w:rsidRPr="000E1EB0">
        <w:rPr>
          <w:b/>
          <w:bCs/>
        </w:rPr>
        <w:t xml:space="preserve">Niveli i ulët i menaxhimit të mbetjeve, i çiftëzuar me intensitetin e lartë të minierave, janë një shqetësim i madh mjedisor. </w:t>
      </w:r>
      <w:r w:rsidRPr="000E1EB0">
        <w:t xml:space="preserve">Kjo lidhet me përdorimin e mbetjeve të ngurta dhe mungesën e trajtimit të ujërave të zeza në pjesën më të madhe të zonës së programit. </w:t>
      </w:r>
    </w:p>
    <w:p w14:paraId="6D6F23A1" w14:textId="4543CF15" w:rsidR="00650E6F" w:rsidRPr="000E1EB0" w:rsidRDefault="00650E6F" w:rsidP="00650E6F">
      <w:pPr>
        <w:pStyle w:val="AAAATEX"/>
      </w:pPr>
      <w:r w:rsidRPr="000E1EB0">
        <w:t xml:space="preserve">21. Organizatat e shoqërisë civile janë të pranishme në zonën e programit, megjithatë pozita e tyre financiare është e dobët. Përveç kësaj, </w:t>
      </w:r>
      <w:r w:rsidRPr="000E1EB0">
        <w:rPr>
          <w:b/>
          <w:bCs/>
        </w:rPr>
        <w:t>OJQ-të në Republikën e Shqipërisë</w:t>
      </w:r>
      <w:r w:rsidRPr="000E1EB0">
        <w:t xml:space="preserve"> hasin vështirësi me procedurën e regjistrimit dhe</w:t>
      </w:r>
      <w:r w:rsidR="000251BF">
        <w:t>,</w:t>
      </w:r>
      <w:r w:rsidRPr="000E1EB0">
        <w:t xml:space="preserve"> si pasojë</w:t>
      </w:r>
      <w:r w:rsidR="000251BF">
        <w:t>,</w:t>
      </w:r>
      <w:r w:rsidRPr="000E1EB0">
        <w:t xml:space="preserve"> </w:t>
      </w:r>
      <w:r w:rsidRPr="000E1EB0">
        <w:rPr>
          <w:b/>
          <w:bCs/>
        </w:rPr>
        <w:t>legjitimiteti i tyre është penguar</w:t>
      </w:r>
      <w:r w:rsidRPr="000E1EB0">
        <w:t xml:space="preserve">. </w:t>
      </w:r>
    </w:p>
    <w:p w14:paraId="6D6F23A2" w14:textId="77777777" w:rsidR="00650E6F" w:rsidRPr="000E1EB0" w:rsidRDefault="00650E6F" w:rsidP="00650E6F">
      <w:pPr>
        <w:pStyle w:val="AAAATEX"/>
      </w:pPr>
      <w:r w:rsidRPr="000E1EB0">
        <w:t xml:space="preserve">22. </w:t>
      </w:r>
      <w:r w:rsidRPr="000E1EB0">
        <w:rPr>
          <w:b/>
          <w:bCs/>
        </w:rPr>
        <w:t>Infrastruktura e kujdesit shëndetësor është e pazhvilluar dhe veçanërisht në zonën e programit të Republikës së Shqipërisë, është e vështirë për të përfituar nga ky shërbim</w:t>
      </w:r>
      <w:r w:rsidRPr="000E1EB0">
        <w:t>.</w:t>
      </w:r>
    </w:p>
    <w:p w14:paraId="6D6F23A3" w14:textId="77777777" w:rsidR="00650E6F" w:rsidRPr="000E1EB0" w:rsidRDefault="00650E6F" w:rsidP="00650E6F">
      <w:pPr>
        <w:pStyle w:val="AAAATEX"/>
      </w:pPr>
      <w:r w:rsidRPr="000E1EB0">
        <w:t>2.2 Gjetjet kryesore</w:t>
      </w:r>
    </w:p>
    <w:p w14:paraId="6D6F23A4" w14:textId="77777777" w:rsidR="00650E6F" w:rsidRPr="000E1EB0" w:rsidRDefault="00650E6F" w:rsidP="00650E6F">
      <w:pPr>
        <w:pStyle w:val="AAAATEX"/>
        <w:rPr>
          <w:b/>
          <w:bCs/>
        </w:rPr>
      </w:pPr>
      <w:r w:rsidRPr="000E1EB0">
        <w:rPr>
          <w:b/>
          <w:bCs/>
        </w:rPr>
        <w:t xml:space="preserve">Analiza social-ekonomike e kombinuar me vlerësimin e analizës SWOT identifikoi nyjat kyçe problematike </w:t>
      </w:r>
      <w:r w:rsidRPr="000E1EB0">
        <w:t>për zonën e programit</w:t>
      </w:r>
      <w:r w:rsidRPr="000E1EB0">
        <w:rPr>
          <w:b/>
          <w:bCs/>
        </w:rPr>
        <w:t>. Këto janë:</w:t>
      </w:r>
    </w:p>
    <w:p w14:paraId="6D6F23A5" w14:textId="1108AF9F" w:rsidR="00650E6F" w:rsidRPr="000E1EB0" w:rsidRDefault="00650E6F" w:rsidP="00650E6F">
      <w:pPr>
        <w:pStyle w:val="AAAATEX"/>
        <w:rPr>
          <w:b/>
          <w:bCs/>
        </w:rPr>
      </w:pPr>
      <w:r w:rsidRPr="000E1EB0">
        <w:t xml:space="preserve">- </w:t>
      </w:r>
      <w:r w:rsidR="004C58CF" w:rsidRPr="000E1EB0">
        <w:rPr>
          <w:b/>
          <w:bCs/>
        </w:rPr>
        <w:t xml:space="preserve">nivele </w:t>
      </w:r>
      <w:r w:rsidRPr="000E1EB0">
        <w:rPr>
          <w:b/>
          <w:bCs/>
        </w:rPr>
        <w:t>të ulëta të aktivitetit ekonomik (performancës dhe produktivitetit);</w:t>
      </w:r>
    </w:p>
    <w:p w14:paraId="6D6F23A6" w14:textId="6468FE26" w:rsidR="00650E6F" w:rsidRPr="000E1EB0" w:rsidRDefault="00650E6F" w:rsidP="00650E6F">
      <w:pPr>
        <w:pStyle w:val="AAAATEX"/>
        <w:rPr>
          <w:b/>
          <w:bCs/>
        </w:rPr>
      </w:pPr>
      <w:r w:rsidRPr="000E1EB0">
        <w:t xml:space="preserve">- </w:t>
      </w:r>
      <w:r w:rsidR="004C58CF" w:rsidRPr="000E1EB0">
        <w:rPr>
          <w:b/>
          <w:bCs/>
        </w:rPr>
        <w:t xml:space="preserve">lidhur </w:t>
      </w:r>
      <w:r w:rsidRPr="000E1EB0">
        <w:rPr>
          <w:b/>
          <w:bCs/>
        </w:rPr>
        <w:t>me këtë ka mospërputhje të kërkesës dhe ofertës në tregun e punës;</w:t>
      </w:r>
    </w:p>
    <w:p w14:paraId="6D6F23A7" w14:textId="1F3EE416" w:rsidR="00650E6F" w:rsidRPr="000E1EB0" w:rsidRDefault="00650E6F" w:rsidP="00650E6F">
      <w:pPr>
        <w:pStyle w:val="AAAATEX"/>
        <w:rPr>
          <w:b/>
          <w:bCs/>
        </w:rPr>
      </w:pPr>
      <w:r w:rsidRPr="000E1EB0">
        <w:t xml:space="preserve">- </w:t>
      </w:r>
      <w:r w:rsidR="004C58CF" w:rsidRPr="000E1EB0">
        <w:rPr>
          <w:b/>
          <w:bCs/>
        </w:rPr>
        <w:t xml:space="preserve">qasje </w:t>
      </w:r>
      <w:r w:rsidRPr="000E1EB0">
        <w:rPr>
          <w:b/>
          <w:bCs/>
        </w:rPr>
        <w:t>e pastrukturuar në investimet publike dhe aktivitetet e përbashkëta për mbrojtjen e mjedisit dhe planifikimin.</w:t>
      </w:r>
    </w:p>
    <w:p w14:paraId="6D6F23A8" w14:textId="26A952F6" w:rsidR="00650E6F" w:rsidRPr="000E1EB0" w:rsidRDefault="00650E6F" w:rsidP="00650E6F">
      <w:pPr>
        <w:pStyle w:val="AAAATEX"/>
      </w:pPr>
      <w:r w:rsidRPr="000E1EB0">
        <w:t>Tr</w:t>
      </w:r>
      <w:r w:rsidR="00EC6964">
        <w:t>i</w:t>
      </w:r>
      <w:r w:rsidRPr="000E1EB0">
        <w:t xml:space="preserve"> nyjat kryesore problematike janë ndarë më tej në nënnyja për të reflektuar rrjedhën e marrëdhënies shkak-pasojë</w:t>
      </w:r>
      <w:r w:rsidR="005B17E3">
        <w:t>,</w:t>
      </w:r>
      <w:r w:rsidRPr="000E1EB0">
        <w:t xml:space="preserve"> që ofron një kontekst strategjik dhe arsyetimin për zonat e ndërhyrjes </w:t>
      </w:r>
      <w:r w:rsidRPr="00352926">
        <w:t>CBC. Grupi logjik i problemit (ose vendimit) është përshkruar më poshtë.</w:t>
      </w:r>
    </w:p>
    <w:p w14:paraId="6D6F23A9" w14:textId="45D5B9EA" w:rsidR="00650E6F" w:rsidRPr="000E1EB0" w:rsidRDefault="00650E6F" w:rsidP="00650E6F">
      <w:pPr>
        <w:pStyle w:val="AAAATEX"/>
      </w:pPr>
      <w:r w:rsidRPr="000E1EB0">
        <w:t xml:space="preserve">Përveç këtyre nyjave strategjike, </w:t>
      </w:r>
      <w:r w:rsidRPr="000E1EB0">
        <w:rPr>
          <w:b/>
          <w:bCs/>
        </w:rPr>
        <w:t>kapaciteti i ulët institucional i njësive të vetëqeverisjes lokale dhe organizatave të shoqërisë civile paraqitet si një problem thelbësor ndërsektorial</w:t>
      </w:r>
      <w:r w:rsidRPr="000E1EB0">
        <w:t xml:space="preserve"> dhe çështje shumë problematike, e cila manifestohet në planifikimin e mangët dhe alokimin e burimeve të kufizuara.</w:t>
      </w:r>
    </w:p>
    <w:p w14:paraId="6D6F23AA" w14:textId="77777777" w:rsidR="00650E6F" w:rsidRPr="000E1EB0" w:rsidRDefault="00650E6F" w:rsidP="00650E6F">
      <w:pPr>
        <w:pStyle w:val="AAAATEX"/>
      </w:pPr>
    </w:p>
    <w:tbl>
      <w:tblPr>
        <w:tblStyle w:val="TableGrid"/>
        <w:tblW w:w="9287" w:type="dxa"/>
        <w:tblLook w:val="04A0" w:firstRow="1" w:lastRow="0" w:firstColumn="1" w:lastColumn="0" w:noHBand="0" w:noVBand="1"/>
      </w:tblPr>
      <w:tblGrid>
        <w:gridCol w:w="1756"/>
        <w:gridCol w:w="1789"/>
        <w:gridCol w:w="410"/>
        <w:gridCol w:w="1422"/>
        <w:gridCol w:w="1908"/>
        <w:gridCol w:w="248"/>
        <w:gridCol w:w="1754"/>
      </w:tblGrid>
      <w:tr w:rsidR="00650E6F" w:rsidRPr="000E1EB0" w14:paraId="6D6F23B4" w14:textId="77777777" w:rsidTr="00352926">
        <w:tc>
          <w:tcPr>
            <w:tcW w:w="1756" w:type="dxa"/>
            <w:tcBorders>
              <w:top w:val="single" w:sz="12" w:space="0" w:color="002060"/>
              <w:left w:val="single" w:sz="12" w:space="0" w:color="002060"/>
              <w:bottom w:val="single" w:sz="12" w:space="0" w:color="002060"/>
              <w:right w:val="single" w:sz="12" w:space="0" w:color="002060"/>
            </w:tcBorders>
            <w:vAlign w:val="center"/>
          </w:tcPr>
          <w:p w14:paraId="6D6F23AB" w14:textId="77777777" w:rsidR="00650E6F" w:rsidRPr="000E1EB0" w:rsidRDefault="00650E6F" w:rsidP="00650E6F">
            <w:pPr>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MOSPËRPUTHJE NË TREGUN E PUNËS</w:t>
            </w:r>
          </w:p>
          <w:p w14:paraId="6D6F23AC"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89" w:type="dxa"/>
            <w:tcBorders>
              <w:top w:val="single" w:sz="12" w:space="0" w:color="002060"/>
              <w:left w:val="single" w:sz="12" w:space="0" w:color="002060"/>
              <w:bottom w:val="single" w:sz="12" w:space="0" w:color="002060"/>
              <w:right w:val="single" w:sz="12" w:space="0" w:color="002060"/>
            </w:tcBorders>
            <w:vAlign w:val="center"/>
          </w:tcPr>
          <w:p w14:paraId="6D6F23AD" w14:textId="77777777" w:rsidR="00650E6F" w:rsidRPr="000E1EB0" w:rsidRDefault="00650E6F" w:rsidP="00650E6F">
            <w:pPr>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NIVEL I ULËT I PERFORMANCËS EKONOMIKE</w:t>
            </w:r>
          </w:p>
          <w:p w14:paraId="6D6F23AE"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832" w:type="dxa"/>
            <w:gridSpan w:val="2"/>
            <w:tcBorders>
              <w:top w:val="single" w:sz="12" w:space="0" w:color="002060"/>
              <w:left w:val="single" w:sz="12" w:space="0" w:color="002060"/>
              <w:bottom w:val="single" w:sz="12" w:space="0" w:color="002060"/>
              <w:right w:val="single" w:sz="12" w:space="0" w:color="002060"/>
            </w:tcBorders>
            <w:vAlign w:val="center"/>
          </w:tcPr>
          <w:p w14:paraId="4B0F5650" w14:textId="77777777" w:rsidR="00352926" w:rsidRDefault="00650E6F" w:rsidP="00EC6964">
            <w:pPr>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INVESTIM PUBLIK I ULËT DHE</w:t>
            </w:r>
          </w:p>
          <w:p w14:paraId="6D6F23AF" w14:textId="117E5131" w:rsidR="00650E6F" w:rsidRPr="000E1EB0" w:rsidRDefault="00650E6F" w:rsidP="00EC6964">
            <w:pPr>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I PAFOKUSUAR</w:t>
            </w:r>
          </w:p>
        </w:tc>
        <w:tc>
          <w:tcPr>
            <w:tcW w:w="1908" w:type="dxa"/>
            <w:tcBorders>
              <w:top w:val="single" w:sz="12" w:space="0" w:color="002060"/>
              <w:left w:val="single" w:sz="12" w:space="0" w:color="002060"/>
              <w:bottom w:val="single" w:sz="12" w:space="0" w:color="002060"/>
              <w:right w:val="single" w:sz="12" w:space="0" w:color="002060"/>
            </w:tcBorders>
            <w:vAlign w:val="center"/>
          </w:tcPr>
          <w:p w14:paraId="6D6F23B0" w14:textId="77777777" w:rsidR="00650E6F" w:rsidRPr="000E1EB0" w:rsidRDefault="00650E6F" w:rsidP="00650E6F">
            <w:pPr>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KAPACITETE TË ULËTA ADMINISTRATIVE</w:t>
            </w:r>
          </w:p>
          <w:p w14:paraId="6D6F23B1"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248" w:type="dxa"/>
            <w:vMerge w:val="restart"/>
            <w:tcBorders>
              <w:top w:val="nil"/>
              <w:left w:val="single" w:sz="12" w:space="0" w:color="002060"/>
              <w:right w:val="single" w:sz="12" w:space="0" w:color="002060"/>
            </w:tcBorders>
          </w:tcPr>
          <w:p w14:paraId="6D6F23B2" w14:textId="77777777" w:rsidR="00650E6F" w:rsidRPr="000E1EB0" w:rsidRDefault="00650E6F" w:rsidP="00650E6F">
            <w:pPr>
              <w:autoSpaceDE w:val="0"/>
              <w:autoSpaceDN w:val="0"/>
              <w:adjustRightInd w:val="0"/>
              <w:jc w:val="center"/>
              <w:rPr>
                <w:rFonts w:ascii="Garamond" w:hAnsi="Garamond" w:cs="Tahoma"/>
                <w:sz w:val="20"/>
                <w:szCs w:val="20"/>
                <w:lang w:val="sq-AL"/>
              </w:rPr>
            </w:pPr>
            <w:r w:rsidRPr="000E1EB0">
              <w:rPr>
                <w:rFonts w:ascii="Garamond" w:hAnsi="Garamond" w:cs="Tahoma"/>
                <w:noProof/>
                <w:sz w:val="20"/>
                <w:szCs w:val="20"/>
                <w:lang w:val="en-US"/>
              </w:rPr>
              <mc:AlternateContent>
                <mc:Choice Requires="wps">
                  <w:drawing>
                    <wp:anchor distT="0" distB="0" distL="114300" distR="114300" simplePos="0" relativeHeight="251658240" behindDoc="0" locked="0" layoutInCell="1" allowOverlap="1" wp14:anchorId="6D6F2CD4" wp14:editId="6D6F2CD5">
                      <wp:simplePos x="0" y="0"/>
                      <wp:positionH relativeFrom="column">
                        <wp:posOffset>-66675</wp:posOffset>
                      </wp:positionH>
                      <wp:positionV relativeFrom="paragraph">
                        <wp:posOffset>3201670</wp:posOffset>
                      </wp:positionV>
                      <wp:extent cx="142875" cy="142875"/>
                      <wp:effectExtent l="57150" t="38100" r="66675" b="85725"/>
                      <wp:wrapNone/>
                      <wp:docPr id="17" name="Straight Connector 17"/>
                      <wp:cNvGraphicFramePr/>
                      <a:graphic xmlns:a="http://schemas.openxmlformats.org/drawingml/2006/main">
                        <a:graphicData uri="http://schemas.microsoft.com/office/word/2010/wordprocessingShape">
                          <wps:wsp>
                            <wps:cNvCnPr/>
                            <wps:spPr>
                              <a:xfrm flipH="1" flipV="1">
                                <a:off x="0" y="0"/>
                                <a:ext cx="142875"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52.1pt" to="6pt,2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" strokecolor="black [3200]" strokeweight="1pt">
                      <v:stroke joinstyle="miter"/>
                    </v:line>
                  </w:pict>
                </mc:Fallback>
              </mc:AlternateContent>
            </w:r>
            <w:r w:rsidRPr="000E1EB0">
              <w:rPr>
                <w:rFonts w:ascii="Garamond" w:hAnsi="Garamond" w:cs="Tahoma"/>
                <w:noProof/>
                <w:sz w:val="20"/>
                <w:szCs w:val="20"/>
                <w:lang w:val="en-US"/>
              </w:rPr>
              <mc:AlternateContent>
                <mc:Choice Requires="wps">
                  <w:drawing>
                    <wp:anchor distT="0" distB="0" distL="114300" distR="114300" simplePos="0" relativeHeight="251658241" behindDoc="0" locked="0" layoutInCell="1" allowOverlap="1" wp14:anchorId="6D6F2CD6" wp14:editId="6D6F2CD7">
                      <wp:simplePos x="0" y="0"/>
                      <wp:positionH relativeFrom="column">
                        <wp:posOffset>-62865</wp:posOffset>
                      </wp:positionH>
                      <wp:positionV relativeFrom="paragraph">
                        <wp:posOffset>3346450</wp:posOffset>
                      </wp:positionV>
                      <wp:extent cx="142875" cy="161925"/>
                      <wp:effectExtent l="38100" t="38100" r="66675" b="85725"/>
                      <wp:wrapNone/>
                      <wp:docPr id="18" name="Straight Connector 18"/>
                      <wp:cNvGraphicFramePr/>
                      <a:graphic xmlns:a="http://schemas.openxmlformats.org/drawingml/2006/main">
                        <a:graphicData uri="http://schemas.microsoft.com/office/word/2010/wordprocessingShape">
                          <wps:wsp>
                            <wps:cNvCnPr/>
                            <wps:spPr>
                              <a:xfrm flipV="1">
                                <a:off x="0" y="0"/>
                                <a:ext cx="142875" cy="1619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63.5pt" to="6.3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" strokecolor="black [3200]" strokeweight="1pt">
                      <v:stroke joinstyle="miter"/>
                    </v:line>
                  </w:pict>
                </mc:Fallback>
              </mc:AlternateContent>
            </w:r>
          </w:p>
        </w:tc>
        <w:tc>
          <w:tcPr>
            <w:tcW w:w="1754" w:type="dxa"/>
            <w:tcBorders>
              <w:top w:val="single" w:sz="12" w:space="0" w:color="002060"/>
              <w:left w:val="single" w:sz="12" w:space="0" w:color="002060"/>
              <w:bottom w:val="single" w:sz="12" w:space="0" w:color="002060"/>
              <w:right w:val="single" w:sz="12" w:space="0" w:color="002060"/>
            </w:tcBorders>
            <w:shd w:val="clear" w:color="auto" w:fill="00B0F0"/>
            <w:vAlign w:val="center"/>
          </w:tcPr>
          <w:p w14:paraId="6D6F23B3"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NYJA PROBLEMATIKE</w:t>
            </w:r>
          </w:p>
        </w:tc>
      </w:tr>
      <w:tr w:rsidR="00650E6F" w:rsidRPr="000E1EB0" w14:paraId="6D6F23BB" w14:textId="77777777" w:rsidTr="00352926">
        <w:tc>
          <w:tcPr>
            <w:tcW w:w="1756" w:type="dxa"/>
            <w:tcBorders>
              <w:top w:val="single" w:sz="12" w:space="0" w:color="002060"/>
              <w:left w:val="nil"/>
              <w:bottom w:val="single" w:sz="12" w:space="0" w:color="002060"/>
              <w:right w:val="nil"/>
            </w:tcBorders>
            <w:vAlign w:val="center"/>
          </w:tcPr>
          <w:p w14:paraId="6D6F23B5"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89" w:type="dxa"/>
            <w:tcBorders>
              <w:top w:val="single" w:sz="12" w:space="0" w:color="002060"/>
              <w:left w:val="nil"/>
              <w:bottom w:val="single" w:sz="12" w:space="0" w:color="002060"/>
              <w:right w:val="nil"/>
            </w:tcBorders>
            <w:vAlign w:val="center"/>
          </w:tcPr>
          <w:p w14:paraId="6D6F23B6"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832" w:type="dxa"/>
            <w:gridSpan w:val="2"/>
            <w:tcBorders>
              <w:top w:val="single" w:sz="12" w:space="0" w:color="002060"/>
              <w:left w:val="nil"/>
              <w:bottom w:val="single" w:sz="12" w:space="0" w:color="002060"/>
              <w:right w:val="nil"/>
            </w:tcBorders>
            <w:vAlign w:val="center"/>
          </w:tcPr>
          <w:p w14:paraId="6D6F23B7"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908" w:type="dxa"/>
            <w:tcBorders>
              <w:top w:val="single" w:sz="12" w:space="0" w:color="002060"/>
              <w:left w:val="nil"/>
              <w:bottom w:val="single" w:sz="12" w:space="0" w:color="002060"/>
              <w:right w:val="nil"/>
            </w:tcBorders>
            <w:vAlign w:val="center"/>
          </w:tcPr>
          <w:p w14:paraId="6D6F23B8"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248" w:type="dxa"/>
            <w:vMerge/>
            <w:tcBorders>
              <w:left w:val="nil"/>
              <w:right w:val="nil"/>
            </w:tcBorders>
          </w:tcPr>
          <w:p w14:paraId="6D6F23B9"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tcBorders>
              <w:top w:val="single" w:sz="12" w:space="0" w:color="002060"/>
              <w:left w:val="nil"/>
              <w:bottom w:val="single" w:sz="12" w:space="0" w:color="002060"/>
              <w:right w:val="nil"/>
            </w:tcBorders>
            <w:vAlign w:val="center"/>
          </w:tcPr>
          <w:p w14:paraId="6D6F23BA"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p>
        </w:tc>
      </w:tr>
      <w:tr w:rsidR="00650E6F" w:rsidRPr="000E1EB0" w14:paraId="6D6F23D1" w14:textId="77777777" w:rsidTr="00352926">
        <w:tc>
          <w:tcPr>
            <w:tcW w:w="1756" w:type="dxa"/>
            <w:tcBorders>
              <w:top w:val="single" w:sz="12" w:space="0" w:color="002060"/>
              <w:left w:val="single" w:sz="12" w:space="0" w:color="002060"/>
              <w:bottom w:val="single" w:sz="12" w:space="0" w:color="002060"/>
              <w:right w:val="single" w:sz="12" w:space="0" w:color="002060"/>
            </w:tcBorders>
            <w:vAlign w:val="center"/>
          </w:tcPr>
          <w:p w14:paraId="6D6F23BC"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Nivel i ulët i edukimit</w:t>
            </w:r>
          </w:p>
          <w:p w14:paraId="6D6F23BD"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 xml:space="preserve">Mungesë </w:t>
            </w:r>
            <w:r w:rsidRPr="000E1EB0">
              <w:rPr>
                <w:rFonts w:ascii="Garamond" w:hAnsi="Garamond" w:cs="Tahoma"/>
                <w:sz w:val="20"/>
                <w:szCs w:val="20"/>
                <w:lang w:val="sq-AL"/>
              </w:rPr>
              <w:lastRenderedPageBreak/>
              <w:t>universitetesh ose akses i kufizuar në to</w:t>
            </w:r>
          </w:p>
          <w:p w14:paraId="6D6F23BE"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Mungesë e të mësuarit të vazhdueshëm</w:t>
            </w:r>
          </w:p>
          <w:p w14:paraId="6D6F23BF"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Aftësi të vjetërsuara</w:t>
            </w:r>
          </w:p>
          <w:p w14:paraId="6D6F23C0"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Marrëdhënie më të ulëta midis edukimit dhe tregut të punës</w:t>
            </w:r>
          </w:p>
        </w:tc>
        <w:tc>
          <w:tcPr>
            <w:tcW w:w="1789" w:type="dxa"/>
            <w:tcBorders>
              <w:top w:val="single" w:sz="12" w:space="0" w:color="002060"/>
              <w:left w:val="single" w:sz="12" w:space="0" w:color="002060"/>
              <w:bottom w:val="single" w:sz="12" w:space="0" w:color="002060"/>
              <w:right w:val="single" w:sz="12" w:space="0" w:color="002060"/>
            </w:tcBorders>
            <w:vAlign w:val="center"/>
          </w:tcPr>
          <w:p w14:paraId="6D6F23C1"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lastRenderedPageBreak/>
              <w:t>Teknologji e vjetërsuar</w:t>
            </w:r>
          </w:p>
          <w:p w14:paraId="6D6F23C2"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 xml:space="preserve">Mungesë aksesi </w:t>
            </w:r>
            <w:r w:rsidRPr="000E1EB0">
              <w:rPr>
                <w:rFonts w:ascii="Garamond" w:hAnsi="Garamond" w:cs="Tahoma"/>
                <w:sz w:val="20"/>
                <w:szCs w:val="20"/>
                <w:lang w:val="sq-AL"/>
              </w:rPr>
              <w:lastRenderedPageBreak/>
              <w:t>në treg</w:t>
            </w:r>
          </w:p>
          <w:p w14:paraId="6D6F23C3"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Aftësi të ulëta menaxhuese të bizneseve</w:t>
            </w:r>
          </w:p>
          <w:p w14:paraId="6D6F23C4"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Mbijetesë e ulët e bizneseve të reja</w:t>
            </w:r>
          </w:p>
          <w:p w14:paraId="6D6F23C5"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Akses i ulët në kapital</w:t>
            </w:r>
          </w:p>
          <w:p w14:paraId="6D6F23C6"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Përpunim i ulët bujqësor</w:t>
            </w:r>
          </w:p>
          <w:p w14:paraId="6D6F23C7"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Akses i kufizuar në shërbimet cilësore të biznesit</w:t>
            </w:r>
          </w:p>
          <w:p w14:paraId="6D6F23C8"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Mungesë ndërgjegjësimi</w:t>
            </w:r>
          </w:p>
          <w:p w14:paraId="6D6F23C9"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Mungesë e “mendimit sektorial”</w:t>
            </w:r>
          </w:p>
        </w:tc>
        <w:tc>
          <w:tcPr>
            <w:tcW w:w="3740" w:type="dxa"/>
            <w:gridSpan w:val="3"/>
            <w:tcBorders>
              <w:top w:val="single" w:sz="12" w:space="0" w:color="002060"/>
              <w:left w:val="single" w:sz="12" w:space="0" w:color="002060"/>
              <w:bottom w:val="single" w:sz="12" w:space="0" w:color="002060"/>
              <w:right w:val="single" w:sz="12" w:space="0" w:color="002060"/>
            </w:tcBorders>
            <w:vAlign w:val="center"/>
          </w:tcPr>
          <w:p w14:paraId="6D6F23CA"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lastRenderedPageBreak/>
              <w:t>Strategji të pamjaftueshme</w:t>
            </w:r>
          </w:p>
          <w:p w14:paraId="6D6F23CB" w14:textId="2B4F07C5"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Proces i pamjaftueshëm i vendimmarrjes</w:t>
            </w:r>
          </w:p>
          <w:p w14:paraId="6D6F23CC"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Mungesë financimi</w:t>
            </w:r>
          </w:p>
          <w:p w14:paraId="6D6F23CD"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lastRenderedPageBreak/>
              <w:t>Mungesë ndërgjegjësimi</w:t>
            </w:r>
          </w:p>
          <w:p w14:paraId="6D6F23CE" w14:textId="77777777" w:rsidR="00650E6F" w:rsidRPr="000E1EB0" w:rsidRDefault="00650E6F" w:rsidP="00650E6F">
            <w:pPr>
              <w:pStyle w:val="ListParagraph"/>
              <w:widowControl w:val="0"/>
              <w:numPr>
                <w:ilvl w:val="0"/>
                <w:numId w:val="6"/>
              </w:numPr>
              <w:autoSpaceDE w:val="0"/>
              <w:autoSpaceDN w:val="0"/>
              <w:adjustRightInd w:val="0"/>
              <w:spacing w:after="0" w:line="240" w:lineRule="auto"/>
              <w:ind w:left="0" w:firstLine="0"/>
              <w:contextualSpacing w:val="0"/>
              <w:rPr>
                <w:rFonts w:ascii="Garamond" w:hAnsi="Garamond" w:cs="Tahoma"/>
                <w:sz w:val="20"/>
                <w:szCs w:val="20"/>
                <w:lang w:val="sq-AL"/>
              </w:rPr>
            </w:pPr>
            <w:r w:rsidRPr="000E1EB0">
              <w:rPr>
                <w:rFonts w:ascii="Garamond" w:hAnsi="Garamond" w:cs="Tahoma"/>
                <w:sz w:val="20"/>
                <w:szCs w:val="20"/>
                <w:lang w:val="sq-AL"/>
              </w:rPr>
              <w:t>Vështirësi në hartimin e projekteve</w:t>
            </w:r>
          </w:p>
        </w:tc>
        <w:tc>
          <w:tcPr>
            <w:tcW w:w="248" w:type="dxa"/>
            <w:vMerge/>
            <w:tcBorders>
              <w:left w:val="single" w:sz="12" w:space="0" w:color="002060"/>
              <w:right w:val="single" w:sz="12" w:space="0" w:color="002060"/>
            </w:tcBorders>
          </w:tcPr>
          <w:p w14:paraId="6D6F23CF"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tcBorders>
              <w:top w:val="single" w:sz="12" w:space="0" w:color="002060"/>
              <w:left w:val="single" w:sz="12" w:space="0" w:color="002060"/>
              <w:bottom w:val="single" w:sz="4" w:space="0" w:color="auto"/>
              <w:right w:val="single" w:sz="12" w:space="0" w:color="002060"/>
            </w:tcBorders>
            <w:shd w:val="clear" w:color="auto" w:fill="00B0F0"/>
            <w:vAlign w:val="center"/>
          </w:tcPr>
          <w:p w14:paraId="6D6F23D0"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SHKAQET (PROBLEMET RRËNJËSORE)</w:t>
            </w:r>
          </w:p>
        </w:tc>
      </w:tr>
      <w:tr w:rsidR="00650E6F" w:rsidRPr="000E1EB0" w14:paraId="6D6F23D5" w14:textId="77777777" w:rsidTr="00352926">
        <w:tc>
          <w:tcPr>
            <w:tcW w:w="7285" w:type="dxa"/>
            <w:gridSpan w:val="5"/>
            <w:tcBorders>
              <w:top w:val="single" w:sz="12" w:space="0" w:color="002060"/>
              <w:left w:val="nil"/>
              <w:bottom w:val="single" w:sz="12" w:space="0" w:color="002060"/>
              <w:right w:val="nil"/>
            </w:tcBorders>
            <w:vAlign w:val="center"/>
          </w:tcPr>
          <w:p w14:paraId="6D6F23D2"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248" w:type="dxa"/>
            <w:vMerge/>
            <w:tcBorders>
              <w:left w:val="nil"/>
              <w:right w:val="nil"/>
            </w:tcBorders>
          </w:tcPr>
          <w:p w14:paraId="6D6F23D3"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tcBorders>
              <w:left w:val="nil"/>
              <w:bottom w:val="single" w:sz="12" w:space="0" w:color="002060"/>
              <w:right w:val="nil"/>
            </w:tcBorders>
            <w:vAlign w:val="center"/>
          </w:tcPr>
          <w:p w14:paraId="6D6F23D4"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p>
        </w:tc>
      </w:tr>
      <w:tr w:rsidR="00650E6F" w:rsidRPr="000E1EB0" w14:paraId="6D6F23D9" w14:textId="77777777" w:rsidTr="00352926">
        <w:tc>
          <w:tcPr>
            <w:tcW w:w="7285" w:type="dxa"/>
            <w:gridSpan w:val="5"/>
            <w:tcBorders>
              <w:top w:val="single" w:sz="12" w:space="0" w:color="002060"/>
              <w:left w:val="single" w:sz="12" w:space="0" w:color="002060"/>
              <w:bottom w:val="single" w:sz="12" w:space="0" w:color="002060"/>
              <w:right w:val="nil"/>
            </w:tcBorders>
            <w:shd w:val="clear" w:color="auto" w:fill="2E74B5" w:themeFill="accent1" w:themeFillShade="BF"/>
            <w:vAlign w:val="center"/>
          </w:tcPr>
          <w:p w14:paraId="6D6F23D6" w14:textId="2E64D8C8" w:rsidR="00650E6F" w:rsidRPr="000E1EB0" w:rsidRDefault="00650E6F" w:rsidP="00E96E12">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Infrastrukturë e pazhvilluar --- Rënie e cilësisë së jetesës --- Erozion i imazhit --- Rrezik për destabilitet</w:t>
            </w:r>
          </w:p>
        </w:tc>
        <w:tc>
          <w:tcPr>
            <w:tcW w:w="248" w:type="dxa"/>
            <w:vMerge/>
            <w:tcBorders>
              <w:left w:val="nil"/>
              <w:right w:val="single" w:sz="12" w:space="0" w:color="002060"/>
            </w:tcBorders>
          </w:tcPr>
          <w:p w14:paraId="6D6F23D7"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vMerge w:val="restart"/>
            <w:tcBorders>
              <w:top w:val="single" w:sz="12" w:space="0" w:color="002060"/>
              <w:left w:val="single" w:sz="12" w:space="0" w:color="002060"/>
              <w:right w:val="single" w:sz="12" w:space="0" w:color="002060"/>
            </w:tcBorders>
            <w:shd w:val="clear" w:color="auto" w:fill="00B0F0"/>
            <w:vAlign w:val="center"/>
          </w:tcPr>
          <w:p w14:paraId="6D6F23D8"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EFEKTET</w:t>
            </w:r>
          </w:p>
        </w:tc>
      </w:tr>
      <w:tr w:rsidR="00650E6F" w:rsidRPr="000E1EB0" w14:paraId="6D6F23DF" w14:textId="77777777" w:rsidTr="00352926">
        <w:tc>
          <w:tcPr>
            <w:tcW w:w="3545" w:type="dxa"/>
            <w:gridSpan w:val="2"/>
            <w:tcBorders>
              <w:top w:val="single" w:sz="12" w:space="0" w:color="002060"/>
              <w:left w:val="single" w:sz="12" w:space="0" w:color="002060"/>
              <w:bottom w:val="single" w:sz="12" w:space="0" w:color="002060"/>
              <w:right w:val="single" w:sz="12" w:space="0" w:color="002060"/>
            </w:tcBorders>
            <w:shd w:val="clear" w:color="auto" w:fill="2E74B5" w:themeFill="accent1" w:themeFillShade="BF"/>
            <w:vAlign w:val="center"/>
          </w:tcPr>
          <w:p w14:paraId="6D6F23DA"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Migrim i fuqisë punëtore</w:t>
            </w:r>
          </w:p>
        </w:tc>
        <w:tc>
          <w:tcPr>
            <w:tcW w:w="410"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14:paraId="6D6F23DB"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p>
        </w:tc>
        <w:tc>
          <w:tcPr>
            <w:tcW w:w="3330" w:type="dxa"/>
            <w:gridSpan w:val="2"/>
            <w:tcBorders>
              <w:top w:val="single" w:sz="12" w:space="0" w:color="002060"/>
              <w:left w:val="single" w:sz="12" w:space="0" w:color="002060"/>
              <w:bottom w:val="single" w:sz="12" w:space="0" w:color="002060"/>
              <w:right w:val="single" w:sz="12" w:space="0" w:color="002060"/>
            </w:tcBorders>
            <w:shd w:val="clear" w:color="auto" w:fill="2E74B5" w:themeFill="accent1" w:themeFillShade="BF"/>
            <w:vAlign w:val="center"/>
          </w:tcPr>
          <w:p w14:paraId="6D6F23DC"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Territore të prapambetur</w:t>
            </w:r>
          </w:p>
        </w:tc>
        <w:tc>
          <w:tcPr>
            <w:tcW w:w="248" w:type="dxa"/>
            <w:vMerge/>
            <w:tcBorders>
              <w:left w:val="single" w:sz="12" w:space="0" w:color="002060"/>
              <w:right w:val="single" w:sz="12" w:space="0" w:color="002060"/>
            </w:tcBorders>
          </w:tcPr>
          <w:p w14:paraId="6D6F23DD"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vMerge/>
            <w:tcBorders>
              <w:left w:val="single" w:sz="12" w:space="0" w:color="002060"/>
              <w:right w:val="single" w:sz="12" w:space="0" w:color="002060"/>
            </w:tcBorders>
            <w:shd w:val="clear" w:color="auto" w:fill="00B0F0"/>
            <w:vAlign w:val="center"/>
          </w:tcPr>
          <w:p w14:paraId="6D6F23DE" w14:textId="77777777" w:rsidR="00650E6F" w:rsidRPr="000E1EB0" w:rsidRDefault="00650E6F" w:rsidP="00650E6F">
            <w:pPr>
              <w:autoSpaceDE w:val="0"/>
              <w:autoSpaceDN w:val="0"/>
              <w:adjustRightInd w:val="0"/>
              <w:jc w:val="center"/>
              <w:rPr>
                <w:rFonts w:ascii="Garamond" w:hAnsi="Garamond" w:cs="Tahoma"/>
                <w:sz w:val="20"/>
                <w:szCs w:val="20"/>
                <w:lang w:val="sq-AL"/>
              </w:rPr>
            </w:pPr>
          </w:p>
        </w:tc>
      </w:tr>
      <w:tr w:rsidR="00650E6F" w:rsidRPr="000E1EB0" w14:paraId="6D6F23E3" w14:textId="77777777" w:rsidTr="00352926">
        <w:tc>
          <w:tcPr>
            <w:tcW w:w="7285" w:type="dxa"/>
            <w:gridSpan w:val="5"/>
            <w:tcBorders>
              <w:top w:val="single" w:sz="12" w:space="0" w:color="002060"/>
              <w:left w:val="single" w:sz="12" w:space="0" w:color="002060"/>
              <w:bottom w:val="single" w:sz="12" w:space="0" w:color="002060"/>
              <w:right w:val="single" w:sz="12" w:space="0" w:color="002060"/>
            </w:tcBorders>
            <w:shd w:val="clear" w:color="auto" w:fill="2E74B5" w:themeFill="accent1" w:themeFillShade="BF"/>
            <w:vAlign w:val="center"/>
          </w:tcPr>
          <w:p w14:paraId="6D6F23E0" w14:textId="59668B03"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noProof/>
                <w:color w:val="FFFFFF" w:themeColor="background1"/>
                <w:sz w:val="20"/>
                <w:szCs w:val="20"/>
                <w:lang w:val="en-US"/>
              </w:rPr>
              <mc:AlternateContent>
                <mc:Choice Requires="wps">
                  <w:drawing>
                    <wp:anchor distT="0" distB="0" distL="114300" distR="114300" simplePos="0" relativeHeight="251658243" behindDoc="0" locked="0" layoutInCell="1" allowOverlap="1" wp14:anchorId="6D6F2CD8" wp14:editId="6D6F2CD9">
                      <wp:simplePos x="0" y="0"/>
                      <wp:positionH relativeFrom="column">
                        <wp:posOffset>243205</wp:posOffset>
                      </wp:positionH>
                      <wp:positionV relativeFrom="paragraph">
                        <wp:posOffset>60325</wp:posOffset>
                      </wp:positionV>
                      <wp:extent cx="45085" cy="200025"/>
                      <wp:effectExtent l="19050" t="19050" r="31115" b="28575"/>
                      <wp:wrapNone/>
                      <wp:docPr id="9" name="Up Arrow 9"/>
                      <wp:cNvGraphicFramePr/>
                      <a:graphic xmlns:a="http://schemas.openxmlformats.org/drawingml/2006/main">
                        <a:graphicData uri="http://schemas.microsoft.com/office/word/2010/wordprocessingShape">
                          <wps:wsp>
                            <wps:cNvSpPr/>
                            <wps:spPr>
                              <a:xfrm>
                                <a:off x="0" y="0"/>
                                <a:ext cx="45719" cy="200025"/>
                              </a:xfrm>
                              <a:prstGeom prst="upArrow">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9.15pt;margin-top:4.75pt;width:3.55pt;height:1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" adj="2469" fillcolor="#5b9bd5 [3204]" strokecolor="white [3212]" strokeweight="1pt"/>
                  </w:pict>
                </mc:Fallback>
              </mc:AlternateContent>
            </w:r>
            <w:r w:rsidRPr="000E1EB0">
              <w:rPr>
                <w:rFonts w:ascii="Garamond" w:hAnsi="Garamond" w:cs="Tahoma"/>
                <w:color w:val="FFFFFF" w:themeColor="background1"/>
                <w:sz w:val="20"/>
                <w:szCs w:val="20"/>
                <w:lang w:val="sq-AL"/>
              </w:rPr>
              <w:t xml:space="preserve">Papunësi --- Fuqi e ulët blerëse --- Ekonomi </w:t>
            </w:r>
            <w:r w:rsidR="00E96E12" w:rsidRPr="000E1EB0">
              <w:rPr>
                <w:rFonts w:ascii="Garamond" w:hAnsi="Garamond" w:cs="Tahoma"/>
                <w:color w:val="FFFFFF" w:themeColor="background1"/>
                <w:sz w:val="20"/>
                <w:szCs w:val="20"/>
                <w:lang w:val="sq-AL"/>
              </w:rPr>
              <w:t xml:space="preserve">gri </w:t>
            </w:r>
            <w:r w:rsidRPr="000E1EB0">
              <w:rPr>
                <w:rFonts w:ascii="Garamond" w:hAnsi="Garamond" w:cs="Tahoma"/>
                <w:color w:val="FFFFFF" w:themeColor="background1"/>
                <w:sz w:val="20"/>
                <w:szCs w:val="20"/>
                <w:lang w:val="sq-AL"/>
              </w:rPr>
              <w:t>--- Mungesë pune</w:t>
            </w:r>
          </w:p>
        </w:tc>
        <w:tc>
          <w:tcPr>
            <w:tcW w:w="248" w:type="dxa"/>
            <w:vMerge/>
            <w:tcBorders>
              <w:left w:val="single" w:sz="12" w:space="0" w:color="002060"/>
              <w:right w:val="single" w:sz="12" w:space="0" w:color="002060"/>
            </w:tcBorders>
          </w:tcPr>
          <w:p w14:paraId="6D6F23E1"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vMerge/>
            <w:tcBorders>
              <w:left w:val="single" w:sz="12" w:space="0" w:color="002060"/>
              <w:right w:val="single" w:sz="12" w:space="0" w:color="002060"/>
            </w:tcBorders>
            <w:shd w:val="clear" w:color="auto" w:fill="00B0F0"/>
            <w:vAlign w:val="center"/>
          </w:tcPr>
          <w:p w14:paraId="6D6F23E2" w14:textId="77777777" w:rsidR="00650E6F" w:rsidRPr="000E1EB0" w:rsidRDefault="00650E6F" w:rsidP="00650E6F">
            <w:pPr>
              <w:autoSpaceDE w:val="0"/>
              <w:autoSpaceDN w:val="0"/>
              <w:adjustRightInd w:val="0"/>
              <w:jc w:val="center"/>
              <w:rPr>
                <w:rFonts w:ascii="Garamond" w:hAnsi="Garamond" w:cs="Tahoma"/>
                <w:sz w:val="20"/>
                <w:szCs w:val="20"/>
                <w:lang w:val="sq-AL"/>
              </w:rPr>
            </w:pPr>
          </w:p>
        </w:tc>
      </w:tr>
      <w:tr w:rsidR="00650E6F" w:rsidRPr="000E1EB0" w14:paraId="6D6F23E7" w14:textId="77777777" w:rsidTr="00352926">
        <w:tc>
          <w:tcPr>
            <w:tcW w:w="7285" w:type="dxa"/>
            <w:gridSpan w:val="5"/>
            <w:tcBorders>
              <w:top w:val="single" w:sz="12" w:space="0" w:color="002060"/>
              <w:left w:val="single" w:sz="12" w:space="0" w:color="002060"/>
              <w:bottom w:val="single" w:sz="12" w:space="0" w:color="002060"/>
              <w:right w:val="single" w:sz="12" w:space="0" w:color="002060"/>
            </w:tcBorders>
            <w:shd w:val="clear" w:color="auto" w:fill="2E74B5" w:themeFill="accent1" w:themeFillShade="BF"/>
            <w:vAlign w:val="center"/>
          </w:tcPr>
          <w:p w14:paraId="6D6F23E4" w14:textId="77777777" w:rsidR="00650E6F" w:rsidRPr="000E1EB0" w:rsidRDefault="00650E6F" w:rsidP="00650E6F">
            <w:pPr>
              <w:autoSpaceDE w:val="0"/>
              <w:autoSpaceDN w:val="0"/>
              <w:adjustRightInd w:val="0"/>
              <w:jc w:val="center"/>
              <w:rPr>
                <w:rFonts w:ascii="Garamond" w:hAnsi="Garamond" w:cs="Tahoma"/>
                <w:color w:val="FFFFFF" w:themeColor="background1"/>
                <w:sz w:val="20"/>
                <w:szCs w:val="20"/>
                <w:lang w:val="sq-AL"/>
              </w:rPr>
            </w:pPr>
            <w:r w:rsidRPr="000E1EB0">
              <w:rPr>
                <w:rFonts w:ascii="Garamond" w:hAnsi="Garamond" w:cs="Tahoma"/>
                <w:noProof/>
                <w:color w:val="FFFFFF" w:themeColor="background1"/>
                <w:sz w:val="20"/>
                <w:szCs w:val="20"/>
                <w:lang w:val="en-US"/>
              </w:rPr>
              <mc:AlternateContent>
                <mc:Choice Requires="wps">
                  <w:drawing>
                    <wp:anchor distT="0" distB="0" distL="114300" distR="114300" simplePos="0" relativeHeight="251658242" behindDoc="0" locked="0" layoutInCell="1" allowOverlap="1" wp14:anchorId="6D6F2CDA" wp14:editId="6D6F2CDB">
                      <wp:simplePos x="0" y="0"/>
                      <wp:positionH relativeFrom="column">
                        <wp:posOffset>4390390</wp:posOffset>
                      </wp:positionH>
                      <wp:positionV relativeFrom="paragraph">
                        <wp:posOffset>-93980</wp:posOffset>
                      </wp:positionV>
                      <wp:extent cx="45085" cy="200025"/>
                      <wp:effectExtent l="19050" t="19050" r="31115" b="28575"/>
                      <wp:wrapNone/>
                      <wp:docPr id="10" name="Up Arrow 10"/>
                      <wp:cNvGraphicFramePr/>
                      <a:graphic xmlns:a="http://schemas.openxmlformats.org/drawingml/2006/main">
                        <a:graphicData uri="http://schemas.microsoft.com/office/word/2010/wordprocessingShape">
                          <wps:wsp>
                            <wps:cNvSpPr/>
                            <wps:spPr>
                              <a:xfrm>
                                <a:off x="0" y="0"/>
                                <a:ext cx="45719" cy="200025"/>
                              </a:xfrm>
                              <a:prstGeom prst="upArrow">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0" o:spid="_x0000_s1026" type="#_x0000_t68" style="position:absolute;margin-left:345.7pt;margin-top:-7.4pt;width:3.55pt;height:1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" adj="2469" fillcolor="#5b9bd5 [3204]" strokecolor="white [3212]" strokeweight="1pt"/>
                  </w:pict>
                </mc:Fallback>
              </mc:AlternateContent>
            </w:r>
            <w:r w:rsidRPr="000E1EB0">
              <w:rPr>
                <w:rFonts w:ascii="Garamond" w:hAnsi="Garamond" w:cs="Tahoma"/>
                <w:color w:val="FFFFFF" w:themeColor="background1"/>
                <w:sz w:val="20"/>
                <w:szCs w:val="20"/>
                <w:lang w:val="sq-AL"/>
              </w:rPr>
              <w:t>Rritje e ulët ekonomike</w:t>
            </w:r>
          </w:p>
        </w:tc>
        <w:tc>
          <w:tcPr>
            <w:tcW w:w="248" w:type="dxa"/>
            <w:vMerge/>
            <w:tcBorders>
              <w:left w:val="single" w:sz="12" w:space="0" w:color="002060"/>
              <w:bottom w:val="nil"/>
              <w:right w:val="single" w:sz="12" w:space="0" w:color="002060"/>
            </w:tcBorders>
          </w:tcPr>
          <w:p w14:paraId="6D6F23E5" w14:textId="77777777" w:rsidR="00650E6F" w:rsidRPr="000E1EB0" w:rsidRDefault="00650E6F" w:rsidP="00650E6F">
            <w:pPr>
              <w:autoSpaceDE w:val="0"/>
              <w:autoSpaceDN w:val="0"/>
              <w:adjustRightInd w:val="0"/>
              <w:jc w:val="center"/>
              <w:rPr>
                <w:rFonts w:ascii="Garamond" w:hAnsi="Garamond" w:cs="Tahoma"/>
                <w:sz w:val="20"/>
                <w:szCs w:val="20"/>
                <w:lang w:val="sq-AL"/>
              </w:rPr>
            </w:pPr>
          </w:p>
        </w:tc>
        <w:tc>
          <w:tcPr>
            <w:tcW w:w="1754" w:type="dxa"/>
            <w:vMerge/>
            <w:tcBorders>
              <w:left w:val="single" w:sz="12" w:space="0" w:color="002060"/>
              <w:bottom w:val="single" w:sz="12" w:space="0" w:color="002060"/>
              <w:right w:val="single" w:sz="12" w:space="0" w:color="002060"/>
            </w:tcBorders>
            <w:shd w:val="clear" w:color="auto" w:fill="00B0F0"/>
            <w:vAlign w:val="center"/>
          </w:tcPr>
          <w:p w14:paraId="6D6F23E6" w14:textId="77777777" w:rsidR="00650E6F" w:rsidRPr="000E1EB0" w:rsidRDefault="00650E6F" w:rsidP="00650E6F">
            <w:pPr>
              <w:autoSpaceDE w:val="0"/>
              <w:autoSpaceDN w:val="0"/>
              <w:adjustRightInd w:val="0"/>
              <w:jc w:val="center"/>
              <w:rPr>
                <w:rFonts w:ascii="Garamond" w:hAnsi="Garamond" w:cs="Tahoma"/>
                <w:sz w:val="20"/>
                <w:szCs w:val="20"/>
                <w:lang w:val="sq-AL"/>
              </w:rPr>
            </w:pPr>
          </w:p>
        </w:tc>
      </w:tr>
    </w:tbl>
    <w:p w14:paraId="6D6F23E8" w14:textId="77777777" w:rsidR="00650E6F" w:rsidRPr="000E1EB0" w:rsidRDefault="00650E6F" w:rsidP="00650E6F">
      <w:pPr>
        <w:pStyle w:val="AAAATEX"/>
      </w:pPr>
    </w:p>
    <w:p w14:paraId="6D6F23E9" w14:textId="2C7305B5" w:rsidR="00650E6F" w:rsidRPr="000E1EB0" w:rsidRDefault="00650E6F" w:rsidP="00650E6F">
      <w:pPr>
        <w:pStyle w:val="AAAATEX"/>
      </w:pPr>
      <w:r w:rsidRPr="000E1EB0">
        <w:t xml:space="preserve">Shkaqet (ose problemet rrënjësore) në tabelën e mësipërme janë identifikuar përmes analizës së situatës dhe analizës SWOT. Ato njihen si pikat që kanë karakter </w:t>
      </w:r>
      <w:r w:rsidR="001E1489">
        <w:t>ndër</w:t>
      </w:r>
      <w:r w:rsidRPr="000E1EB0">
        <w:t xml:space="preserve">sektorial apo </w:t>
      </w:r>
      <w:r w:rsidR="001E1489">
        <w:t>ndër</w:t>
      </w:r>
      <w:r w:rsidRPr="000E1EB0">
        <w:t>tematik dhe kështu lidhen me tr</w:t>
      </w:r>
      <w:r w:rsidR="00212FD8">
        <w:t>i</w:t>
      </w:r>
      <w:r w:rsidRPr="000E1EB0">
        <w:t xml:space="preserve"> prioritetet tematike për ndihmë për bashkëpunimin territorial siç janë identifikuar në </w:t>
      </w:r>
      <w:r w:rsidR="001E1489">
        <w:t>a</w:t>
      </w:r>
      <w:r w:rsidRPr="000E1EB0">
        <w:t>neksin III të Rregullores së IPA II:</w:t>
      </w:r>
    </w:p>
    <w:p w14:paraId="6D6F23EA" w14:textId="599E75FC" w:rsidR="00650E6F" w:rsidRPr="000E1EB0" w:rsidRDefault="00650E6F" w:rsidP="00650E6F">
      <w:pPr>
        <w:pStyle w:val="AAAATEX"/>
      </w:pPr>
      <w:r w:rsidRPr="000E1EB0">
        <w:t>1.</w:t>
      </w:r>
      <w:r w:rsidRPr="000E1EB0">
        <w:tab/>
        <w:t>Rritja e konkurrencës, biznesit, tregtisë dhe investimeve;</w:t>
      </w:r>
      <w:r w:rsidRPr="000E1EB0">
        <w:rPr>
          <w:rStyle w:val="FootnoteReference"/>
        </w:rPr>
        <w:footnoteReference w:id="8"/>
      </w:r>
    </w:p>
    <w:p w14:paraId="6D6F23EB" w14:textId="0A50AC0A" w:rsidR="00650E6F" w:rsidRPr="000E1EB0" w:rsidRDefault="00650E6F" w:rsidP="00650E6F">
      <w:pPr>
        <w:pStyle w:val="AAAATEX"/>
      </w:pPr>
      <w:r w:rsidRPr="000E1EB0">
        <w:t>2.</w:t>
      </w:r>
      <w:r w:rsidRPr="000E1EB0">
        <w:tab/>
        <w:t>Mbrojtja e mjedisit, nxitja e përshtatjes dhe lehtësimit ndaj ndryshimeve klimatike, parandalimi dhe menaxhimi i rrezikut</w:t>
      </w:r>
      <w:r w:rsidR="00293399">
        <w:t>.</w:t>
      </w:r>
    </w:p>
    <w:p w14:paraId="6D6F23EC" w14:textId="51C04EDE" w:rsidR="00650E6F" w:rsidRPr="000E1EB0" w:rsidRDefault="00650E6F" w:rsidP="00650E6F">
      <w:pPr>
        <w:pStyle w:val="AAAATEX"/>
      </w:pPr>
      <w:r w:rsidRPr="000E1EB0">
        <w:rPr>
          <w:b/>
        </w:rPr>
        <w:t>Përveç problemeve, turizmi dhe trashëgimia kulturore</w:t>
      </w:r>
      <w:r w:rsidRPr="000E1EB0">
        <w:t xml:space="preserve"> janë identifikuar si një mundësi e rëndësishme ekonomike dhe një mjet për të rritur më tej kontaktet dhe shkëmbimin njerëz-për-njerëz. Kjo lidhet me një tjetër prioritet tematik për asistencën për bashkëpunim territorial në </w:t>
      </w:r>
      <w:r w:rsidR="001E1489">
        <w:t>s</w:t>
      </w:r>
      <w:r w:rsidRPr="000E1EB0">
        <w:t>htojcën III të Rregullores së IPA II, që është inkurajimi i turizmit dhe trashëgimisë kulturore dhe natyrore.</w:t>
      </w:r>
    </w:p>
    <w:p w14:paraId="6D6F23ED" w14:textId="62944D6E" w:rsidR="00650E6F" w:rsidRPr="000E1EB0" w:rsidRDefault="00650E6F" w:rsidP="00650E6F">
      <w:pPr>
        <w:pStyle w:val="AAAATEX"/>
      </w:pPr>
      <w:r w:rsidRPr="000E1EB0">
        <w:t>Të gjitha prioritetet tematike janë renditur në mënyrë individuale nga palët e interesuara në procesin e programimit CBC (bashkitë, OJQ-të, ministritë e linjës, shoqëritë e shërbimeve publike dhe subjektet e tjera publike etj.)</w:t>
      </w:r>
      <w:r w:rsidR="00815D98">
        <w:t>,</w:t>
      </w:r>
      <w:r w:rsidRPr="000E1EB0">
        <w:t xml:space="preserve"> sipas rëndësisë së perceptuar të tematikave dhe çështjeve.</w:t>
      </w:r>
      <w:r w:rsidRPr="000E1EB0">
        <w:rPr>
          <w:rStyle w:val="FootnoteReference"/>
        </w:rPr>
        <w:footnoteReference w:id="9"/>
      </w:r>
      <w:r w:rsidRPr="000E1EB0">
        <w:t xml:space="preserve"> Renditja paraqet një reagim të rëndësishëm të programimit që pasqyrohet në qasjen nga poshtë-lart dhe është ndërtuar mbi parimin e partneritetit. Megjithatë, kjo nuk i merr në konsideratë kufijtë e politikave dhe burimeve, të cilët janë aplikuar vetëm nëpërmjet mekanizmit dhe parimit të koordinimit (pjesa 3).</w:t>
      </w:r>
    </w:p>
    <w:p w14:paraId="270191D5" w14:textId="77777777" w:rsidR="001E1489" w:rsidRDefault="001E1489" w:rsidP="00650E6F">
      <w:pPr>
        <w:pStyle w:val="AAAATEX"/>
        <w:rPr>
          <w:b/>
        </w:rPr>
      </w:pPr>
    </w:p>
    <w:p w14:paraId="0AB42191" w14:textId="77777777" w:rsidR="009134FD" w:rsidRDefault="009134FD" w:rsidP="001E1489">
      <w:pPr>
        <w:pStyle w:val="AAAATEX"/>
        <w:jc w:val="center"/>
      </w:pPr>
    </w:p>
    <w:p w14:paraId="6D6F23EE" w14:textId="448CD2DC" w:rsidR="00650E6F" w:rsidRPr="001E1489" w:rsidRDefault="001E1489" w:rsidP="001E1489">
      <w:pPr>
        <w:pStyle w:val="AAAATEX"/>
        <w:jc w:val="center"/>
      </w:pPr>
      <w:r w:rsidRPr="001E1489">
        <w:lastRenderedPageBreak/>
        <w:t>SEKSIONI 3</w:t>
      </w:r>
    </w:p>
    <w:p w14:paraId="6D6F23EF" w14:textId="3E0E496B" w:rsidR="00650E6F" w:rsidRPr="001E1489" w:rsidRDefault="001E1489" w:rsidP="001E1489">
      <w:pPr>
        <w:pStyle w:val="AAAATEX"/>
        <w:jc w:val="center"/>
      </w:pPr>
      <w:r w:rsidRPr="001E1489">
        <w:t>STRATEGJIA E PROGRAMIT</w:t>
      </w:r>
    </w:p>
    <w:p w14:paraId="02446E1A" w14:textId="77777777" w:rsidR="001E1489" w:rsidRPr="001E1489" w:rsidRDefault="001E1489" w:rsidP="001E1489">
      <w:pPr>
        <w:pStyle w:val="AAAATEX"/>
        <w:jc w:val="center"/>
      </w:pPr>
    </w:p>
    <w:p w14:paraId="6D6F23F0" w14:textId="4F2C5C3B" w:rsidR="00650E6F" w:rsidRPr="000E1EB0" w:rsidRDefault="00650E6F" w:rsidP="00650E6F">
      <w:pPr>
        <w:pStyle w:val="AAAATEX"/>
      </w:pPr>
      <w:r w:rsidRPr="00493190">
        <w:rPr>
          <w:b/>
        </w:rPr>
        <w:t xml:space="preserve">Strategjia </w:t>
      </w:r>
      <w:r w:rsidRPr="00493190">
        <w:t>njeh prioritetet e komunikuar nga palët e interesuara të programit (seksioni 2.2)</w:t>
      </w:r>
      <w:r w:rsidR="002D0ECE" w:rsidRPr="00493190">
        <w:t>,</w:t>
      </w:r>
      <w:r w:rsidRPr="00493190">
        <w:t xml:space="preserve"> të cilat</w:t>
      </w:r>
      <w:r w:rsidRPr="000E1EB0">
        <w:t xml:space="preserve"> më pas janë përpunuar dhe paraqitur nga </w:t>
      </w:r>
      <w:r w:rsidR="002D0ECE" w:rsidRPr="000E1EB0">
        <w:t xml:space="preserve">strukturat operative </w:t>
      </w:r>
      <w:r w:rsidRPr="000E1EB0">
        <w:t>CBC dh</w:t>
      </w:r>
      <w:r w:rsidR="002D0ECE" w:rsidRPr="000E1EB0">
        <w:t xml:space="preserve">e </w:t>
      </w:r>
      <w:r w:rsidRPr="000E1EB0">
        <w:t>Task</w:t>
      </w:r>
      <w:r w:rsidR="001E1489">
        <w:t>-</w:t>
      </w:r>
      <w:r w:rsidRPr="000E1EB0">
        <w:t>Forca e Përbashkët në krye të përpjekjeve të programimit</w:t>
      </w:r>
      <w:r w:rsidR="0075714C">
        <w:t>,</w:t>
      </w:r>
      <w:r w:rsidRPr="000E1EB0">
        <w:t xml:space="preserve"> duke aplikuar parimin e koordinimit. Zgjedhjet strategjike janë bërë duke marrë parasysh parimet e mëposhtme mbizotëruese:</w:t>
      </w:r>
    </w:p>
    <w:p w14:paraId="6D6F23F1" w14:textId="21E10712" w:rsidR="00650E6F" w:rsidRPr="000E1EB0" w:rsidRDefault="00650E6F" w:rsidP="00650E6F">
      <w:pPr>
        <w:pStyle w:val="AAAATEX"/>
      </w:pPr>
      <w:r w:rsidRPr="000E1EB0">
        <w:rPr>
          <w:b/>
        </w:rPr>
        <w:t xml:space="preserve">Koherenca </w:t>
      </w:r>
      <w:r w:rsidR="0011029D" w:rsidRPr="0011029D">
        <w:t>–</w:t>
      </w:r>
      <w:r w:rsidRPr="000E1EB0">
        <w:t xml:space="preserve"> </w:t>
      </w:r>
      <w:r w:rsidR="006829B2">
        <w:t>p</w:t>
      </w:r>
      <w:r w:rsidRPr="000E1EB0">
        <w:t xml:space="preserve">rioritetet tematike nuk u ndryshuan dhe janë të njëjtët që janë komunikuar në </w:t>
      </w:r>
      <w:r w:rsidR="006829B2">
        <w:t>s</w:t>
      </w:r>
      <w:r w:rsidRPr="000E1EB0">
        <w:t>htojcën III të Rregullores IPA II dhe përkatësisht në Dokumentin e Strategjisë Shumëkombëshe;</w:t>
      </w:r>
    </w:p>
    <w:p w14:paraId="6D6F23F2" w14:textId="5CBEDCC7" w:rsidR="00650E6F" w:rsidRPr="000E1EB0" w:rsidRDefault="00650E6F" w:rsidP="00650E6F">
      <w:pPr>
        <w:pStyle w:val="AAAATEX"/>
      </w:pPr>
      <w:r w:rsidRPr="000E1EB0">
        <w:rPr>
          <w:b/>
        </w:rPr>
        <w:t xml:space="preserve">Partneriteti </w:t>
      </w:r>
      <w:r w:rsidR="0011029D" w:rsidRPr="0011029D">
        <w:t>–</w:t>
      </w:r>
      <w:r w:rsidRPr="000E1EB0">
        <w:t xml:space="preserve"> </w:t>
      </w:r>
      <w:r w:rsidR="006829B2">
        <w:t>p</w:t>
      </w:r>
      <w:r w:rsidRPr="000E1EB0">
        <w:t>rioritetet</w:t>
      </w:r>
      <w:r w:rsidR="0011029D">
        <w:t xml:space="preserve"> </w:t>
      </w:r>
      <w:r w:rsidRPr="000E1EB0">
        <w:t xml:space="preserve">e përshtatshme janë zgjedhur bazuar në reagimet e marra nga organizatat që përfaqësojnë autoritetet rajonale, lokale, urbane dhe autoritetet e tjera publike, partnerët shoqërorë dhe ekonomikë, si dhe shoqërinë civile, partnerët mjedisorë, organizatat </w:t>
      </w:r>
      <w:r w:rsidR="001E1489">
        <w:t>jo</w:t>
      </w:r>
      <w:r w:rsidRPr="000E1EB0">
        <w:t>qeveritare dhe organizatat përgjegjëse për promovimin e barazisë;</w:t>
      </w:r>
    </w:p>
    <w:p w14:paraId="6D6F23F3" w14:textId="50D91129" w:rsidR="00650E6F" w:rsidRPr="000E1EB0" w:rsidRDefault="00650E6F" w:rsidP="00650E6F">
      <w:pPr>
        <w:pStyle w:val="AAAATEX"/>
      </w:pPr>
      <w:r w:rsidRPr="000E1EB0">
        <w:rPr>
          <w:b/>
        </w:rPr>
        <w:t xml:space="preserve">Përqendrimi </w:t>
      </w:r>
      <w:r w:rsidR="00813DA1">
        <w:t>–</w:t>
      </w:r>
      <w:r w:rsidRPr="000E1EB0">
        <w:t xml:space="preserve"> </w:t>
      </w:r>
      <w:r w:rsidR="00813DA1">
        <w:t>s</w:t>
      </w:r>
      <w:r w:rsidRPr="000E1EB0">
        <w:t>trategjia</w:t>
      </w:r>
      <w:r w:rsidR="00813DA1">
        <w:t xml:space="preserve"> </w:t>
      </w:r>
      <w:r w:rsidRPr="000E1EB0">
        <w:t>ofron një fokus të rëndësishëm dhe efikas të burimeve të kufizuara dhe të ndërhyrjes bazuar në specifikat sociale dhe ekonomike të zonës së programit që fokusohet në temat e përzgjedhura dhe mbi objektivat dhe masat me një rëndësi të veçantë nga kohezioni social-ekonomik dhe perspektiva e dëshiruar e zhvillimit.</w:t>
      </w:r>
    </w:p>
    <w:p w14:paraId="6D6F23F4" w14:textId="6817797B" w:rsidR="00650E6F" w:rsidRPr="000E1EB0" w:rsidRDefault="00650E6F" w:rsidP="00650E6F">
      <w:pPr>
        <w:pStyle w:val="AAAATEX"/>
      </w:pPr>
      <w:r w:rsidRPr="000E1EB0">
        <w:t xml:space="preserve">Plotësueshmëria me Programin Kombëtar – programi plotëson dhe përforcon strategjitë kombëtare, ashtu siç janë përcaktuar në </w:t>
      </w:r>
      <w:r w:rsidR="006F54EE">
        <w:t>d</w:t>
      </w:r>
      <w:r w:rsidRPr="000E1EB0">
        <w:t xml:space="preserve">okumentet e Strategjisë së Vendit, duke mbështetur bashkëpunimin rajonal dhe territorial. </w:t>
      </w:r>
    </w:p>
    <w:p w14:paraId="6D6F23F5" w14:textId="1F08F920" w:rsidR="00650E6F" w:rsidRPr="000E1EB0" w:rsidRDefault="00650E6F" w:rsidP="00650E6F">
      <w:pPr>
        <w:pStyle w:val="AAAATEX"/>
        <w:rPr>
          <w:b/>
        </w:rPr>
      </w:pPr>
      <w:r w:rsidRPr="000E1EB0">
        <w:rPr>
          <w:b/>
        </w:rPr>
        <w:t xml:space="preserve">3.1 Arsyetim </w:t>
      </w:r>
      <w:r w:rsidR="001049D9">
        <w:rPr>
          <w:b/>
        </w:rPr>
        <w:t>–</w:t>
      </w:r>
      <w:r w:rsidRPr="000E1EB0">
        <w:rPr>
          <w:b/>
        </w:rPr>
        <w:t xml:space="preserve"> </w:t>
      </w:r>
      <w:r w:rsidR="001049D9">
        <w:rPr>
          <w:b/>
        </w:rPr>
        <w:t>a</w:t>
      </w:r>
      <w:r w:rsidRPr="000E1EB0">
        <w:rPr>
          <w:b/>
        </w:rPr>
        <w:t>rsyetimi</w:t>
      </w:r>
      <w:r w:rsidR="001049D9">
        <w:rPr>
          <w:b/>
        </w:rPr>
        <w:t xml:space="preserve"> </w:t>
      </w:r>
      <w:r w:rsidRPr="000E1EB0">
        <w:rPr>
          <w:b/>
        </w:rPr>
        <w:t>për strategjinë e zgjedhur të ndërhyrjes</w:t>
      </w:r>
    </w:p>
    <w:p w14:paraId="6D6F23F6" w14:textId="77777777" w:rsidR="00650E6F" w:rsidRPr="000E1EB0" w:rsidRDefault="00650E6F" w:rsidP="00650E6F">
      <w:pPr>
        <w:pStyle w:val="AAAATEX"/>
      </w:pPr>
      <w:r w:rsidRPr="000E1EB0">
        <w:t>Përmbajtja e Strategjisë së propozuar rrjedh nga:</w:t>
      </w:r>
    </w:p>
    <w:p w14:paraId="6D6F23F7" w14:textId="77777777" w:rsidR="00650E6F" w:rsidRPr="000E1EB0" w:rsidRDefault="00650E6F" w:rsidP="00650E6F">
      <w:pPr>
        <w:pStyle w:val="AAAATEX"/>
      </w:pPr>
      <w:r w:rsidRPr="000E1EB0">
        <w:t>1. Analiza e situatës dhe analiza SWOT;</w:t>
      </w:r>
    </w:p>
    <w:p w14:paraId="6D6F23F8" w14:textId="77777777" w:rsidR="00650E6F" w:rsidRPr="000E1EB0" w:rsidRDefault="00650E6F" w:rsidP="00650E6F">
      <w:pPr>
        <w:pStyle w:val="AAAATEX"/>
      </w:pPr>
      <w:r w:rsidRPr="000E1EB0">
        <w:t xml:space="preserve">2. Nyjat problematike të identifikuara dhe mundësitë strategjike; dhe </w:t>
      </w:r>
    </w:p>
    <w:p w14:paraId="6D6F23F9" w14:textId="0CB756CA" w:rsidR="00650E6F" w:rsidRPr="000E1EB0" w:rsidRDefault="00650E6F" w:rsidP="00650E6F">
      <w:pPr>
        <w:pStyle w:val="AAAATEX"/>
      </w:pPr>
      <w:r w:rsidRPr="000E1EB0">
        <w:t xml:space="preserve">3. Renditja e prioriteteve tematike sipas rëndësisë së tyre për zonën e programit: </w:t>
      </w:r>
      <w:r w:rsidR="00FB454A">
        <w:t>n</w:t>
      </w:r>
      <w:r w:rsidRPr="000E1EB0">
        <w:t xml:space="preserve">xitja e turizmit, kulturës dhe trashëgimisë natyrore, </w:t>
      </w:r>
      <w:r w:rsidR="00813C77">
        <w:t>r</w:t>
      </w:r>
      <w:r w:rsidRPr="000E1EB0">
        <w:t xml:space="preserve">ritja e konkurrencës, biznesit, tregtisë dhe investimeve dhe </w:t>
      </w:r>
      <w:r w:rsidR="00551049">
        <w:t>m</w:t>
      </w:r>
      <w:r w:rsidRPr="000E1EB0">
        <w:t>brojtja e mjedisit, nxitja e përshtatjes dhe lehtësimit ndaj ndryshimeve klimatike, parandalimi dhe menaxhimi i rrezikut.</w:t>
      </w:r>
    </w:p>
    <w:p w14:paraId="6D6F23FA" w14:textId="2BDB3112" w:rsidR="00650E6F" w:rsidRPr="000E1EB0" w:rsidRDefault="00650E6F" w:rsidP="00650E6F">
      <w:pPr>
        <w:pStyle w:val="AAAATEX"/>
      </w:pPr>
      <w:r w:rsidRPr="000E1EB0">
        <w:t>Një zhvillim social</w:t>
      </w:r>
      <w:r w:rsidR="00B13C4E">
        <w:t>-</w:t>
      </w:r>
      <w:r w:rsidRPr="000E1EB0">
        <w:t>ekonomik më i balancuar, gjithëpërfshirës dhe i qëndrueshëm në zonën kufitare stimulohet. Ky është titulli dhe objektivi i përgjithshëm i programit,</w:t>
      </w:r>
      <w:r w:rsidR="009A5DA1">
        <w:t xml:space="preserve"> </w:t>
      </w:r>
      <w:r w:rsidRPr="000E1EB0">
        <w:t xml:space="preserve">duke pasur parasysh perspektivën afatmesme në ndërhyrjen e propozuar. </w:t>
      </w:r>
    </w:p>
    <w:p w14:paraId="6D6F23FB" w14:textId="327420A5" w:rsidR="00650E6F" w:rsidRPr="000E1EB0" w:rsidRDefault="00650E6F" w:rsidP="00650E6F">
      <w:pPr>
        <w:pStyle w:val="AAAATEX"/>
      </w:pPr>
      <w:r w:rsidRPr="000E1EB0">
        <w:t>Programi synon të ketë sinergji me objektivat specifik</w:t>
      </w:r>
      <w:r w:rsidR="00833BEA" w:rsidRPr="000E1EB0">
        <w:t>ë</w:t>
      </w:r>
      <w:r w:rsidRPr="000E1EB0">
        <w:t xml:space="preserve"> të IPA II dhe </w:t>
      </w:r>
      <w:r w:rsidR="00202CE6">
        <w:t>d</w:t>
      </w:r>
      <w:r w:rsidRPr="000E1EB0">
        <w:t xml:space="preserve">okumentet e Strategjisë së Vendit në lidhje me: përkrahjen për zhvillimin e shoqërisë civile dhe dialogut social, nxitjen e punësimit dhe zhvillimin e kapitalit njerëzor, përfshirjen sociale dhe ekonomike dhe bashkëpunimin territorial. </w:t>
      </w:r>
    </w:p>
    <w:p w14:paraId="6442AA07" w14:textId="77777777" w:rsidR="00E06942" w:rsidRDefault="00E06942" w:rsidP="00650E6F">
      <w:pPr>
        <w:pStyle w:val="AAAATEX"/>
        <w:rPr>
          <w:i/>
        </w:rPr>
      </w:pPr>
    </w:p>
    <w:p w14:paraId="6D6F23FC" w14:textId="792A1FA1" w:rsidR="00650E6F" w:rsidRPr="00CF60C5" w:rsidRDefault="00650E6F" w:rsidP="00650E6F">
      <w:pPr>
        <w:pStyle w:val="AAAATEX"/>
        <w:rPr>
          <w:i/>
        </w:rPr>
      </w:pPr>
      <w:r w:rsidRPr="00CF60C5">
        <w:rPr>
          <w:i/>
        </w:rPr>
        <w:t>Tabela 1</w:t>
      </w:r>
      <w:r w:rsidR="00CF60C5" w:rsidRPr="00CF60C5">
        <w:rPr>
          <w:i/>
        </w:rPr>
        <w:t>.</w:t>
      </w:r>
      <w:r w:rsidRPr="00CF60C5">
        <w:rPr>
          <w:i/>
        </w:rPr>
        <w:t xml:space="preserve"> Pasqyrë sintetike e justifikimit për përzgjedhjen e prioriteteve tematike</w:t>
      </w:r>
    </w:p>
    <w:tbl>
      <w:tblPr>
        <w:tblStyle w:val="TableGrid1"/>
        <w:tblW w:w="0" w:type="auto"/>
        <w:jc w:val="center"/>
        <w:tblLook w:val="04A0" w:firstRow="1" w:lastRow="0" w:firstColumn="1" w:lastColumn="0" w:noHBand="0" w:noVBand="1"/>
      </w:tblPr>
      <w:tblGrid>
        <w:gridCol w:w="4203"/>
        <w:gridCol w:w="4552"/>
      </w:tblGrid>
      <w:tr w:rsidR="00650E6F" w:rsidRPr="00A40C78" w14:paraId="6D6F2400" w14:textId="77777777" w:rsidTr="00650E6F">
        <w:trPr>
          <w:jc w:val="center"/>
        </w:trPr>
        <w:tc>
          <w:tcPr>
            <w:tcW w:w="4203" w:type="dxa"/>
          </w:tcPr>
          <w:p w14:paraId="6D6F23FE" w14:textId="77777777" w:rsidR="00650E6F" w:rsidRPr="00A40C78" w:rsidRDefault="00650E6F" w:rsidP="00650E6F">
            <w:pPr>
              <w:pStyle w:val="AAAATEX"/>
              <w:ind w:firstLine="0"/>
              <w:jc w:val="left"/>
              <w:rPr>
                <w:b/>
                <w:sz w:val="20"/>
                <w:szCs w:val="20"/>
                <w:lang w:val="sq-AL" w:eastAsia="ar-SA"/>
              </w:rPr>
            </w:pPr>
            <w:r w:rsidRPr="00A40C78">
              <w:rPr>
                <w:b/>
                <w:sz w:val="20"/>
                <w:szCs w:val="20"/>
                <w:lang w:val="sq-AL" w:eastAsia="ar-SA"/>
              </w:rPr>
              <w:t xml:space="preserve">Prioritetet tematike të zgjedhur </w:t>
            </w:r>
          </w:p>
        </w:tc>
        <w:tc>
          <w:tcPr>
            <w:tcW w:w="4552" w:type="dxa"/>
          </w:tcPr>
          <w:p w14:paraId="6D6F23FF" w14:textId="77777777" w:rsidR="00650E6F" w:rsidRPr="00A40C78" w:rsidRDefault="00650E6F" w:rsidP="00650E6F">
            <w:pPr>
              <w:pStyle w:val="AAAATEX"/>
              <w:ind w:firstLine="0"/>
              <w:rPr>
                <w:b/>
                <w:sz w:val="20"/>
                <w:szCs w:val="20"/>
                <w:lang w:val="sq-AL" w:eastAsia="ar-SA"/>
              </w:rPr>
            </w:pPr>
            <w:r w:rsidRPr="00A40C78">
              <w:rPr>
                <w:b/>
                <w:sz w:val="20"/>
                <w:szCs w:val="20"/>
                <w:lang w:val="sq-AL" w:eastAsia="ar-SA"/>
              </w:rPr>
              <w:t>Justifikimi për zgjedhjen</w:t>
            </w:r>
          </w:p>
        </w:tc>
      </w:tr>
      <w:tr w:rsidR="00650E6F" w:rsidRPr="00A40C78" w14:paraId="6D6F2403" w14:textId="77777777" w:rsidTr="00650E6F">
        <w:trPr>
          <w:jc w:val="center"/>
        </w:trPr>
        <w:tc>
          <w:tcPr>
            <w:tcW w:w="4203" w:type="dxa"/>
          </w:tcPr>
          <w:p w14:paraId="6D6F2401" w14:textId="77777777" w:rsidR="00650E6F" w:rsidRPr="00A40C78" w:rsidRDefault="00650E6F" w:rsidP="00650E6F">
            <w:pPr>
              <w:pStyle w:val="AAAATEX"/>
              <w:ind w:firstLine="0"/>
              <w:jc w:val="left"/>
              <w:rPr>
                <w:b/>
                <w:sz w:val="20"/>
                <w:szCs w:val="20"/>
                <w:lang w:val="sq-AL"/>
              </w:rPr>
            </w:pPr>
            <w:r w:rsidRPr="00A40C78">
              <w:rPr>
                <w:b/>
                <w:sz w:val="20"/>
                <w:szCs w:val="20"/>
                <w:lang w:val="sq-AL"/>
              </w:rPr>
              <w:t>Nxitja e turizmit, kulturës dhe trashëgimisë natyrore (TP4, Rregullorja IPA II)</w:t>
            </w:r>
          </w:p>
        </w:tc>
        <w:tc>
          <w:tcPr>
            <w:tcW w:w="4552" w:type="dxa"/>
          </w:tcPr>
          <w:p w14:paraId="6D6F2402" w14:textId="77777777" w:rsidR="00650E6F" w:rsidRPr="00A40C78" w:rsidRDefault="00650E6F" w:rsidP="00650E6F">
            <w:pPr>
              <w:pStyle w:val="AAAATEX"/>
              <w:ind w:firstLine="0"/>
              <w:rPr>
                <w:sz w:val="20"/>
                <w:szCs w:val="20"/>
                <w:lang w:val="sq-AL" w:eastAsia="ar-SA"/>
              </w:rPr>
            </w:pPr>
            <w:r w:rsidRPr="00A40C78">
              <w:rPr>
                <w:sz w:val="20"/>
                <w:szCs w:val="20"/>
                <w:lang w:val="sq-AL"/>
              </w:rPr>
              <w:t>Bazohet në mundësitë strategjike të identifikuara që lidhen me rëndësinë në rritje të turizmit si një mundësi ekonomike, ndërsa nxitja e shkëmbimit kulturor dhe promovimi i trashëgimisë natyrore do të mbështesë nismat njerëzit për njerëz dhe dialogun ndërmjet shoqërisë civile dhe institucioneve.</w:t>
            </w:r>
          </w:p>
        </w:tc>
      </w:tr>
      <w:tr w:rsidR="00650E6F" w:rsidRPr="00A40C78" w14:paraId="6D6F2406" w14:textId="77777777" w:rsidTr="00650E6F">
        <w:trPr>
          <w:jc w:val="center"/>
        </w:trPr>
        <w:tc>
          <w:tcPr>
            <w:tcW w:w="4203" w:type="dxa"/>
          </w:tcPr>
          <w:p w14:paraId="6D6F2404" w14:textId="77777777" w:rsidR="00650E6F" w:rsidRPr="00A40C78" w:rsidRDefault="00650E6F" w:rsidP="00650E6F">
            <w:pPr>
              <w:pStyle w:val="AAAATEX"/>
              <w:ind w:firstLine="0"/>
              <w:jc w:val="left"/>
              <w:rPr>
                <w:b/>
                <w:sz w:val="20"/>
                <w:szCs w:val="20"/>
                <w:lang w:val="sq-AL"/>
              </w:rPr>
            </w:pPr>
            <w:r w:rsidRPr="00A40C78">
              <w:rPr>
                <w:b/>
                <w:sz w:val="20"/>
                <w:szCs w:val="20"/>
                <w:lang w:val="sq-AL"/>
              </w:rPr>
              <w:t>Rritja e konkurrencës, biznesit, tregtisë dhe investimeve (TP7, Rregullorja IPA II)</w:t>
            </w:r>
          </w:p>
        </w:tc>
        <w:tc>
          <w:tcPr>
            <w:tcW w:w="4552" w:type="dxa"/>
          </w:tcPr>
          <w:p w14:paraId="6D6F2405" w14:textId="77777777" w:rsidR="00650E6F" w:rsidRPr="00A40C78" w:rsidRDefault="00650E6F" w:rsidP="00650E6F">
            <w:pPr>
              <w:pStyle w:val="AAAATEX"/>
              <w:ind w:firstLine="0"/>
              <w:rPr>
                <w:sz w:val="20"/>
                <w:szCs w:val="20"/>
                <w:lang w:val="sq-AL" w:eastAsia="ar-SA"/>
              </w:rPr>
            </w:pPr>
            <w:r w:rsidRPr="00A40C78">
              <w:rPr>
                <w:sz w:val="20"/>
                <w:szCs w:val="20"/>
                <w:lang w:val="sq-AL"/>
              </w:rPr>
              <w:t>Synon të trajtojë nivelet e ulëta të punësimit në zonën e programit. Kjo do të trajtohet nëpërmjet përmirësimit të aksesit në tregje, rritjes së përdorimit të instrumenteve të TIK, duke përfshirë tregtinë elektronike dhe shfrytëzimin më efikas të mundësive të zinxhirit të vlerave në zonën kufitare.</w:t>
            </w:r>
          </w:p>
        </w:tc>
      </w:tr>
      <w:tr w:rsidR="00650E6F" w:rsidRPr="00A40C78" w14:paraId="6D6F2409" w14:textId="77777777" w:rsidTr="00650E6F">
        <w:trPr>
          <w:jc w:val="center"/>
        </w:trPr>
        <w:tc>
          <w:tcPr>
            <w:tcW w:w="4203" w:type="dxa"/>
          </w:tcPr>
          <w:p w14:paraId="6D6F2407" w14:textId="77777777" w:rsidR="00650E6F" w:rsidRPr="00A40C78" w:rsidRDefault="00650E6F" w:rsidP="00650E6F">
            <w:pPr>
              <w:pStyle w:val="AAAATEX"/>
              <w:ind w:firstLine="0"/>
              <w:jc w:val="left"/>
              <w:rPr>
                <w:b/>
                <w:sz w:val="20"/>
                <w:szCs w:val="20"/>
                <w:lang w:val="sq-AL"/>
              </w:rPr>
            </w:pPr>
            <w:r w:rsidRPr="00A40C78">
              <w:rPr>
                <w:b/>
                <w:sz w:val="20"/>
                <w:szCs w:val="20"/>
                <w:lang w:val="sq-AL"/>
              </w:rPr>
              <w:lastRenderedPageBreak/>
              <w:t>Mbrojtja e mjedisit, nxitja e përshtatjes dhe lehtësimit ndaj ndryshimeve klimatike, parandalimi dhe menaxhimi i rrezikut (TP2, Rregullorja IPA II)</w:t>
            </w:r>
          </w:p>
        </w:tc>
        <w:tc>
          <w:tcPr>
            <w:tcW w:w="4552" w:type="dxa"/>
          </w:tcPr>
          <w:p w14:paraId="6D6F2408" w14:textId="77777777" w:rsidR="00650E6F" w:rsidRPr="00A40C78" w:rsidRDefault="00650E6F" w:rsidP="00650E6F">
            <w:pPr>
              <w:pStyle w:val="AAAATEX"/>
              <w:ind w:firstLine="0"/>
              <w:rPr>
                <w:sz w:val="20"/>
                <w:szCs w:val="20"/>
                <w:lang w:val="sq-AL" w:eastAsia="ar-SA"/>
              </w:rPr>
            </w:pPr>
            <w:r w:rsidRPr="00A40C78">
              <w:rPr>
                <w:sz w:val="20"/>
                <w:szCs w:val="20"/>
                <w:lang w:val="sq-AL"/>
              </w:rPr>
              <w:t>Synon ti përgjigjet nevojave specifike të një prej sektorëve më të neglizhuar të politikave. Në kontekstin CBC ky prioritet do të trajtojë çështjet e promovimit të ekonomisë së pastër dhe të gjelbër, përdorimit më të përgjegjshëm dhe të qëndrueshëm të burimeve natyrore, mbështetjen e infrastrukturës së elasticitetit klimatik në shkallë të vogël (kundër përmbytjeve dhe zjarreve) dhe erozionin e tokës në zonën kufitare malore.</w:t>
            </w:r>
          </w:p>
        </w:tc>
      </w:tr>
    </w:tbl>
    <w:p w14:paraId="6D6F240A" w14:textId="77777777" w:rsidR="00650E6F" w:rsidRPr="000E1EB0" w:rsidRDefault="00650E6F" w:rsidP="00650E6F">
      <w:pPr>
        <w:spacing w:after="0" w:line="240" w:lineRule="auto"/>
        <w:jc w:val="both"/>
        <w:rPr>
          <w:rFonts w:ascii="Garamond" w:hAnsi="Garamond" w:cs="Tahoma"/>
          <w:sz w:val="20"/>
          <w:szCs w:val="20"/>
        </w:rPr>
      </w:pPr>
    </w:p>
    <w:p w14:paraId="6D6F240B" w14:textId="1991DA54" w:rsidR="00650E6F" w:rsidRPr="000E1EB0" w:rsidRDefault="00650E6F" w:rsidP="00650E6F">
      <w:pPr>
        <w:pStyle w:val="AAAATEX"/>
      </w:pPr>
      <w:r w:rsidRPr="000E1EB0">
        <w:rPr>
          <w:b/>
        </w:rPr>
        <w:t xml:space="preserve">Asistenca </w:t>
      </w:r>
      <w:r w:rsidR="00CF60C5">
        <w:rPr>
          <w:b/>
        </w:rPr>
        <w:t>t</w:t>
      </w:r>
      <w:r w:rsidRPr="000E1EB0">
        <w:rPr>
          <w:b/>
        </w:rPr>
        <w:t>eknike</w:t>
      </w:r>
      <w:r w:rsidRPr="000E1EB0">
        <w:t xml:space="preserve"> do të sigurojë një menaxhim efikas të programit gjatë gjithë ciklit të jetës dhe zhvillimin e kapaciteteve të palëve të interesuara të programit. Alokimi financiar ndaj këtij prioriteti është 10% e buxhetit të programit. </w:t>
      </w:r>
    </w:p>
    <w:p w14:paraId="6D6F240C" w14:textId="77777777" w:rsidR="00650E6F" w:rsidRDefault="00650E6F" w:rsidP="00650E6F">
      <w:pPr>
        <w:pStyle w:val="AAAATEX"/>
      </w:pPr>
      <w:r w:rsidRPr="000E1EB0">
        <w:t>Alokimi i buxhetit indikativ nëpër prioritetet tematike është një konsensus ndërmjet parimit të përqendrimit kombinuar me shpërndarjen e balancuar të fondeve. Rëndësi e veçantë i është dhënë edhe intensitetit të kapitalit të projekteve të mundshme dhe renditjes aktuale të prioriteteve tematike, ku turizmi, trashëgimia kulturore dhe natyrore janë temat më të preferuara për mbështetje.</w:t>
      </w:r>
    </w:p>
    <w:p w14:paraId="6007835A" w14:textId="77777777" w:rsidR="00810D79" w:rsidRPr="000E1EB0" w:rsidRDefault="00810D79" w:rsidP="00650E6F">
      <w:pPr>
        <w:pStyle w:val="AAAATEX"/>
      </w:pPr>
    </w:p>
    <w:tbl>
      <w:tblPr>
        <w:tblStyle w:val="MediumGrid3-Accent1"/>
        <w:tblW w:w="5000" w:type="pct"/>
        <w:tblLook w:val="04A0" w:firstRow="1" w:lastRow="0" w:firstColumn="1" w:lastColumn="0" w:noHBand="0" w:noVBand="1"/>
      </w:tblPr>
      <w:tblGrid>
        <w:gridCol w:w="7274"/>
        <w:gridCol w:w="2302"/>
      </w:tblGrid>
      <w:tr w:rsidR="00650E6F" w:rsidRPr="000E1EB0" w14:paraId="6D6F240F"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pct"/>
          </w:tcPr>
          <w:p w14:paraId="6D6F240D" w14:textId="5DD6AD39"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Prioriteti </w:t>
            </w:r>
            <w:r w:rsidR="00810D79" w:rsidRPr="000E1EB0">
              <w:rPr>
                <w:rFonts w:ascii="Garamond" w:hAnsi="Garamond" w:cs="Tahoma"/>
                <w:sz w:val="20"/>
                <w:szCs w:val="20"/>
                <w:lang w:val="sq-AL"/>
              </w:rPr>
              <w:t>tematik</w:t>
            </w:r>
          </w:p>
        </w:tc>
        <w:tc>
          <w:tcPr>
            <w:tcW w:w="1202" w:type="pct"/>
          </w:tcPr>
          <w:p w14:paraId="6D6F240E" w14:textId="7B78530F"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Shpërndarja e buxhetit të fondeve të BE</w:t>
            </w:r>
            <w:r w:rsidR="00810D79">
              <w:rPr>
                <w:rFonts w:ascii="Garamond" w:hAnsi="Garamond" w:cs="Tahoma"/>
                <w:sz w:val="20"/>
                <w:szCs w:val="20"/>
                <w:lang w:val="sq-AL"/>
              </w:rPr>
              <w:t>-s</w:t>
            </w:r>
            <w:r w:rsidR="00810D79" w:rsidRPr="000E1EB0">
              <w:rPr>
                <w:rFonts w:ascii="Garamond" w:hAnsi="Garamond" w:cs="Tahoma"/>
                <w:sz w:val="20"/>
                <w:szCs w:val="20"/>
                <w:lang w:val="sq-AL"/>
              </w:rPr>
              <w:t>ë</w:t>
            </w:r>
            <w:r w:rsidRPr="000E1EB0">
              <w:rPr>
                <w:rFonts w:ascii="Garamond" w:hAnsi="Garamond" w:cs="Tahoma"/>
                <w:sz w:val="20"/>
                <w:szCs w:val="20"/>
                <w:lang w:val="sq-AL"/>
              </w:rPr>
              <w:t xml:space="preserve"> (%)</w:t>
            </w:r>
          </w:p>
        </w:tc>
      </w:tr>
      <w:tr w:rsidR="00650E6F" w:rsidRPr="000E1EB0" w14:paraId="6D6F241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pct"/>
          </w:tcPr>
          <w:p w14:paraId="6D6F2410" w14:textId="77777777" w:rsidR="00650E6F" w:rsidRPr="000E1EB0" w:rsidRDefault="00650E6F" w:rsidP="00650E6F">
            <w:pPr>
              <w:tabs>
                <w:tab w:val="left" w:pos="5070"/>
              </w:tabs>
              <w:jc w:val="both"/>
              <w:rPr>
                <w:rFonts w:ascii="Garamond" w:hAnsi="Garamond" w:cs="Tahoma"/>
                <w:b w:val="0"/>
                <w:sz w:val="20"/>
                <w:szCs w:val="20"/>
                <w:lang w:val="sq-AL"/>
              </w:rPr>
            </w:pPr>
            <w:r w:rsidRPr="000E1EB0">
              <w:rPr>
                <w:rFonts w:ascii="Garamond" w:hAnsi="Garamond" w:cs="Tahoma"/>
                <w:b w:val="0"/>
                <w:sz w:val="20"/>
                <w:szCs w:val="20"/>
                <w:lang w:val="sq-AL"/>
              </w:rPr>
              <w:t>1. Nxitja e turizmit, kulturës dhe trashëgimisë natyrore</w:t>
            </w:r>
            <w:r w:rsidRPr="000E1EB0">
              <w:rPr>
                <w:rFonts w:ascii="Garamond" w:hAnsi="Garamond" w:cs="Tahoma"/>
                <w:b w:val="0"/>
                <w:lang w:val="sq-AL"/>
              </w:rPr>
              <w:t xml:space="preserve"> </w:t>
            </w:r>
            <w:r w:rsidRPr="000E1EB0">
              <w:rPr>
                <w:rFonts w:ascii="Garamond" w:hAnsi="Garamond" w:cs="Tahoma"/>
                <w:b w:val="0"/>
                <w:sz w:val="20"/>
                <w:szCs w:val="20"/>
                <w:lang w:val="sq-AL"/>
              </w:rPr>
              <w:t>(TP4)</w:t>
            </w:r>
          </w:p>
        </w:tc>
        <w:tc>
          <w:tcPr>
            <w:tcW w:w="1202" w:type="pct"/>
          </w:tcPr>
          <w:p w14:paraId="6D6F241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31.5</w:t>
            </w:r>
          </w:p>
        </w:tc>
      </w:tr>
      <w:tr w:rsidR="00650E6F" w:rsidRPr="000E1EB0" w14:paraId="6D6F2415" w14:textId="77777777" w:rsidTr="00650E6F">
        <w:tc>
          <w:tcPr>
            <w:cnfStyle w:val="001000000000" w:firstRow="0" w:lastRow="0" w:firstColumn="1" w:lastColumn="0" w:oddVBand="0" w:evenVBand="0" w:oddHBand="0" w:evenHBand="0" w:firstRowFirstColumn="0" w:firstRowLastColumn="0" w:lastRowFirstColumn="0" w:lastRowLastColumn="0"/>
            <w:tcW w:w="3798" w:type="pct"/>
          </w:tcPr>
          <w:p w14:paraId="6D6F241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2. Rritja e konkurrencës, biznesit, tregtisë dhe investimeve</w:t>
            </w:r>
            <w:r w:rsidRPr="000E1EB0">
              <w:rPr>
                <w:rFonts w:ascii="Garamond" w:hAnsi="Garamond" w:cs="Tahoma"/>
                <w:b w:val="0"/>
                <w:lang w:val="sq-AL"/>
              </w:rPr>
              <w:t xml:space="preserve"> </w:t>
            </w:r>
            <w:r w:rsidRPr="000E1EB0">
              <w:rPr>
                <w:rFonts w:ascii="Garamond" w:hAnsi="Garamond" w:cs="Tahoma"/>
                <w:b w:val="0"/>
                <w:sz w:val="20"/>
                <w:szCs w:val="20"/>
                <w:lang w:val="sq-AL"/>
              </w:rPr>
              <w:t>(TP7)</w:t>
            </w:r>
          </w:p>
        </w:tc>
        <w:tc>
          <w:tcPr>
            <w:tcW w:w="1202" w:type="pct"/>
          </w:tcPr>
          <w:p w14:paraId="6D6F241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31.5</w:t>
            </w:r>
          </w:p>
        </w:tc>
      </w:tr>
      <w:tr w:rsidR="00650E6F" w:rsidRPr="000E1EB0" w14:paraId="6D6F241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pct"/>
          </w:tcPr>
          <w:p w14:paraId="6D6F2416"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3. Mbrojtja e mjedisit, nxitja e përshtatjes dhe lehtësimit ndaj ndryshimeve klimatike, parandalimi dhe menaxhimi i rrezikut</w:t>
            </w:r>
            <w:r w:rsidRPr="000E1EB0">
              <w:rPr>
                <w:rFonts w:ascii="Garamond" w:hAnsi="Garamond" w:cs="Tahoma"/>
                <w:b w:val="0"/>
                <w:lang w:val="sq-AL"/>
              </w:rPr>
              <w:t xml:space="preserve"> </w:t>
            </w:r>
            <w:r w:rsidRPr="000E1EB0">
              <w:rPr>
                <w:rFonts w:ascii="Garamond" w:hAnsi="Garamond" w:cs="Tahoma"/>
                <w:b w:val="0"/>
                <w:sz w:val="20"/>
                <w:szCs w:val="20"/>
                <w:lang w:val="sq-AL"/>
              </w:rPr>
              <w:t>(TP2)</w:t>
            </w:r>
          </w:p>
        </w:tc>
        <w:tc>
          <w:tcPr>
            <w:tcW w:w="1202" w:type="pct"/>
          </w:tcPr>
          <w:p w14:paraId="6D6F241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27.0</w:t>
            </w:r>
          </w:p>
        </w:tc>
      </w:tr>
      <w:tr w:rsidR="00650E6F" w:rsidRPr="000E1EB0" w14:paraId="6D6F241B" w14:textId="77777777" w:rsidTr="00650E6F">
        <w:tc>
          <w:tcPr>
            <w:cnfStyle w:val="001000000000" w:firstRow="0" w:lastRow="0" w:firstColumn="1" w:lastColumn="0" w:oddVBand="0" w:evenVBand="0" w:oddHBand="0" w:evenHBand="0" w:firstRowFirstColumn="0" w:firstRowLastColumn="0" w:lastRowFirstColumn="0" w:lastRowLastColumn="0"/>
            <w:tcW w:w="3798" w:type="pct"/>
          </w:tcPr>
          <w:p w14:paraId="6D6F2419" w14:textId="5D174038"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 xml:space="preserve">4. Asistenca </w:t>
            </w:r>
            <w:r w:rsidR="00810D79" w:rsidRPr="000E1EB0">
              <w:rPr>
                <w:rFonts w:ascii="Garamond" w:hAnsi="Garamond" w:cs="Tahoma"/>
                <w:b w:val="0"/>
                <w:sz w:val="20"/>
                <w:szCs w:val="20"/>
                <w:lang w:val="sq-AL"/>
              </w:rPr>
              <w:t>teknike</w:t>
            </w:r>
          </w:p>
        </w:tc>
        <w:tc>
          <w:tcPr>
            <w:tcW w:w="1202" w:type="pct"/>
          </w:tcPr>
          <w:p w14:paraId="6D6F241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10.0</w:t>
            </w:r>
          </w:p>
        </w:tc>
      </w:tr>
      <w:tr w:rsidR="00650E6F" w:rsidRPr="000E1EB0" w14:paraId="6D6F241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pct"/>
          </w:tcPr>
          <w:p w14:paraId="6D6F241C" w14:textId="77777777" w:rsidR="00650E6F" w:rsidRPr="000E1EB0" w:rsidRDefault="00650E6F" w:rsidP="00063821">
            <w:pPr>
              <w:jc w:val="center"/>
              <w:rPr>
                <w:rFonts w:ascii="Garamond" w:hAnsi="Garamond" w:cs="Tahoma"/>
                <w:sz w:val="20"/>
                <w:szCs w:val="20"/>
                <w:lang w:val="sq-AL"/>
              </w:rPr>
            </w:pPr>
            <w:r w:rsidRPr="000E1EB0">
              <w:rPr>
                <w:rFonts w:ascii="Garamond" w:hAnsi="Garamond" w:cs="Tahoma"/>
                <w:sz w:val="20"/>
                <w:szCs w:val="20"/>
                <w:lang w:val="sq-AL"/>
              </w:rPr>
              <w:t>TOTAL</w:t>
            </w:r>
          </w:p>
        </w:tc>
        <w:tc>
          <w:tcPr>
            <w:tcW w:w="1202" w:type="pct"/>
          </w:tcPr>
          <w:p w14:paraId="6D6F241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bl>
    <w:p w14:paraId="1B46F9D3" w14:textId="77777777" w:rsidR="00810D79" w:rsidRDefault="00810D79" w:rsidP="00650E6F">
      <w:pPr>
        <w:pStyle w:val="AAAATEX"/>
      </w:pPr>
    </w:p>
    <w:p w14:paraId="6D6F241F" w14:textId="77777777" w:rsidR="00650E6F" w:rsidRPr="000E1EB0" w:rsidRDefault="00650E6F" w:rsidP="00650E6F">
      <w:pPr>
        <w:pStyle w:val="AAAATEX"/>
      </w:pPr>
      <w:r w:rsidRPr="000E1EB0">
        <w:t xml:space="preserve">Parimi i rritjes së mençur, të qëndrueshme dhe gjithëpërfshirëse është i njohur si një çështje ndërsektoriale dhe është aplikuar në të gjitha prioritetet tematike të programit dhe në objektivat e tyre. </w:t>
      </w:r>
    </w:p>
    <w:p w14:paraId="6D6F2420" w14:textId="17369473" w:rsidR="00650E6F" w:rsidRPr="000E1EB0" w:rsidRDefault="00650E6F" w:rsidP="00650E6F">
      <w:pPr>
        <w:pStyle w:val="AAAATEX"/>
      </w:pPr>
      <w:r w:rsidRPr="000E1EB0">
        <w:t xml:space="preserve">Gjithashtu, strategjia e propozuar bazohet në gjetjet kryesore dhe rekomandimet e raportit të vlerësimit të draftit CBC ish-Republika Jugosllave e Maqedonisë – Republika e Shqipërisë për vitet </w:t>
      </w:r>
      <w:r w:rsidR="00BC47F8">
        <w:t>2007–2013</w:t>
      </w:r>
      <w:r w:rsidRPr="000E1EB0">
        <w:t>. Prandaj, çështjet e mëposhtme merren në konsideratë:</w:t>
      </w:r>
    </w:p>
    <w:p w14:paraId="6D6F2421" w14:textId="77777777" w:rsidR="00650E6F" w:rsidRPr="000E1EB0" w:rsidRDefault="00650E6F" w:rsidP="00650E6F">
      <w:pPr>
        <w:pStyle w:val="AAAATEX"/>
      </w:pPr>
      <w:r w:rsidRPr="000E1EB0">
        <w:t>- Mbështetja për projekte të vogla infrastrukturore të përbashkëta që nuk kërkojnë studime dhe projektime të sofistikuara dhe komplekse;</w:t>
      </w:r>
    </w:p>
    <w:p w14:paraId="6D6F2422" w14:textId="77777777" w:rsidR="00650E6F" w:rsidRPr="000E1EB0" w:rsidRDefault="00650E6F" w:rsidP="00650E6F">
      <w:pPr>
        <w:pStyle w:val="AAAATEX"/>
      </w:pPr>
      <w:r w:rsidRPr="000E1EB0">
        <w:t>- Asistenca ndaj projekteve që kanë për qëllim zhvillimin e studimeve dhe projektimeve për financim nga burime të brendshme dhe donatorë të tjerë;</w:t>
      </w:r>
    </w:p>
    <w:p w14:paraId="6D6F2423" w14:textId="77777777" w:rsidR="00650E6F" w:rsidRPr="000E1EB0" w:rsidRDefault="00650E6F" w:rsidP="00650E6F">
      <w:pPr>
        <w:pStyle w:val="AAAATEX"/>
      </w:pPr>
      <w:r w:rsidRPr="000E1EB0">
        <w:t>- Fokus strategjik për veprime më të fuqishme, të cilët synojnë të sjellin ndikim më të prekshëm;</w:t>
      </w:r>
    </w:p>
    <w:p w14:paraId="6D6F2424" w14:textId="5E310977" w:rsidR="00650E6F" w:rsidRPr="000E1EB0" w:rsidRDefault="00650E6F" w:rsidP="00650E6F">
      <w:pPr>
        <w:pStyle w:val="AAAATEX"/>
      </w:pPr>
      <w:r w:rsidRPr="000E1EB0">
        <w:t xml:space="preserve">- Përmirësimi dhe orientimi më strategjik i JTS nën </w:t>
      </w:r>
      <w:r w:rsidR="006D46FD" w:rsidRPr="000E1EB0">
        <w:t>asistencën teknike</w:t>
      </w:r>
      <w:r w:rsidRPr="000E1EB0">
        <w:t xml:space="preserve">, veçanërisht në lidhje me ndërtimin e kapaciteteve dhe rritjen e ndërgjegjësimit midis përfituesve të mundshëm të ndodhur në zonën e programit dhe jo jashtë saj, për të siguruar gatishmërinë e tyre për të aplikuar nën parimin e </w:t>
      </w:r>
      <w:r w:rsidR="00C67F73" w:rsidRPr="000E1EB0">
        <w:t>partnerit kryesor;</w:t>
      </w:r>
    </w:p>
    <w:p w14:paraId="6D6F2425" w14:textId="77777777" w:rsidR="00650E6F" w:rsidRPr="000E1EB0" w:rsidRDefault="00650E6F" w:rsidP="00650E6F">
      <w:pPr>
        <w:pStyle w:val="AAAATEX"/>
      </w:pPr>
      <w:r w:rsidRPr="000E1EB0">
        <w:t>- Forcimi i rolit të koordinimit strategjik të SO-ve;</w:t>
      </w:r>
    </w:p>
    <w:p w14:paraId="6D6F2426" w14:textId="77777777" w:rsidR="00650E6F" w:rsidRPr="000E1EB0" w:rsidRDefault="00650E6F" w:rsidP="00650E6F">
      <w:pPr>
        <w:pStyle w:val="AAAATEX"/>
      </w:pPr>
      <w:r w:rsidRPr="000E1EB0">
        <w:t>- Orientimi i JTS-ve drejt rrjeteve dhe ndarjes së përvojës së projektit ndërmjet organizatave nga zona e programit;</w:t>
      </w:r>
    </w:p>
    <w:p w14:paraId="6D6F2427" w14:textId="77777777" w:rsidR="00650E6F" w:rsidRPr="000E1EB0" w:rsidRDefault="00650E6F" w:rsidP="00650E6F">
      <w:pPr>
        <w:pStyle w:val="AAAATEX"/>
      </w:pPr>
      <w:r w:rsidRPr="000E1EB0">
        <w:t>- Nxitja e një roli më aktiv të JTS-ve në monitorimin e programit dhe zhvillimin e mjeteve dhe manualeve të brendshme dhe për përdoruesit e jashtëm;</w:t>
      </w:r>
    </w:p>
    <w:p w14:paraId="6D6F2428" w14:textId="3CEC440C" w:rsidR="00650E6F" w:rsidRPr="000E1EB0" w:rsidRDefault="00650E6F" w:rsidP="00650E6F">
      <w:pPr>
        <w:pStyle w:val="AAAATEX"/>
      </w:pPr>
      <w:r w:rsidRPr="000E1EB0">
        <w:t>- Përmirësimi i planifikimit dhe zbatimit të operacioneve nga SPT</w:t>
      </w:r>
      <w:r w:rsidR="006311C2">
        <w:t>-ja</w:t>
      </w:r>
      <w:r w:rsidRPr="000E1EB0">
        <w:t>.</w:t>
      </w:r>
    </w:p>
    <w:p w14:paraId="6D6F2429" w14:textId="77777777" w:rsidR="00650E6F" w:rsidRPr="000E1EB0" w:rsidRDefault="00650E6F" w:rsidP="00650E6F">
      <w:pPr>
        <w:pStyle w:val="AAAATEX"/>
      </w:pPr>
      <w:r w:rsidRPr="000E1EB0">
        <w:lastRenderedPageBreak/>
        <w:t>Rekomandimet dhe mësimet e nxjerra nga dy vlerësimet e ndërmjetme mbi programet CBC të fokusuara në strukturat qeverisëse dhe në ecurinë e ndihmës, janë marrë në konsideratë</w:t>
      </w:r>
      <w:r w:rsidRPr="000E1EB0">
        <w:rPr>
          <w:rStyle w:val="FootnoteReference"/>
        </w:rPr>
        <w:footnoteReference w:id="10"/>
      </w:r>
      <w:r w:rsidRPr="000E1EB0">
        <w:t>:</w:t>
      </w:r>
    </w:p>
    <w:p w14:paraId="6D6F242A" w14:textId="77777777" w:rsidR="00650E6F" w:rsidRPr="000E1EB0" w:rsidRDefault="00650E6F" w:rsidP="00650E6F">
      <w:pPr>
        <w:pStyle w:val="AAAATEX"/>
      </w:pPr>
      <w:r w:rsidRPr="000E1EB0">
        <w:t>- Dokumenti i programimit duhet të jetë subjekt i:</w:t>
      </w:r>
    </w:p>
    <w:p w14:paraId="6D6F242B" w14:textId="77777777" w:rsidR="00650E6F" w:rsidRPr="000E1EB0" w:rsidRDefault="00650E6F" w:rsidP="00650E6F">
      <w:pPr>
        <w:pStyle w:val="AAAATEX"/>
      </w:pPr>
      <w:r w:rsidRPr="000E1EB0">
        <w:t>1. konsultimeve publike dhe të pasqyrojë në mënyrë të qartë procesin e konsultimeve, duke përfshirë një pasqyrë të personave që morën pjesë dhe rezultatet e procesit të konsultimit;</w:t>
      </w:r>
    </w:p>
    <w:p w14:paraId="6D6F242C" w14:textId="77777777" w:rsidR="00650E6F" w:rsidRPr="000E1EB0" w:rsidRDefault="00650E6F" w:rsidP="00650E6F">
      <w:pPr>
        <w:pStyle w:val="AAAATEX"/>
      </w:pPr>
      <w:r w:rsidRPr="000E1EB0">
        <w:t xml:space="preserve">2. të përfshijë çështjet e ndërlidhura në të gjitha dokumentet e programimit dhe </w:t>
      </w:r>
    </w:p>
    <w:p w14:paraId="6D6F242D" w14:textId="77777777" w:rsidR="00650E6F" w:rsidRPr="000E1EB0" w:rsidRDefault="00650E6F" w:rsidP="00650E6F">
      <w:pPr>
        <w:pStyle w:val="AAAATEX"/>
      </w:pPr>
      <w:r w:rsidRPr="000E1EB0">
        <w:t>3. të kryejë një vlerësim të bazuar në parashikime (që do të përfshihet në dokument).</w:t>
      </w:r>
    </w:p>
    <w:p w14:paraId="6D6F242E" w14:textId="3E613956" w:rsidR="00650E6F" w:rsidRPr="000E1EB0" w:rsidRDefault="00650E6F" w:rsidP="00650E6F">
      <w:pPr>
        <w:pStyle w:val="AAAATEX"/>
      </w:pPr>
      <w:r w:rsidRPr="000E1EB0">
        <w:t>- Në lidhje me çështjet organizative, strukturat e programimit</w:t>
      </w:r>
      <w:r w:rsidR="00836A7B">
        <w:t>,</w:t>
      </w:r>
      <w:r w:rsidRPr="000E1EB0">
        <w:t xml:space="preserve"> duhet të: </w:t>
      </w:r>
    </w:p>
    <w:p w14:paraId="6D6F242F" w14:textId="77777777" w:rsidR="00650E6F" w:rsidRPr="000E1EB0" w:rsidRDefault="00650E6F" w:rsidP="00650E6F">
      <w:pPr>
        <w:pStyle w:val="AAAATEX"/>
      </w:pPr>
      <w:r w:rsidRPr="000E1EB0">
        <w:t xml:space="preserve">1. kryejnë një auditim të menaxhimit të burimeve njerëzore dhe vlerësimin e nevojave për trajnim; </w:t>
      </w:r>
    </w:p>
    <w:p w14:paraId="6D6F2430" w14:textId="7B0580B4" w:rsidR="00650E6F" w:rsidRPr="000E1EB0" w:rsidRDefault="00650E6F" w:rsidP="00650E6F">
      <w:pPr>
        <w:pStyle w:val="AAAATEX"/>
      </w:pPr>
      <w:r w:rsidRPr="000E1EB0">
        <w:t xml:space="preserve">2. transferojnë detyrat te JTS-të, duke përfshirë edhe përgatitjen për grantet e asistencës teknike; </w:t>
      </w:r>
    </w:p>
    <w:p w14:paraId="6D6F2431" w14:textId="77777777" w:rsidR="00650E6F" w:rsidRPr="000E1EB0" w:rsidRDefault="00650E6F" w:rsidP="00650E6F">
      <w:pPr>
        <w:pStyle w:val="AAAATEX"/>
      </w:pPr>
      <w:r w:rsidRPr="000E1EB0">
        <w:t>3. mbështesin zbatimin e sistemeve të monitorimit dhe vlerësimit.</w:t>
      </w:r>
    </w:p>
    <w:p w14:paraId="6D6F2432" w14:textId="56175D86" w:rsidR="00650E6F" w:rsidRPr="000E1EB0" w:rsidRDefault="00650E6F" w:rsidP="00650E6F">
      <w:pPr>
        <w:pStyle w:val="AAAATEX"/>
        <w:rPr>
          <w:b/>
        </w:rPr>
      </w:pPr>
      <w:r w:rsidRPr="000E1EB0">
        <w:rPr>
          <w:b/>
        </w:rPr>
        <w:t xml:space="preserve">3.2 Përshkrimi i </w:t>
      </w:r>
      <w:r w:rsidR="00536084" w:rsidRPr="000E1EB0">
        <w:rPr>
          <w:b/>
        </w:rPr>
        <w:t xml:space="preserve">prioriteteve tematike </w:t>
      </w:r>
      <w:r w:rsidRPr="000E1EB0">
        <w:rPr>
          <w:b/>
        </w:rPr>
        <w:t>të Programit</w:t>
      </w:r>
    </w:p>
    <w:p w14:paraId="6D6F2433" w14:textId="2A4C84B1" w:rsidR="00650E6F" w:rsidRPr="000E1EB0" w:rsidRDefault="00650E6F" w:rsidP="00650E6F">
      <w:pPr>
        <w:pStyle w:val="AAAATEX"/>
      </w:pPr>
      <w:r w:rsidRPr="000E1EB0">
        <w:t xml:space="preserve">Përshkrimi i secilit prioritet tematik (TP) është organizuar në formën </w:t>
      </w:r>
      <w:r w:rsidR="005C41F5" w:rsidRPr="000E1EB0">
        <w:t xml:space="preserve">e fletës me të dhëna për prioritet me përmbajtje dhe strukturë të njëjtë për secilin prioritet, ndërsa prioriteti i asistencës teknike ka një përbërje të veçantë. </w:t>
      </w:r>
    </w:p>
    <w:p w14:paraId="6D6F2434" w14:textId="77777777" w:rsidR="00650E6F" w:rsidRPr="000E1EB0" w:rsidRDefault="00650E6F" w:rsidP="00650E6F">
      <w:pPr>
        <w:pStyle w:val="AAAATEX"/>
      </w:pPr>
      <w:r w:rsidRPr="000E1EB0">
        <w:t xml:space="preserve">Numërimi i prioritetit tematik të programit është radhitur sipas radhës së rëndësisë së TP, e llogaritur gjatë ushtrimeve të programimit duke iu referuar regjistrimit të caktuar të TP të identifikuar në Rregulloren e IPA II. </w:t>
      </w:r>
    </w:p>
    <w:p w14:paraId="6D6F2435" w14:textId="77777777" w:rsidR="00650E6F" w:rsidRPr="000E1EB0" w:rsidRDefault="00650E6F" w:rsidP="00650E6F">
      <w:pPr>
        <w:pStyle w:val="AAAATEX"/>
      </w:pPr>
      <w:r w:rsidRPr="000E1EB0">
        <w:t xml:space="preserve">Figura e mëposhtme përshkruan logjikën e ndërhyrjes së programit dhe kryqëzimin e prioriteteve individuale me çështjet e ndërthurura dhe horizontale. </w:t>
      </w:r>
    </w:p>
    <w:p w14:paraId="6D6F2436" w14:textId="77777777" w:rsidR="00650E6F" w:rsidRPr="00201542" w:rsidRDefault="00650E6F" w:rsidP="00650E6F">
      <w:pPr>
        <w:pStyle w:val="AAAATEX"/>
        <w:rPr>
          <w:sz w:val="16"/>
        </w:rPr>
      </w:pPr>
    </w:p>
    <w:p w14:paraId="6D6F2437" w14:textId="77777777" w:rsidR="00650E6F" w:rsidRPr="000E1EB0" w:rsidRDefault="00650E6F" w:rsidP="00650E6F">
      <w:pPr>
        <w:spacing w:after="0" w:line="240" w:lineRule="auto"/>
        <w:jc w:val="both"/>
        <w:rPr>
          <w:rFonts w:ascii="Garamond" w:hAnsi="Garamond" w:cs="Tahoma"/>
          <w:sz w:val="20"/>
          <w:szCs w:val="20"/>
        </w:rPr>
      </w:pPr>
      <w:r w:rsidRPr="000E1EB0">
        <w:rPr>
          <w:rFonts w:ascii="Garamond" w:hAnsi="Garamond" w:cs="Tahoma"/>
          <w:noProof/>
          <w:sz w:val="20"/>
          <w:szCs w:val="20"/>
          <w:lang w:val="en-US"/>
        </w:rPr>
        <mc:AlternateContent>
          <mc:Choice Requires="wps">
            <w:drawing>
              <wp:anchor distT="0" distB="0" distL="114300" distR="114300" simplePos="0" relativeHeight="251658244" behindDoc="0" locked="0" layoutInCell="1" allowOverlap="1" wp14:anchorId="6D6F2CDC" wp14:editId="6D6F2CDD">
                <wp:simplePos x="0" y="0"/>
                <wp:positionH relativeFrom="column">
                  <wp:posOffset>509270</wp:posOffset>
                </wp:positionH>
                <wp:positionV relativeFrom="paragraph">
                  <wp:posOffset>79376</wp:posOffset>
                </wp:positionV>
                <wp:extent cx="3238500" cy="8953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3238500" cy="895350"/>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6D6F2D1A"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Prioriteti 1:</w:t>
                            </w:r>
                          </w:p>
                          <w:p w14:paraId="6D6F2D1B"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Nxitja e turizmit, kulturës dhe trashëgimisë natyrore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40.1pt;margin-top:6.25pt;width:25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" fillcolor="#acb9ca [1311]" strokecolor="#5b9bd5 [3204]" strokeweight="1pt">
                <v:textbox>
                  <w:txbxContent>
                    <w:p w14:paraId="6D6F2D1A"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Prioriteti 1:</w:t>
                      </w:r>
                    </w:p>
                    <w:p w14:paraId="6D6F2D1B"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Nxitja e turizmit, kulturës dhe trashëgimisë natyrore</w:t>
                      </w:r>
                    </w:p>
                  </w:txbxContent>
                </v:textbox>
              </v:shape>
            </w:pict>
          </mc:Fallback>
        </mc:AlternateContent>
      </w:r>
    </w:p>
    <w:p w14:paraId="6D6F2438" w14:textId="77777777" w:rsidR="00650E6F" w:rsidRPr="000E1EB0" w:rsidRDefault="00650E6F" w:rsidP="00650E6F">
      <w:pPr>
        <w:spacing w:after="0" w:line="240" w:lineRule="auto"/>
        <w:jc w:val="both"/>
        <w:rPr>
          <w:rFonts w:ascii="Garamond" w:hAnsi="Garamond" w:cs="Tahoma"/>
          <w:sz w:val="20"/>
          <w:szCs w:val="20"/>
        </w:rPr>
      </w:pPr>
    </w:p>
    <w:p w14:paraId="6D6F2439" w14:textId="77777777" w:rsidR="00650E6F" w:rsidRPr="000E1EB0" w:rsidRDefault="00650E6F" w:rsidP="00650E6F">
      <w:pPr>
        <w:spacing w:after="0" w:line="240" w:lineRule="auto"/>
        <w:jc w:val="both"/>
        <w:rPr>
          <w:rFonts w:ascii="Garamond" w:hAnsi="Garamond" w:cs="Tahoma"/>
          <w:sz w:val="20"/>
          <w:szCs w:val="20"/>
        </w:rPr>
      </w:pPr>
    </w:p>
    <w:p w14:paraId="6D6F243A" w14:textId="77777777" w:rsidR="00650E6F" w:rsidRPr="000E1EB0" w:rsidRDefault="00650E6F" w:rsidP="00650E6F">
      <w:pPr>
        <w:spacing w:after="0" w:line="240" w:lineRule="auto"/>
        <w:jc w:val="both"/>
        <w:rPr>
          <w:rFonts w:ascii="Garamond" w:hAnsi="Garamond" w:cs="Tahoma"/>
          <w:sz w:val="20"/>
          <w:szCs w:val="20"/>
        </w:rPr>
      </w:pPr>
    </w:p>
    <w:p w14:paraId="6D6F243B" w14:textId="77777777" w:rsidR="00650E6F" w:rsidRPr="000E1EB0" w:rsidRDefault="00650E6F" w:rsidP="00650E6F">
      <w:pPr>
        <w:spacing w:after="0" w:line="240" w:lineRule="auto"/>
        <w:jc w:val="both"/>
        <w:rPr>
          <w:rFonts w:ascii="Garamond" w:hAnsi="Garamond" w:cs="Tahoma"/>
          <w:sz w:val="20"/>
          <w:szCs w:val="20"/>
        </w:rPr>
      </w:pPr>
    </w:p>
    <w:p w14:paraId="6D6F243C" w14:textId="77777777" w:rsidR="00650E6F" w:rsidRPr="000E1EB0" w:rsidRDefault="00650E6F" w:rsidP="00650E6F">
      <w:pPr>
        <w:spacing w:after="0" w:line="240" w:lineRule="auto"/>
        <w:jc w:val="center"/>
        <w:rPr>
          <w:rFonts w:ascii="Garamond" w:hAnsi="Garamond" w:cs="Tahoma"/>
          <w:sz w:val="20"/>
          <w:szCs w:val="20"/>
        </w:rPr>
      </w:pPr>
    </w:p>
    <w:p w14:paraId="6D6F243D" w14:textId="77777777" w:rsidR="00650E6F" w:rsidRPr="000E1EB0" w:rsidRDefault="00650E6F" w:rsidP="00650E6F">
      <w:pPr>
        <w:spacing w:after="0" w:line="240" w:lineRule="auto"/>
        <w:jc w:val="center"/>
        <w:rPr>
          <w:rFonts w:ascii="Garamond" w:hAnsi="Garamond" w:cs="Tahoma"/>
          <w:sz w:val="20"/>
          <w:szCs w:val="20"/>
        </w:rPr>
      </w:pPr>
      <w:r w:rsidRPr="000E1EB0">
        <w:rPr>
          <w:rFonts w:ascii="Garamond" w:hAnsi="Garamond" w:cs="Tahoma"/>
          <w:noProof/>
          <w:sz w:val="20"/>
          <w:szCs w:val="20"/>
          <w:lang w:val="en-US"/>
        </w:rPr>
        <mc:AlternateContent>
          <mc:Choice Requires="wps">
            <w:drawing>
              <wp:anchor distT="0" distB="0" distL="114300" distR="114300" simplePos="0" relativeHeight="251658245" behindDoc="0" locked="0" layoutInCell="1" allowOverlap="1" wp14:anchorId="6D6F2CDE" wp14:editId="6D6F2CDF">
                <wp:simplePos x="0" y="0"/>
                <wp:positionH relativeFrom="column">
                  <wp:posOffset>509270</wp:posOffset>
                </wp:positionH>
                <wp:positionV relativeFrom="paragraph">
                  <wp:posOffset>150495</wp:posOffset>
                </wp:positionV>
                <wp:extent cx="3238500" cy="8953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238500" cy="895350"/>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6D6F2D1C"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Prioriteti 2:</w:t>
                            </w:r>
                          </w:p>
                          <w:p w14:paraId="6D6F2D1D" w14:textId="77777777" w:rsidR="00D92ACB" w:rsidRPr="001568D6" w:rsidRDefault="00D92ACB" w:rsidP="00650E6F">
                            <w:pPr>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Rritja e konkurrencës,</w:t>
                            </w:r>
                            <w:r w:rsidRPr="001568D6">
                              <w:rPr>
                                <w:rFonts w:ascii="Garamond" w:hAnsi="Garamond" w:cs="Tahoma"/>
                                <w:b/>
                                <w:sz w:val="24"/>
                                <w:szCs w:val="24"/>
                              </w:rPr>
                              <w:t xml:space="preserve"> </w:t>
                            </w:r>
                            <w:r w:rsidRPr="001568D6">
                              <w:rPr>
                                <w:rFonts w:ascii="Garamond" w:hAnsi="Garamond" w:cs="Tahoma"/>
                                <w:b/>
                                <w:color w:val="FFFFFF" w:themeColor="background1"/>
                                <w:sz w:val="24"/>
                                <w:szCs w:val="24"/>
                                <w:lang w:val="it-IT"/>
                              </w:rPr>
                              <w:t>biznesit, tregtisë dhe investimeve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27" type="#_x0000_t202" style="position:absolute;left:0;text-align:left;margin-left:40.1pt;margin-top:11.85pt;width:255pt;height:7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" fillcolor="#acb9ca [1311]" strokecolor="#5b9bd5 [3204]" strokeweight="1pt">
                <v:textbox>
                  <w:txbxContent>
                    <w:p w14:paraId="6D6F2D1C"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Prioriteti 2:</w:t>
                      </w:r>
                    </w:p>
                    <w:p w14:paraId="6D6F2D1D" w14:textId="77777777" w:rsidR="00D92ACB" w:rsidRPr="001568D6" w:rsidRDefault="00D92ACB" w:rsidP="00650E6F">
                      <w:pPr>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Rritja e konkurrencës,</w:t>
                      </w:r>
                      <w:r w:rsidRPr="001568D6">
                        <w:rPr>
                          <w:rFonts w:ascii="Garamond" w:hAnsi="Garamond" w:cs="Tahoma"/>
                          <w:b/>
                          <w:sz w:val="24"/>
                          <w:szCs w:val="24"/>
                        </w:rPr>
                        <w:t xml:space="preserve"> </w:t>
                      </w:r>
                      <w:r w:rsidRPr="001568D6">
                        <w:rPr>
                          <w:rFonts w:ascii="Garamond" w:hAnsi="Garamond" w:cs="Tahoma"/>
                          <w:b/>
                          <w:color w:val="FFFFFF" w:themeColor="background1"/>
                          <w:sz w:val="24"/>
                          <w:szCs w:val="24"/>
                          <w:lang w:val="it-IT"/>
                        </w:rPr>
                        <w:t>biznesit, tregtisë dhe investimeve</w:t>
                      </w:r>
                    </w:p>
                  </w:txbxContent>
                </v:textbox>
              </v:shape>
            </w:pict>
          </mc:Fallback>
        </mc:AlternateContent>
      </w:r>
    </w:p>
    <w:p w14:paraId="6D6F243E" w14:textId="77777777" w:rsidR="00650E6F" w:rsidRPr="000E1EB0" w:rsidRDefault="00650E6F" w:rsidP="00650E6F">
      <w:pPr>
        <w:spacing w:after="0" w:line="240" w:lineRule="auto"/>
        <w:jc w:val="center"/>
        <w:rPr>
          <w:rFonts w:ascii="Garamond" w:hAnsi="Garamond" w:cs="Tahoma"/>
          <w:sz w:val="20"/>
          <w:szCs w:val="20"/>
        </w:rPr>
      </w:pPr>
      <w:r w:rsidRPr="000E1EB0">
        <w:rPr>
          <w:rFonts w:ascii="Garamond" w:hAnsi="Garamond" w:cs="Tahoma"/>
          <w:noProof/>
          <w:sz w:val="20"/>
          <w:szCs w:val="20"/>
          <w:lang w:val="en-US"/>
        </w:rPr>
        <mc:AlternateContent>
          <mc:Choice Requires="wps">
            <w:drawing>
              <wp:anchor distT="0" distB="0" distL="114300" distR="114300" simplePos="0" relativeHeight="251658249" behindDoc="0" locked="0" layoutInCell="1" allowOverlap="1" wp14:anchorId="6D6F2CE0" wp14:editId="6D6F2CE1">
                <wp:simplePos x="0" y="0"/>
                <wp:positionH relativeFrom="column">
                  <wp:posOffset>3434080</wp:posOffset>
                </wp:positionH>
                <wp:positionV relativeFrom="paragraph">
                  <wp:posOffset>129540</wp:posOffset>
                </wp:positionV>
                <wp:extent cx="2901315" cy="647700"/>
                <wp:effectExtent l="2858" t="0" r="16192" b="16193"/>
                <wp:wrapNone/>
                <wp:docPr id="26" name="Text Box 26"/>
                <wp:cNvGraphicFramePr/>
                <a:graphic xmlns:a="http://schemas.openxmlformats.org/drawingml/2006/main">
                  <a:graphicData uri="http://schemas.microsoft.com/office/word/2010/wordprocessingShape">
                    <wps:wsp>
                      <wps:cNvSpPr txBox="1"/>
                      <wps:spPr>
                        <a:xfrm rot="16200000">
                          <a:off x="0" y="0"/>
                          <a:ext cx="2901315" cy="647700"/>
                        </a:xfrm>
                        <a:prstGeom prst="rect">
                          <a:avLst/>
                        </a:prstGeom>
                        <a:solidFill>
                          <a:srgbClr val="92D050"/>
                        </a:solidFill>
                        <a:ln/>
                      </wps:spPr>
                      <wps:style>
                        <a:lnRef idx="2">
                          <a:schemeClr val="accent1"/>
                        </a:lnRef>
                        <a:fillRef idx="1">
                          <a:schemeClr val="lt1"/>
                        </a:fillRef>
                        <a:effectRef idx="0">
                          <a:schemeClr val="accent1"/>
                        </a:effectRef>
                        <a:fontRef idx="minor">
                          <a:schemeClr val="dk1"/>
                        </a:fontRef>
                      </wps:style>
                      <wps:txbx>
                        <w:txbxContent>
                          <w:p w14:paraId="6D6F2D1E" w14:textId="0AB1046A"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Rritja e mençur, e qendrueshme dhe gjithëpërfshirëse, qëndrueshmëria sociale dhe mjedisore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28" type="#_x0000_t202" style="position:absolute;left:0;text-align:left;margin-left:270.4pt;margin-top:10.2pt;width:228.45pt;height:51pt;rotation:-90;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" fillcolor="#92d050" strokecolor="#5b9bd5 [3204]" strokeweight="1pt">
                <v:textbox>
                  <w:txbxContent>
                    <w:p w14:paraId="6D6F2D1E" w14:textId="0AB1046A"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Rritja e mençur, e qendrueshme dhe gjithëpërfshirëse, qëndrueshmëria sociale dhe mjedisore</w:t>
                      </w:r>
                    </w:p>
                  </w:txbxContent>
                </v:textbox>
              </v:shape>
            </w:pict>
          </mc:Fallback>
        </mc:AlternateContent>
      </w:r>
      <w:r w:rsidRPr="000E1EB0">
        <w:rPr>
          <w:rFonts w:ascii="Garamond" w:hAnsi="Garamond" w:cs="Tahoma"/>
          <w:noProof/>
          <w:sz w:val="20"/>
          <w:szCs w:val="20"/>
          <w:lang w:val="en-US"/>
        </w:rPr>
        <mc:AlternateContent>
          <mc:Choice Requires="wps">
            <w:drawing>
              <wp:anchor distT="0" distB="0" distL="114300" distR="114300" simplePos="0" relativeHeight="251658248" behindDoc="0" locked="0" layoutInCell="1" allowOverlap="1" wp14:anchorId="6D6F2CE2" wp14:editId="6D6F2CE3">
                <wp:simplePos x="0" y="0"/>
                <wp:positionH relativeFrom="column">
                  <wp:posOffset>2721451</wp:posOffset>
                </wp:positionH>
                <wp:positionV relativeFrom="paragraph">
                  <wp:posOffset>132556</wp:posOffset>
                </wp:positionV>
                <wp:extent cx="2900363" cy="647700"/>
                <wp:effectExtent l="2223" t="0" r="16827" b="16828"/>
                <wp:wrapNone/>
                <wp:docPr id="25" name="Text Box 25"/>
                <wp:cNvGraphicFramePr/>
                <a:graphic xmlns:a="http://schemas.openxmlformats.org/drawingml/2006/main">
                  <a:graphicData uri="http://schemas.microsoft.com/office/word/2010/wordprocessingShape">
                    <wps:wsp>
                      <wps:cNvSpPr txBox="1"/>
                      <wps:spPr>
                        <a:xfrm rot="16200000">
                          <a:off x="0" y="0"/>
                          <a:ext cx="2900363" cy="647700"/>
                        </a:xfrm>
                        <a:prstGeom prst="rect">
                          <a:avLst/>
                        </a:prstGeom>
                        <a:solidFill>
                          <a:schemeClr val="accent4">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6D6F2D1F" w14:textId="77777777" w:rsidR="00D92ACB" w:rsidRPr="001568D6" w:rsidRDefault="00D92ACB" w:rsidP="00650E6F">
                            <w:pPr>
                              <w:jc w:val="center"/>
                              <w:rPr>
                                <w:rFonts w:ascii="Garamond" w:hAnsi="Garamond"/>
                                <w:sz w:val="24"/>
                                <w:szCs w:val="24"/>
                                <w:lang w:val="en-US"/>
                              </w:rPr>
                            </w:pPr>
                            <w:r w:rsidRPr="001568D6">
                              <w:rPr>
                                <w:rFonts w:ascii="Garamond" w:hAnsi="Garamond" w:cs="Tahoma"/>
                                <w:b/>
                                <w:color w:val="FFFFFF" w:themeColor="background1"/>
                                <w:sz w:val="24"/>
                                <w:szCs w:val="24"/>
                                <w:lang w:val="it-IT"/>
                              </w:rPr>
                              <w:t>Rrjetet dhe LPP-të Institucionale dhe të bashkëpunimit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29" type="#_x0000_t202" style="position:absolute;left:0;text-align:left;margin-left:214.3pt;margin-top:10.45pt;width:228.4pt;height:51pt;rotation:-90;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" fillcolor="#ffd966 [1943]" strokecolor="#5b9bd5 [3204]" strokeweight="1pt">
                <v:textbox>
                  <w:txbxContent>
                    <w:p w14:paraId="6D6F2D1F" w14:textId="77777777" w:rsidR="00D92ACB" w:rsidRPr="001568D6" w:rsidRDefault="00D92ACB" w:rsidP="00650E6F">
                      <w:pPr>
                        <w:jc w:val="center"/>
                        <w:rPr>
                          <w:rFonts w:ascii="Garamond" w:hAnsi="Garamond"/>
                          <w:sz w:val="24"/>
                          <w:szCs w:val="24"/>
                          <w:lang w:val="en-US"/>
                        </w:rPr>
                      </w:pPr>
                      <w:r w:rsidRPr="001568D6">
                        <w:rPr>
                          <w:rFonts w:ascii="Garamond" w:hAnsi="Garamond" w:cs="Tahoma"/>
                          <w:b/>
                          <w:color w:val="FFFFFF" w:themeColor="background1"/>
                          <w:sz w:val="24"/>
                          <w:szCs w:val="24"/>
                          <w:lang w:val="it-IT"/>
                        </w:rPr>
                        <w:t>Rrjetet dhe LPP-të Institucionale dhe të bashkëpunimit</w:t>
                      </w:r>
                    </w:p>
                  </w:txbxContent>
                </v:textbox>
              </v:shape>
            </w:pict>
          </mc:Fallback>
        </mc:AlternateContent>
      </w:r>
    </w:p>
    <w:p w14:paraId="6D6F243F" w14:textId="77777777" w:rsidR="00650E6F" w:rsidRPr="000E1EB0" w:rsidRDefault="00650E6F" w:rsidP="00650E6F">
      <w:pPr>
        <w:spacing w:after="0" w:line="240" w:lineRule="auto"/>
        <w:jc w:val="center"/>
        <w:rPr>
          <w:rFonts w:ascii="Garamond" w:hAnsi="Garamond" w:cs="Tahoma"/>
          <w:sz w:val="20"/>
          <w:szCs w:val="20"/>
        </w:rPr>
      </w:pPr>
    </w:p>
    <w:p w14:paraId="6D6F2440" w14:textId="77777777" w:rsidR="00650E6F" w:rsidRPr="000E1EB0" w:rsidRDefault="00650E6F" w:rsidP="00650E6F">
      <w:pPr>
        <w:spacing w:after="0" w:line="240" w:lineRule="auto"/>
        <w:jc w:val="center"/>
        <w:rPr>
          <w:rFonts w:ascii="Garamond" w:hAnsi="Garamond" w:cs="Tahoma"/>
          <w:sz w:val="20"/>
          <w:szCs w:val="20"/>
        </w:rPr>
      </w:pPr>
    </w:p>
    <w:p w14:paraId="6D6F2441" w14:textId="77777777" w:rsidR="00650E6F" w:rsidRPr="000E1EB0" w:rsidRDefault="00650E6F" w:rsidP="00650E6F">
      <w:pPr>
        <w:spacing w:after="0" w:line="240" w:lineRule="auto"/>
        <w:jc w:val="center"/>
        <w:rPr>
          <w:rFonts w:ascii="Garamond" w:hAnsi="Garamond" w:cs="Tahoma"/>
          <w:sz w:val="20"/>
          <w:szCs w:val="20"/>
        </w:rPr>
      </w:pPr>
    </w:p>
    <w:p w14:paraId="6D6F2442" w14:textId="77777777" w:rsidR="00650E6F" w:rsidRPr="000E1EB0" w:rsidRDefault="00650E6F" w:rsidP="00650E6F">
      <w:pPr>
        <w:spacing w:after="0" w:line="240" w:lineRule="auto"/>
        <w:jc w:val="center"/>
        <w:rPr>
          <w:rFonts w:ascii="Garamond" w:hAnsi="Garamond" w:cs="Tahoma"/>
          <w:sz w:val="20"/>
          <w:szCs w:val="20"/>
        </w:rPr>
      </w:pPr>
    </w:p>
    <w:p w14:paraId="6D6F2443" w14:textId="77777777" w:rsidR="00650E6F" w:rsidRPr="000E1EB0" w:rsidRDefault="00650E6F" w:rsidP="00650E6F">
      <w:pPr>
        <w:spacing w:after="0" w:line="240" w:lineRule="auto"/>
        <w:jc w:val="center"/>
        <w:rPr>
          <w:rFonts w:ascii="Garamond" w:hAnsi="Garamond" w:cs="Tahoma"/>
          <w:sz w:val="20"/>
          <w:szCs w:val="20"/>
        </w:rPr>
      </w:pPr>
    </w:p>
    <w:p w14:paraId="6D6F2444" w14:textId="77777777" w:rsidR="00650E6F" w:rsidRPr="000E1EB0" w:rsidRDefault="00650E6F" w:rsidP="00650E6F">
      <w:pPr>
        <w:spacing w:after="0" w:line="240" w:lineRule="auto"/>
        <w:jc w:val="center"/>
        <w:rPr>
          <w:rFonts w:ascii="Garamond" w:hAnsi="Garamond" w:cs="Tahoma"/>
          <w:sz w:val="20"/>
          <w:szCs w:val="20"/>
        </w:rPr>
      </w:pPr>
      <w:r w:rsidRPr="000E1EB0">
        <w:rPr>
          <w:rFonts w:ascii="Garamond" w:hAnsi="Garamond" w:cs="Tahoma"/>
          <w:noProof/>
          <w:sz w:val="20"/>
          <w:szCs w:val="20"/>
          <w:lang w:val="en-US"/>
        </w:rPr>
        <mc:AlternateContent>
          <mc:Choice Requires="wps">
            <w:drawing>
              <wp:anchor distT="0" distB="0" distL="114300" distR="114300" simplePos="0" relativeHeight="251658246" behindDoc="0" locked="0" layoutInCell="1" allowOverlap="1" wp14:anchorId="6D6F2CE4" wp14:editId="6D6F2CE5">
                <wp:simplePos x="0" y="0"/>
                <wp:positionH relativeFrom="column">
                  <wp:posOffset>509270</wp:posOffset>
                </wp:positionH>
                <wp:positionV relativeFrom="paragraph">
                  <wp:posOffset>58420</wp:posOffset>
                </wp:positionV>
                <wp:extent cx="3238500" cy="92392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3238500" cy="923925"/>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6D6F2D20"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Prioriteti 3:</w:t>
                            </w:r>
                          </w:p>
                          <w:p w14:paraId="6D6F2D21"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 xml:space="preserve">Mbrojtja e mjedisit, nxitja e përshtatjes dhe lehtësimit ndaj ndryshimeve klimatike, </w:t>
                            </w:r>
                          </w:p>
                          <w:p w14:paraId="6D6F2D22" w14:textId="77777777" w:rsidR="00D92ACB" w:rsidRPr="001568D6" w:rsidRDefault="00D92ACB" w:rsidP="00650E6F">
                            <w:pPr>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parandalimi dhe</w:t>
                            </w:r>
                            <w:r w:rsidRPr="001568D6">
                              <w:rPr>
                                <w:rFonts w:ascii="Garamond" w:hAnsi="Garamond" w:cs="Tahoma"/>
                                <w:b/>
                                <w:sz w:val="24"/>
                                <w:szCs w:val="24"/>
                              </w:rPr>
                              <w:t xml:space="preserve"> </w:t>
                            </w:r>
                            <w:r w:rsidRPr="001568D6">
                              <w:rPr>
                                <w:rFonts w:ascii="Garamond" w:hAnsi="Garamond" w:cs="Tahoma"/>
                                <w:b/>
                                <w:color w:val="FFFFFF" w:themeColor="background1"/>
                                <w:sz w:val="24"/>
                                <w:szCs w:val="24"/>
                                <w:lang w:val="it-IT"/>
                              </w:rPr>
                              <w:t>menaxhimi i rrezikut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40.1pt;margin-top:4.6pt;width:255pt;height:72.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" fillcolor="#acb9ca [1311]" strokecolor="#5b9bd5 [3204]" strokeweight="1pt">
                <v:textbox>
                  <w:txbxContent>
                    <w:p w14:paraId="6D6F2D20"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Prioriteti 3:</w:t>
                      </w:r>
                    </w:p>
                    <w:p w14:paraId="6D6F2D21" w14:textId="77777777" w:rsidR="00D92ACB" w:rsidRPr="001568D6" w:rsidRDefault="00D92ACB" w:rsidP="00650E6F">
                      <w:pPr>
                        <w:spacing w:after="0"/>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 xml:space="preserve">Mbrojtja e mjedisit, nxitja e përshtatjes dhe lehtësimit ndaj ndryshimeve klimatike, </w:t>
                      </w:r>
                    </w:p>
                    <w:p w14:paraId="6D6F2D22" w14:textId="77777777" w:rsidR="00D92ACB" w:rsidRPr="001568D6" w:rsidRDefault="00D92ACB" w:rsidP="00650E6F">
                      <w:pPr>
                        <w:jc w:val="center"/>
                        <w:rPr>
                          <w:rFonts w:ascii="Garamond" w:hAnsi="Garamond" w:cs="Tahoma"/>
                          <w:b/>
                          <w:color w:val="FFFFFF" w:themeColor="background1"/>
                          <w:sz w:val="24"/>
                          <w:szCs w:val="24"/>
                          <w:lang w:val="it-IT"/>
                        </w:rPr>
                      </w:pPr>
                      <w:r w:rsidRPr="001568D6">
                        <w:rPr>
                          <w:rFonts w:ascii="Garamond" w:hAnsi="Garamond" w:cs="Tahoma"/>
                          <w:b/>
                          <w:color w:val="FFFFFF" w:themeColor="background1"/>
                          <w:sz w:val="24"/>
                          <w:szCs w:val="24"/>
                          <w:lang w:val="it-IT"/>
                        </w:rPr>
                        <w:t>parandalimi dhe</w:t>
                      </w:r>
                      <w:r w:rsidRPr="001568D6">
                        <w:rPr>
                          <w:rFonts w:ascii="Garamond" w:hAnsi="Garamond" w:cs="Tahoma"/>
                          <w:b/>
                          <w:sz w:val="24"/>
                          <w:szCs w:val="24"/>
                        </w:rPr>
                        <w:t xml:space="preserve"> </w:t>
                      </w:r>
                      <w:r w:rsidRPr="001568D6">
                        <w:rPr>
                          <w:rFonts w:ascii="Garamond" w:hAnsi="Garamond" w:cs="Tahoma"/>
                          <w:b/>
                          <w:color w:val="FFFFFF" w:themeColor="background1"/>
                          <w:sz w:val="24"/>
                          <w:szCs w:val="24"/>
                          <w:lang w:val="it-IT"/>
                        </w:rPr>
                        <w:t>menaxhimi i rrezikut</w:t>
                      </w:r>
                    </w:p>
                  </w:txbxContent>
                </v:textbox>
              </v:shape>
            </w:pict>
          </mc:Fallback>
        </mc:AlternateContent>
      </w:r>
    </w:p>
    <w:p w14:paraId="6D6F2445" w14:textId="77777777" w:rsidR="00650E6F" w:rsidRPr="000E1EB0" w:rsidRDefault="00650E6F" w:rsidP="00650E6F">
      <w:pPr>
        <w:spacing w:after="0" w:line="240" w:lineRule="auto"/>
        <w:jc w:val="center"/>
        <w:rPr>
          <w:rFonts w:ascii="Garamond" w:hAnsi="Garamond" w:cs="Tahoma"/>
          <w:sz w:val="20"/>
          <w:szCs w:val="20"/>
        </w:rPr>
      </w:pPr>
    </w:p>
    <w:p w14:paraId="6D6F2446" w14:textId="77777777" w:rsidR="00650E6F" w:rsidRPr="000E1EB0" w:rsidRDefault="00650E6F" w:rsidP="00650E6F">
      <w:pPr>
        <w:spacing w:after="0" w:line="240" w:lineRule="auto"/>
        <w:jc w:val="center"/>
        <w:rPr>
          <w:rFonts w:ascii="Garamond" w:hAnsi="Garamond" w:cs="Tahoma"/>
          <w:sz w:val="20"/>
          <w:szCs w:val="20"/>
        </w:rPr>
      </w:pPr>
    </w:p>
    <w:p w14:paraId="6D6F2447" w14:textId="77777777" w:rsidR="00650E6F" w:rsidRPr="000E1EB0" w:rsidRDefault="00650E6F" w:rsidP="00650E6F">
      <w:pPr>
        <w:spacing w:after="0" w:line="240" w:lineRule="auto"/>
        <w:jc w:val="center"/>
        <w:rPr>
          <w:rFonts w:ascii="Garamond" w:hAnsi="Garamond" w:cs="Tahoma"/>
          <w:sz w:val="20"/>
          <w:szCs w:val="20"/>
        </w:rPr>
      </w:pPr>
    </w:p>
    <w:p w14:paraId="6D6F2448" w14:textId="77777777" w:rsidR="00650E6F" w:rsidRPr="000E1EB0" w:rsidRDefault="00650E6F" w:rsidP="00650E6F">
      <w:pPr>
        <w:spacing w:after="0" w:line="240" w:lineRule="auto"/>
        <w:jc w:val="center"/>
        <w:rPr>
          <w:rFonts w:ascii="Garamond" w:hAnsi="Garamond" w:cs="Tahoma"/>
          <w:sz w:val="20"/>
          <w:szCs w:val="20"/>
        </w:rPr>
      </w:pPr>
    </w:p>
    <w:p w14:paraId="6D6F2449" w14:textId="77777777" w:rsidR="00650E6F" w:rsidRPr="000E1EB0" w:rsidRDefault="00650E6F" w:rsidP="00650E6F">
      <w:pPr>
        <w:spacing w:after="0" w:line="240" w:lineRule="auto"/>
        <w:jc w:val="center"/>
        <w:rPr>
          <w:rFonts w:ascii="Garamond" w:hAnsi="Garamond" w:cs="Tahoma"/>
          <w:sz w:val="20"/>
          <w:szCs w:val="20"/>
        </w:rPr>
      </w:pPr>
    </w:p>
    <w:p w14:paraId="6D6F244A" w14:textId="77777777" w:rsidR="00650E6F" w:rsidRPr="000E1EB0" w:rsidRDefault="00650E6F" w:rsidP="00650E6F">
      <w:pPr>
        <w:spacing w:after="0" w:line="240" w:lineRule="auto"/>
        <w:jc w:val="center"/>
        <w:rPr>
          <w:rFonts w:ascii="Garamond" w:hAnsi="Garamond" w:cs="Tahoma"/>
          <w:sz w:val="20"/>
          <w:szCs w:val="20"/>
        </w:rPr>
      </w:pPr>
    </w:p>
    <w:p w14:paraId="6D6F244B" w14:textId="77777777" w:rsidR="00650E6F" w:rsidRPr="000E1EB0" w:rsidRDefault="00650E6F" w:rsidP="00650E6F">
      <w:pPr>
        <w:spacing w:after="0" w:line="240" w:lineRule="auto"/>
        <w:jc w:val="center"/>
        <w:rPr>
          <w:rFonts w:ascii="Garamond" w:hAnsi="Garamond" w:cs="Tahoma"/>
          <w:sz w:val="20"/>
          <w:szCs w:val="20"/>
        </w:rPr>
      </w:pPr>
      <w:r w:rsidRPr="000E1EB0">
        <w:rPr>
          <w:rFonts w:ascii="Garamond" w:hAnsi="Garamond" w:cs="Tahoma"/>
          <w:noProof/>
          <w:sz w:val="20"/>
          <w:szCs w:val="20"/>
          <w:lang w:val="en-US"/>
        </w:rPr>
        <mc:AlternateContent>
          <mc:Choice Requires="wps">
            <w:drawing>
              <wp:anchor distT="0" distB="0" distL="114300" distR="114300" simplePos="0" relativeHeight="251658247" behindDoc="0" locked="0" layoutInCell="1" allowOverlap="1" wp14:anchorId="6D6F2CE6" wp14:editId="2D5FF697">
                <wp:simplePos x="0" y="0"/>
                <wp:positionH relativeFrom="column">
                  <wp:posOffset>500067</wp:posOffset>
                </wp:positionH>
                <wp:positionV relativeFrom="paragraph">
                  <wp:posOffset>9373</wp:posOffset>
                </wp:positionV>
                <wp:extent cx="4695825" cy="39052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4695825" cy="390525"/>
                        </a:xfrm>
                        <a:prstGeom prst="rect">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6D6F2D23" w14:textId="306E90CE" w:rsidR="00D92ACB" w:rsidRPr="00E23344" w:rsidRDefault="00D92ACB" w:rsidP="00650E6F">
                            <w:pPr>
                              <w:spacing w:after="0"/>
                              <w:jc w:val="center"/>
                              <w:rPr>
                                <w:rFonts w:ascii="Garamond" w:hAnsi="Garamond" w:cs="Tahoma"/>
                                <w:b/>
                                <w:color w:val="FFFFFF" w:themeColor="background1"/>
                                <w:sz w:val="24"/>
                                <w:szCs w:val="24"/>
                                <w:lang w:val="it-IT"/>
                              </w:rPr>
                            </w:pPr>
                            <w:r w:rsidRPr="00E23344">
                              <w:rPr>
                                <w:rFonts w:ascii="Garamond" w:hAnsi="Garamond" w:cs="Tahoma"/>
                                <w:b/>
                                <w:color w:val="FFFFFF" w:themeColor="background1"/>
                                <w:sz w:val="24"/>
                                <w:szCs w:val="24"/>
                                <w:lang w:val="it-IT"/>
                              </w:rPr>
                              <w:t>Asistenca teknike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1" type="#_x0000_t202" style="position:absolute;left:0;text-align:left;margin-left:39.4pt;margin-top:.75pt;width:369.75pt;height:30.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" fillcolor="#70ad47 [3209]" strokecolor="#5b9bd5 [3204]" strokeweight="1pt">
                <v:textbox>
                  <w:txbxContent>
                    <w:p w14:paraId="6D6F2D23" w14:textId="306E90CE" w:rsidR="00D92ACB" w:rsidRPr="00E23344" w:rsidRDefault="00D92ACB" w:rsidP="00650E6F">
                      <w:pPr>
                        <w:spacing w:after="0"/>
                        <w:jc w:val="center"/>
                        <w:rPr>
                          <w:rFonts w:ascii="Garamond" w:hAnsi="Garamond" w:cs="Tahoma"/>
                          <w:b/>
                          <w:color w:val="FFFFFF" w:themeColor="background1"/>
                          <w:sz w:val="24"/>
                          <w:szCs w:val="24"/>
                          <w:lang w:val="it-IT"/>
                        </w:rPr>
                      </w:pPr>
                      <w:r w:rsidRPr="00E23344">
                        <w:rPr>
                          <w:rFonts w:ascii="Garamond" w:hAnsi="Garamond" w:cs="Tahoma"/>
                          <w:b/>
                          <w:color w:val="FFFFFF" w:themeColor="background1"/>
                          <w:sz w:val="24"/>
                          <w:szCs w:val="24"/>
                          <w:lang w:val="it-IT"/>
                        </w:rPr>
                        <w:t>Asistenca teknike</w:t>
                      </w:r>
                    </w:p>
                  </w:txbxContent>
                </v:textbox>
              </v:shape>
            </w:pict>
          </mc:Fallback>
        </mc:AlternateContent>
      </w:r>
    </w:p>
    <w:p w14:paraId="6D6F244C" w14:textId="77777777" w:rsidR="00650E6F" w:rsidRPr="000E1EB0" w:rsidRDefault="00650E6F" w:rsidP="00650E6F">
      <w:pPr>
        <w:spacing w:after="0" w:line="240" w:lineRule="auto"/>
        <w:jc w:val="center"/>
        <w:rPr>
          <w:rFonts w:ascii="Garamond" w:hAnsi="Garamond" w:cs="Tahoma"/>
          <w:sz w:val="20"/>
          <w:szCs w:val="20"/>
        </w:rPr>
      </w:pPr>
    </w:p>
    <w:p w14:paraId="6D6F244D" w14:textId="77777777" w:rsidR="00650E6F" w:rsidRPr="000E1EB0" w:rsidRDefault="00650E6F" w:rsidP="00650E6F">
      <w:pPr>
        <w:spacing w:after="0" w:line="240" w:lineRule="auto"/>
        <w:jc w:val="both"/>
        <w:rPr>
          <w:rFonts w:ascii="Garamond" w:hAnsi="Garamond" w:cs="Tahoma"/>
          <w:sz w:val="20"/>
          <w:szCs w:val="20"/>
        </w:rPr>
      </w:pPr>
    </w:p>
    <w:p w14:paraId="6D6F244E" w14:textId="77777777" w:rsidR="00650E6F" w:rsidRPr="00201542" w:rsidRDefault="00650E6F" w:rsidP="00650E6F">
      <w:pPr>
        <w:pStyle w:val="AAAATEX"/>
        <w:rPr>
          <w:sz w:val="16"/>
        </w:rPr>
      </w:pPr>
    </w:p>
    <w:p w14:paraId="6D6F244F" w14:textId="56976168" w:rsidR="00650E6F" w:rsidRPr="000E1EB0" w:rsidRDefault="00650E6F" w:rsidP="00650E6F">
      <w:pPr>
        <w:pStyle w:val="AAAATEX"/>
        <w:rPr>
          <w:color w:val="000000"/>
        </w:rPr>
      </w:pPr>
      <w:r w:rsidRPr="000E1EB0">
        <w:rPr>
          <w:color w:val="000000"/>
        </w:rPr>
        <w:t xml:space="preserve">Meqë perspektiva e programimit për vitet </w:t>
      </w:r>
      <w:r w:rsidR="00BE160D">
        <w:rPr>
          <w:color w:val="000000"/>
        </w:rPr>
        <w:t>2014–2020</w:t>
      </w:r>
      <w:r w:rsidRPr="000E1EB0">
        <w:rPr>
          <w:color w:val="000000"/>
        </w:rPr>
        <w:t xml:space="preserve"> është më e orientuar drejt rezultateve se sa kuadri i IPA </w:t>
      </w:r>
      <w:r w:rsidR="00BC47F8">
        <w:rPr>
          <w:color w:val="000000"/>
        </w:rPr>
        <w:t>2007–2013</w:t>
      </w:r>
      <w:r w:rsidRPr="000E1EB0">
        <w:rPr>
          <w:color w:val="000000"/>
        </w:rPr>
        <w:t xml:space="preserve">, të gjithë treguesit e rezultateve të paraqitur në fletët e të dhënave më poshtë </w:t>
      </w:r>
      <w:r w:rsidRPr="00350F87">
        <w:rPr>
          <w:color w:val="000000"/>
        </w:rPr>
        <w:lastRenderedPageBreak/>
        <w:t>synojnë që të informojnë mbi përzgjedhjen e operacioneve dhe projekteve që do të mbështeten.</w:t>
      </w:r>
      <w:r w:rsidRPr="000E1EB0">
        <w:rPr>
          <w:color w:val="000000"/>
        </w:rPr>
        <w:t xml:space="preserve"> Këto do të kontribuojnë drejtpërdrejt në përcaktimin e treguesve për Programin.</w:t>
      </w:r>
    </w:p>
    <w:p w14:paraId="6D6F2450" w14:textId="78C059B2" w:rsidR="00650E6F" w:rsidRPr="000E1EB0" w:rsidRDefault="00650E6F" w:rsidP="00650E6F">
      <w:pPr>
        <w:pStyle w:val="AAAATEX"/>
        <w:rPr>
          <w:color w:val="000000"/>
        </w:rPr>
      </w:pPr>
      <w:r w:rsidRPr="000E1EB0">
        <w:rPr>
          <w:color w:val="000000"/>
        </w:rPr>
        <w:t xml:space="preserve">Përmbajtja e ndërhyrjes e përshkruar më poshtë ka marrë në konsideratë vërejtjet dhe komentet konstruktive të prodhuara gjatë aktiviteteve të konsultimeve publike të zhvilluara në zonën e programit në periudhën dhjetor 2013 </w:t>
      </w:r>
      <w:r w:rsidR="006F33F7">
        <w:rPr>
          <w:color w:val="000000"/>
        </w:rPr>
        <w:t>–</w:t>
      </w:r>
      <w:r w:rsidRPr="000E1EB0">
        <w:rPr>
          <w:color w:val="000000"/>
        </w:rPr>
        <w:t xml:space="preserve"> mars</w:t>
      </w:r>
      <w:r w:rsidR="006F33F7">
        <w:rPr>
          <w:color w:val="000000"/>
        </w:rPr>
        <w:t xml:space="preserve"> </w:t>
      </w:r>
      <w:r w:rsidRPr="000E1EB0">
        <w:rPr>
          <w:color w:val="000000"/>
        </w:rPr>
        <w:t>2014.</w:t>
      </w:r>
    </w:p>
    <w:p w14:paraId="6D6F2451" w14:textId="7A6E1A62" w:rsidR="00650E6F" w:rsidRPr="000E1EB0" w:rsidRDefault="00650E6F" w:rsidP="00650E6F">
      <w:pPr>
        <w:pStyle w:val="AAAATEX"/>
        <w:rPr>
          <w:b/>
          <w:bCs/>
          <w:color w:val="000000"/>
        </w:rPr>
      </w:pPr>
      <w:r w:rsidRPr="000E1EB0">
        <w:rPr>
          <w:b/>
          <w:bCs/>
          <w:color w:val="000000"/>
        </w:rPr>
        <w:t xml:space="preserve">Prioriteti </w:t>
      </w:r>
      <w:r w:rsidR="00B347E7" w:rsidRPr="000E1EB0">
        <w:rPr>
          <w:b/>
          <w:bCs/>
          <w:color w:val="000000"/>
        </w:rPr>
        <w:t xml:space="preserve">tematik </w:t>
      </w:r>
      <w:r w:rsidRPr="000E1EB0">
        <w:rPr>
          <w:b/>
          <w:bCs/>
          <w:color w:val="000000"/>
        </w:rPr>
        <w:t>1</w:t>
      </w:r>
      <w:r w:rsidR="00B347E7">
        <w:rPr>
          <w:b/>
          <w:bCs/>
          <w:color w:val="000000"/>
        </w:rPr>
        <w:t>.</w:t>
      </w:r>
      <w:r w:rsidRPr="000E1EB0">
        <w:rPr>
          <w:b/>
          <w:bCs/>
          <w:color w:val="000000"/>
        </w:rPr>
        <w:t xml:space="preserve"> Nxitja e turizmit, kulturës dhe trashëgimisë natyrore (TP4)</w:t>
      </w:r>
    </w:p>
    <w:p w14:paraId="6D6F2452" w14:textId="5FB9C6E3" w:rsidR="00650E6F" w:rsidRPr="000E1EB0" w:rsidRDefault="00650E6F" w:rsidP="00650E6F">
      <w:pPr>
        <w:pStyle w:val="AAAATEX"/>
        <w:rPr>
          <w:b/>
          <w:bCs/>
          <w:color w:val="000000"/>
        </w:rPr>
      </w:pPr>
      <w:r w:rsidRPr="000E1EB0">
        <w:rPr>
          <w:b/>
          <w:bCs/>
          <w:color w:val="000000"/>
        </w:rPr>
        <w:t xml:space="preserve">Përmbledhje e </w:t>
      </w:r>
      <w:r w:rsidR="00B347E7" w:rsidRPr="000E1EB0">
        <w:rPr>
          <w:b/>
          <w:bCs/>
          <w:color w:val="000000"/>
        </w:rPr>
        <w:t>prioritetit tematik dhe referenca strategjike</w:t>
      </w:r>
    </w:p>
    <w:p w14:paraId="6D6F2453" w14:textId="77777777" w:rsidR="00650E6F" w:rsidRPr="000E1EB0" w:rsidRDefault="00650E6F" w:rsidP="00650E6F">
      <w:pPr>
        <w:pStyle w:val="AAAATEX"/>
        <w:rPr>
          <w:color w:val="000000"/>
        </w:rPr>
      </w:pPr>
      <w:r w:rsidRPr="000E1EB0">
        <w:rPr>
          <w:color w:val="000000"/>
        </w:rPr>
        <w:t>Evropa është destinacioni nr. 1 i turizmit në botë, me turizmin kulturor dhe një numër të madh të vendeve turistike, si dhe me një rrjedhë të fortë të vizitorëve ndërkombëtarë dhe vendas. Politikat e turizmit duhet të përshtaten me këto tendenca dhe të zhvillojnë një ofertë cilësore, duke promovuar kulturat dhe traditat lokale dhe duke i kushtuar vëmendje aspekteve të qëndrueshëm: ruajtja e trashëgimisë, e peizazhit dhe e kulturës lokale. Zona e programit synon të shfrytëzojë mundësitë strategjike që dalin nga potenciali më i gjerë i të gjithë kontinentit, i cili është në përputhje me konceptin e turizmit të qëndrueshëm dhe kulturor të promovuar nga DG Sipërmarrje dhe Industri.</w:t>
      </w:r>
    </w:p>
    <w:p w14:paraId="6D6F2454" w14:textId="77777777" w:rsidR="00650E6F" w:rsidRPr="000E1EB0" w:rsidRDefault="00650E6F" w:rsidP="00650E6F">
      <w:pPr>
        <w:pStyle w:val="AAAATEX"/>
      </w:pPr>
      <w:r w:rsidRPr="000E1EB0">
        <w:rPr>
          <w:color w:val="000000"/>
        </w:rPr>
        <w:t xml:space="preserve">Turizmi ka qenë i njohur si një nga mundësitë ekonomike prioritare që janë me interes për popullsinë në zonën CBC. Edhe pse industria e mikpritjes është e shpërndarë në mënyrë të pabarabartë në zonën e programit, në të dyja vendet industria po rritet. Aktualisht, aktivitetet e lidhura me turizmin janë burimi kryesor i të ardhurave për popullsinë në rajonet e Ohrit dhe </w:t>
      </w:r>
      <w:r w:rsidRPr="000E1EB0">
        <w:t xml:space="preserve">Prespës në muajt e verës, por ka shumë potencial të pashfrytëzuar për zhvillimin e një turizmi të qëndrueshëm kulturor dhe zbavitës në të gjithë rajonin CBC. </w:t>
      </w:r>
    </w:p>
    <w:p w14:paraId="6D6F2455" w14:textId="036B1CC4" w:rsidR="00650E6F" w:rsidRPr="000E1EB0" w:rsidRDefault="00650E6F" w:rsidP="00650E6F">
      <w:pPr>
        <w:pStyle w:val="AAAATEX"/>
      </w:pPr>
      <w:r w:rsidRPr="000E1EB0">
        <w:t>Bashkëpunimi ndërmjet institucioneve dhe organizatave të ndryshme në rajonin CBC është në rritje, por ende ekziston një mungesë praktike e iniciativave të qëndrueshme të përbashkëta në një shkallë më të gjerë. Aktivitetet e përfshira në këtë prioritet tematik do të mbështesin bashkëpunimin midis institucioneve, bazuar në vlerësimin e ofertës heterogjene dhe potencialin e kulturave dhe traditave të ndryshme të pranishme në zonë, si dhe aksionet njerëzit-për-njerëzit. Këto duhet të kontribuojnë për trajtimin e sfidave</w:t>
      </w:r>
      <w:r w:rsidR="00350F87">
        <w:t>,</w:t>
      </w:r>
      <w:r w:rsidRPr="000E1EB0">
        <w:t xml:space="preserve"> të tilla si</w:t>
      </w:r>
      <w:r w:rsidR="00350F87">
        <w:t>:</w:t>
      </w:r>
      <w:r w:rsidRPr="000E1EB0">
        <w:t xml:space="preserve"> ruajtja e burimeve natyrore dhe kulturore, nxitja e mirëqenies së komuniteteve lokale, përmirësimi i cilësisë së vendeve të punës në fushën e turizmit, kufizimi i ndikimit mjedisor të transportit që lidhet me turizmin</w:t>
      </w:r>
      <w:r w:rsidR="00E834B7">
        <w:t xml:space="preserve"> etj.</w:t>
      </w:r>
    </w:p>
    <w:p w14:paraId="6D6F2456" w14:textId="6B269AF0" w:rsidR="00650E6F" w:rsidRPr="000E1EB0" w:rsidRDefault="00650E6F" w:rsidP="00650E6F">
      <w:pPr>
        <w:pStyle w:val="AAAATEX"/>
        <w:rPr>
          <w:b/>
          <w:bCs/>
        </w:rPr>
      </w:pPr>
      <w:r w:rsidRPr="000E1EB0">
        <w:rPr>
          <w:b/>
          <w:bCs/>
        </w:rPr>
        <w:t xml:space="preserve">Objektivi </w:t>
      </w:r>
      <w:r w:rsidR="00277531" w:rsidRPr="000E1EB0">
        <w:rPr>
          <w:b/>
          <w:bCs/>
        </w:rPr>
        <w:t>specifik</w:t>
      </w:r>
    </w:p>
    <w:p w14:paraId="6D6F2457" w14:textId="46F53A0F" w:rsidR="00650E6F" w:rsidRPr="000E1EB0" w:rsidRDefault="00650E6F" w:rsidP="00650E6F">
      <w:pPr>
        <w:pStyle w:val="AAAATEX"/>
      </w:pPr>
      <w:r w:rsidRPr="000E1EB0">
        <w:t xml:space="preserve">Objektivi </w:t>
      </w:r>
      <w:r w:rsidR="00277531" w:rsidRPr="000E1EB0">
        <w:t xml:space="preserve">specifik </w:t>
      </w:r>
      <w:r w:rsidRPr="000E1EB0">
        <w:t xml:space="preserve">i këtij </w:t>
      </w:r>
      <w:r w:rsidR="00277531" w:rsidRPr="000E1EB0">
        <w:t xml:space="preserve">prioriteti tematik </w:t>
      </w:r>
      <w:r w:rsidRPr="000E1EB0">
        <w:t xml:space="preserve">synon </w:t>
      </w:r>
      <w:r w:rsidRPr="000E1EB0">
        <w:rPr>
          <w:b/>
          <w:bCs/>
        </w:rPr>
        <w:t>të zhvillojë potencialin e turizmit duke promovuar trashëgiminë dhe vlerat</w:t>
      </w:r>
      <w:r w:rsidRPr="000E1EB0">
        <w:t xml:space="preserve"> </w:t>
      </w:r>
      <w:r w:rsidRPr="000E1EB0">
        <w:rPr>
          <w:b/>
          <w:bCs/>
        </w:rPr>
        <w:t xml:space="preserve">kulturore </w:t>
      </w:r>
      <w:r w:rsidRPr="000E1EB0">
        <w:t>(SO 1.1).</w:t>
      </w:r>
    </w:p>
    <w:p w14:paraId="6D6F2458" w14:textId="7A3C7BE5" w:rsidR="00650E6F" w:rsidRPr="000E1EB0" w:rsidRDefault="00650E6F" w:rsidP="00650E6F">
      <w:pPr>
        <w:pStyle w:val="AAAATEX"/>
        <w:rPr>
          <w:color w:val="000000"/>
        </w:rPr>
      </w:pPr>
      <w:r w:rsidRPr="000E1EB0">
        <w:t xml:space="preserve">Prioriteti </w:t>
      </w:r>
      <w:r w:rsidR="00277531" w:rsidRPr="000E1EB0">
        <w:t xml:space="preserve">tematik </w:t>
      </w:r>
      <w:r w:rsidRPr="000E1EB0">
        <w:t xml:space="preserve">do të inkurajojë shumëllojshmërinë e ofrimit të shërbimeve dhe produkteve turistike. Duke mbështetur projekte që promovojnë produkte tematike turistike të qëndrueshme, programi do të forcojë bashkëpunimin trans-nacional </w:t>
      </w:r>
      <w:r w:rsidRPr="000E1EB0">
        <w:rPr>
          <w:color w:val="000000"/>
        </w:rPr>
        <w:t>në lidhje me turizmin e qëndrueshëm, do të inkurajojë një përfshirje më të madhe të ndërmarrjeve të vogla dhe të mesme dhe të autoriteteve lokale, dhe do të stimulojë konkurrencën e industrisë së turizmit me anë të një fokusimi të përmirësuar mbi shumëllojshmërinë e produkteve tematike të qëndrueshme dhe të turizmit kulturor. Gjithashtu, prioriteti tematik synon të rrisë aftësitë e stafit të angazhuar në industrinë e mikpritjes, duke përfshirë trajnimin profesional për të eliminuar mangësitë në aftësitë për të prezantuar një ofertë të larmishme turistike, p.sh.</w:t>
      </w:r>
      <w:r w:rsidR="00B658FB">
        <w:rPr>
          <w:color w:val="000000"/>
        </w:rPr>
        <w:t>,</w:t>
      </w:r>
      <w:r w:rsidRPr="000E1EB0">
        <w:rPr>
          <w:color w:val="000000"/>
        </w:rPr>
        <w:t xml:space="preserve"> për guidat turistike dhe trajnerët e specializuar në sportet e dimrit, sportet malore, turizmin rural dhe aventurën, per</w:t>
      </w:r>
      <w:r w:rsidR="0046270B">
        <w:rPr>
          <w:color w:val="000000"/>
        </w:rPr>
        <w:t>sonel</w:t>
      </w:r>
      <w:r w:rsidR="006311C2">
        <w:rPr>
          <w:color w:val="000000"/>
        </w:rPr>
        <w:t>i</w:t>
      </w:r>
      <w:r w:rsidR="0046270B">
        <w:rPr>
          <w:color w:val="000000"/>
        </w:rPr>
        <w:t xml:space="preserve"> </w:t>
      </w:r>
      <w:r w:rsidR="006311C2">
        <w:rPr>
          <w:color w:val="000000"/>
        </w:rPr>
        <w:t>i</w:t>
      </w:r>
      <w:r w:rsidR="0046270B">
        <w:rPr>
          <w:color w:val="000000"/>
        </w:rPr>
        <w:t xml:space="preserve"> shërbimit të hoteleve</w:t>
      </w:r>
      <w:r w:rsidRPr="000E1EB0">
        <w:rPr>
          <w:color w:val="000000"/>
        </w:rPr>
        <w:t xml:space="preserve"> etj. </w:t>
      </w:r>
    </w:p>
    <w:p w14:paraId="6D6F2459" w14:textId="229612E9" w:rsidR="00650E6F" w:rsidRPr="000E1EB0" w:rsidRDefault="00650E6F" w:rsidP="00650E6F">
      <w:pPr>
        <w:pStyle w:val="AAAATEX"/>
        <w:rPr>
          <w:b/>
          <w:bCs/>
          <w:color w:val="000000"/>
        </w:rPr>
      </w:pPr>
      <w:r w:rsidRPr="000E1EB0">
        <w:rPr>
          <w:b/>
          <w:bCs/>
          <w:color w:val="000000"/>
        </w:rPr>
        <w:t xml:space="preserve">Rezultatet e </w:t>
      </w:r>
      <w:r w:rsidR="0046270B">
        <w:rPr>
          <w:b/>
          <w:bCs/>
          <w:color w:val="000000"/>
        </w:rPr>
        <w:t>p</w:t>
      </w:r>
      <w:r w:rsidRPr="000E1EB0">
        <w:rPr>
          <w:b/>
          <w:bCs/>
          <w:color w:val="000000"/>
        </w:rPr>
        <w:t>ritshme</w:t>
      </w:r>
    </w:p>
    <w:p w14:paraId="6D6F245A" w14:textId="77777777" w:rsidR="00650E6F" w:rsidRPr="000E1EB0" w:rsidRDefault="00650E6F" w:rsidP="00650E6F">
      <w:pPr>
        <w:pStyle w:val="AAAATEX"/>
        <w:rPr>
          <w:color w:val="000000"/>
        </w:rPr>
      </w:pPr>
      <w:r w:rsidRPr="000E1EB0">
        <w:rPr>
          <w:color w:val="000000"/>
        </w:rPr>
        <w:t>Ky prioritet tematik synon të arrijë rezultatet e mëposhtme:</w:t>
      </w:r>
    </w:p>
    <w:p w14:paraId="6D6F245B" w14:textId="77777777" w:rsidR="00650E6F" w:rsidRPr="000E1EB0" w:rsidRDefault="00650E6F" w:rsidP="00650E6F">
      <w:pPr>
        <w:pStyle w:val="AAAATEX"/>
        <w:rPr>
          <w:color w:val="000000"/>
        </w:rPr>
      </w:pPr>
      <w:r w:rsidRPr="000E1EB0">
        <w:rPr>
          <w:color w:val="000000"/>
        </w:rPr>
        <w:t>1.1.1</w:t>
      </w:r>
      <w:r w:rsidR="004535F7" w:rsidRPr="000E1EB0">
        <w:rPr>
          <w:color w:val="000000"/>
        </w:rPr>
        <w:t xml:space="preserve"> </w:t>
      </w:r>
      <w:r w:rsidRPr="000E1EB0">
        <w:rPr>
          <w:color w:val="000000"/>
        </w:rPr>
        <w:t>Mundësitë e biznesit për ofruesit lokalë të shërbimeve dhe operatorët në fushën e turizmit janë rritur;</w:t>
      </w:r>
    </w:p>
    <w:p w14:paraId="6D6F245C" w14:textId="77777777" w:rsidR="00650E6F" w:rsidRPr="000E1EB0" w:rsidRDefault="00650E6F" w:rsidP="00650E6F">
      <w:pPr>
        <w:pStyle w:val="AAAATEX"/>
        <w:rPr>
          <w:color w:val="000000"/>
        </w:rPr>
      </w:pPr>
      <w:r w:rsidRPr="000E1EB0">
        <w:rPr>
          <w:color w:val="000000"/>
        </w:rPr>
        <w:t>1.1.2</w:t>
      </w:r>
      <w:r w:rsidR="004535F7" w:rsidRPr="000E1EB0">
        <w:rPr>
          <w:color w:val="000000"/>
        </w:rPr>
        <w:t xml:space="preserve"> </w:t>
      </w:r>
      <w:r w:rsidRPr="000E1EB0">
        <w:rPr>
          <w:color w:val="000000"/>
        </w:rPr>
        <w:t>Bashkëpunimi i ndërsjellë, mirëkuptimi dhe respekti për trashëgiminë dhe vlerat kulturore janë zhvilluar më tej.</w:t>
      </w:r>
    </w:p>
    <w:p w14:paraId="6D6F245D" w14:textId="77777777" w:rsidR="00650E6F" w:rsidRPr="000E1EB0" w:rsidRDefault="00650E6F" w:rsidP="00650E6F">
      <w:pPr>
        <w:pStyle w:val="AAAATEX"/>
        <w:rPr>
          <w:b/>
          <w:bCs/>
          <w:color w:val="000000"/>
        </w:rPr>
      </w:pPr>
      <w:r w:rsidRPr="000E1EB0">
        <w:rPr>
          <w:b/>
          <w:bCs/>
          <w:color w:val="000000"/>
        </w:rPr>
        <w:t>Aktivitetet e parashikuara dhe grupet e synuara</w:t>
      </w:r>
    </w:p>
    <w:p w14:paraId="6D6F245E" w14:textId="77777777" w:rsidR="00650E6F" w:rsidRDefault="00650E6F" w:rsidP="00650E6F">
      <w:pPr>
        <w:pStyle w:val="AAAATEX"/>
      </w:pPr>
      <w:r w:rsidRPr="000E1EB0">
        <w:lastRenderedPageBreak/>
        <w:t>Aktivitetet e parashikuara dhe grupet e synuara janë organizuar në tabelën e mëposhtme.</w:t>
      </w:r>
    </w:p>
    <w:p w14:paraId="585A102A" w14:textId="77777777" w:rsidR="00B658FB" w:rsidRPr="000E1EB0" w:rsidRDefault="00B658FB" w:rsidP="00650E6F">
      <w:pPr>
        <w:pStyle w:val="AAAATEX"/>
      </w:pPr>
    </w:p>
    <w:tbl>
      <w:tblPr>
        <w:tblStyle w:val="MediumGrid3-Accent1"/>
        <w:tblW w:w="0" w:type="auto"/>
        <w:tblLook w:val="04A0" w:firstRow="1" w:lastRow="0" w:firstColumn="1" w:lastColumn="0" w:noHBand="0" w:noVBand="1"/>
      </w:tblPr>
      <w:tblGrid>
        <w:gridCol w:w="4248"/>
        <w:gridCol w:w="5039"/>
      </w:tblGrid>
      <w:tr w:rsidR="00650E6F" w:rsidRPr="000E1EB0" w14:paraId="6D6F2461"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D6F245F"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Aktivitetet e parashikuara</w:t>
            </w:r>
          </w:p>
        </w:tc>
        <w:tc>
          <w:tcPr>
            <w:tcW w:w="5039" w:type="dxa"/>
          </w:tcPr>
          <w:p w14:paraId="6D6F246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Grupet e synuara të përfituesve</w:t>
            </w:r>
          </w:p>
        </w:tc>
      </w:tr>
      <w:tr w:rsidR="00650E6F" w:rsidRPr="000E1EB0" w14:paraId="6D6F2469"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D6F2462"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 xml:space="preserve">1.1.1.1 Projektimi, zhvillimi dhe promovimi i produkteve dhe shërbimeve të përbashkëta turistike dhe i investimeve në shkallë të vogël në infrastrukturën publike të turizmit </w:t>
            </w:r>
          </w:p>
        </w:tc>
        <w:tc>
          <w:tcPr>
            <w:tcW w:w="5039" w:type="dxa"/>
          </w:tcPr>
          <w:p w14:paraId="6D6F2463"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464"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Ofruesit e shërbimeve turistike</w:t>
            </w:r>
          </w:p>
          <w:p w14:paraId="6D6F2465"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OJQ-të, OSHC-të</w:t>
            </w:r>
          </w:p>
          <w:p w14:paraId="6D6F2466"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Parqet kombëtare</w:t>
            </w:r>
          </w:p>
          <w:p w14:paraId="6D6F2467"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Dhomat e tregtisë</w:t>
            </w:r>
          </w:p>
          <w:p w14:paraId="6D6F2468"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Rrjetet / grupet e NVM-ve</w:t>
            </w:r>
          </w:p>
        </w:tc>
      </w:tr>
      <w:tr w:rsidR="00650E6F" w:rsidRPr="000E1EB0" w14:paraId="6D6F2470" w14:textId="77777777" w:rsidTr="00650E6F">
        <w:tc>
          <w:tcPr>
            <w:cnfStyle w:val="001000000000" w:firstRow="0" w:lastRow="0" w:firstColumn="1" w:lastColumn="0" w:oddVBand="0" w:evenVBand="0" w:oddHBand="0" w:evenHBand="0" w:firstRowFirstColumn="0" w:firstRowLastColumn="0" w:lastRowFirstColumn="0" w:lastRowLastColumn="0"/>
            <w:tcW w:w="4248" w:type="dxa"/>
          </w:tcPr>
          <w:p w14:paraId="6D6F246A"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1.1.1.2 Trajnim për rritjen e aftësive në industrinë e mikpritjes</w:t>
            </w:r>
          </w:p>
        </w:tc>
        <w:tc>
          <w:tcPr>
            <w:tcW w:w="5039" w:type="dxa"/>
          </w:tcPr>
          <w:p w14:paraId="6D6F246B"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Institucionet arsimore e AAP</w:t>
            </w:r>
          </w:p>
          <w:p w14:paraId="6D6F246C"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Institucionet e arsimit të lartë</w:t>
            </w:r>
          </w:p>
          <w:p w14:paraId="6D6F246D" w14:textId="26BD4D83"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Institucione të tjera formale dhe </w:t>
            </w:r>
            <w:r w:rsidR="001E1489">
              <w:rPr>
                <w:rFonts w:ascii="Garamond" w:hAnsi="Garamond" w:cs="Tahoma"/>
                <w:sz w:val="20"/>
                <w:szCs w:val="20"/>
                <w:lang w:val="sq-AL"/>
              </w:rPr>
              <w:t>jo</w:t>
            </w:r>
            <w:r w:rsidRPr="000E1EB0">
              <w:rPr>
                <w:rFonts w:ascii="Garamond" w:hAnsi="Garamond" w:cs="Tahoma"/>
                <w:sz w:val="20"/>
                <w:szCs w:val="20"/>
                <w:lang w:val="sq-AL"/>
              </w:rPr>
              <w:t xml:space="preserve">formale arsimore dhe trajnuese </w:t>
            </w:r>
          </w:p>
          <w:p w14:paraId="6D6F246E"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OJQ-të, OSHC-të</w:t>
            </w:r>
          </w:p>
          <w:p w14:paraId="6D6F246F"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Rrjetet / grupet e NVM-ve</w:t>
            </w:r>
          </w:p>
        </w:tc>
      </w:tr>
      <w:tr w:rsidR="00650E6F" w:rsidRPr="000E1EB0" w14:paraId="6D6F2477"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D6F2471"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1.1.2.1 Restaurimi / rezervimi, ruajtja, pastrimi dhe mirëmbajtja e objekteve kulturore dhe historike, dhe e mjedisit të lidhur me këto objekte</w:t>
            </w:r>
          </w:p>
        </w:tc>
        <w:tc>
          <w:tcPr>
            <w:tcW w:w="5039" w:type="dxa"/>
          </w:tcPr>
          <w:p w14:paraId="6D6F2472"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473"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Ofruesit e shërbimeve turistike</w:t>
            </w:r>
          </w:p>
          <w:p w14:paraId="6D6F2474"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OJQ-të </w:t>
            </w:r>
          </w:p>
          <w:p w14:paraId="6D6F2475" w14:textId="6E761684"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Institucionet kulturore (muzetë, bibliotekat, orkestrat</w:t>
            </w:r>
            <w:r w:rsidR="00E834B7">
              <w:rPr>
                <w:rFonts w:ascii="Garamond" w:hAnsi="Garamond" w:cs="Tahoma"/>
                <w:sz w:val="20"/>
                <w:szCs w:val="20"/>
                <w:lang w:val="sq-AL"/>
              </w:rPr>
              <w:t xml:space="preserve"> etj.</w:t>
            </w:r>
            <w:r w:rsidRPr="000E1EB0">
              <w:rPr>
                <w:rFonts w:ascii="Garamond" w:hAnsi="Garamond" w:cs="Tahoma"/>
                <w:sz w:val="20"/>
                <w:szCs w:val="20"/>
                <w:lang w:val="sq-AL"/>
              </w:rPr>
              <w:t>)</w:t>
            </w:r>
          </w:p>
          <w:p w14:paraId="6D6F2476"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Operatorët në industrinë e mikpritjes (NVM)</w:t>
            </w:r>
          </w:p>
        </w:tc>
      </w:tr>
      <w:tr w:rsidR="00650E6F" w:rsidRPr="000E1EB0" w14:paraId="6D6F247E" w14:textId="77777777" w:rsidTr="00650E6F">
        <w:tc>
          <w:tcPr>
            <w:cnfStyle w:val="001000000000" w:firstRow="0" w:lastRow="0" w:firstColumn="1" w:lastColumn="0" w:oddVBand="0" w:evenVBand="0" w:oddHBand="0" w:evenHBand="0" w:firstRowFirstColumn="0" w:firstRowLastColumn="0" w:lastRowFirstColumn="0" w:lastRowLastColumn="0"/>
            <w:tcW w:w="4248" w:type="dxa"/>
          </w:tcPr>
          <w:p w14:paraId="6D6F2478"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1.1.2.2 Mbështetje për aktivitete të përbashkëta kulturore</w:t>
            </w:r>
          </w:p>
        </w:tc>
        <w:tc>
          <w:tcPr>
            <w:tcW w:w="5039" w:type="dxa"/>
          </w:tcPr>
          <w:p w14:paraId="6D6F2479" w14:textId="77777777" w:rsidR="00650E6F" w:rsidRPr="000E1EB0" w:rsidRDefault="00650E6F" w:rsidP="00650E6F">
            <w:pPr>
              <w:pStyle w:val="ListParagraph"/>
              <w:numPr>
                <w:ilvl w:val="0"/>
                <w:numId w:val="8"/>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47A" w14:textId="77777777" w:rsidR="00650E6F" w:rsidRPr="000E1EB0" w:rsidRDefault="00650E6F" w:rsidP="00650E6F">
            <w:pPr>
              <w:pStyle w:val="ListParagraph"/>
              <w:numPr>
                <w:ilvl w:val="0"/>
                <w:numId w:val="8"/>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OJQ-të </w:t>
            </w:r>
          </w:p>
          <w:p w14:paraId="6D6F247B" w14:textId="77777777" w:rsidR="00650E6F" w:rsidRPr="000E1EB0" w:rsidRDefault="00650E6F" w:rsidP="00650E6F">
            <w:pPr>
              <w:pStyle w:val="ListParagraph"/>
              <w:numPr>
                <w:ilvl w:val="0"/>
                <w:numId w:val="8"/>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Institucionet e arsimit (në të gjitha nivelet)</w:t>
            </w:r>
          </w:p>
          <w:p w14:paraId="6D6F247C" w14:textId="0F70502C" w:rsidR="00650E6F" w:rsidRPr="000E1EB0" w:rsidRDefault="00650E6F" w:rsidP="00650E6F">
            <w:pPr>
              <w:pStyle w:val="ListParagraph"/>
              <w:numPr>
                <w:ilvl w:val="0"/>
                <w:numId w:val="8"/>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Institucionet kulturore (muzetë, bibliotekat, orkestrat etj.)</w:t>
            </w:r>
          </w:p>
          <w:p w14:paraId="6D6F247D" w14:textId="77777777" w:rsidR="00650E6F" w:rsidRPr="000E1EB0" w:rsidRDefault="00650E6F" w:rsidP="00650E6F">
            <w:pPr>
              <w:pStyle w:val="ListParagraph"/>
              <w:numPr>
                <w:ilvl w:val="0"/>
                <w:numId w:val="8"/>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Banorët dhe organizatat e tyre</w:t>
            </w:r>
          </w:p>
        </w:tc>
      </w:tr>
    </w:tbl>
    <w:p w14:paraId="62C06C78" w14:textId="77777777" w:rsidR="000B304E" w:rsidRDefault="000B304E" w:rsidP="00650E6F">
      <w:pPr>
        <w:pStyle w:val="AAAATEX"/>
      </w:pPr>
    </w:p>
    <w:p w14:paraId="6D6F247F" w14:textId="38F1351D" w:rsidR="00650E6F" w:rsidRPr="00B658FB" w:rsidRDefault="00650E6F" w:rsidP="00650E6F">
      <w:pPr>
        <w:pStyle w:val="AAAATEX"/>
        <w:rPr>
          <w:b/>
        </w:rPr>
      </w:pPr>
      <w:r w:rsidRPr="00B658FB">
        <w:rPr>
          <w:b/>
        </w:rPr>
        <w:t>Treguesit e Performancës së Zbatimi</w:t>
      </w:r>
      <w:r w:rsidR="00E359F1" w:rsidRPr="00B658FB">
        <w:rPr>
          <w:b/>
        </w:rPr>
        <w:t>t</w:t>
      </w:r>
      <w:r w:rsidRPr="00B658FB">
        <w:rPr>
          <w:b/>
        </w:rPr>
        <w:t xml:space="preserve"> të Prioritetit Tematik</w:t>
      </w:r>
    </w:p>
    <w:p w14:paraId="6D6F2480" w14:textId="2336FC0D" w:rsidR="00650E6F" w:rsidRDefault="00650E6F" w:rsidP="00650E6F">
      <w:pPr>
        <w:pStyle w:val="AAAATEX"/>
        <w:rPr>
          <w:i/>
        </w:rPr>
      </w:pPr>
      <w:r w:rsidRPr="000E1EB0">
        <w:rPr>
          <w:i/>
        </w:rPr>
        <w:t xml:space="preserve">Rezultati 1.1.1 i </w:t>
      </w:r>
      <w:r w:rsidR="000B304E" w:rsidRPr="000E1EB0">
        <w:rPr>
          <w:i/>
        </w:rPr>
        <w:t xml:space="preserve">objektivit specifik: mundësitë </w:t>
      </w:r>
      <w:r w:rsidRPr="000E1EB0">
        <w:rPr>
          <w:i/>
        </w:rPr>
        <w:t>e biznesit për ofruesit lokalë të shërbimeve dhe operatorët në fushën e turizmit janë rritur</w:t>
      </w:r>
    </w:p>
    <w:p w14:paraId="0B0E1230" w14:textId="77777777" w:rsidR="000B304E" w:rsidRPr="000E1EB0" w:rsidRDefault="000B304E" w:rsidP="00650E6F">
      <w:pPr>
        <w:pStyle w:val="AAAATEX"/>
        <w:rPr>
          <w:i/>
        </w:rPr>
      </w:pPr>
    </w:p>
    <w:tbl>
      <w:tblPr>
        <w:tblStyle w:val="MediumGrid3-Accent1"/>
        <w:tblpPr w:leftFromText="180" w:rightFromText="180" w:vertAnchor="text" w:horzAnchor="margin" w:tblpXSpec="center" w:tblpY="13"/>
        <w:tblW w:w="0" w:type="auto"/>
        <w:tblLayout w:type="fixed"/>
        <w:tblLook w:val="04A0" w:firstRow="1" w:lastRow="0" w:firstColumn="1" w:lastColumn="0" w:noHBand="0" w:noVBand="1"/>
      </w:tblPr>
      <w:tblGrid>
        <w:gridCol w:w="1818"/>
        <w:gridCol w:w="1700"/>
        <w:gridCol w:w="832"/>
        <w:gridCol w:w="1027"/>
        <w:gridCol w:w="1054"/>
        <w:gridCol w:w="1237"/>
        <w:gridCol w:w="1619"/>
      </w:tblGrid>
      <w:tr w:rsidR="00650E6F" w:rsidRPr="000E1EB0" w14:paraId="6D6F248A"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D6F2481" w14:textId="4AA039D5"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0B304E" w:rsidRPr="000E1EB0">
              <w:rPr>
                <w:rFonts w:ascii="Garamond" w:hAnsi="Garamond" w:cs="Tahoma"/>
                <w:sz w:val="20"/>
                <w:szCs w:val="20"/>
                <w:lang w:val="sq-AL"/>
              </w:rPr>
              <w:t>kontributit</w:t>
            </w:r>
          </w:p>
        </w:tc>
        <w:tc>
          <w:tcPr>
            <w:tcW w:w="1700" w:type="dxa"/>
          </w:tcPr>
          <w:p w14:paraId="6D6F2482"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832" w:type="dxa"/>
          </w:tcPr>
          <w:p w14:paraId="6D6F248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027" w:type="dxa"/>
          </w:tcPr>
          <w:p w14:paraId="6D6F248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8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(2017)</w:t>
            </w:r>
          </w:p>
        </w:tc>
        <w:tc>
          <w:tcPr>
            <w:tcW w:w="1054" w:type="dxa"/>
          </w:tcPr>
          <w:p w14:paraId="6D6F248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8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(2020)</w:t>
            </w:r>
          </w:p>
        </w:tc>
        <w:tc>
          <w:tcPr>
            <w:tcW w:w="1237" w:type="dxa"/>
          </w:tcPr>
          <w:p w14:paraId="6D6F248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619" w:type="dxa"/>
          </w:tcPr>
          <w:p w14:paraId="6D6F2489"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495"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D6F248B"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shërbimeve/</w:t>
            </w:r>
          </w:p>
          <w:p w14:paraId="6D6F248C"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produkteve të reja/përmirësuara</w:t>
            </w:r>
          </w:p>
        </w:tc>
        <w:tc>
          <w:tcPr>
            <w:tcW w:w="1700" w:type="dxa"/>
          </w:tcPr>
          <w:p w14:paraId="6D6F248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Shërbimet/</w:t>
            </w:r>
          </w:p>
          <w:p w14:paraId="6D6F248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produktet e reja të përmirësuara</w:t>
            </w:r>
          </w:p>
        </w:tc>
        <w:tc>
          <w:tcPr>
            <w:tcW w:w="832" w:type="dxa"/>
          </w:tcPr>
          <w:p w14:paraId="6D6F248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027" w:type="dxa"/>
          </w:tcPr>
          <w:p w14:paraId="6D6F249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w:t>
            </w:r>
          </w:p>
        </w:tc>
        <w:tc>
          <w:tcPr>
            <w:tcW w:w="1054" w:type="dxa"/>
          </w:tcPr>
          <w:p w14:paraId="6D6F249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w:t>
            </w:r>
          </w:p>
        </w:tc>
        <w:tc>
          <w:tcPr>
            <w:tcW w:w="1237" w:type="dxa"/>
          </w:tcPr>
          <w:p w14:paraId="6D6F249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619" w:type="dxa"/>
          </w:tcPr>
          <w:p w14:paraId="6D6F249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49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r w:rsidR="00650E6F" w:rsidRPr="000E1EB0" w14:paraId="6D6F249E" w14:textId="77777777" w:rsidTr="00650E6F">
        <w:tc>
          <w:tcPr>
            <w:cnfStyle w:val="001000000000" w:firstRow="0" w:lastRow="0" w:firstColumn="1" w:lastColumn="0" w:oddVBand="0" w:evenVBand="0" w:oddHBand="0" w:evenHBand="0" w:firstRowFirstColumn="0" w:firstRowLastColumn="0" w:lastRowFirstColumn="0" w:lastRowLastColumn="0"/>
            <w:tcW w:w="1818" w:type="dxa"/>
          </w:tcPr>
          <w:p w14:paraId="6D6F2496"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personave të trajnuar</w:t>
            </w:r>
          </w:p>
        </w:tc>
        <w:tc>
          <w:tcPr>
            <w:tcW w:w="1700" w:type="dxa"/>
          </w:tcPr>
          <w:p w14:paraId="6D6F249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Trajnimi i njerëzve në industrinë e mikpritjes</w:t>
            </w:r>
          </w:p>
        </w:tc>
        <w:tc>
          <w:tcPr>
            <w:tcW w:w="832" w:type="dxa"/>
          </w:tcPr>
          <w:p w14:paraId="6D6F249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027" w:type="dxa"/>
          </w:tcPr>
          <w:p w14:paraId="6D6F249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50</w:t>
            </w:r>
          </w:p>
        </w:tc>
        <w:tc>
          <w:tcPr>
            <w:tcW w:w="1054" w:type="dxa"/>
          </w:tcPr>
          <w:p w14:paraId="6D6F249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trike/>
                <w:sz w:val="20"/>
                <w:szCs w:val="20"/>
                <w:lang w:val="sq-AL"/>
              </w:rPr>
            </w:pPr>
            <w:r w:rsidRPr="000E1EB0">
              <w:rPr>
                <w:rFonts w:ascii="Garamond" w:hAnsi="Garamond" w:cs="Tahoma"/>
                <w:sz w:val="20"/>
                <w:szCs w:val="20"/>
                <w:lang w:val="sq-AL"/>
              </w:rPr>
              <w:t>500</w:t>
            </w:r>
          </w:p>
        </w:tc>
        <w:tc>
          <w:tcPr>
            <w:tcW w:w="1237" w:type="dxa"/>
          </w:tcPr>
          <w:p w14:paraId="6D6F249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619" w:type="dxa"/>
          </w:tcPr>
          <w:p w14:paraId="6D6F249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49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bl>
    <w:p w14:paraId="6D6F249F"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jc w:val="center"/>
        <w:tblLayout w:type="fixed"/>
        <w:tblLook w:val="04A0" w:firstRow="1" w:lastRow="0" w:firstColumn="1" w:lastColumn="0" w:noHBand="0" w:noVBand="1"/>
      </w:tblPr>
      <w:tblGrid>
        <w:gridCol w:w="1818"/>
        <w:gridCol w:w="1710"/>
        <w:gridCol w:w="810"/>
        <w:gridCol w:w="1080"/>
        <w:gridCol w:w="990"/>
        <w:gridCol w:w="1260"/>
        <w:gridCol w:w="1619"/>
      </w:tblGrid>
      <w:tr w:rsidR="00650E6F" w:rsidRPr="000E1EB0" w14:paraId="6D6F24A9" w14:textId="77777777" w:rsidTr="00B658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8" w:type="dxa"/>
          </w:tcPr>
          <w:p w14:paraId="6D6F24A0" w14:textId="01B94782"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FB47D7" w:rsidRPr="000E1EB0">
              <w:rPr>
                <w:rFonts w:ascii="Garamond" w:hAnsi="Garamond" w:cs="Tahoma"/>
                <w:sz w:val="20"/>
                <w:szCs w:val="20"/>
                <w:lang w:val="sq-AL"/>
              </w:rPr>
              <w:t>rezultatit</w:t>
            </w:r>
          </w:p>
        </w:tc>
        <w:tc>
          <w:tcPr>
            <w:tcW w:w="1710" w:type="dxa"/>
          </w:tcPr>
          <w:p w14:paraId="6D6F24A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810" w:type="dxa"/>
          </w:tcPr>
          <w:p w14:paraId="6D6F24A2"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080" w:type="dxa"/>
          </w:tcPr>
          <w:p w14:paraId="6D6F24A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A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(2017)</w:t>
            </w:r>
          </w:p>
        </w:tc>
        <w:tc>
          <w:tcPr>
            <w:tcW w:w="990" w:type="dxa"/>
          </w:tcPr>
          <w:p w14:paraId="6D6F24A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A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(2020)</w:t>
            </w:r>
          </w:p>
        </w:tc>
        <w:tc>
          <w:tcPr>
            <w:tcW w:w="1260" w:type="dxa"/>
          </w:tcPr>
          <w:p w14:paraId="6D6F24A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619" w:type="dxa"/>
          </w:tcPr>
          <w:p w14:paraId="6D6F24A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4B2" w14:textId="77777777" w:rsidTr="00B658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8" w:type="dxa"/>
          </w:tcPr>
          <w:p w14:paraId="6D6F24AA"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turistëve që përdorin shërbimet e reja/ përmirësuar</w:t>
            </w:r>
          </w:p>
        </w:tc>
        <w:tc>
          <w:tcPr>
            <w:tcW w:w="1710" w:type="dxa"/>
          </w:tcPr>
          <w:p w14:paraId="6D6F24A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Turistët përdorin shërbimet e reja/ përmirësuara</w:t>
            </w:r>
          </w:p>
        </w:tc>
        <w:tc>
          <w:tcPr>
            <w:tcW w:w="810" w:type="dxa"/>
          </w:tcPr>
          <w:p w14:paraId="6D6F24A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080" w:type="dxa"/>
          </w:tcPr>
          <w:p w14:paraId="6D6F24A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2,000</w:t>
            </w:r>
          </w:p>
        </w:tc>
        <w:tc>
          <w:tcPr>
            <w:tcW w:w="990" w:type="dxa"/>
          </w:tcPr>
          <w:p w14:paraId="6D6F24A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5,000</w:t>
            </w:r>
          </w:p>
        </w:tc>
        <w:tc>
          <w:tcPr>
            <w:tcW w:w="1260" w:type="dxa"/>
          </w:tcPr>
          <w:p w14:paraId="6D6F24A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619" w:type="dxa"/>
          </w:tcPr>
          <w:p w14:paraId="6D6F24B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4B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bl>
    <w:p w14:paraId="6D6F24B3" w14:textId="77777777" w:rsidR="00650E6F" w:rsidRPr="00451181" w:rsidRDefault="00650E6F" w:rsidP="00650E6F">
      <w:pPr>
        <w:rPr>
          <w:rFonts w:ascii="Garamond" w:hAnsi="Garamond" w:cs="Tahoma"/>
          <w:sz w:val="4"/>
        </w:rPr>
      </w:pPr>
    </w:p>
    <w:tbl>
      <w:tblPr>
        <w:tblStyle w:val="MediumGrid3-Accent1"/>
        <w:tblW w:w="0" w:type="auto"/>
        <w:jc w:val="center"/>
        <w:tblLayout w:type="fixed"/>
        <w:tblLook w:val="04A0" w:firstRow="1" w:lastRow="0" w:firstColumn="1" w:lastColumn="0" w:noHBand="0" w:noVBand="1"/>
      </w:tblPr>
      <w:tblGrid>
        <w:gridCol w:w="1638"/>
        <w:gridCol w:w="1620"/>
        <w:gridCol w:w="2160"/>
        <w:gridCol w:w="990"/>
        <w:gridCol w:w="1260"/>
        <w:gridCol w:w="1530"/>
      </w:tblGrid>
      <w:tr w:rsidR="00650E6F" w:rsidRPr="000E1EB0" w14:paraId="6D6F24BB" w14:textId="77777777" w:rsidTr="00B658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6D6F24B4" w14:textId="5503D751"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451181" w:rsidRPr="000E1EB0">
              <w:rPr>
                <w:rFonts w:ascii="Garamond" w:hAnsi="Garamond" w:cs="Tahoma"/>
                <w:sz w:val="20"/>
                <w:szCs w:val="20"/>
                <w:lang w:val="sq-AL"/>
              </w:rPr>
              <w:t xml:space="preserve">ndikimit </w:t>
            </w:r>
          </w:p>
        </w:tc>
        <w:tc>
          <w:tcPr>
            <w:tcW w:w="1620" w:type="dxa"/>
          </w:tcPr>
          <w:p w14:paraId="6D6F24B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2160" w:type="dxa"/>
          </w:tcPr>
          <w:p w14:paraId="6D6F24B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990" w:type="dxa"/>
          </w:tcPr>
          <w:p w14:paraId="6D6F24B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B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(2020)**</w:t>
            </w:r>
          </w:p>
        </w:tc>
        <w:tc>
          <w:tcPr>
            <w:tcW w:w="1260" w:type="dxa"/>
          </w:tcPr>
          <w:p w14:paraId="6D6F24B9"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530" w:type="dxa"/>
          </w:tcPr>
          <w:p w14:paraId="6D6F24BA"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4C4" w14:textId="77777777" w:rsidTr="00B658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6D6F24BC"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 xml:space="preserve">Kohëzgjatja </w:t>
            </w:r>
            <w:r w:rsidRPr="000E1EB0">
              <w:rPr>
                <w:rFonts w:ascii="Garamond" w:hAnsi="Garamond" w:cs="Tahoma"/>
                <w:b w:val="0"/>
                <w:sz w:val="20"/>
                <w:szCs w:val="20"/>
                <w:lang w:val="sq-AL"/>
              </w:rPr>
              <w:lastRenderedPageBreak/>
              <w:t>mesatare e qëndrimit të turistëve (me fjetje)</w:t>
            </w:r>
          </w:p>
        </w:tc>
        <w:tc>
          <w:tcPr>
            <w:tcW w:w="1620" w:type="dxa"/>
          </w:tcPr>
          <w:p w14:paraId="6D6F24B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 xml:space="preserve">Numri mesatar i </w:t>
            </w:r>
            <w:r w:rsidRPr="000E1EB0">
              <w:rPr>
                <w:rFonts w:ascii="Garamond" w:hAnsi="Garamond" w:cs="Tahoma"/>
                <w:sz w:val="20"/>
                <w:szCs w:val="20"/>
                <w:lang w:val="sq-AL"/>
              </w:rPr>
              <w:lastRenderedPageBreak/>
              <w:t>qëndrimeve me fjetje për turistët e regjistruar</w:t>
            </w:r>
          </w:p>
        </w:tc>
        <w:tc>
          <w:tcPr>
            <w:tcW w:w="2160" w:type="dxa"/>
          </w:tcPr>
          <w:p w14:paraId="6D6F24BE" w14:textId="2AD5422A" w:rsidR="00650E6F" w:rsidRPr="000E1EB0" w:rsidRDefault="00650E6F" w:rsidP="00451181">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 xml:space="preserve">2,8 net qëndrim me fjetje </w:t>
            </w:r>
            <w:r w:rsidRPr="000E1EB0">
              <w:rPr>
                <w:rFonts w:ascii="Garamond" w:hAnsi="Garamond" w:cs="Tahoma"/>
                <w:sz w:val="20"/>
                <w:szCs w:val="20"/>
                <w:lang w:val="sq-AL"/>
              </w:rPr>
              <w:lastRenderedPageBreak/>
              <w:t>(të dhënat e 2013</w:t>
            </w:r>
            <w:r w:rsidR="00AA2FA1">
              <w:rPr>
                <w:rFonts w:ascii="Garamond" w:hAnsi="Garamond" w:cs="Tahoma"/>
                <w:sz w:val="20"/>
                <w:szCs w:val="20"/>
                <w:lang w:val="sq-AL"/>
              </w:rPr>
              <w:t>-s</w:t>
            </w:r>
            <w:r w:rsidRPr="000E1EB0">
              <w:rPr>
                <w:rFonts w:ascii="Garamond" w:hAnsi="Garamond" w:cs="Tahoma"/>
                <w:sz w:val="20"/>
                <w:szCs w:val="20"/>
                <w:lang w:val="sq-AL"/>
              </w:rPr>
              <w:t>, duke përfshirë edhe statistikat nga të dy</w:t>
            </w:r>
            <w:r w:rsidR="0000683A">
              <w:rPr>
                <w:rFonts w:ascii="Garamond" w:hAnsi="Garamond" w:cs="Tahoma"/>
                <w:sz w:val="20"/>
                <w:szCs w:val="20"/>
                <w:lang w:val="sq-AL"/>
              </w:rPr>
              <w:t>ja</w:t>
            </w:r>
            <w:r w:rsidRPr="000E1EB0">
              <w:rPr>
                <w:rFonts w:ascii="Garamond" w:hAnsi="Garamond" w:cs="Tahoma"/>
                <w:sz w:val="20"/>
                <w:szCs w:val="20"/>
                <w:lang w:val="sq-AL"/>
              </w:rPr>
              <w:t xml:space="preserve"> vendet në zonat përfituese)</w:t>
            </w:r>
          </w:p>
        </w:tc>
        <w:tc>
          <w:tcPr>
            <w:tcW w:w="990" w:type="dxa"/>
          </w:tcPr>
          <w:p w14:paraId="6D6F24B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 xml:space="preserve">I rritur </w:t>
            </w:r>
            <w:r w:rsidRPr="000E1EB0">
              <w:rPr>
                <w:rFonts w:ascii="Garamond" w:hAnsi="Garamond" w:cs="Tahoma"/>
                <w:sz w:val="20"/>
                <w:szCs w:val="20"/>
                <w:lang w:val="sq-AL"/>
              </w:rPr>
              <w:lastRenderedPageBreak/>
              <w:t>me 1 natë</w:t>
            </w:r>
          </w:p>
        </w:tc>
        <w:tc>
          <w:tcPr>
            <w:tcW w:w="1260" w:type="dxa"/>
          </w:tcPr>
          <w:p w14:paraId="6D6F24C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 xml:space="preserve">Zyra </w:t>
            </w:r>
            <w:r w:rsidRPr="000E1EB0">
              <w:rPr>
                <w:rFonts w:ascii="Garamond" w:hAnsi="Garamond" w:cs="Tahoma"/>
                <w:sz w:val="20"/>
                <w:szCs w:val="20"/>
                <w:lang w:val="sq-AL"/>
              </w:rPr>
              <w:lastRenderedPageBreak/>
              <w:t>Statistikore Shtetërore dhe</w:t>
            </w:r>
          </w:p>
          <w:p w14:paraId="6D6F24C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INSTAT</w:t>
            </w:r>
          </w:p>
        </w:tc>
        <w:tc>
          <w:tcPr>
            <w:tcW w:w="1530" w:type="dxa"/>
          </w:tcPr>
          <w:p w14:paraId="6D6F24C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Çdo vit, nga</w:t>
            </w:r>
          </w:p>
          <w:p w14:paraId="6D6F24C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data e zbatimit</w:t>
            </w:r>
          </w:p>
        </w:tc>
      </w:tr>
    </w:tbl>
    <w:p w14:paraId="6D6F24C5" w14:textId="6F406C64" w:rsidR="00650E6F" w:rsidRPr="000E1EB0" w:rsidRDefault="00650E6F" w:rsidP="00650E6F">
      <w:pPr>
        <w:pStyle w:val="AAAATEX"/>
        <w:jc w:val="left"/>
        <w:rPr>
          <w:i/>
        </w:rPr>
      </w:pPr>
      <w:r w:rsidRPr="000E1EB0">
        <w:rPr>
          <w:i/>
        </w:rPr>
        <w:lastRenderedPageBreak/>
        <w:t xml:space="preserve">* Burimi: Zyra Statistikore Shtetërore, </w:t>
      </w:r>
      <w:hyperlink r:id="rId20" w:history="1">
        <w:r w:rsidRPr="000E1EB0">
          <w:rPr>
            <w:rStyle w:val="Hyperlink"/>
            <w:i/>
            <w:sz w:val="20"/>
            <w:szCs w:val="20"/>
          </w:rPr>
          <w:t>http://www.stat.gov.mk/prikaziPublikacija_1.aspx?rbr=483</w:t>
        </w:r>
      </w:hyperlink>
      <w:r w:rsidRPr="000E1EB0">
        <w:rPr>
          <w:i/>
        </w:rPr>
        <w:t xml:space="preserve">. Të dhënat janë marrë nga </w:t>
      </w:r>
      <w:r w:rsidR="00D15AC3" w:rsidRPr="000E1EB0">
        <w:rPr>
          <w:i/>
        </w:rPr>
        <w:t xml:space="preserve">anketa tremujore e ndërmarrjeve </w:t>
      </w:r>
      <w:r w:rsidRPr="000E1EB0">
        <w:rPr>
          <w:i/>
        </w:rPr>
        <w:t>në Shqipëri, 2013</w:t>
      </w:r>
    </w:p>
    <w:p w14:paraId="6D6F24C6" w14:textId="77777777" w:rsidR="00650E6F" w:rsidRPr="000E1EB0" w:rsidRDefault="00650E6F" w:rsidP="00650E6F">
      <w:pPr>
        <w:pStyle w:val="AAAATEX"/>
        <w:jc w:val="left"/>
      </w:pPr>
      <w:r w:rsidRPr="000E1EB0">
        <w:t>** Grumbullues</w:t>
      </w:r>
    </w:p>
    <w:p w14:paraId="277D7A1E" w14:textId="77777777" w:rsidR="00451181" w:rsidRDefault="00451181" w:rsidP="00650E6F">
      <w:pPr>
        <w:pStyle w:val="AAAATEX"/>
        <w:jc w:val="left"/>
        <w:rPr>
          <w:i/>
        </w:rPr>
      </w:pPr>
    </w:p>
    <w:p w14:paraId="6D6F24C7" w14:textId="2CCF7556" w:rsidR="00650E6F" w:rsidRPr="000E1EB0" w:rsidRDefault="00650E6F" w:rsidP="00650E6F">
      <w:pPr>
        <w:pStyle w:val="AAAATEX"/>
        <w:jc w:val="left"/>
        <w:rPr>
          <w:i/>
        </w:rPr>
      </w:pPr>
      <w:r w:rsidRPr="000E1EB0">
        <w:rPr>
          <w:i/>
        </w:rPr>
        <w:t xml:space="preserve">Rezultati 1.1.2 </w:t>
      </w:r>
      <w:r w:rsidR="00451181" w:rsidRPr="000E1EB0">
        <w:rPr>
          <w:i/>
        </w:rPr>
        <w:t xml:space="preserve">i objektivit specifik: bashkëpunimi </w:t>
      </w:r>
      <w:r w:rsidRPr="000E1EB0">
        <w:rPr>
          <w:i/>
        </w:rPr>
        <w:t>i ndërsjellë, mirëkuptimi dhe respekti për trashëgiminë dhe vlerat kulturore janë zhvilluar më tej</w:t>
      </w:r>
    </w:p>
    <w:tbl>
      <w:tblPr>
        <w:tblStyle w:val="MediumGrid3-Accent1"/>
        <w:tblW w:w="0" w:type="auto"/>
        <w:jc w:val="center"/>
        <w:tblLayout w:type="fixed"/>
        <w:tblLook w:val="04A0" w:firstRow="1" w:lastRow="0" w:firstColumn="1" w:lastColumn="0" w:noHBand="0" w:noVBand="1"/>
      </w:tblPr>
      <w:tblGrid>
        <w:gridCol w:w="1728"/>
        <w:gridCol w:w="33"/>
        <w:gridCol w:w="1767"/>
        <w:gridCol w:w="810"/>
        <w:gridCol w:w="1160"/>
        <w:gridCol w:w="10"/>
        <w:gridCol w:w="990"/>
        <w:gridCol w:w="45"/>
        <w:gridCol w:w="1305"/>
        <w:gridCol w:w="1439"/>
      </w:tblGrid>
      <w:tr w:rsidR="00650E6F" w:rsidRPr="000E1EB0" w14:paraId="6D6F24D1" w14:textId="77777777" w:rsidTr="00B658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6D6F24C8" w14:textId="591680D4"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451181" w:rsidRPr="000E1EB0">
              <w:rPr>
                <w:rFonts w:ascii="Garamond" w:hAnsi="Garamond" w:cs="Tahoma"/>
                <w:sz w:val="20"/>
                <w:szCs w:val="20"/>
                <w:lang w:val="sq-AL"/>
              </w:rPr>
              <w:t>kontributit</w:t>
            </w:r>
          </w:p>
        </w:tc>
        <w:tc>
          <w:tcPr>
            <w:tcW w:w="1800" w:type="dxa"/>
            <w:gridSpan w:val="2"/>
          </w:tcPr>
          <w:p w14:paraId="6D6F24C9"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810" w:type="dxa"/>
          </w:tcPr>
          <w:p w14:paraId="6D6F24CA"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170" w:type="dxa"/>
            <w:gridSpan w:val="2"/>
          </w:tcPr>
          <w:p w14:paraId="6D6F24CB"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C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(2017)</w:t>
            </w:r>
          </w:p>
        </w:tc>
        <w:tc>
          <w:tcPr>
            <w:tcW w:w="990" w:type="dxa"/>
          </w:tcPr>
          <w:p w14:paraId="6D6F24C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CE"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(2020)*</w:t>
            </w:r>
          </w:p>
        </w:tc>
        <w:tc>
          <w:tcPr>
            <w:tcW w:w="1350" w:type="dxa"/>
            <w:gridSpan w:val="2"/>
          </w:tcPr>
          <w:p w14:paraId="6D6F24C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439" w:type="dxa"/>
          </w:tcPr>
          <w:p w14:paraId="6D6F24D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4DA" w14:textId="77777777" w:rsidTr="00B658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gridSpan w:val="2"/>
          </w:tcPr>
          <w:p w14:paraId="6D6F24D2"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vendeve të trashëgimisë kulturore të përmirësuar</w:t>
            </w:r>
          </w:p>
        </w:tc>
        <w:tc>
          <w:tcPr>
            <w:tcW w:w="1767" w:type="dxa"/>
          </w:tcPr>
          <w:p w14:paraId="6D6F24D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Përmirësimi i vendeve të trashëgimisë kulturore</w:t>
            </w:r>
          </w:p>
        </w:tc>
        <w:tc>
          <w:tcPr>
            <w:tcW w:w="810" w:type="dxa"/>
          </w:tcPr>
          <w:p w14:paraId="6D6F24D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60" w:type="dxa"/>
          </w:tcPr>
          <w:p w14:paraId="6D6F24D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c>
          <w:tcPr>
            <w:tcW w:w="1045" w:type="dxa"/>
            <w:gridSpan w:val="3"/>
          </w:tcPr>
          <w:p w14:paraId="6D6F24D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w:t>
            </w:r>
          </w:p>
        </w:tc>
        <w:tc>
          <w:tcPr>
            <w:tcW w:w="1305" w:type="dxa"/>
          </w:tcPr>
          <w:p w14:paraId="6D6F24D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439" w:type="dxa"/>
          </w:tcPr>
          <w:p w14:paraId="6D6F24D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4D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r w:rsidR="00650E6F" w:rsidRPr="000E1EB0" w14:paraId="6D6F24E3" w14:textId="77777777" w:rsidTr="00B658FB">
        <w:trPr>
          <w:jc w:val="center"/>
        </w:trPr>
        <w:tc>
          <w:tcPr>
            <w:cnfStyle w:val="001000000000" w:firstRow="0" w:lastRow="0" w:firstColumn="1" w:lastColumn="0" w:oddVBand="0" w:evenVBand="0" w:oddHBand="0" w:evenHBand="0" w:firstRowFirstColumn="0" w:firstRowLastColumn="0" w:lastRowFirstColumn="0" w:lastRowLastColumn="0"/>
            <w:tcW w:w="1761" w:type="dxa"/>
            <w:gridSpan w:val="2"/>
          </w:tcPr>
          <w:p w14:paraId="6D6F24DB"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aktiviteteve të organizuara</w:t>
            </w:r>
          </w:p>
        </w:tc>
        <w:tc>
          <w:tcPr>
            <w:tcW w:w="1767" w:type="dxa"/>
          </w:tcPr>
          <w:p w14:paraId="6D6F24D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Organizimi i aktiviteteve të përbashkëta kulturore</w:t>
            </w:r>
          </w:p>
        </w:tc>
        <w:tc>
          <w:tcPr>
            <w:tcW w:w="810" w:type="dxa"/>
          </w:tcPr>
          <w:p w14:paraId="6D6F24D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60" w:type="dxa"/>
          </w:tcPr>
          <w:p w14:paraId="6D6F24DE"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w:t>
            </w:r>
          </w:p>
        </w:tc>
        <w:tc>
          <w:tcPr>
            <w:tcW w:w="1045" w:type="dxa"/>
            <w:gridSpan w:val="3"/>
          </w:tcPr>
          <w:p w14:paraId="6D6F24DF"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w:t>
            </w:r>
          </w:p>
        </w:tc>
        <w:tc>
          <w:tcPr>
            <w:tcW w:w="1305" w:type="dxa"/>
          </w:tcPr>
          <w:p w14:paraId="6D6F24E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439" w:type="dxa"/>
          </w:tcPr>
          <w:p w14:paraId="6D6F24E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4E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r w:rsidR="00650E6F" w:rsidRPr="000E1EB0" w14:paraId="6D6F24EC" w14:textId="77777777" w:rsidTr="00B658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gridSpan w:val="2"/>
          </w:tcPr>
          <w:p w14:paraId="6D6F24E4"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Financimet e reja për libraritë e dixhitalizuara</w:t>
            </w:r>
          </w:p>
        </w:tc>
        <w:tc>
          <w:tcPr>
            <w:tcW w:w="1767" w:type="dxa"/>
          </w:tcPr>
          <w:p w14:paraId="6D6F24E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Financime të reja për koleksione / librari kulturore të krijuar</w:t>
            </w:r>
          </w:p>
        </w:tc>
        <w:tc>
          <w:tcPr>
            <w:tcW w:w="810" w:type="dxa"/>
          </w:tcPr>
          <w:p w14:paraId="6D6F24E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60" w:type="dxa"/>
          </w:tcPr>
          <w:p w14:paraId="6D6F24E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c>
          <w:tcPr>
            <w:tcW w:w="1045" w:type="dxa"/>
            <w:gridSpan w:val="3"/>
          </w:tcPr>
          <w:p w14:paraId="6D6F24E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1305" w:type="dxa"/>
          </w:tcPr>
          <w:p w14:paraId="6D6F24E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439" w:type="dxa"/>
          </w:tcPr>
          <w:p w14:paraId="6D6F24EA"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4E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bl>
    <w:p w14:paraId="6D6F24ED" w14:textId="77777777" w:rsidR="00650E6F" w:rsidRPr="000E1EB0" w:rsidRDefault="00650E6F" w:rsidP="00650E6F">
      <w:pPr>
        <w:pStyle w:val="AAAATEX"/>
        <w:rPr>
          <w:i/>
        </w:rPr>
      </w:pPr>
      <w:r w:rsidRPr="000E1EB0">
        <w:rPr>
          <w:i/>
        </w:rPr>
        <w:t>* Grumbullues</w:t>
      </w:r>
    </w:p>
    <w:tbl>
      <w:tblPr>
        <w:tblStyle w:val="MediumGrid3-Accent1"/>
        <w:tblW w:w="0" w:type="auto"/>
        <w:jc w:val="center"/>
        <w:tblLayout w:type="fixed"/>
        <w:tblLook w:val="04A0" w:firstRow="1" w:lastRow="0" w:firstColumn="1" w:lastColumn="0" w:noHBand="0" w:noVBand="1"/>
      </w:tblPr>
      <w:tblGrid>
        <w:gridCol w:w="1818"/>
        <w:gridCol w:w="1530"/>
        <w:gridCol w:w="810"/>
        <w:gridCol w:w="1350"/>
        <w:gridCol w:w="1350"/>
        <w:gridCol w:w="1170"/>
        <w:gridCol w:w="1259"/>
      </w:tblGrid>
      <w:tr w:rsidR="00650E6F" w:rsidRPr="000E1EB0" w14:paraId="6D6F24F7" w14:textId="77777777" w:rsidTr="00B658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8" w:type="dxa"/>
          </w:tcPr>
          <w:p w14:paraId="6D6F24EE"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Treguesi i Rezultatit</w:t>
            </w:r>
          </w:p>
        </w:tc>
        <w:tc>
          <w:tcPr>
            <w:tcW w:w="1530" w:type="dxa"/>
          </w:tcPr>
          <w:p w14:paraId="6D6F24E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810" w:type="dxa"/>
          </w:tcPr>
          <w:p w14:paraId="6D6F24F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350" w:type="dxa"/>
          </w:tcPr>
          <w:p w14:paraId="6D6F24F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F2"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(2017)</w:t>
            </w:r>
          </w:p>
        </w:tc>
        <w:tc>
          <w:tcPr>
            <w:tcW w:w="1350" w:type="dxa"/>
          </w:tcPr>
          <w:p w14:paraId="6D6F24F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4F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(2020)</w:t>
            </w:r>
          </w:p>
        </w:tc>
        <w:tc>
          <w:tcPr>
            <w:tcW w:w="1170" w:type="dxa"/>
          </w:tcPr>
          <w:p w14:paraId="6D6F24F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259" w:type="dxa"/>
          </w:tcPr>
          <w:p w14:paraId="6D6F24F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01" w14:textId="77777777" w:rsidTr="00B658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8" w:type="dxa"/>
          </w:tcPr>
          <w:p w14:paraId="6D6F24F8"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vizitorëve në vendet e trashëgimisë kulturore</w:t>
            </w:r>
          </w:p>
        </w:tc>
        <w:tc>
          <w:tcPr>
            <w:tcW w:w="1530" w:type="dxa"/>
          </w:tcPr>
          <w:p w14:paraId="6D6F24F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Njerëzit vizitojnë vendet e trashëgimisë kulturore</w:t>
            </w:r>
          </w:p>
        </w:tc>
        <w:tc>
          <w:tcPr>
            <w:tcW w:w="810" w:type="dxa"/>
          </w:tcPr>
          <w:p w14:paraId="6D6F24FA"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w:t>
            </w:r>
          </w:p>
        </w:tc>
        <w:tc>
          <w:tcPr>
            <w:tcW w:w="1350" w:type="dxa"/>
          </w:tcPr>
          <w:p w14:paraId="6D6F24F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 rritur me 7% për vendet dhe subjektet e ndërhyrjes së programit</w:t>
            </w:r>
          </w:p>
        </w:tc>
        <w:tc>
          <w:tcPr>
            <w:tcW w:w="1350" w:type="dxa"/>
          </w:tcPr>
          <w:p w14:paraId="6D6F24F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 rritur me 15% për vendet dhe subjektet e ndërhyrjes së programit</w:t>
            </w:r>
          </w:p>
        </w:tc>
        <w:tc>
          <w:tcPr>
            <w:tcW w:w="1170" w:type="dxa"/>
          </w:tcPr>
          <w:p w14:paraId="6D6F24F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 Zyra Statistikore Shtetërore dhe</w:t>
            </w:r>
          </w:p>
          <w:p w14:paraId="6D6F24FE" w14:textId="4F5932CA"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INSTAT</w:t>
            </w:r>
            <w:r w:rsidR="00451181">
              <w:rPr>
                <w:rFonts w:ascii="Garamond" w:hAnsi="Garamond" w:cs="Tahoma"/>
                <w:sz w:val="20"/>
                <w:szCs w:val="20"/>
                <w:lang w:val="sq-AL"/>
              </w:rPr>
              <w:t>-i</w:t>
            </w:r>
          </w:p>
        </w:tc>
        <w:tc>
          <w:tcPr>
            <w:tcW w:w="1259" w:type="dxa"/>
          </w:tcPr>
          <w:p w14:paraId="6D6F24F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50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bl>
    <w:p w14:paraId="6D6F2502" w14:textId="5E377615" w:rsidR="00650E6F" w:rsidRPr="000E1EB0" w:rsidRDefault="00650E6F" w:rsidP="00650E6F">
      <w:pPr>
        <w:pStyle w:val="AAAATEX"/>
        <w:rPr>
          <w:i/>
        </w:rPr>
      </w:pPr>
      <w:r w:rsidRPr="000E1EB0">
        <w:rPr>
          <w:i/>
        </w:rPr>
        <w:t xml:space="preserve">* Vlera bazë lidhet me performancën e përfituesve/grupeve të synuara para ndërhyrjes; </w:t>
      </w:r>
      <w:r w:rsidR="00AE4F63">
        <w:rPr>
          <w:i/>
        </w:rPr>
        <w:t>s</w:t>
      </w:r>
      <w:r w:rsidRPr="000E1EB0">
        <w:rPr>
          <w:i/>
        </w:rPr>
        <w:t>hifrat përkatëse për të matur vlerën bazë, duhet të sigurohen nga aplikanti në formularin e aplikimit për grante.</w:t>
      </w:r>
    </w:p>
    <w:tbl>
      <w:tblPr>
        <w:tblStyle w:val="MediumGrid3-Accent1"/>
        <w:tblW w:w="9288" w:type="dxa"/>
        <w:jc w:val="center"/>
        <w:tblLayout w:type="fixed"/>
        <w:tblLook w:val="04A0" w:firstRow="1" w:lastRow="0" w:firstColumn="1" w:lastColumn="0" w:noHBand="0" w:noVBand="1"/>
      </w:tblPr>
      <w:tblGrid>
        <w:gridCol w:w="1908"/>
        <w:gridCol w:w="18"/>
        <w:gridCol w:w="2052"/>
        <w:gridCol w:w="951"/>
        <w:gridCol w:w="37"/>
        <w:gridCol w:w="1526"/>
        <w:gridCol w:w="1356"/>
        <w:gridCol w:w="1440"/>
      </w:tblGrid>
      <w:tr w:rsidR="00650E6F" w:rsidRPr="000E1EB0" w14:paraId="6D6F250A" w14:textId="77777777" w:rsidTr="00B658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8" w:type="dxa"/>
          </w:tcPr>
          <w:p w14:paraId="6D6F2503"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Treguesi i Ndikimit</w:t>
            </w:r>
          </w:p>
        </w:tc>
        <w:tc>
          <w:tcPr>
            <w:tcW w:w="2070" w:type="dxa"/>
            <w:gridSpan w:val="2"/>
          </w:tcPr>
          <w:p w14:paraId="6D6F250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988" w:type="dxa"/>
            <w:gridSpan w:val="2"/>
          </w:tcPr>
          <w:p w14:paraId="6D6F250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526" w:type="dxa"/>
          </w:tcPr>
          <w:p w14:paraId="6D6F250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w:t>
            </w:r>
          </w:p>
          <w:p w14:paraId="6D6F250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(2020)</w:t>
            </w:r>
          </w:p>
        </w:tc>
        <w:tc>
          <w:tcPr>
            <w:tcW w:w="1356" w:type="dxa"/>
          </w:tcPr>
          <w:p w14:paraId="6D6F250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440" w:type="dxa"/>
          </w:tcPr>
          <w:p w14:paraId="6D6F2509"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15" w14:textId="77777777" w:rsidTr="00B658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dxa"/>
            <w:gridSpan w:val="2"/>
          </w:tcPr>
          <w:p w14:paraId="6D6F250B" w14:textId="77777777" w:rsidR="00650E6F" w:rsidRPr="000E1EB0" w:rsidRDefault="00650E6F" w:rsidP="00650E6F">
            <w:pPr>
              <w:rPr>
                <w:rFonts w:ascii="Garamond" w:hAnsi="Garamond" w:cs="Tahoma"/>
                <w:bCs w:val="0"/>
                <w:sz w:val="20"/>
                <w:szCs w:val="20"/>
                <w:lang w:val="sq-AL"/>
              </w:rPr>
            </w:pPr>
            <w:r w:rsidRPr="000E1EB0">
              <w:rPr>
                <w:rFonts w:ascii="Garamond" w:hAnsi="Garamond" w:cs="Tahoma"/>
                <w:b w:val="0"/>
                <w:sz w:val="20"/>
                <w:szCs w:val="20"/>
                <w:lang w:val="sq-AL"/>
              </w:rPr>
              <w:t>% e palëve të treta të përfshira në aktivitete</w:t>
            </w:r>
          </w:p>
          <w:p w14:paraId="6D6F250C" w14:textId="77777777" w:rsidR="00650E6F" w:rsidRPr="000E1EB0" w:rsidRDefault="00650E6F" w:rsidP="00650E6F">
            <w:pPr>
              <w:rPr>
                <w:rFonts w:ascii="Garamond" w:hAnsi="Garamond" w:cs="Tahoma"/>
                <w:sz w:val="20"/>
                <w:szCs w:val="20"/>
                <w:lang w:val="sq-AL"/>
              </w:rPr>
            </w:pPr>
          </w:p>
          <w:p w14:paraId="6D6F250D" w14:textId="77777777" w:rsidR="00650E6F" w:rsidRPr="000E1EB0" w:rsidRDefault="00650E6F" w:rsidP="00650E6F">
            <w:pPr>
              <w:rPr>
                <w:rFonts w:ascii="Garamond" w:hAnsi="Garamond" w:cs="Tahoma"/>
                <w:sz w:val="20"/>
                <w:szCs w:val="20"/>
                <w:lang w:val="sq-AL"/>
              </w:rPr>
            </w:pPr>
          </w:p>
          <w:p w14:paraId="6D6F250E" w14:textId="77777777" w:rsidR="00650E6F" w:rsidRPr="000E1EB0" w:rsidRDefault="00650E6F" w:rsidP="00650E6F">
            <w:pPr>
              <w:rPr>
                <w:rFonts w:ascii="Garamond" w:hAnsi="Garamond" w:cs="Tahoma"/>
                <w:sz w:val="20"/>
                <w:szCs w:val="20"/>
                <w:lang w:val="sq-AL"/>
              </w:rPr>
            </w:pPr>
          </w:p>
        </w:tc>
        <w:tc>
          <w:tcPr>
            <w:tcW w:w="2052" w:type="dxa"/>
          </w:tcPr>
          <w:p w14:paraId="6D6F250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Raporti i palëve të interesuara që u angazhuan në aktivitetet kulturore në kuadër të programit</w:t>
            </w:r>
          </w:p>
        </w:tc>
        <w:tc>
          <w:tcPr>
            <w:tcW w:w="951" w:type="dxa"/>
          </w:tcPr>
          <w:p w14:paraId="6D6F251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1465*</w:t>
            </w:r>
          </w:p>
        </w:tc>
        <w:tc>
          <w:tcPr>
            <w:tcW w:w="1563" w:type="dxa"/>
            <w:gridSpan w:val="2"/>
          </w:tcPr>
          <w:p w14:paraId="6D6F2511" w14:textId="4CB8926E"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E rritur me 10% në krahasim me </w:t>
            </w:r>
            <w:r w:rsidR="00BC47F8">
              <w:rPr>
                <w:rFonts w:ascii="Garamond" w:hAnsi="Garamond" w:cs="Tahoma"/>
                <w:sz w:val="20"/>
                <w:szCs w:val="20"/>
                <w:lang w:val="sq-AL"/>
              </w:rPr>
              <w:t>2007–2013</w:t>
            </w:r>
          </w:p>
        </w:tc>
        <w:tc>
          <w:tcPr>
            <w:tcW w:w="1356" w:type="dxa"/>
          </w:tcPr>
          <w:p w14:paraId="6D6F251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440" w:type="dxa"/>
          </w:tcPr>
          <w:p w14:paraId="6D6F251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Çdo vit, nga</w:t>
            </w:r>
          </w:p>
          <w:p w14:paraId="6D6F251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data e zbatimit</w:t>
            </w:r>
          </w:p>
        </w:tc>
      </w:tr>
    </w:tbl>
    <w:p w14:paraId="6D6F2516" w14:textId="77777777" w:rsidR="00650E6F" w:rsidRPr="000E1EB0" w:rsidRDefault="00650E6F" w:rsidP="00650E6F">
      <w:pPr>
        <w:pStyle w:val="AAAATEX"/>
        <w:rPr>
          <w:i/>
        </w:rPr>
      </w:pPr>
      <w:r w:rsidRPr="000E1EB0">
        <w:rPr>
          <w:i/>
        </w:rPr>
        <w:t>* Raporti Vjetor i Zbatimit (AIR) 2013</w:t>
      </w:r>
    </w:p>
    <w:p w14:paraId="2BFE3DD6" w14:textId="77777777" w:rsidR="00451181" w:rsidRDefault="00451181" w:rsidP="00650E6F">
      <w:pPr>
        <w:pStyle w:val="AAAATEX"/>
        <w:rPr>
          <w:b/>
        </w:rPr>
      </w:pPr>
    </w:p>
    <w:p w14:paraId="6D6F2517" w14:textId="77777777" w:rsidR="00650E6F" w:rsidRPr="000E1EB0" w:rsidRDefault="00650E6F" w:rsidP="00650E6F">
      <w:pPr>
        <w:pStyle w:val="AAAATEX"/>
        <w:rPr>
          <w:b/>
        </w:rPr>
      </w:pPr>
      <w:r w:rsidRPr="000E1EB0">
        <w:rPr>
          <w:b/>
        </w:rPr>
        <w:t>Modalitetet e zbatimit</w:t>
      </w:r>
      <w:r w:rsidRPr="000E1EB0">
        <w:rPr>
          <w:rStyle w:val="FootnoteReference"/>
          <w:b/>
        </w:rPr>
        <w:footnoteReference w:id="11"/>
      </w:r>
    </w:p>
    <w:p w14:paraId="6D6F2518" w14:textId="708D3199" w:rsidR="00650E6F" w:rsidRPr="000E1EB0" w:rsidRDefault="00650E6F" w:rsidP="00650E6F">
      <w:pPr>
        <w:pStyle w:val="AAAATEX"/>
      </w:pPr>
      <w:r w:rsidRPr="00E1785F">
        <w:lastRenderedPageBreak/>
        <w:t>Aktivitetet e parashikuara nën këtë prioritet tematik do të zbatohen nëpërmjet modaliteteve të</w:t>
      </w:r>
      <w:r w:rsidRPr="000E1EB0">
        <w:t xml:space="preserve"> skemës së granteve në bazë të metodologjisë së thirrjeve për </w:t>
      </w:r>
      <w:r w:rsidR="00601FA3">
        <w:t>projektpropozime</w:t>
      </w:r>
      <w:r w:rsidRPr="000E1EB0">
        <w:t xml:space="preserve"> brenda regjimit të PRAG.</w:t>
      </w:r>
    </w:p>
    <w:p w14:paraId="6D6F2519" w14:textId="77777777" w:rsidR="00650E6F" w:rsidRPr="000E1EB0" w:rsidRDefault="00650E6F" w:rsidP="00650E6F">
      <w:pPr>
        <w:pStyle w:val="AAAATEX"/>
      </w:pPr>
      <w:r w:rsidRPr="000E1EB0">
        <w:t>Aktiviteti që synon përmirësimin e aftësive të personelit të industrisë së mikpritjes duhet të përfshijë përfaqësuesit e industrisë si aktorët kryesorë në secilin projekt propozim.</w:t>
      </w:r>
    </w:p>
    <w:p w14:paraId="6D6F251A" w14:textId="6143403F" w:rsidR="00650E6F" w:rsidRPr="000E1EB0" w:rsidRDefault="00650E6F" w:rsidP="00650E6F">
      <w:pPr>
        <w:pStyle w:val="AAAATEX"/>
      </w:pPr>
      <w:r w:rsidRPr="000E1EB0">
        <w:t xml:space="preserve">Në kuadër të këtij prioriteti tematik është parashikuar një gamë e gjerë e përfituesve të mundshëm. Vetëm për </w:t>
      </w:r>
      <w:r w:rsidR="00451181" w:rsidRPr="000E1EB0">
        <w:t xml:space="preserve">aktivitetin </w:t>
      </w:r>
      <w:r w:rsidRPr="000E1EB0">
        <w:t>1.1.2.2 pritet një numër i konsiderueshëm i projekteve të vogla që do të nxisin bashkëpunimin njerëz-për-njerëz dhe institucion-për-institucion.</w:t>
      </w:r>
    </w:p>
    <w:p w14:paraId="6D6F251B" w14:textId="77777777" w:rsidR="00650E6F" w:rsidRPr="000E1EB0" w:rsidRDefault="00650E6F" w:rsidP="00650E6F">
      <w:pPr>
        <w:pStyle w:val="AAAATEX"/>
      </w:pPr>
      <w:r w:rsidRPr="000E1EB0">
        <w:t>Aktivitetet 1.1.1.1 dhe 1.1.2.1 do të zbatojnë projekte me ndikim më të rëndësishëm afatgjatë, të tilla si infrastruktura e turizmit në shkallë të vogël dhe renovimi i monumenteve historike dhe kulturore.</w:t>
      </w:r>
    </w:p>
    <w:p w14:paraId="6D6F251C" w14:textId="2D84974B" w:rsidR="00650E6F" w:rsidRPr="000E1EB0" w:rsidRDefault="00650E6F" w:rsidP="00650E6F">
      <w:pPr>
        <w:pStyle w:val="AAAATEX"/>
      </w:pPr>
      <w:r w:rsidRPr="000E1EB0">
        <w:t xml:space="preserve">Qëllimi i ndërhyrjes në këtë prioritet tematik mund të kryqëzohet pjesërisht me mbështetjen e dhënë nëpërmjet prioritetit tematik 2, veçanërisht në lidhje me sipërmarrjet private, të cilat do të jenë aplikues dhe përfitues të pranueshëm. Në këtë aspekt, është hartuar linja ndarëse në vijim: palët e interesuara të prioritetit tematik (partnerët ose bashkëpunëtorët sipas modaliteteve PRAG) që bien në kategorinë e SME-ve duhet të përfshihen nën seksionin 1 të NACE: </w:t>
      </w:r>
      <w:r w:rsidR="005F7771">
        <w:t>a</w:t>
      </w:r>
      <w:r w:rsidRPr="000E1EB0">
        <w:t>komodimi dhe aktivitetet e shërbimit të ushqimit.</w:t>
      </w:r>
    </w:p>
    <w:p w14:paraId="6D6F251D" w14:textId="77777777" w:rsidR="00650E6F" w:rsidRPr="000E1EB0" w:rsidRDefault="00650E6F" w:rsidP="00650E6F">
      <w:pPr>
        <w:pStyle w:val="AAAATEX"/>
      </w:pPr>
      <w:r w:rsidRPr="000E1EB0">
        <w:t>Dy skenarë janë parashikuar për të siguruar mbështetje granteve:</w:t>
      </w:r>
    </w:p>
    <w:p w14:paraId="6D6F251E" w14:textId="122460E7" w:rsidR="00650E6F" w:rsidRPr="000E1EB0" w:rsidRDefault="00650E6F" w:rsidP="00650E6F">
      <w:pPr>
        <w:pStyle w:val="AAAATEX"/>
      </w:pPr>
      <w:r w:rsidRPr="000E1EB0">
        <w:t>1. Aktivitetet 1.1.1.1, 1.1.2.1 do të mbështeten në perspektivën afatmesme pasi</w:t>
      </w:r>
      <w:r w:rsidR="009A5DA1">
        <w:t xml:space="preserve"> </w:t>
      </w:r>
      <w:r w:rsidRPr="000E1EB0">
        <w:t xml:space="preserve">kërkojnë një mbështetje më të gjerë për lehtësimin, mobilizimin dhe zhvillimin e projektit se sa aktivitetet e tjera. Kështu, ato do të përfshihen vetëm në raundin e dytë dhe të tretë të thirrjeve për </w:t>
      </w:r>
      <w:r w:rsidR="00601FA3">
        <w:t>projektpropozime</w:t>
      </w:r>
      <w:r w:rsidRPr="000E1EB0">
        <w:t xml:space="preserve">, ndërsa </w:t>
      </w:r>
      <w:r w:rsidR="00127A00" w:rsidRPr="000E1EB0">
        <w:t xml:space="preserve">aktivitetet </w:t>
      </w:r>
      <w:r w:rsidRPr="000E1EB0">
        <w:t xml:space="preserve">1.1.1.2 dhe 1.1.2.2 do të mbështeten nëpërmjet raundit të parë dhe të tretë të thirrjeve për </w:t>
      </w:r>
      <w:r w:rsidR="00601FA3">
        <w:t>projektpropozime</w:t>
      </w:r>
      <w:r w:rsidRPr="000E1EB0">
        <w:t xml:space="preserve">. </w:t>
      </w:r>
    </w:p>
    <w:p w14:paraId="6D6F251F" w14:textId="33D92BA0" w:rsidR="00650E6F" w:rsidRPr="000E1EB0" w:rsidRDefault="00650E6F" w:rsidP="00650E6F">
      <w:pPr>
        <w:pStyle w:val="AAAATEX"/>
      </w:pPr>
      <w:r w:rsidRPr="000E1EB0">
        <w:t xml:space="preserve">2. I gjithë prioriteti tematik do të zbatohet nëpërmjet një thirrje për </w:t>
      </w:r>
      <w:r w:rsidR="00601FA3">
        <w:t>projektpropozime</w:t>
      </w:r>
      <w:r w:rsidRPr="000E1EB0">
        <w:t xml:space="preserve"> (përjashtim mund të bëhet për aktivitetin 1.1.2.2 i cili mund të përsëritet në çdo thirrje për </w:t>
      </w:r>
      <w:r w:rsidR="00601FA3">
        <w:t>projektpropozime</w:t>
      </w:r>
      <w:r w:rsidRPr="000E1EB0">
        <w:t>, kur është rasti për të reduktuar barrierat e hyrjes për aplikuesit me kapacitet më të ulët financiar).</w:t>
      </w:r>
    </w:p>
    <w:p w14:paraId="6D6F2520" w14:textId="0C435522" w:rsidR="00650E6F" w:rsidRPr="000E1EB0" w:rsidRDefault="00650E6F" w:rsidP="00650E6F">
      <w:pPr>
        <w:pStyle w:val="AAAATEX"/>
      </w:pPr>
      <w:r w:rsidRPr="000E1EB0">
        <w:t xml:space="preserve">Një thirrje e vetme për propozime mund të mbulojë më shumë se një prioritet tematik. Kur është e nevojshme dhe e mundur, thirrja për </w:t>
      </w:r>
      <w:r w:rsidR="00601FA3">
        <w:t>projektpropozime</w:t>
      </w:r>
      <w:r w:rsidRPr="000E1EB0">
        <w:t xml:space="preserve"> do të përfshijë ndarjet e buxhetit nga alokimet e ndryshme financiare vjetore, në mënyrë që të promovojë projekte në një shkallë më të madhe.</w:t>
      </w:r>
      <w:r w:rsidRPr="000E1EB0">
        <w:rPr>
          <w:rFonts w:eastAsia="Times New Roman"/>
          <w:lang w:eastAsia="en-GB"/>
        </w:rPr>
        <w:t xml:space="preserve"> </w:t>
      </w:r>
    </w:p>
    <w:p w14:paraId="6D6F2521" w14:textId="21E6B6E1" w:rsidR="00650E6F" w:rsidRPr="000E1EB0" w:rsidRDefault="00650E6F" w:rsidP="00650E6F">
      <w:pPr>
        <w:pStyle w:val="AAAATEX"/>
        <w:rPr>
          <w:b/>
        </w:rPr>
      </w:pPr>
      <w:r w:rsidRPr="000E1EB0">
        <w:rPr>
          <w:b/>
        </w:rPr>
        <w:t xml:space="preserve">Prioriteti </w:t>
      </w:r>
      <w:r w:rsidR="002D780E">
        <w:rPr>
          <w:b/>
        </w:rPr>
        <w:t>t</w:t>
      </w:r>
      <w:r w:rsidRPr="000E1EB0">
        <w:rPr>
          <w:b/>
        </w:rPr>
        <w:t>ematik 2</w:t>
      </w:r>
      <w:r w:rsidR="002D780E">
        <w:rPr>
          <w:b/>
        </w:rPr>
        <w:t>.</w:t>
      </w:r>
      <w:r w:rsidRPr="000E1EB0">
        <w:rPr>
          <w:b/>
        </w:rPr>
        <w:t xml:space="preserve"> Rritja e konkurrencës, biznesit, tregtisë dhe investimeve (TP7)</w:t>
      </w:r>
    </w:p>
    <w:p w14:paraId="6D6F2522" w14:textId="01DEBFB8" w:rsidR="00650E6F" w:rsidRPr="005555CF" w:rsidRDefault="00650E6F" w:rsidP="00650E6F">
      <w:pPr>
        <w:pStyle w:val="AAAATEX"/>
        <w:rPr>
          <w:b/>
        </w:rPr>
      </w:pPr>
      <w:r w:rsidRPr="005555CF">
        <w:rPr>
          <w:b/>
        </w:rPr>
        <w:t xml:space="preserve">Përmbledhje e </w:t>
      </w:r>
      <w:r w:rsidR="002D780E" w:rsidRPr="005555CF">
        <w:rPr>
          <w:b/>
        </w:rPr>
        <w:t>prioritetit tematik dhe referenca strategjike</w:t>
      </w:r>
    </w:p>
    <w:p w14:paraId="6D6F2523" w14:textId="7D093A4C" w:rsidR="00650E6F" w:rsidRPr="000E1EB0" w:rsidRDefault="00650E6F" w:rsidP="00650E6F">
      <w:pPr>
        <w:pStyle w:val="AAAATEX"/>
      </w:pPr>
      <w:r w:rsidRPr="000E1EB0">
        <w:t>Papunësia e lartë, nivelet e ulëta të punësimit dhe vlerës së shtuar në ekonominë e zonës së programit është një çështje e shqetësimit të lartë. Kështu, nxitja, mbështetja dhe krijimi i vendeve të punës dhe burime alternative të të ardhurave paraqitet si një nga objektivat kryesor</w:t>
      </w:r>
      <w:r w:rsidR="008F5BF4" w:rsidRPr="000E1EB0">
        <w:t>ë</w:t>
      </w:r>
      <w:r w:rsidRPr="000E1EB0">
        <w:t xml:space="preserve"> të politikës së zhvillimit social-ekonomik të rajonit CBC në këto rrethana.</w:t>
      </w:r>
    </w:p>
    <w:p w14:paraId="6D6F2524" w14:textId="77777777" w:rsidR="00650E6F" w:rsidRPr="000E1EB0" w:rsidRDefault="00650E6F" w:rsidP="00650E6F">
      <w:pPr>
        <w:pStyle w:val="AAAATEX"/>
      </w:pPr>
      <w:r w:rsidRPr="000E1EB0">
        <w:t xml:space="preserve">Prioriteti tematik do të synojë të mbështesë aksesin në tregjet të operatorëve ekonomikë në të gjithë sektorët kryesorë të ekonomisë në zonën e programit, rritjen e përdorimit të instrumenteve të TIK dhe teknologjisë, dhe shfrytëzimin e mundësive të pashfrytëzuara të zinxhirit të vlerave, duke përfshirë ato në ekonominë rurale. Pritet që këto të kontribuojnë në rritjen e konkurrencës, zhvillimin e tregtisë dhe investimet e reja në zonën e programit. </w:t>
      </w:r>
    </w:p>
    <w:p w14:paraId="6D6F2525" w14:textId="655083D1" w:rsidR="00650E6F" w:rsidRPr="000E1EB0" w:rsidRDefault="00650E6F" w:rsidP="00650E6F">
      <w:pPr>
        <w:pStyle w:val="AAAATEX"/>
      </w:pPr>
      <w:r w:rsidRPr="000E1EB0">
        <w:t xml:space="preserve">Aktivitetet e këtij prioriteti tematik kanë si qëllim të trajtojnë një numër të kufizuar të mundësive strategjike që lidhen me konkurrencën, e cila mbetet një nga shtyllat kryesore të Strategjisë së Evropës 2020. Qëllimi i ndërhyrjes së propozuar është plotësisht në përputhje me qasjen e sektorit IPA II: </w:t>
      </w:r>
      <w:r w:rsidR="00CE6F2C" w:rsidRPr="000E1EB0">
        <w:t xml:space="preserve">zona </w:t>
      </w:r>
      <w:r w:rsidRPr="000E1EB0">
        <w:t xml:space="preserve">A e </w:t>
      </w:r>
      <w:r w:rsidR="00CE6F2C" w:rsidRPr="000E1EB0">
        <w:t xml:space="preserve">politikës </w:t>
      </w:r>
      <w:r w:rsidRPr="000E1EB0">
        <w:t xml:space="preserve">- procesi i tranzicionit dhe ndërtimi i institucioneve, sektori: </w:t>
      </w:r>
      <w:r w:rsidR="00CE6F2C" w:rsidRPr="000E1EB0">
        <w:t xml:space="preserve">zhvillimi </w:t>
      </w:r>
      <w:r w:rsidRPr="000E1EB0">
        <w:t xml:space="preserve">i </w:t>
      </w:r>
      <w:r w:rsidR="00CE6F2C" w:rsidRPr="000E1EB0">
        <w:t xml:space="preserve">sektorit privat dhe objektivi tematik 3 i ndërhyrjes së fondeve strukturore: konkurrueshmëria </w:t>
      </w:r>
      <w:r w:rsidRPr="000E1EB0">
        <w:t>e SME-ve.</w:t>
      </w:r>
    </w:p>
    <w:p w14:paraId="6D6F2526" w14:textId="23C7C406" w:rsidR="00650E6F" w:rsidRPr="000E1EB0" w:rsidRDefault="00650E6F" w:rsidP="00650E6F">
      <w:pPr>
        <w:pStyle w:val="AAAATEX"/>
        <w:rPr>
          <w:b/>
        </w:rPr>
      </w:pPr>
      <w:r w:rsidRPr="000E1EB0">
        <w:rPr>
          <w:b/>
        </w:rPr>
        <w:t xml:space="preserve">Objektivi </w:t>
      </w:r>
      <w:r w:rsidR="00CE6F2C" w:rsidRPr="000E1EB0">
        <w:rPr>
          <w:b/>
        </w:rPr>
        <w:t>specifik</w:t>
      </w:r>
    </w:p>
    <w:p w14:paraId="6D6F2527" w14:textId="77777777" w:rsidR="00650E6F" w:rsidRPr="000E1EB0" w:rsidRDefault="00650E6F" w:rsidP="00650E6F">
      <w:pPr>
        <w:pStyle w:val="AAAATEX"/>
      </w:pPr>
      <w:r w:rsidRPr="000E1EB0">
        <w:lastRenderedPageBreak/>
        <w:t>Ky prioritet tematik përqendrohet në forcimin e kapaciteteve prodhuese të SME-ve dhe aksesit të tyre në tregje (SO 2.1).</w:t>
      </w:r>
    </w:p>
    <w:p w14:paraId="6D6F2528" w14:textId="77777777" w:rsidR="00650E6F" w:rsidRPr="000E1EB0" w:rsidRDefault="00650E6F" w:rsidP="00650E6F">
      <w:pPr>
        <w:pStyle w:val="AAAATEX"/>
      </w:pPr>
      <w:r w:rsidRPr="000E1EB0">
        <w:t>Ndërhyrja do të përqendrohet në përmirësimin dhe rritjen e ndërgjegjësimit mbi mundësitë që rrjedhin nga hapjet e zinxhirit të vlerave ekonomike ekzistuese, mbështetjen në drejtim të produktit dhe procesit të certifikimit të cilësisë të kërkuar në tregjet ndërkombëtare, dhe në përdorimin e gjerë të teknikave të shitjes moderne, duke përfshirë tregtinë elektronike. Në mënyrë që të rritet ekonomia rurale dhe mundësitë e saj strategjike, do të sigurohet një fushatë për të hapur / zhvilluar tregjet e organizuar të prodhimeve të freskëta.</w:t>
      </w:r>
    </w:p>
    <w:p w14:paraId="6D6F2529" w14:textId="77777777" w:rsidR="00650E6F" w:rsidRPr="00B13BD3" w:rsidRDefault="00650E6F" w:rsidP="00650E6F">
      <w:pPr>
        <w:pStyle w:val="AAAATEX"/>
        <w:rPr>
          <w:b/>
        </w:rPr>
      </w:pPr>
      <w:r w:rsidRPr="00B13BD3">
        <w:rPr>
          <w:b/>
        </w:rPr>
        <w:t>Rezultatet e pritshme</w:t>
      </w:r>
    </w:p>
    <w:p w14:paraId="6D6F252A" w14:textId="77777777" w:rsidR="00650E6F" w:rsidRPr="000E1EB0" w:rsidRDefault="00650E6F" w:rsidP="00650E6F">
      <w:pPr>
        <w:pStyle w:val="AAAATEX"/>
      </w:pPr>
      <w:r w:rsidRPr="000E1EB0">
        <w:t>Rezultati i pritshëm i lidhur me objektivin specifik të prioritetit tematik është:</w:t>
      </w:r>
    </w:p>
    <w:p w14:paraId="6D6F252B" w14:textId="77777777" w:rsidR="00650E6F" w:rsidRPr="000E1EB0" w:rsidRDefault="00650E6F" w:rsidP="00650E6F">
      <w:pPr>
        <w:pStyle w:val="AAAATEX"/>
      </w:pPr>
      <w:r w:rsidRPr="000E1EB0">
        <w:t xml:space="preserve">2.1.1. Ndërgjegjësimi dhe kapaciteti i SME-ve dhe bizneseve të reja për të hyrë në tregjet e reja dhe zinxhirët e vlerave janë rritur. </w:t>
      </w:r>
    </w:p>
    <w:p w14:paraId="32A660BA" w14:textId="77777777" w:rsidR="00844773" w:rsidRDefault="00650E6F" w:rsidP="00844773">
      <w:pPr>
        <w:pStyle w:val="AAAATEX"/>
        <w:rPr>
          <w:b/>
        </w:rPr>
      </w:pPr>
      <w:r w:rsidRPr="00844773">
        <w:rPr>
          <w:b/>
        </w:rPr>
        <w:t xml:space="preserve">Aktivitetet e parashikuara dhe </w:t>
      </w:r>
      <w:r w:rsidR="003F6673" w:rsidRPr="00844773">
        <w:rPr>
          <w:b/>
        </w:rPr>
        <w:t>grupet e synuara</w:t>
      </w:r>
    </w:p>
    <w:p w14:paraId="6D6F252E" w14:textId="33D982C8" w:rsidR="00650E6F" w:rsidRDefault="00650E6F" w:rsidP="00844773">
      <w:pPr>
        <w:pStyle w:val="AAAATEX"/>
      </w:pPr>
      <w:r w:rsidRPr="000E1EB0">
        <w:t xml:space="preserve">Aktivitetet e parashikuara dhe </w:t>
      </w:r>
      <w:r w:rsidR="003F6673" w:rsidRPr="000E1EB0">
        <w:t xml:space="preserve">grupet e synuara </w:t>
      </w:r>
      <w:r w:rsidRPr="000E1EB0">
        <w:t>janë grupuar në tabelën e mëposhtme.</w:t>
      </w:r>
    </w:p>
    <w:p w14:paraId="6BDB6166" w14:textId="77777777" w:rsidR="00143413" w:rsidRPr="00844773" w:rsidRDefault="00143413" w:rsidP="00844773">
      <w:pPr>
        <w:pStyle w:val="AAAATEX"/>
        <w:rPr>
          <w:b/>
        </w:rPr>
      </w:pPr>
    </w:p>
    <w:tbl>
      <w:tblPr>
        <w:tblStyle w:val="MediumGrid3-Accent1"/>
        <w:tblW w:w="0" w:type="auto"/>
        <w:tblLook w:val="04A0" w:firstRow="1" w:lastRow="0" w:firstColumn="1" w:lastColumn="0" w:noHBand="0" w:noVBand="1"/>
      </w:tblPr>
      <w:tblGrid>
        <w:gridCol w:w="4643"/>
        <w:gridCol w:w="4644"/>
      </w:tblGrid>
      <w:tr w:rsidR="00650E6F" w:rsidRPr="000E1EB0" w14:paraId="6D6F2531"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14:paraId="6D6F252F"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Aktivitetet e parashikuara</w:t>
            </w:r>
          </w:p>
        </w:tc>
        <w:tc>
          <w:tcPr>
            <w:tcW w:w="4644" w:type="dxa"/>
          </w:tcPr>
          <w:p w14:paraId="6D6F253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Grupet e Synuara të Përfituesve</w:t>
            </w:r>
          </w:p>
        </w:tc>
      </w:tr>
      <w:tr w:rsidR="00650E6F" w:rsidRPr="000E1EB0" w14:paraId="6D6F2537"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14:paraId="6D6F2532"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 xml:space="preserve">2.1.1.1 Asistencë për SME-të dhe bizneset e reja për ndërkombëtarizim dhe gjetjen e partnerëve të biznesit </w:t>
            </w:r>
          </w:p>
        </w:tc>
        <w:tc>
          <w:tcPr>
            <w:tcW w:w="4644" w:type="dxa"/>
          </w:tcPr>
          <w:p w14:paraId="6D6F2533" w14:textId="77777777" w:rsidR="00650E6F" w:rsidRPr="000E1EB0" w:rsidRDefault="00650E6F" w:rsidP="00650E6F">
            <w:pPr>
              <w:pStyle w:val="ListParagraph"/>
              <w:numPr>
                <w:ilvl w:val="0"/>
                <w:numId w:val="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534" w14:textId="77777777" w:rsidR="00650E6F" w:rsidRPr="000E1EB0" w:rsidRDefault="00650E6F" w:rsidP="00650E6F">
            <w:pPr>
              <w:pStyle w:val="ListParagraph"/>
              <w:numPr>
                <w:ilvl w:val="0"/>
                <w:numId w:val="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Organizatat anëtare të biznesit (p.sh. dhomat e tregtisë / artizanatit)</w:t>
            </w:r>
          </w:p>
          <w:p w14:paraId="6D6F2535" w14:textId="77777777" w:rsidR="00650E6F" w:rsidRPr="000E1EB0" w:rsidRDefault="00650E6F" w:rsidP="00650E6F">
            <w:pPr>
              <w:pStyle w:val="ListParagraph"/>
              <w:numPr>
                <w:ilvl w:val="0"/>
                <w:numId w:val="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SME-ve, grupimet dhe rrjetet e tyre</w:t>
            </w:r>
          </w:p>
          <w:p w14:paraId="6D6F2536" w14:textId="77777777" w:rsidR="00650E6F" w:rsidRPr="000E1EB0" w:rsidRDefault="00650E6F" w:rsidP="00650E6F">
            <w:pPr>
              <w:pStyle w:val="ListParagraph"/>
              <w:numPr>
                <w:ilvl w:val="0"/>
                <w:numId w:val="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Organizatat RDI dhe institucionet e arsimit të lartë</w:t>
            </w:r>
          </w:p>
        </w:tc>
      </w:tr>
      <w:tr w:rsidR="00650E6F" w:rsidRPr="000E1EB0" w14:paraId="6D6F253E" w14:textId="77777777" w:rsidTr="00650E6F">
        <w:tc>
          <w:tcPr>
            <w:cnfStyle w:val="001000000000" w:firstRow="0" w:lastRow="0" w:firstColumn="1" w:lastColumn="0" w:oddVBand="0" w:evenVBand="0" w:oddHBand="0" w:evenHBand="0" w:firstRowFirstColumn="0" w:firstRowLastColumn="0" w:lastRowFirstColumn="0" w:lastRowLastColumn="0"/>
            <w:tcW w:w="4643" w:type="dxa"/>
          </w:tcPr>
          <w:p w14:paraId="6D6F2538"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2.1.1.2 Investime në tregun e vogël ndërkufitar dhe në objekte tregtare</w:t>
            </w:r>
          </w:p>
        </w:tc>
        <w:tc>
          <w:tcPr>
            <w:tcW w:w="4644" w:type="dxa"/>
          </w:tcPr>
          <w:p w14:paraId="6D6F2539" w14:textId="77777777" w:rsidR="00650E6F" w:rsidRPr="000E1EB0" w:rsidRDefault="00650E6F" w:rsidP="00650E6F">
            <w:pPr>
              <w:pStyle w:val="ListParagraph"/>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53A" w14:textId="77777777" w:rsidR="00650E6F" w:rsidRPr="000E1EB0" w:rsidRDefault="00650E6F" w:rsidP="00650E6F">
            <w:pPr>
              <w:pStyle w:val="ListParagraph"/>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Qendrat për zhvillim të rajoneve planifikuese</w:t>
            </w:r>
          </w:p>
          <w:p w14:paraId="6D6F253B" w14:textId="77777777" w:rsidR="00650E6F" w:rsidRPr="000E1EB0" w:rsidRDefault="00650E6F" w:rsidP="00650E6F">
            <w:pPr>
              <w:pStyle w:val="ListParagraph"/>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Ndërmarrjet publike (në pronësi mbi 50% nga organet publike) - në rast të zhvillimit të tregjeve ndërkufitare dhe objekteve tregtare (përfshirë tregjet e prodhimeve të freskëta)</w:t>
            </w:r>
          </w:p>
          <w:p w14:paraId="6D6F253C" w14:textId="77777777" w:rsidR="00650E6F" w:rsidRPr="000E1EB0" w:rsidRDefault="00650E6F" w:rsidP="00650E6F">
            <w:pPr>
              <w:pStyle w:val="ListParagraph"/>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SME-ve, grupimet e tyre dhe organizatat anëtare të biznesit (p.sh. dhomat e tregtisë / artizanatit)</w:t>
            </w:r>
          </w:p>
          <w:p w14:paraId="6D6F253D" w14:textId="77777777" w:rsidR="00650E6F" w:rsidRPr="000E1EB0" w:rsidRDefault="00650E6F" w:rsidP="00650E6F">
            <w:pPr>
              <w:pStyle w:val="ListParagraph"/>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fermerëve</w:t>
            </w:r>
          </w:p>
        </w:tc>
      </w:tr>
    </w:tbl>
    <w:p w14:paraId="6D6F253F" w14:textId="77777777" w:rsidR="00650E6F" w:rsidRPr="000E1EB0" w:rsidRDefault="00650E6F" w:rsidP="00650E6F">
      <w:pPr>
        <w:spacing w:after="0" w:line="240" w:lineRule="auto"/>
        <w:jc w:val="both"/>
        <w:rPr>
          <w:rFonts w:ascii="Garamond" w:hAnsi="Garamond" w:cs="Tahoma"/>
          <w:sz w:val="20"/>
          <w:szCs w:val="20"/>
        </w:rPr>
      </w:pPr>
    </w:p>
    <w:p w14:paraId="6D6F2540" w14:textId="40F3E34E" w:rsidR="00650E6F" w:rsidRPr="000E1EB0" w:rsidRDefault="00650E6F" w:rsidP="00650E6F">
      <w:pPr>
        <w:spacing w:after="0" w:line="240" w:lineRule="auto"/>
        <w:jc w:val="both"/>
        <w:rPr>
          <w:rFonts w:ascii="Garamond" w:hAnsi="Garamond" w:cs="Tahoma"/>
          <w:b/>
          <w:sz w:val="24"/>
          <w:szCs w:val="24"/>
        </w:rPr>
      </w:pPr>
      <w:r w:rsidRPr="000E1EB0">
        <w:rPr>
          <w:rFonts w:ascii="Garamond" w:hAnsi="Garamond" w:cs="Tahoma"/>
          <w:b/>
          <w:sz w:val="24"/>
          <w:szCs w:val="24"/>
        </w:rPr>
        <w:t xml:space="preserve">Treguesit e </w:t>
      </w:r>
      <w:r w:rsidR="00B13BD3" w:rsidRPr="000E1EB0">
        <w:rPr>
          <w:rFonts w:ascii="Garamond" w:hAnsi="Garamond" w:cs="Tahoma"/>
          <w:b/>
          <w:sz w:val="24"/>
          <w:szCs w:val="24"/>
        </w:rPr>
        <w:t xml:space="preserve">performancës së zbatimit të prioritetit tematik </w:t>
      </w:r>
    </w:p>
    <w:tbl>
      <w:tblPr>
        <w:tblStyle w:val="MediumGrid3-Accent1"/>
        <w:tblW w:w="0" w:type="auto"/>
        <w:tblLook w:val="04A0" w:firstRow="1" w:lastRow="0" w:firstColumn="1" w:lastColumn="0" w:noHBand="0" w:noVBand="1"/>
      </w:tblPr>
      <w:tblGrid>
        <w:gridCol w:w="1809"/>
        <w:gridCol w:w="1418"/>
        <w:gridCol w:w="1134"/>
        <w:gridCol w:w="1134"/>
        <w:gridCol w:w="1057"/>
        <w:gridCol w:w="1345"/>
        <w:gridCol w:w="1390"/>
      </w:tblGrid>
      <w:tr w:rsidR="00650E6F" w:rsidRPr="000E1EB0" w14:paraId="6D6F2548" w14:textId="77777777" w:rsidTr="00650E6F">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1809" w:type="dxa"/>
          </w:tcPr>
          <w:p w14:paraId="6D6F2541" w14:textId="6CD5FA6A"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B13BD3" w:rsidRPr="000E1EB0">
              <w:rPr>
                <w:rFonts w:ascii="Garamond" w:hAnsi="Garamond" w:cs="Tahoma"/>
                <w:sz w:val="20"/>
                <w:szCs w:val="20"/>
                <w:lang w:val="sq-AL"/>
              </w:rPr>
              <w:t>kontributit</w:t>
            </w:r>
          </w:p>
        </w:tc>
        <w:tc>
          <w:tcPr>
            <w:tcW w:w="1418" w:type="dxa"/>
          </w:tcPr>
          <w:p w14:paraId="6D6F2542"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1134" w:type="dxa"/>
          </w:tcPr>
          <w:p w14:paraId="6D6F254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134" w:type="dxa"/>
          </w:tcPr>
          <w:p w14:paraId="6D6F254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(2017)</w:t>
            </w:r>
          </w:p>
        </w:tc>
        <w:tc>
          <w:tcPr>
            <w:tcW w:w="1057" w:type="dxa"/>
          </w:tcPr>
          <w:p w14:paraId="6D6F254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1345" w:type="dxa"/>
          </w:tcPr>
          <w:p w14:paraId="6D6F254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390" w:type="dxa"/>
          </w:tcPr>
          <w:p w14:paraId="6D6F254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5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D6F2549" w14:textId="77777777" w:rsidR="00650E6F" w:rsidRPr="000E1EB0" w:rsidRDefault="00650E6F" w:rsidP="00650E6F">
            <w:pPr>
              <w:rPr>
                <w:rFonts w:ascii="Garamond" w:hAnsi="Garamond" w:cs="Tahoma"/>
                <w:b w:val="0"/>
                <w:color w:val="auto"/>
                <w:sz w:val="20"/>
                <w:szCs w:val="20"/>
                <w:lang w:val="sq-AL"/>
              </w:rPr>
            </w:pPr>
            <w:r w:rsidRPr="000E1EB0">
              <w:rPr>
                <w:rFonts w:ascii="Garamond" w:hAnsi="Garamond" w:cs="Tahoma"/>
                <w:sz w:val="20"/>
                <w:szCs w:val="20"/>
                <w:lang w:val="sq-AL"/>
              </w:rPr>
              <w:t>Nr. i aktiviteteve të tregtisë së jashtme</w:t>
            </w:r>
          </w:p>
        </w:tc>
        <w:tc>
          <w:tcPr>
            <w:tcW w:w="1418" w:type="dxa"/>
          </w:tcPr>
          <w:p w14:paraId="6D6F254A"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Aktivitete që synojnë tregun e jashtëm</w:t>
            </w:r>
          </w:p>
        </w:tc>
        <w:tc>
          <w:tcPr>
            <w:tcW w:w="1134" w:type="dxa"/>
          </w:tcPr>
          <w:p w14:paraId="6D6F254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34" w:type="dxa"/>
          </w:tcPr>
          <w:p w14:paraId="6D6F254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1057" w:type="dxa"/>
          </w:tcPr>
          <w:p w14:paraId="6D6F254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w:t>
            </w:r>
          </w:p>
        </w:tc>
        <w:tc>
          <w:tcPr>
            <w:tcW w:w="1345" w:type="dxa"/>
          </w:tcPr>
          <w:p w14:paraId="6D6F254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390" w:type="dxa"/>
          </w:tcPr>
          <w:p w14:paraId="6D6F254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558" w14:textId="77777777" w:rsidTr="00650E6F">
        <w:tc>
          <w:tcPr>
            <w:cnfStyle w:val="001000000000" w:firstRow="0" w:lastRow="0" w:firstColumn="1" w:lastColumn="0" w:oddVBand="0" w:evenVBand="0" w:oddHBand="0" w:evenHBand="0" w:firstRowFirstColumn="0" w:firstRowLastColumn="0" w:lastRowFirstColumn="0" w:lastRowLastColumn="0"/>
            <w:tcW w:w="1809" w:type="dxa"/>
          </w:tcPr>
          <w:p w14:paraId="6D6F2551"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bizneseve që marrin pjesë në aktivitete të reja të tregtisë së jashtme</w:t>
            </w:r>
          </w:p>
        </w:tc>
        <w:tc>
          <w:tcPr>
            <w:tcW w:w="1418" w:type="dxa"/>
          </w:tcPr>
          <w:p w14:paraId="6D6F255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bizneseve që përfitojnë nga aktivitetet e reja të tregtisë së jashtme</w:t>
            </w:r>
          </w:p>
        </w:tc>
        <w:tc>
          <w:tcPr>
            <w:tcW w:w="1134" w:type="dxa"/>
          </w:tcPr>
          <w:p w14:paraId="6D6F255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34" w:type="dxa"/>
          </w:tcPr>
          <w:p w14:paraId="6D6F255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30</w:t>
            </w:r>
          </w:p>
        </w:tc>
        <w:tc>
          <w:tcPr>
            <w:tcW w:w="1057" w:type="dxa"/>
          </w:tcPr>
          <w:p w14:paraId="6D6F255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50</w:t>
            </w:r>
          </w:p>
        </w:tc>
        <w:tc>
          <w:tcPr>
            <w:tcW w:w="1345" w:type="dxa"/>
          </w:tcPr>
          <w:p w14:paraId="6D6F255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390" w:type="dxa"/>
          </w:tcPr>
          <w:p w14:paraId="6D6F255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56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D6F2559" w14:textId="67F4B515" w:rsidR="00650E6F" w:rsidRPr="000E1EB0" w:rsidRDefault="00650E6F" w:rsidP="00B13BD3">
            <w:pPr>
              <w:rPr>
                <w:rFonts w:ascii="Garamond" w:hAnsi="Garamond" w:cs="Tahoma"/>
                <w:b w:val="0"/>
                <w:sz w:val="20"/>
                <w:szCs w:val="20"/>
                <w:lang w:val="sq-AL"/>
              </w:rPr>
            </w:pPr>
            <w:r w:rsidRPr="000E1EB0">
              <w:rPr>
                <w:rFonts w:ascii="Garamond" w:hAnsi="Garamond" w:cs="Tahoma"/>
                <w:b w:val="0"/>
                <w:sz w:val="20"/>
                <w:szCs w:val="20"/>
                <w:lang w:val="sq-AL"/>
              </w:rPr>
              <w:t>Nr. i SME-ve me certifikata të reja të konformitetit të fituara (ISO, HACCP etj.)</w:t>
            </w:r>
          </w:p>
        </w:tc>
        <w:tc>
          <w:tcPr>
            <w:tcW w:w="1418" w:type="dxa"/>
          </w:tcPr>
          <w:p w14:paraId="6D6F255A"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SME-të që kanë çertifikata të reja të konformitetit</w:t>
            </w:r>
          </w:p>
        </w:tc>
        <w:tc>
          <w:tcPr>
            <w:tcW w:w="1134" w:type="dxa"/>
          </w:tcPr>
          <w:p w14:paraId="6D6F255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34" w:type="dxa"/>
          </w:tcPr>
          <w:p w14:paraId="6D6F255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w:t>
            </w:r>
          </w:p>
        </w:tc>
        <w:tc>
          <w:tcPr>
            <w:tcW w:w="1057" w:type="dxa"/>
          </w:tcPr>
          <w:p w14:paraId="6D6F255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20</w:t>
            </w:r>
          </w:p>
        </w:tc>
        <w:tc>
          <w:tcPr>
            <w:tcW w:w="1345" w:type="dxa"/>
          </w:tcPr>
          <w:p w14:paraId="6D6F255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390" w:type="dxa"/>
          </w:tcPr>
          <w:p w14:paraId="6D6F255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568" w14:textId="77777777" w:rsidTr="00650E6F">
        <w:tc>
          <w:tcPr>
            <w:cnfStyle w:val="001000000000" w:firstRow="0" w:lastRow="0" w:firstColumn="1" w:lastColumn="0" w:oddVBand="0" w:evenVBand="0" w:oddHBand="0" w:evenHBand="0" w:firstRowFirstColumn="0" w:firstRowLastColumn="0" w:lastRowFirstColumn="0" w:lastRowLastColumn="0"/>
            <w:tcW w:w="1809" w:type="dxa"/>
          </w:tcPr>
          <w:p w14:paraId="6D6F2561"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lastRenderedPageBreak/>
              <w:t>Nr. i tregjeve të reja dhe objekteve tregtare të zhvilluara nëpërmjet marrëveshjeve</w:t>
            </w:r>
          </w:p>
        </w:tc>
        <w:tc>
          <w:tcPr>
            <w:tcW w:w="1418" w:type="dxa"/>
          </w:tcPr>
          <w:p w14:paraId="6D6F256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marrëveshjeve me tregje të reja dhe objekte tregtisë</w:t>
            </w:r>
          </w:p>
        </w:tc>
        <w:tc>
          <w:tcPr>
            <w:tcW w:w="1134" w:type="dxa"/>
          </w:tcPr>
          <w:p w14:paraId="6D6F256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34" w:type="dxa"/>
          </w:tcPr>
          <w:p w14:paraId="6D6F256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w:t>
            </w:r>
          </w:p>
        </w:tc>
        <w:tc>
          <w:tcPr>
            <w:tcW w:w="1057" w:type="dxa"/>
          </w:tcPr>
          <w:p w14:paraId="6D6F256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w:t>
            </w:r>
          </w:p>
        </w:tc>
        <w:tc>
          <w:tcPr>
            <w:tcW w:w="1345" w:type="dxa"/>
          </w:tcPr>
          <w:p w14:paraId="6D6F256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390" w:type="dxa"/>
          </w:tcPr>
          <w:p w14:paraId="6D6F256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569" w14:textId="77777777" w:rsidR="00650E6F" w:rsidRPr="000E1EB0" w:rsidRDefault="00650E6F" w:rsidP="00650E6F">
      <w:pPr>
        <w:spacing w:after="0" w:line="240" w:lineRule="auto"/>
        <w:jc w:val="both"/>
        <w:rPr>
          <w:rFonts w:ascii="Garamond" w:hAnsi="Garamond" w:cs="Tahoma"/>
          <w:i/>
          <w:sz w:val="24"/>
          <w:szCs w:val="24"/>
        </w:rPr>
      </w:pPr>
      <w:r w:rsidRPr="000E1EB0">
        <w:rPr>
          <w:rFonts w:ascii="Garamond" w:hAnsi="Garamond" w:cs="Tahoma"/>
          <w:i/>
          <w:sz w:val="24"/>
          <w:szCs w:val="24"/>
        </w:rPr>
        <w:t>* Grumbullues</w:t>
      </w:r>
    </w:p>
    <w:p w14:paraId="6D6F256A"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1887"/>
        <w:gridCol w:w="1369"/>
        <w:gridCol w:w="1396"/>
        <w:gridCol w:w="972"/>
        <w:gridCol w:w="1165"/>
        <w:gridCol w:w="1419"/>
        <w:gridCol w:w="1241"/>
      </w:tblGrid>
      <w:tr w:rsidR="00650E6F" w:rsidRPr="000E1EB0" w14:paraId="6D6F2572"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7" w:type="dxa"/>
          </w:tcPr>
          <w:p w14:paraId="6D6F256B"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Treguesi i rezultatit</w:t>
            </w:r>
          </w:p>
        </w:tc>
        <w:tc>
          <w:tcPr>
            <w:tcW w:w="1369" w:type="dxa"/>
          </w:tcPr>
          <w:p w14:paraId="6D6F256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1234" w:type="dxa"/>
          </w:tcPr>
          <w:p w14:paraId="6D6F256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972" w:type="dxa"/>
          </w:tcPr>
          <w:p w14:paraId="6D6F256E"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(2017)</w:t>
            </w:r>
          </w:p>
        </w:tc>
        <w:tc>
          <w:tcPr>
            <w:tcW w:w="1165" w:type="dxa"/>
          </w:tcPr>
          <w:p w14:paraId="6D6F256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1419" w:type="dxa"/>
          </w:tcPr>
          <w:p w14:paraId="6D6F257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241" w:type="dxa"/>
          </w:tcPr>
          <w:p w14:paraId="6D6F257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7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7" w:type="dxa"/>
          </w:tcPr>
          <w:p w14:paraId="6D6F2573"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Ndarja e vlerës së eksportit të mallrave dhe shërbimeve (%)</w:t>
            </w:r>
          </w:p>
        </w:tc>
        <w:tc>
          <w:tcPr>
            <w:tcW w:w="1369" w:type="dxa"/>
          </w:tcPr>
          <w:p w14:paraId="6D6F257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Raporti i eksporteve të mallrave dhe shërbimeve në lidhje me tregtinë e përgjithshme</w:t>
            </w:r>
          </w:p>
        </w:tc>
        <w:tc>
          <w:tcPr>
            <w:tcW w:w="1234" w:type="dxa"/>
          </w:tcPr>
          <w:p w14:paraId="6D6F257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w:t>
            </w:r>
          </w:p>
        </w:tc>
        <w:tc>
          <w:tcPr>
            <w:tcW w:w="972" w:type="dxa"/>
          </w:tcPr>
          <w:p w14:paraId="6D6F257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Rritje me 2%</w:t>
            </w:r>
          </w:p>
        </w:tc>
        <w:tc>
          <w:tcPr>
            <w:tcW w:w="1165" w:type="dxa"/>
          </w:tcPr>
          <w:p w14:paraId="6D6F257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Rritje me 5%</w:t>
            </w:r>
          </w:p>
        </w:tc>
        <w:tc>
          <w:tcPr>
            <w:tcW w:w="1419" w:type="dxa"/>
          </w:tcPr>
          <w:p w14:paraId="6D6F257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 Zyra Shtetërore e Statistikave, dhe INSTAT</w:t>
            </w:r>
          </w:p>
        </w:tc>
        <w:tc>
          <w:tcPr>
            <w:tcW w:w="1241" w:type="dxa"/>
          </w:tcPr>
          <w:p w14:paraId="6D6F257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582" w14:textId="77777777" w:rsidTr="00650E6F">
        <w:tc>
          <w:tcPr>
            <w:cnfStyle w:val="001000000000" w:firstRow="0" w:lastRow="0" w:firstColumn="1" w:lastColumn="0" w:oddVBand="0" w:evenVBand="0" w:oddHBand="0" w:evenHBand="0" w:firstRowFirstColumn="0" w:firstRowLastColumn="0" w:lastRowFirstColumn="0" w:lastRowLastColumn="0"/>
            <w:tcW w:w="1887" w:type="dxa"/>
          </w:tcPr>
          <w:p w14:paraId="6D6F257B"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Qarkullimi i bizneseve</w:t>
            </w:r>
          </w:p>
        </w:tc>
        <w:tc>
          <w:tcPr>
            <w:tcW w:w="1369" w:type="dxa"/>
          </w:tcPr>
          <w:p w14:paraId="6D6F257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Rritja e shitjeve totale të një shoqërie për një periudhë të caktuar</w:t>
            </w:r>
          </w:p>
        </w:tc>
        <w:tc>
          <w:tcPr>
            <w:tcW w:w="1234" w:type="dxa"/>
          </w:tcPr>
          <w:p w14:paraId="6D6F257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w:t>
            </w:r>
          </w:p>
        </w:tc>
        <w:tc>
          <w:tcPr>
            <w:tcW w:w="972" w:type="dxa"/>
          </w:tcPr>
          <w:p w14:paraId="6D6F257E"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Rritje me 3%</w:t>
            </w:r>
          </w:p>
        </w:tc>
        <w:tc>
          <w:tcPr>
            <w:tcW w:w="1165" w:type="dxa"/>
          </w:tcPr>
          <w:p w14:paraId="6D6F257F"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Rritje me 8%</w:t>
            </w:r>
          </w:p>
        </w:tc>
        <w:tc>
          <w:tcPr>
            <w:tcW w:w="1419" w:type="dxa"/>
          </w:tcPr>
          <w:p w14:paraId="6D6F2580" w14:textId="30482F3E"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 Zyra Shtetërore e Statistikave, dhe INSTAT</w:t>
            </w:r>
            <w:r w:rsidR="00987364">
              <w:rPr>
                <w:rFonts w:ascii="Garamond" w:hAnsi="Garamond" w:cs="Tahoma"/>
                <w:sz w:val="20"/>
                <w:szCs w:val="20"/>
                <w:lang w:val="sq-AL"/>
              </w:rPr>
              <w:t>-i</w:t>
            </w:r>
          </w:p>
        </w:tc>
        <w:tc>
          <w:tcPr>
            <w:tcW w:w="1241" w:type="dxa"/>
          </w:tcPr>
          <w:p w14:paraId="6D6F258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583" w14:textId="468C9A7B" w:rsidR="00650E6F" w:rsidRPr="000E1EB0" w:rsidRDefault="00650E6F" w:rsidP="00650E6F">
      <w:pPr>
        <w:spacing w:after="0" w:line="240" w:lineRule="auto"/>
        <w:jc w:val="both"/>
        <w:rPr>
          <w:rFonts w:ascii="Garamond" w:hAnsi="Garamond" w:cs="Tahoma"/>
          <w:i/>
          <w:sz w:val="24"/>
          <w:szCs w:val="24"/>
        </w:rPr>
      </w:pPr>
      <w:r w:rsidRPr="000E1EB0">
        <w:rPr>
          <w:rFonts w:ascii="Garamond" w:hAnsi="Garamond" w:cs="Tahoma"/>
          <w:i/>
          <w:sz w:val="24"/>
          <w:szCs w:val="24"/>
        </w:rPr>
        <w:t xml:space="preserve">* Vlera bazë lidhet me performancën e përfituesve/grupeve të synuara para ndërhyrjes; </w:t>
      </w:r>
      <w:r w:rsidR="00987364">
        <w:rPr>
          <w:rFonts w:ascii="Garamond" w:hAnsi="Garamond" w:cs="Tahoma"/>
          <w:i/>
          <w:sz w:val="24"/>
          <w:szCs w:val="24"/>
        </w:rPr>
        <w:t>s</w:t>
      </w:r>
      <w:r w:rsidRPr="000E1EB0">
        <w:rPr>
          <w:rFonts w:ascii="Garamond" w:hAnsi="Garamond" w:cs="Tahoma"/>
          <w:i/>
          <w:sz w:val="24"/>
          <w:szCs w:val="24"/>
        </w:rPr>
        <w:t>hifrat përkatëse për të matur vlerën bazë, duhet të sigurohen nga aplikanti në formularin e aplikimit për grante.</w:t>
      </w:r>
    </w:p>
    <w:p w14:paraId="6D6F2584"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5000" w:type="pct"/>
        <w:tblLayout w:type="fixed"/>
        <w:tblLook w:val="04A0" w:firstRow="1" w:lastRow="0" w:firstColumn="1" w:lastColumn="0" w:noHBand="0" w:noVBand="1"/>
      </w:tblPr>
      <w:tblGrid>
        <w:gridCol w:w="1981"/>
        <w:gridCol w:w="2398"/>
        <w:gridCol w:w="1023"/>
        <w:gridCol w:w="1299"/>
        <w:gridCol w:w="1578"/>
        <w:gridCol w:w="1297"/>
      </w:tblGrid>
      <w:tr w:rsidR="00650E6F" w:rsidRPr="000E1EB0" w14:paraId="6D6F258B"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tcPr>
          <w:p w14:paraId="6D6F2585"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Treguesi i Ndikimit</w:t>
            </w:r>
          </w:p>
        </w:tc>
        <w:tc>
          <w:tcPr>
            <w:tcW w:w="1252" w:type="pct"/>
          </w:tcPr>
          <w:p w14:paraId="6D6F258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534" w:type="pct"/>
          </w:tcPr>
          <w:p w14:paraId="6D6F258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678" w:type="pct"/>
          </w:tcPr>
          <w:p w14:paraId="6D6F258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824" w:type="pct"/>
          </w:tcPr>
          <w:p w14:paraId="6D6F2589"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678" w:type="pct"/>
          </w:tcPr>
          <w:p w14:paraId="6D6F258A"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9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tcPr>
          <w:p w14:paraId="6D6F258C"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Vlera bruto e shtuar nga sektori</w:t>
            </w:r>
          </w:p>
        </w:tc>
        <w:tc>
          <w:tcPr>
            <w:tcW w:w="1252" w:type="pct"/>
          </w:tcPr>
          <w:p w14:paraId="6D6F258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Përqindje e rritur e vlerës së të mirave dhe shërbimeve të prodhuara në sektorin ekonomik brenda zonës gjeografike</w:t>
            </w:r>
          </w:p>
        </w:tc>
        <w:tc>
          <w:tcPr>
            <w:tcW w:w="534" w:type="pct"/>
          </w:tcPr>
          <w:p w14:paraId="6D6F258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w:t>
            </w:r>
          </w:p>
        </w:tc>
        <w:tc>
          <w:tcPr>
            <w:tcW w:w="678" w:type="pct"/>
          </w:tcPr>
          <w:p w14:paraId="6D6F258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Rritje me 2% në krahasim me vitin 2013</w:t>
            </w:r>
          </w:p>
        </w:tc>
        <w:tc>
          <w:tcPr>
            <w:tcW w:w="824" w:type="pct"/>
          </w:tcPr>
          <w:p w14:paraId="6D6F259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Zyra Shtetërore e Statistikave, dhe INSTAT</w:t>
            </w:r>
          </w:p>
        </w:tc>
        <w:tc>
          <w:tcPr>
            <w:tcW w:w="678" w:type="pct"/>
          </w:tcPr>
          <w:p w14:paraId="6D6F259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593" w14:textId="77777777" w:rsidR="00650E6F" w:rsidRPr="000E1EB0" w:rsidRDefault="00650E6F" w:rsidP="00650E6F">
      <w:pPr>
        <w:spacing w:after="0" w:line="240" w:lineRule="auto"/>
        <w:jc w:val="both"/>
        <w:rPr>
          <w:rFonts w:ascii="Garamond" w:hAnsi="Garamond" w:cs="Tahoma"/>
          <w:i/>
          <w:sz w:val="24"/>
          <w:szCs w:val="24"/>
        </w:rPr>
      </w:pPr>
      <w:r w:rsidRPr="000E1EB0">
        <w:rPr>
          <w:rFonts w:ascii="Garamond" w:hAnsi="Garamond" w:cs="Tahoma"/>
          <w:i/>
          <w:sz w:val="24"/>
          <w:szCs w:val="24"/>
        </w:rPr>
        <w:t>* Të dhënat do të llogariten pasi zyrat e statistikave të sigurojnë informacionin e nevojshëm.</w:t>
      </w:r>
    </w:p>
    <w:p w14:paraId="5E80BD00" w14:textId="77777777" w:rsidR="00DA3657" w:rsidRDefault="00DA3657" w:rsidP="00650E6F">
      <w:pPr>
        <w:pStyle w:val="AAAATEX"/>
        <w:rPr>
          <w:b/>
        </w:rPr>
      </w:pPr>
    </w:p>
    <w:p w14:paraId="6D6F2594" w14:textId="278ADF3A" w:rsidR="00650E6F" w:rsidRPr="000E1EB0" w:rsidRDefault="00650E6F" w:rsidP="00650E6F">
      <w:pPr>
        <w:pStyle w:val="AAAATEX"/>
        <w:rPr>
          <w:b/>
        </w:rPr>
      </w:pPr>
      <w:r w:rsidRPr="000E1EB0">
        <w:rPr>
          <w:b/>
        </w:rPr>
        <w:t xml:space="preserve">Modalitetet e </w:t>
      </w:r>
      <w:r w:rsidR="00B13BD3" w:rsidRPr="000E1EB0">
        <w:rPr>
          <w:b/>
        </w:rPr>
        <w:t>zbatimit</w:t>
      </w:r>
      <w:r w:rsidRPr="000E1EB0">
        <w:rPr>
          <w:rStyle w:val="FootnoteReference"/>
        </w:rPr>
        <w:footnoteReference w:id="12"/>
      </w:r>
    </w:p>
    <w:p w14:paraId="6D6F2595" w14:textId="0B3A9AC2" w:rsidR="00650E6F" w:rsidRPr="000E1EB0" w:rsidRDefault="00650E6F" w:rsidP="00650E6F">
      <w:pPr>
        <w:pStyle w:val="AAAATEX"/>
      </w:pPr>
      <w:r w:rsidRPr="000E1EB0">
        <w:t>Të gjitha aktivitetet e prioritetit tematik 2 do të zbatohen nëpërmjet modaliteteve të skemës së granteve.</w:t>
      </w:r>
      <w:r w:rsidR="009A5DA1">
        <w:t xml:space="preserve"> </w:t>
      </w:r>
    </w:p>
    <w:p w14:paraId="6D6F2596" w14:textId="3B29B4D8" w:rsidR="00650E6F" w:rsidRPr="000E1EB0" w:rsidRDefault="00650E6F" w:rsidP="00650E6F">
      <w:pPr>
        <w:pStyle w:val="AAAATEX"/>
      </w:pPr>
      <w:r w:rsidRPr="000E1EB0">
        <w:t xml:space="preserve">Ndihma e dhënë për bizneset individuale duhet të jetë në përputhje me ligjet e BE-së: i) ndihma shtetërore e dhënë nën GBER ose ii) tavani i ndihmës minimale dhe maksimale të jetë deri në 85%, për të siguruar </w:t>
      </w:r>
      <w:r w:rsidR="00036A7C">
        <w:t>bashkë</w:t>
      </w:r>
      <w:r w:rsidRPr="000E1EB0">
        <w:t>financimin minimal të kërkuar për IPA.</w:t>
      </w:r>
    </w:p>
    <w:p w14:paraId="6D6F2597" w14:textId="77777777" w:rsidR="00650E6F" w:rsidRPr="000E1EB0" w:rsidRDefault="00650E6F" w:rsidP="00650E6F">
      <w:pPr>
        <w:pStyle w:val="AAAATEX"/>
      </w:pPr>
      <w:r w:rsidRPr="000E1EB0">
        <w:t>Vija ndarëse e kufirit midis aktiviteteve të realizuara në bazë të këtij prioriteti tematik dhe prioritetit tematik 1 është përcaktuar në bazë të pranueshmërisë së aplikantëve: SME-të dhe rrjetet e tyre që përfitojnë nga ndërhyrjet e prioritetit tematik 2 nuk duhet të bien nën seksionin I të NACE: Aktivitetet e akomodimit dhe shërbimeve ushqimore.</w:t>
      </w:r>
    </w:p>
    <w:p w14:paraId="6D6F2598" w14:textId="77777777" w:rsidR="00650E6F" w:rsidRPr="000E1EB0" w:rsidRDefault="00650E6F" w:rsidP="00650E6F">
      <w:pPr>
        <w:pStyle w:val="AAAATEX"/>
      </w:pPr>
      <w:r w:rsidRPr="000E1EB0">
        <w:lastRenderedPageBreak/>
        <w:t>Janë parashikuar dy opsione për të ofruar ndërhyrjen në bazë të këtij prioriteti tematik, në varësi të karakteristikave përfundimtare të ofertës financiare:</w:t>
      </w:r>
    </w:p>
    <w:p w14:paraId="6D6F2599" w14:textId="2A08DF64" w:rsidR="00650E6F" w:rsidRPr="000E1EB0" w:rsidRDefault="00650E6F" w:rsidP="00650E6F">
      <w:pPr>
        <w:pStyle w:val="AAAATEX"/>
      </w:pPr>
      <w:r w:rsidRPr="000E1EB0">
        <w:t xml:space="preserve">1. Aktiviteti 2.1.1.1 mund të mbështetet në raundin e parë dhe të tretë të thirrjeve për </w:t>
      </w:r>
      <w:r w:rsidR="00601FA3">
        <w:t>projektpropozime</w:t>
      </w:r>
      <w:r w:rsidRPr="000E1EB0">
        <w:t xml:space="preserve">, ndërsa </w:t>
      </w:r>
      <w:r w:rsidR="003A2EE2" w:rsidRPr="000E1EB0">
        <w:t xml:space="preserve">aktiviteti </w:t>
      </w:r>
      <w:r w:rsidRPr="000E1EB0">
        <w:t xml:space="preserve">2.1.1.2 gjatë raundit të dytë ose të tretë të thirrjeve për </w:t>
      </w:r>
      <w:r w:rsidR="00601FA3">
        <w:t>projektpropozime</w:t>
      </w:r>
      <w:r w:rsidRPr="000E1EB0">
        <w:t xml:space="preserve"> (për të shmangur përplasje në një thirrje për projekte me </w:t>
      </w:r>
      <w:r w:rsidR="003A2EE2" w:rsidRPr="000E1EB0">
        <w:t xml:space="preserve">aktivitetin </w:t>
      </w:r>
      <w:r w:rsidRPr="000E1EB0">
        <w:t xml:space="preserve">1.1.2.1 që pritet gjithashtu të konsumojnë pjesë të mëdha të financimit - këto projekte pritet të jenë të konsiderueshme në madhësi dhe me kohëzgjatje më të madhe se çdo iniciativë tjetër). </w:t>
      </w:r>
    </w:p>
    <w:p w14:paraId="6D6F259A" w14:textId="04715997" w:rsidR="00650E6F" w:rsidRPr="000E1EB0" w:rsidRDefault="00650E6F" w:rsidP="00650E6F">
      <w:pPr>
        <w:pStyle w:val="AAAATEX"/>
      </w:pPr>
      <w:r w:rsidRPr="000E1EB0">
        <w:t xml:space="preserve">2. I gjithë prioriteti tematik mund të zbatohet nëpërmjet një thirrje për </w:t>
      </w:r>
      <w:r w:rsidR="00601FA3">
        <w:t>projektpropozime</w:t>
      </w:r>
      <w:r w:rsidRPr="000E1EB0">
        <w:t>.</w:t>
      </w:r>
    </w:p>
    <w:p w14:paraId="6D6F259B" w14:textId="12F340A8" w:rsidR="00650E6F" w:rsidRPr="000E1EB0" w:rsidRDefault="00650E6F" w:rsidP="00650E6F">
      <w:pPr>
        <w:pStyle w:val="AAAATEX"/>
        <w:rPr>
          <w:b/>
        </w:rPr>
      </w:pPr>
      <w:r w:rsidRPr="000E1EB0">
        <w:rPr>
          <w:b/>
        </w:rPr>
        <w:t xml:space="preserve">Prioriteti </w:t>
      </w:r>
      <w:r w:rsidR="003A2EE2" w:rsidRPr="000E1EB0">
        <w:rPr>
          <w:b/>
        </w:rPr>
        <w:t xml:space="preserve">tematik </w:t>
      </w:r>
      <w:r w:rsidRPr="000E1EB0">
        <w:rPr>
          <w:b/>
        </w:rPr>
        <w:t>3</w:t>
      </w:r>
      <w:r w:rsidR="003A2EE2">
        <w:rPr>
          <w:b/>
        </w:rPr>
        <w:t>.</w:t>
      </w:r>
      <w:r w:rsidRPr="000E1EB0">
        <w:rPr>
          <w:b/>
        </w:rPr>
        <w:t xml:space="preserve"> Mbrojtja e mjedisit, nxitja e përshtatjes dhe lehtësimit ndaj ndryshimeve klimatike, parandalimi dhe menaxhimi i rrezikut (TP2)</w:t>
      </w:r>
    </w:p>
    <w:p w14:paraId="6D6F259C" w14:textId="768D58D0" w:rsidR="00650E6F" w:rsidRPr="000E1EB0" w:rsidRDefault="00650E6F" w:rsidP="00650E6F">
      <w:pPr>
        <w:pStyle w:val="AAAATEX"/>
        <w:rPr>
          <w:b/>
        </w:rPr>
      </w:pPr>
      <w:r w:rsidRPr="000E1EB0">
        <w:rPr>
          <w:b/>
        </w:rPr>
        <w:t xml:space="preserve">Përmbledhje e </w:t>
      </w:r>
      <w:r w:rsidR="003A2EE2" w:rsidRPr="000E1EB0">
        <w:rPr>
          <w:b/>
        </w:rPr>
        <w:t>prioritetit tematik dhe referenca strategjike</w:t>
      </w:r>
    </w:p>
    <w:p w14:paraId="6D6F259D" w14:textId="270EC04A" w:rsidR="00650E6F" w:rsidRPr="000E1EB0" w:rsidRDefault="00650E6F" w:rsidP="00650E6F">
      <w:pPr>
        <w:pStyle w:val="AAAATEX"/>
      </w:pPr>
      <w:r w:rsidRPr="000E1EB0">
        <w:t>Zona e programit karakterizohet nga një mjedis dhe natyrë e pasur dhe e larmishme, dhe në përgjithësi njihet si një territor i pastër dhe i gjelbër. Megjithatë, në rajon mungon infrastruktura për</w:t>
      </w:r>
      <w:r w:rsidR="009A5DA1">
        <w:t xml:space="preserve"> </w:t>
      </w:r>
      <w:r w:rsidRPr="000E1EB0">
        <w:t>mbrojtjen e mjedisit, si dhe strategjitë dhe praktikat për njohjen në kohë, parandalimin dhe menaxhimin e rrezikut. Zona kufitare është e prirur drejt motit të pafavorshëm dhe dukurive klimatike, veçanërisht stuhive të rënda dhe reshjeve që rezultojnë në përmbytje lokale dhe rrëshqitje të tokës, duke dëmtuar rrugët, pronat private dhe tokën bujqësore. Në stinët e thata, zjarret rrezikojnë dhe dëmtojnë ekonominë rurale dhe prodhimin e të korrave. Kështu, rimëkëmbja prej katastrofave klimatike është një nga çështjet që duhet të trajtohen nëpërmjet këtij prioriteti tematik.</w:t>
      </w:r>
    </w:p>
    <w:p w14:paraId="6D6F259E" w14:textId="77777777" w:rsidR="00650E6F" w:rsidRPr="000E1EB0" w:rsidRDefault="00650E6F" w:rsidP="00650E6F">
      <w:pPr>
        <w:pStyle w:val="AAAATEX"/>
      </w:pPr>
      <w:r w:rsidRPr="000E1EB0">
        <w:t>Përveç kësaj, përmirësimi i mbledhjes së mbetjeve të ngurta, menaxhimit të mbetjeve dhe praktikat e parandalimit të erozionit të tokës, konsiderohen si fusha prioritare të ndërhyrjes në rajonin CBC.</w:t>
      </w:r>
    </w:p>
    <w:p w14:paraId="6D6F259F" w14:textId="0924F650" w:rsidR="00650E6F" w:rsidRPr="000E1EB0" w:rsidRDefault="00F41421" w:rsidP="00650E6F">
      <w:pPr>
        <w:pStyle w:val="AAAATEX"/>
      </w:pPr>
      <w:r>
        <w:t>“</w:t>
      </w:r>
      <w:r w:rsidR="00650E6F" w:rsidRPr="000E1EB0">
        <w:t>Të jetosh mirë, brenda kufijve të planetit tonë</w:t>
      </w:r>
      <w:r>
        <w:t>”</w:t>
      </w:r>
      <w:r w:rsidR="00650E6F" w:rsidRPr="000E1EB0">
        <w:t xml:space="preserve"> është titulli kryesor i Programit të ri të Veprimit për Mjedisin deri në vitin 2020, i propozuar nga Komisioni Evropian. Ky prioritet tematik i programit CBC bazohet në këtë nismë, dhe është në përputhje me politikat e Zonës B të IPA II: </w:t>
      </w:r>
      <w:r w:rsidR="003A2EE2" w:rsidRPr="000E1EB0">
        <w:t xml:space="preserve">zhvillimi rajonal, sektori: mjedisi dhe ndryshimet klimatike </w:t>
      </w:r>
      <w:r w:rsidR="00650E6F" w:rsidRPr="000E1EB0">
        <w:t>dhe objektivat tematik</w:t>
      </w:r>
      <w:r w:rsidR="003A2EE2" w:rsidRPr="000E1EB0">
        <w:t>ë</w:t>
      </w:r>
      <w:r w:rsidR="00650E6F" w:rsidRPr="000E1EB0">
        <w:t xml:space="preserve"> 5 dhe 6 të ndërhyrjes së </w:t>
      </w:r>
      <w:r w:rsidRPr="000E1EB0">
        <w:t xml:space="preserve">fondeve strukturore: përshtatja </w:t>
      </w:r>
      <w:r w:rsidR="00650E6F" w:rsidRPr="000E1EB0">
        <w:t xml:space="preserve">ndaj ndryshimeve klimatike, parandalim dhe menaxhimi i rrezikut </w:t>
      </w:r>
      <w:r>
        <w:t>dhe m</w:t>
      </w:r>
      <w:r w:rsidR="00650E6F" w:rsidRPr="000E1EB0">
        <w:t xml:space="preserve">brojtja e mjedisit dhe promovimi i efikasitetit të burimeve. </w:t>
      </w:r>
    </w:p>
    <w:p w14:paraId="6D6F25A0" w14:textId="58D9E892" w:rsidR="00650E6F" w:rsidRPr="000E1EB0" w:rsidRDefault="00650E6F" w:rsidP="00650E6F">
      <w:pPr>
        <w:pStyle w:val="AAAATEX"/>
      </w:pPr>
      <w:r w:rsidRPr="000E1EB0">
        <w:t>Aktivitetet e këtij prioriteti tematik përfshijnë të dy</w:t>
      </w:r>
      <w:r w:rsidR="00B15692">
        <w:t>ja</w:t>
      </w:r>
      <w:r w:rsidRPr="000E1EB0">
        <w:t xml:space="preserve"> llojet e projekteve: </w:t>
      </w:r>
      <w:r w:rsidR="00D57BD7">
        <w:t>“</w:t>
      </w:r>
      <w:r w:rsidRPr="000E1EB0">
        <w:t>projektet e butë</w:t>
      </w:r>
      <w:r w:rsidR="00D57BD7">
        <w:t>”</w:t>
      </w:r>
      <w:r w:rsidRPr="000E1EB0">
        <w:t xml:space="preserve"> me qëllim përmirësimin e ndërgjegjësimit dhe promovimin e përdorimit më të qëndrueshëm të burimeve, ekonomisë të gjelbër; si dhe mbështetjen e investimeve të vogla në infrastrukturën për mbrojtjen e mjedisit, e cila konsiderohet të ketë një ndikim të rëndësishëm në rajonin ndërkufitar dhe në prodhimin e efektit të demonstrimit. Gjithashtu, ndërhyrja synon të trajtojë kapacitetet e ulëta financiare dhe institucionale të shoqërive të shërbimeve publike, si dhe promovimin e praktikave të qëndrueshme bujqësore dhe metodave të prodhimit bujqësor.</w:t>
      </w:r>
    </w:p>
    <w:p w14:paraId="6D6F25A1" w14:textId="6646631F" w:rsidR="00650E6F" w:rsidRPr="000E1EB0" w:rsidRDefault="00650E6F" w:rsidP="00650E6F">
      <w:pPr>
        <w:pStyle w:val="AAAATEX"/>
        <w:rPr>
          <w:b/>
        </w:rPr>
      </w:pPr>
      <w:r w:rsidRPr="000E1EB0">
        <w:rPr>
          <w:b/>
        </w:rPr>
        <w:t xml:space="preserve">Objektivi </w:t>
      </w:r>
      <w:r w:rsidR="00A453F4">
        <w:rPr>
          <w:b/>
        </w:rPr>
        <w:t>s</w:t>
      </w:r>
      <w:r w:rsidRPr="000E1EB0">
        <w:rPr>
          <w:b/>
        </w:rPr>
        <w:t>pecifik</w:t>
      </w:r>
    </w:p>
    <w:p w14:paraId="6D6F25A2" w14:textId="77777777" w:rsidR="00650E6F" w:rsidRPr="000E1EB0" w:rsidRDefault="00650E6F" w:rsidP="00650E6F">
      <w:pPr>
        <w:pStyle w:val="AAAATEX"/>
      </w:pPr>
      <w:r w:rsidRPr="000E1EB0">
        <w:t>Kryetitulli i objektivit specifik të këtij prioriteti tematik (SO 3.1) mbetet rritja e ndërgjegjësimit për një ekonomi më të gjelbër, mjedis më të pastër dhe ndryshimet klimatike.</w:t>
      </w:r>
    </w:p>
    <w:p w14:paraId="6D6F25A3" w14:textId="77777777" w:rsidR="00650E6F" w:rsidRPr="000E1EB0" w:rsidRDefault="00650E6F" w:rsidP="00650E6F">
      <w:pPr>
        <w:pStyle w:val="AAAATEX"/>
      </w:pPr>
      <w:r w:rsidRPr="000E1EB0">
        <w:t>Qartësisht, prioriteti tematik ka një dimension hapësinor që kërkon një qasje të bazuar në vend, pasi territore të caktuara kufitare janë të veçantë nga të tjerët. Ky prioritet tematik do të përqendrohet në ndërtimin e ndërgjegjësimit dhe njohurive, integrimin e komuniteteve dhe grupeve të synuara, dhe në zbatimin e masave reale për të trajtuar çështjet e parashikuara në seksionin e mësipërm. Fokus i veçantë do të drejtohet ndaj përpunimit të produkteve pyjore drusore dhe furnizimit me ujë.</w:t>
      </w:r>
    </w:p>
    <w:p w14:paraId="6D6F25A4" w14:textId="77777777" w:rsidR="00650E6F" w:rsidRPr="00A453F4" w:rsidRDefault="00650E6F" w:rsidP="00650E6F">
      <w:pPr>
        <w:pStyle w:val="AAAATEX"/>
        <w:rPr>
          <w:b/>
        </w:rPr>
      </w:pPr>
      <w:r w:rsidRPr="00A453F4">
        <w:rPr>
          <w:b/>
        </w:rPr>
        <w:t>Rezultatet e pritshme</w:t>
      </w:r>
    </w:p>
    <w:p w14:paraId="6D6F25A5" w14:textId="77777777" w:rsidR="00650E6F" w:rsidRPr="000E1EB0" w:rsidRDefault="00650E6F" w:rsidP="00650E6F">
      <w:pPr>
        <w:pStyle w:val="AAAATEX"/>
      </w:pPr>
      <w:r w:rsidRPr="000E1EB0">
        <w:t>Ky prioritet tematik do të arrijë rezultatet e mëposhtme:</w:t>
      </w:r>
    </w:p>
    <w:p w14:paraId="6D6F25A6" w14:textId="77777777" w:rsidR="00650E6F" w:rsidRPr="000E1EB0" w:rsidRDefault="00650E6F" w:rsidP="00650E6F">
      <w:pPr>
        <w:pStyle w:val="AAAATEX"/>
      </w:pPr>
      <w:r w:rsidRPr="000E1EB0">
        <w:t>3.1.1. Ndërgjegjësimi dhe njohuritë mbi përdorimin e qëndrueshëm të burimeve natyrore dhe mjedisit janë rritur;</w:t>
      </w:r>
    </w:p>
    <w:p w14:paraId="6D6F25A7" w14:textId="77777777" w:rsidR="00650E6F" w:rsidRPr="000E1EB0" w:rsidRDefault="00650E6F" w:rsidP="00650E6F">
      <w:pPr>
        <w:pStyle w:val="AAAATEX"/>
      </w:pPr>
      <w:r w:rsidRPr="000E1EB0">
        <w:lastRenderedPageBreak/>
        <w:t>3.1.2 Infrastruktura publike në rrezik nga përmbytjet, erozioni i dherave dhe zjarret është përmirësuar.</w:t>
      </w:r>
    </w:p>
    <w:p w14:paraId="6D6F25A8" w14:textId="49D5A071" w:rsidR="00650E6F" w:rsidRPr="000E1EB0" w:rsidRDefault="00650E6F" w:rsidP="00650E6F">
      <w:pPr>
        <w:pStyle w:val="AAAATEX"/>
        <w:rPr>
          <w:b/>
        </w:rPr>
      </w:pPr>
      <w:r w:rsidRPr="000E1EB0">
        <w:rPr>
          <w:b/>
        </w:rPr>
        <w:t xml:space="preserve">Aktivitetet e parashikuara dhe </w:t>
      </w:r>
      <w:r w:rsidR="002B2BC5" w:rsidRPr="000E1EB0">
        <w:rPr>
          <w:b/>
        </w:rPr>
        <w:t>grupet e synuara</w:t>
      </w:r>
    </w:p>
    <w:p w14:paraId="6D6F25A9" w14:textId="77777777" w:rsidR="00650E6F" w:rsidRDefault="00650E6F" w:rsidP="00650E6F">
      <w:pPr>
        <w:pStyle w:val="AAAATEX"/>
      </w:pPr>
      <w:r w:rsidRPr="000E1EB0">
        <w:t>Aktivitetet e parashikuara dhe grupet e synuara janë grupuar në tabelën e mëposhtme.</w:t>
      </w:r>
    </w:p>
    <w:p w14:paraId="4AA07563" w14:textId="77777777" w:rsidR="00DB478A" w:rsidRPr="000E1EB0" w:rsidRDefault="00DB478A" w:rsidP="00650E6F">
      <w:pPr>
        <w:pStyle w:val="AAAATEX"/>
      </w:pPr>
    </w:p>
    <w:tbl>
      <w:tblPr>
        <w:tblStyle w:val="MediumGrid3-Accent1"/>
        <w:tblW w:w="0" w:type="auto"/>
        <w:tblLook w:val="04A0" w:firstRow="1" w:lastRow="0" w:firstColumn="1" w:lastColumn="0" w:noHBand="0" w:noVBand="1"/>
      </w:tblPr>
      <w:tblGrid>
        <w:gridCol w:w="4643"/>
        <w:gridCol w:w="4644"/>
      </w:tblGrid>
      <w:tr w:rsidR="00650E6F" w:rsidRPr="000E1EB0" w14:paraId="6D6F25AC"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14:paraId="6D6F25AA"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Aktivitetet e parashikuara</w:t>
            </w:r>
          </w:p>
        </w:tc>
        <w:tc>
          <w:tcPr>
            <w:tcW w:w="4644" w:type="dxa"/>
          </w:tcPr>
          <w:p w14:paraId="6D6F25AB" w14:textId="6BD5C662"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Grupet e </w:t>
            </w:r>
            <w:r w:rsidR="00DB478A" w:rsidRPr="000E1EB0">
              <w:rPr>
                <w:rFonts w:ascii="Garamond" w:hAnsi="Garamond" w:cs="Tahoma"/>
                <w:sz w:val="20"/>
                <w:szCs w:val="20"/>
                <w:lang w:val="sq-AL"/>
              </w:rPr>
              <w:t>synuara të përfituesve</w:t>
            </w:r>
          </w:p>
        </w:tc>
      </w:tr>
      <w:tr w:rsidR="00650E6F" w:rsidRPr="000E1EB0" w14:paraId="6D6F25B9"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14:paraId="6D6F25AD"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3.1.1.1 Promovimi dhe mbështetja e përdorimit të qëndrueshëm të burimeve natyrore dhe mjedisit</w:t>
            </w:r>
          </w:p>
        </w:tc>
        <w:tc>
          <w:tcPr>
            <w:tcW w:w="4644" w:type="dxa"/>
          </w:tcPr>
          <w:p w14:paraId="6D6F25AE"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5AF"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Qendrat për zhvillim të rajoneve të planifikuara</w:t>
            </w:r>
          </w:p>
          <w:p w14:paraId="6D6F25B0"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Shoqëritë e shërbimeve publike</w:t>
            </w:r>
          </w:p>
          <w:p w14:paraId="6D6F25B1"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Parqet kombëtare</w:t>
            </w:r>
          </w:p>
          <w:p w14:paraId="6D6F25B2"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OSHC-të, OJQ-të</w:t>
            </w:r>
          </w:p>
          <w:p w14:paraId="6D6F25B3"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Dhomat e tregtisë</w:t>
            </w:r>
          </w:p>
          <w:p w14:paraId="6D6F25B4"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Organizatat RDI</w:t>
            </w:r>
          </w:p>
          <w:p w14:paraId="6D6F25B5"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banorëve në zonat ndërkufitare, kryesisht në zonat rurale</w:t>
            </w:r>
          </w:p>
          <w:p w14:paraId="6D6F25B6"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fermerëve</w:t>
            </w:r>
          </w:p>
          <w:p w14:paraId="6D6F25B7"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Institucionet e arsimit primar, dytësor dhe tretësor, dhe ato të hulumtimit</w:t>
            </w:r>
          </w:p>
          <w:p w14:paraId="6D6F25B8" w14:textId="77777777" w:rsidR="00650E6F" w:rsidRPr="000E1EB0" w:rsidRDefault="00650E6F" w:rsidP="00650E6F">
            <w:pPr>
              <w:pStyle w:val="ListParagraph"/>
              <w:numPr>
                <w:ilvl w:val="0"/>
                <w:numId w:val="9"/>
              </w:numPr>
              <w:spacing w:after="0" w:line="240" w:lineRule="auto"/>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Rrjetet e SME-ve</w:t>
            </w:r>
          </w:p>
        </w:tc>
      </w:tr>
      <w:tr w:rsidR="00650E6F" w:rsidRPr="000E1EB0" w14:paraId="6D6F25C3" w14:textId="77777777" w:rsidTr="00650E6F">
        <w:tc>
          <w:tcPr>
            <w:cnfStyle w:val="001000000000" w:firstRow="0" w:lastRow="0" w:firstColumn="1" w:lastColumn="0" w:oddVBand="0" w:evenVBand="0" w:oddHBand="0" w:evenHBand="0" w:firstRowFirstColumn="0" w:firstRowLastColumn="0" w:lastRowFirstColumn="0" w:lastRowLastColumn="0"/>
            <w:tcW w:w="4643" w:type="dxa"/>
          </w:tcPr>
          <w:p w14:paraId="6D6F25BA"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3.1.2.1 Promovimi i investimeve të vogla në infrastrukturë për rimëkëmbjen nga katastrofat dhe mbrojtjen e mjedisit</w:t>
            </w:r>
          </w:p>
        </w:tc>
        <w:tc>
          <w:tcPr>
            <w:tcW w:w="4644" w:type="dxa"/>
          </w:tcPr>
          <w:p w14:paraId="6D6F25BB"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Njësitë e qeverisjes vendore dhe rajonale</w:t>
            </w:r>
          </w:p>
          <w:p w14:paraId="6D6F25BC"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Qendrat për zhvillim të rajoneve të planifikuara</w:t>
            </w:r>
          </w:p>
          <w:p w14:paraId="6D6F25BD"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Qendrat kombëtare dhe rajonale për menaxhimin dhe monitorimin e fatkeqësive </w:t>
            </w:r>
          </w:p>
          <w:p w14:paraId="6D6F25BE"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Shoqëritë e shërbimeve publike</w:t>
            </w:r>
          </w:p>
          <w:p w14:paraId="6D6F25BF"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fermerëve</w:t>
            </w:r>
          </w:p>
          <w:p w14:paraId="6D6F25C0"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OSHC-të, OJQ-të</w:t>
            </w:r>
          </w:p>
          <w:p w14:paraId="6D6F25C1"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Dhomat e tregtisë </w:t>
            </w:r>
          </w:p>
          <w:p w14:paraId="6D6F25C2" w14:textId="77777777" w:rsidR="00650E6F" w:rsidRPr="000E1EB0" w:rsidRDefault="00650E6F" w:rsidP="00650E6F">
            <w:pPr>
              <w:pStyle w:val="ListParagraph"/>
              <w:numPr>
                <w:ilvl w:val="0"/>
                <w:numId w:val="7"/>
              </w:numP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Shoqatat e banorëve në zonat ndërkufitare, kryesisht në zonat rurale</w:t>
            </w:r>
          </w:p>
        </w:tc>
      </w:tr>
    </w:tbl>
    <w:p w14:paraId="6D6F25C4" w14:textId="77777777" w:rsidR="00650E6F" w:rsidRPr="000E1EB0" w:rsidRDefault="00650E6F" w:rsidP="00650E6F">
      <w:pPr>
        <w:pStyle w:val="AAAATEX"/>
        <w:rPr>
          <w:b/>
          <w:bCs/>
          <w:color w:val="000000"/>
        </w:rPr>
      </w:pPr>
    </w:p>
    <w:p w14:paraId="6D6F25C5" w14:textId="77777777" w:rsidR="00650E6F" w:rsidRPr="000E1EB0" w:rsidRDefault="00650E6F" w:rsidP="00650E6F">
      <w:pPr>
        <w:pStyle w:val="AAAATEX"/>
        <w:rPr>
          <w:b/>
        </w:rPr>
      </w:pPr>
      <w:r w:rsidRPr="000E1EB0">
        <w:rPr>
          <w:b/>
        </w:rPr>
        <w:t>Treguesit e Performancës së Zbatimit të Prioritetit Tematik</w:t>
      </w:r>
    </w:p>
    <w:p w14:paraId="6D6F25C6" w14:textId="701E0969" w:rsidR="00650E6F" w:rsidRPr="000E1EB0" w:rsidRDefault="00650E6F" w:rsidP="00650E6F">
      <w:pPr>
        <w:pStyle w:val="AAAATEX"/>
        <w:rPr>
          <w:i/>
        </w:rPr>
      </w:pPr>
      <w:r w:rsidRPr="000E1EB0">
        <w:rPr>
          <w:i/>
        </w:rPr>
        <w:t xml:space="preserve">Rezultati 3.1.1 i </w:t>
      </w:r>
      <w:r w:rsidR="002B2BC5" w:rsidRPr="000E1EB0">
        <w:rPr>
          <w:i/>
        </w:rPr>
        <w:t xml:space="preserve">objektivit specifik: ndërgjegjësimi </w:t>
      </w:r>
      <w:r w:rsidRPr="000E1EB0">
        <w:rPr>
          <w:i/>
        </w:rPr>
        <w:t>dhe njohuritë mbi përdorimin e qëndrueshëm të burimeve natyrore dhe mjedisit janë rritur.</w:t>
      </w:r>
    </w:p>
    <w:tbl>
      <w:tblPr>
        <w:tblStyle w:val="MediumGrid3-Accent1"/>
        <w:tblW w:w="0" w:type="auto"/>
        <w:tblLook w:val="04A0" w:firstRow="1" w:lastRow="0" w:firstColumn="1" w:lastColumn="0" w:noHBand="0" w:noVBand="1"/>
      </w:tblPr>
      <w:tblGrid>
        <w:gridCol w:w="1662"/>
        <w:gridCol w:w="1667"/>
        <w:gridCol w:w="1090"/>
        <w:gridCol w:w="1109"/>
        <w:gridCol w:w="1123"/>
        <w:gridCol w:w="1250"/>
        <w:gridCol w:w="1386"/>
      </w:tblGrid>
      <w:tr w:rsidR="00650E6F" w:rsidRPr="000E1EB0" w14:paraId="6D6F25CE"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14:paraId="6D6F25C7"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Treguesi i Kontributitit</w:t>
            </w:r>
          </w:p>
        </w:tc>
        <w:tc>
          <w:tcPr>
            <w:tcW w:w="1667" w:type="dxa"/>
          </w:tcPr>
          <w:p w14:paraId="6D6F25C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1090" w:type="dxa"/>
          </w:tcPr>
          <w:p w14:paraId="6D6F25C9"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109" w:type="dxa"/>
          </w:tcPr>
          <w:p w14:paraId="6D6F25CA"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(2017)</w:t>
            </w:r>
          </w:p>
        </w:tc>
        <w:tc>
          <w:tcPr>
            <w:tcW w:w="1123" w:type="dxa"/>
          </w:tcPr>
          <w:p w14:paraId="6D6F25CB"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1250" w:type="dxa"/>
          </w:tcPr>
          <w:p w14:paraId="6D6F25C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386" w:type="dxa"/>
          </w:tcPr>
          <w:p w14:paraId="6D6F25C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D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14:paraId="6D6F25CF"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fushatave ndërgjegjësuese mbi përdorimin e qëndrueshëm të burimeve dhe të mjedisit</w:t>
            </w:r>
          </w:p>
        </w:tc>
        <w:tc>
          <w:tcPr>
            <w:tcW w:w="1667" w:type="dxa"/>
          </w:tcPr>
          <w:p w14:paraId="6D6F25D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Fushata të reja publike mbi çështjet e mjedisit në nivel projekti</w:t>
            </w:r>
          </w:p>
        </w:tc>
        <w:tc>
          <w:tcPr>
            <w:tcW w:w="1090" w:type="dxa"/>
          </w:tcPr>
          <w:p w14:paraId="6D6F25D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09" w:type="dxa"/>
          </w:tcPr>
          <w:p w14:paraId="6D6F25D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1123" w:type="dxa"/>
          </w:tcPr>
          <w:p w14:paraId="6D6F25D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12</w:t>
            </w:r>
          </w:p>
        </w:tc>
        <w:tc>
          <w:tcPr>
            <w:tcW w:w="1250" w:type="dxa"/>
          </w:tcPr>
          <w:p w14:paraId="6D6F25D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0E1EB0">
              <w:rPr>
                <w:rFonts w:ascii="Garamond" w:hAnsi="Garamond" w:cs="Tahoma"/>
                <w:sz w:val="20"/>
                <w:szCs w:val="20"/>
                <w:lang w:val="sq-AL"/>
              </w:rPr>
              <w:t>Sistemi i monitorimit</w:t>
            </w:r>
          </w:p>
        </w:tc>
        <w:tc>
          <w:tcPr>
            <w:tcW w:w="1386" w:type="dxa"/>
          </w:tcPr>
          <w:p w14:paraId="6D6F25D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5DE" w14:textId="77777777" w:rsidTr="00650E6F">
        <w:tc>
          <w:tcPr>
            <w:cnfStyle w:val="001000000000" w:firstRow="0" w:lastRow="0" w:firstColumn="1" w:lastColumn="0" w:oddVBand="0" w:evenVBand="0" w:oddHBand="0" w:evenHBand="0" w:firstRowFirstColumn="0" w:firstRowLastColumn="0" w:lastRowFirstColumn="0" w:lastRowLastColumn="0"/>
            <w:tcW w:w="1662" w:type="dxa"/>
          </w:tcPr>
          <w:p w14:paraId="6D6F25D7"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sistemeve të menaxhimit të mbetjeve dhe zinxhirëve të vlerave të përmirësuar brenda zonës</w:t>
            </w:r>
          </w:p>
        </w:tc>
        <w:tc>
          <w:tcPr>
            <w:tcW w:w="1667" w:type="dxa"/>
          </w:tcPr>
          <w:p w14:paraId="6D6F25D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sistemeve të menaxhimit të mbetjeve dhe zinxhirëve të vlerave të modernizuar brenda zonës</w:t>
            </w:r>
          </w:p>
        </w:tc>
        <w:tc>
          <w:tcPr>
            <w:tcW w:w="1090" w:type="dxa"/>
          </w:tcPr>
          <w:p w14:paraId="6D6F25D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09" w:type="dxa"/>
          </w:tcPr>
          <w:p w14:paraId="6D6F25D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w:t>
            </w:r>
          </w:p>
        </w:tc>
        <w:tc>
          <w:tcPr>
            <w:tcW w:w="1123" w:type="dxa"/>
          </w:tcPr>
          <w:p w14:paraId="6D6F25D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w:t>
            </w:r>
          </w:p>
        </w:tc>
        <w:tc>
          <w:tcPr>
            <w:tcW w:w="1250" w:type="dxa"/>
          </w:tcPr>
          <w:p w14:paraId="6D6F25D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lang w:val="sq-AL"/>
              </w:rPr>
            </w:pPr>
            <w:r w:rsidRPr="000E1EB0">
              <w:rPr>
                <w:rFonts w:ascii="Garamond" w:hAnsi="Garamond" w:cs="Tahoma"/>
                <w:sz w:val="20"/>
                <w:szCs w:val="20"/>
                <w:lang w:val="sq-AL"/>
              </w:rPr>
              <w:t>Sistemi i monitorimit</w:t>
            </w:r>
          </w:p>
        </w:tc>
        <w:tc>
          <w:tcPr>
            <w:tcW w:w="1386" w:type="dxa"/>
          </w:tcPr>
          <w:p w14:paraId="6D6F25D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5E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14:paraId="6D6F25DF"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aksioneve të pastrimit</w:t>
            </w:r>
          </w:p>
        </w:tc>
        <w:tc>
          <w:tcPr>
            <w:tcW w:w="1667" w:type="dxa"/>
          </w:tcPr>
          <w:p w14:paraId="6D6F25E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Nr. i nismave të pastrimit të zbatuara në nivel </w:t>
            </w:r>
            <w:r w:rsidRPr="000E1EB0">
              <w:rPr>
                <w:rFonts w:ascii="Garamond" w:hAnsi="Garamond" w:cs="Tahoma"/>
                <w:sz w:val="20"/>
                <w:szCs w:val="20"/>
                <w:lang w:val="sq-AL"/>
              </w:rPr>
              <w:lastRenderedPageBreak/>
              <w:t>projekti</w:t>
            </w:r>
          </w:p>
        </w:tc>
        <w:tc>
          <w:tcPr>
            <w:tcW w:w="1090" w:type="dxa"/>
          </w:tcPr>
          <w:p w14:paraId="6D6F25E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0</w:t>
            </w:r>
          </w:p>
        </w:tc>
        <w:tc>
          <w:tcPr>
            <w:tcW w:w="1109" w:type="dxa"/>
          </w:tcPr>
          <w:p w14:paraId="6D6F25E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w:t>
            </w:r>
          </w:p>
        </w:tc>
        <w:tc>
          <w:tcPr>
            <w:tcW w:w="1123" w:type="dxa"/>
          </w:tcPr>
          <w:p w14:paraId="6D6F25E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w:t>
            </w:r>
          </w:p>
        </w:tc>
        <w:tc>
          <w:tcPr>
            <w:tcW w:w="1250" w:type="dxa"/>
          </w:tcPr>
          <w:p w14:paraId="6D6F25E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386" w:type="dxa"/>
          </w:tcPr>
          <w:p w14:paraId="6D6F25E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5E7" w14:textId="77777777" w:rsidR="00650E6F" w:rsidRPr="000E1EB0" w:rsidRDefault="00650E6F" w:rsidP="00650E6F">
      <w:pPr>
        <w:pStyle w:val="AAAATEX"/>
        <w:rPr>
          <w:i/>
        </w:rPr>
      </w:pPr>
      <w:r w:rsidRPr="000E1EB0">
        <w:rPr>
          <w:i/>
        </w:rPr>
        <w:lastRenderedPageBreak/>
        <w:t>* Grumbulluese</w:t>
      </w:r>
    </w:p>
    <w:p w14:paraId="6D6F25E8"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5000" w:type="pct"/>
        <w:tblLook w:val="04A0" w:firstRow="1" w:lastRow="0" w:firstColumn="1" w:lastColumn="0" w:noHBand="0" w:noVBand="1"/>
      </w:tblPr>
      <w:tblGrid>
        <w:gridCol w:w="1985"/>
        <w:gridCol w:w="1807"/>
        <w:gridCol w:w="1514"/>
        <w:gridCol w:w="901"/>
        <w:gridCol w:w="1045"/>
        <w:gridCol w:w="1155"/>
        <w:gridCol w:w="1169"/>
      </w:tblGrid>
      <w:tr w:rsidR="00650E6F" w:rsidRPr="000E1EB0" w14:paraId="6D6F25F0"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6D6F25E9" w14:textId="6B2172DB"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2B2BC5" w:rsidRPr="000E1EB0">
              <w:rPr>
                <w:rFonts w:ascii="Garamond" w:hAnsi="Garamond" w:cs="Tahoma"/>
                <w:sz w:val="20"/>
                <w:szCs w:val="20"/>
                <w:lang w:val="sq-AL"/>
              </w:rPr>
              <w:t>rezultatit</w:t>
            </w:r>
          </w:p>
        </w:tc>
        <w:tc>
          <w:tcPr>
            <w:tcW w:w="1000" w:type="pct"/>
          </w:tcPr>
          <w:p w14:paraId="6D6F25EA"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453" w:type="pct"/>
          </w:tcPr>
          <w:p w14:paraId="6D6F25EB"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527" w:type="pct"/>
          </w:tcPr>
          <w:p w14:paraId="6D6F25E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(2017)</w:t>
            </w:r>
          </w:p>
        </w:tc>
        <w:tc>
          <w:tcPr>
            <w:tcW w:w="602" w:type="pct"/>
          </w:tcPr>
          <w:p w14:paraId="6D6F25E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659" w:type="pct"/>
          </w:tcPr>
          <w:p w14:paraId="6D6F25EE"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666" w:type="pct"/>
          </w:tcPr>
          <w:p w14:paraId="6D6F25E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5F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6D6F25F1" w14:textId="77777777" w:rsidR="00650E6F" w:rsidRPr="000E1EB0" w:rsidRDefault="00650E6F" w:rsidP="00650E6F">
            <w:pPr>
              <w:rPr>
                <w:rFonts w:ascii="Garamond" w:hAnsi="Garamond" w:cs="Tahoma"/>
                <w:b w:val="0"/>
                <w:color w:val="auto"/>
                <w:sz w:val="20"/>
                <w:szCs w:val="20"/>
                <w:lang w:val="sq-AL"/>
              </w:rPr>
            </w:pPr>
            <w:r w:rsidRPr="000E1EB0">
              <w:rPr>
                <w:rFonts w:ascii="Garamond" w:hAnsi="Garamond" w:cs="Tahoma"/>
                <w:sz w:val="20"/>
                <w:szCs w:val="20"/>
                <w:lang w:val="sq-AL"/>
              </w:rPr>
              <w:t>% e popullsisë në zonën CBC e ndërgjegjësuar mbi përdorimin e qëndrueshëm të burimeve natyrore dhe mjedisit në sektorët kyç</w:t>
            </w:r>
          </w:p>
        </w:tc>
        <w:tc>
          <w:tcPr>
            <w:tcW w:w="1000" w:type="pct"/>
          </w:tcPr>
          <w:p w14:paraId="6D6F25F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Norma e popullsisë së informuar mbi përdorimin e qëndrueshëm të burimeve natyrore dhe çështjet e mjedisit</w:t>
            </w:r>
          </w:p>
        </w:tc>
        <w:tc>
          <w:tcPr>
            <w:tcW w:w="453" w:type="pct"/>
          </w:tcPr>
          <w:p w14:paraId="6D6F25F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lang w:val="sq-AL"/>
              </w:rPr>
              <w:t>PËR TU VENDOSUR*</w:t>
            </w:r>
          </w:p>
        </w:tc>
        <w:tc>
          <w:tcPr>
            <w:tcW w:w="527" w:type="pct"/>
          </w:tcPr>
          <w:p w14:paraId="6D6F25F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 (rreth 14,000)</w:t>
            </w:r>
          </w:p>
        </w:tc>
        <w:tc>
          <w:tcPr>
            <w:tcW w:w="602" w:type="pct"/>
          </w:tcPr>
          <w:p w14:paraId="6D6F25F5" w14:textId="4BB33EB4"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3.5% (rreth</w:t>
            </w:r>
            <w:r w:rsidR="009A5DA1">
              <w:rPr>
                <w:rFonts w:ascii="Garamond" w:hAnsi="Garamond" w:cs="Tahoma"/>
                <w:sz w:val="20"/>
                <w:szCs w:val="20"/>
                <w:lang w:val="sq-AL"/>
              </w:rPr>
              <w:t xml:space="preserve"> </w:t>
            </w:r>
            <w:r w:rsidRPr="000E1EB0">
              <w:rPr>
                <w:rFonts w:ascii="Garamond" w:hAnsi="Garamond" w:cs="Tahoma"/>
                <w:sz w:val="20"/>
                <w:szCs w:val="20"/>
                <w:lang w:val="sq-AL"/>
              </w:rPr>
              <w:t>50,000)</w:t>
            </w:r>
          </w:p>
        </w:tc>
        <w:tc>
          <w:tcPr>
            <w:tcW w:w="659" w:type="pct"/>
          </w:tcPr>
          <w:p w14:paraId="6D6F25F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666" w:type="pct"/>
          </w:tcPr>
          <w:p w14:paraId="6D6F25F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00" w14:textId="77777777" w:rsidTr="00650E6F">
        <w:tc>
          <w:tcPr>
            <w:cnfStyle w:val="001000000000" w:firstRow="0" w:lastRow="0" w:firstColumn="1" w:lastColumn="0" w:oddVBand="0" w:evenVBand="0" w:oddHBand="0" w:evenHBand="0" w:firstRowFirstColumn="0" w:firstRowLastColumn="0" w:lastRowFirstColumn="0" w:lastRowLastColumn="0"/>
            <w:tcW w:w="1093" w:type="pct"/>
          </w:tcPr>
          <w:p w14:paraId="6D6F25F9" w14:textId="77777777" w:rsidR="00650E6F" w:rsidRPr="000E1EB0" w:rsidRDefault="00650E6F" w:rsidP="00650E6F">
            <w:pPr>
              <w:rPr>
                <w:rFonts w:ascii="Garamond" w:hAnsi="Garamond" w:cs="Tahoma"/>
                <w:b w:val="0"/>
                <w:color w:val="auto"/>
                <w:sz w:val="20"/>
                <w:szCs w:val="20"/>
                <w:lang w:val="sq-AL"/>
              </w:rPr>
            </w:pPr>
            <w:r w:rsidRPr="000E1EB0">
              <w:rPr>
                <w:rFonts w:ascii="Garamond" w:hAnsi="Garamond" w:cs="Tahoma"/>
                <w:b w:val="0"/>
                <w:sz w:val="20"/>
                <w:szCs w:val="20"/>
                <w:lang w:val="sq-AL"/>
              </w:rPr>
              <w:t>% e të gjitha bizneseve dhe organizatave që marrin pjesë në veprimet e përbashkëta për menaxhimin e ujit dhe mbetjeve</w:t>
            </w:r>
          </w:p>
        </w:tc>
        <w:tc>
          <w:tcPr>
            <w:tcW w:w="1000" w:type="pct"/>
          </w:tcPr>
          <w:p w14:paraId="6D6F25FA" w14:textId="50A4F49C" w:rsidR="00650E6F" w:rsidRPr="000E1EB0" w:rsidRDefault="00650E6F" w:rsidP="001E6FE4">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Raporti ndërmjet atyre që marrin pjesë në veprimet e përbashkëta dhe të gjith</w:t>
            </w:r>
            <w:r w:rsidR="001E6FE4">
              <w:rPr>
                <w:rFonts w:ascii="Garamond" w:hAnsi="Garamond" w:cs="Tahoma"/>
                <w:sz w:val="20"/>
                <w:szCs w:val="20"/>
                <w:lang w:val="sq-AL"/>
              </w:rPr>
              <w:t>a</w:t>
            </w:r>
            <w:r w:rsidRPr="000E1EB0">
              <w:rPr>
                <w:rFonts w:ascii="Garamond" w:hAnsi="Garamond" w:cs="Tahoma"/>
                <w:sz w:val="20"/>
                <w:szCs w:val="20"/>
                <w:lang w:val="sq-AL"/>
              </w:rPr>
              <w:t xml:space="preserve"> organeve ekzistuese në zonë</w:t>
            </w:r>
          </w:p>
        </w:tc>
        <w:tc>
          <w:tcPr>
            <w:tcW w:w="453" w:type="pct"/>
          </w:tcPr>
          <w:p w14:paraId="6D6F25F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lang w:val="sq-AL"/>
              </w:rPr>
              <w:t>PËR TU VENDOSUR*</w:t>
            </w:r>
          </w:p>
        </w:tc>
        <w:tc>
          <w:tcPr>
            <w:tcW w:w="527" w:type="pct"/>
          </w:tcPr>
          <w:p w14:paraId="6D6F25F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602" w:type="pct"/>
          </w:tcPr>
          <w:p w14:paraId="6D6F25F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w:t>
            </w:r>
          </w:p>
        </w:tc>
        <w:tc>
          <w:tcPr>
            <w:tcW w:w="659" w:type="pct"/>
          </w:tcPr>
          <w:p w14:paraId="6D6F25FE"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666" w:type="pct"/>
          </w:tcPr>
          <w:p w14:paraId="6D6F25FF"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601" w14:textId="7F75C266" w:rsidR="00650E6F" w:rsidRPr="000E1EB0" w:rsidRDefault="00650E6F" w:rsidP="00650E6F">
      <w:pPr>
        <w:pStyle w:val="AAAATEX"/>
        <w:rPr>
          <w:i/>
        </w:rPr>
      </w:pPr>
      <w:r w:rsidRPr="000E1EB0">
        <w:rPr>
          <w:i/>
        </w:rPr>
        <w:t xml:space="preserve">* Vlera bazë lidhet me performancën e përfituesve/grupeve të synuara para ndërhyrjes; </w:t>
      </w:r>
      <w:r w:rsidR="002B2BC5" w:rsidRPr="000E1EB0">
        <w:rPr>
          <w:i/>
        </w:rPr>
        <w:t xml:space="preserve">shifrat </w:t>
      </w:r>
      <w:r w:rsidRPr="000E1EB0">
        <w:rPr>
          <w:i/>
        </w:rPr>
        <w:t>përkatëse për të matur vlerën bazë, duhet të sigurohen nga aplikanti në formularin e aplikimit për grante.</w:t>
      </w:r>
    </w:p>
    <w:p w14:paraId="6D6F2602"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9322" w:type="dxa"/>
        <w:tblLayout w:type="fixed"/>
        <w:tblLook w:val="04A0" w:firstRow="1" w:lastRow="0" w:firstColumn="1" w:lastColumn="0" w:noHBand="0" w:noVBand="1"/>
      </w:tblPr>
      <w:tblGrid>
        <w:gridCol w:w="1458"/>
        <w:gridCol w:w="2160"/>
        <w:gridCol w:w="1080"/>
        <w:gridCol w:w="1800"/>
        <w:gridCol w:w="1530"/>
        <w:gridCol w:w="1294"/>
      </w:tblGrid>
      <w:tr w:rsidR="00650E6F" w:rsidRPr="000E1EB0" w14:paraId="6D6F2609"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6D6F2603" w14:textId="2414006D"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2B2BC5" w:rsidRPr="000E1EB0">
              <w:rPr>
                <w:rFonts w:ascii="Garamond" w:hAnsi="Garamond" w:cs="Tahoma"/>
                <w:sz w:val="20"/>
                <w:szCs w:val="20"/>
                <w:lang w:val="sq-AL"/>
              </w:rPr>
              <w:t>ndikimit</w:t>
            </w:r>
          </w:p>
        </w:tc>
        <w:tc>
          <w:tcPr>
            <w:tcW w:w="2160" w:type="dxa"/>
          </w:tcPr>
          <w:p w14:paraId="6D6F260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1080" w:type="dxa"/>
          </w:tcPr>
          <w:p w14:paraId="6D6F260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800" w:type="dxa"/>
          </w:tcPr>
          <w:p w14:paraId="6D6F260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1530" w:type="dxa"/>
          </w:tcPr>
          <w:p w14:paraId="6D6F260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294" w:type="dxa"/>
          </w:tcPr>
          <w:p w14:paraId="6D6F260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611"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6D6F260A"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Përdorimi i ujit nga familjet dhe bizneset</w:t>
            </w:r>
          </w:p>
        </w:tc>
        <w:tc>
          <w:tcPr>
            <w:tcW w:w="2160" w:type="dxa"/>
          </w:tcPr>
          <w:p w14:paraId="6D6F260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Përqindja e humbjeve të ujit e reduktuar</w:t>
            </w:r>
          </w:p>
        </w:tc>
        <w:tc>
          <w:tcPr>
            <w:tcW w:w="1080" w:type="dxa"/>
          </w:tcPr>
          <w:p w14:paraId="6D6F260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w:t>
            </w:r>
          </w:p>
        </w:tc>
        <w:tc>
          <w:tcPr>
            <w:tcW w:w="1800" w:type="dxa"/>
          </w:tcPr>
          <w:p w14:paraId="6D6F260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Rënie e përdorimit të ujit me 10%</w:t>
            </w:r>
          </w:p>
        </w:tc>
        <w:tc>
          <w:tcPr>
            <w:tcW w:w="1530" w:type="dxa"/>
          </w:tcPr>
          <w:p w14:paraId="6D6F260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Sistemi i monitorimit </w:t>
            </w:r>
          </w:p>
          <w:p w14:paraId="6D6F260F" w14:textId="4C86D0D8" w:rsidR="00650E6F" w:rsidRPr="000E1EB0" w:rsidRDefault="00650E6F" w:rsidP="002B2BC5">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Zyra Shtetërore e Statistikave dhe INSTAT</w:t>
            </w:r>
            <w:r w:rsidR="002B2BC5">
              <w:rPr>
                <w:rFonts w:ascii="Garamond" w:hAnsi="Garamond" w:cs="Tahoma"/>
                <w:sz w:val="20"/>
                <w:szCs w:val="20"/>
                <w:lang w:val="sq-AL"/>
              </w:rPr>
              <w:t>-i</w:t>
            </w:r>
          </w:p>
        </w:tc>
        <w:tc>
          <w:tcPr>
            <w:tcW w:w="1294" w:type="dxa"/>
          </w:tcPr>
          <w:p w14:paraId="6D6F261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18" w14:textId="77777777" w:rsidTr="00650E6F">
        <w:tc>
          <w:tcPr>
            <w:cnfStyle w:val="001000000000" w:firstRow="0" w:lastRow="0" w:firstColumn="1" w:lastColumn="0" w:oddVBand="0" w:evenVBand="0" w:oddHBand="0" w:evenHBand="0" w:firstRowFirstColumn="0" w:firstRowLastColumn="0" w:lastRowFirstColumn="0" w:lastRowLastColumn="0"/>
            <w:tcW w:w="1458" w:type="dxa"/>
            <w:vMerge w:val="restart"/>
          </w:tcPr>
          <w:p w14:paraId="6D6F2612"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 e mbetjeve të grumbulluara për riciklim</w:t>
            </w:r>
          </w:p>
        </w:tc>
        <w:tc>
          <w:tcPr>
            <w:tcW w:w="2160" w:type="dxa"/>
          </w:tcPr>
          <w:p w14:paraId="6D6F261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Norma e mbetjeve të ricikluara në raport me sasinë e mbledhur</w:t>
            </w:r>
          </w:p>
        </w:tc>
        <w:tc>
          <w:tcPr>
            <w:tcW w:w="1080" w:type="dxa"/>
          </w:tcPr>
          <w:p w14:paraId="6D6F261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w:t>
            </w:r>
          </w:p>
        </w:tc>
        <w:tc>
          <w:tcPr>
            <w:tcW w:w="1800" w:type="dxa"/>
          </w:tcPr>
          <w:p w14:paraId="6D6F261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Rritja e mbetjeve të grumbulluara për riciklim me 15%</w:t>
            </w:r>
          </w:p>
        </w:tc>
        <w:tc>
          <w:tcPr>
            <w:tcW w:w="1530" w:type="dxa"/>
          </w:tcPr>
          <w:p w14:paraId="6D6F261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294" w:type="dxa"/>
          </w:tcPr>
          <w:p w14:paraId="6D6F261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1F"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tcPr>
          <w:p w14:paraId="6D6F2619" w14:textId="77777777" w:rsidR="00650E6F" w:rsidRPr="000E1EB0" w:rsidRDefault="00650E6F" w:rsidP="00650E6F">
            <w:pPr>
              <w:rPr>
                <w:rFonts w:ascii="Garamond" w:hAnsi="Garamond" w:cs="Tahoma"/>
                <w:b w:val="0"/>
                <w:sz w:val="20"/>
                <w:szCs w:val="20"/>
                <w:lang w:val="sq-AL"/>
              </w:rPr>
            </w:pPr>
          </w:p>
        </w:tc>
        <w:tc>
          <w:tcPr>
            <w:tcW w:w="2160" w:type="dxa"/>
          </w:tcPr>
          <w:p w14:paraId="6D6F261A" w14:textId="277E678A" w:rsidR="00650E6F" w:rsidRPr="000E1EB0" w:rsidRDefault="00650E6F" w:rsidP="002B2BC5">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Norma e numrit të vendshkarkimeve të paligjshme të mbyllura në raport me numrin fillestar të </w:t>
            </w:r>
            <w:r w:rsidR="002B2BC5">
              <w:rPr>
                <w:rFonts w:ascii="Garamond" w:hAnsi="Garamond" w:cs="Tahoma"/>
                <w:sz w:val="20"/>
                <w:szCs w:val="20"/>
                <w:lang w:val="sq-AL"/>
              </w:rPr>
              <w:t>vend</w:t>
            </w:r>
            <w:r w:rsidRPr="000E1EB0">
              <w:rPr>
                <w:rFonts w:ascii="Garamond" w:hAnsi="Garamond" w:cs="Tahoma"/>
                <w:sz w:val="20"/>
                <w:szCs w:val="20"/>
                <w:lang w:val="sq-AL"/>
              </w:rPr>
              <w:t>shkarkimeve ekzistuese</w:t>
            </w:r>
          </w:p>
        </w:tc>
        <w:tc>
          <w:tcPr>
            <w:tcW w:w="1080" w:type="dxa"/>
          </w:tcPr>
          <w:p w14:paraId="6D6F261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 TU VENDOSUR nga JTS me bashkitë, ministrinë e mjedisit</w:t>
            </w:r>
          </w:p>
        </w:tc>
        <w:tc>
          <w:tcPr>
            <w:tcW w:w="1800" w:type="dxa"/>
          </w:tcPr>
          <w:p w14:paraId="6D6F261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Ulja e numrit të vendshkarkimeve të paligjshme me 10%</w:t>
            </w:r>
          </w:p>
        </w:tc>
        <w:tc>
          <w:tcPr>
            <w:tcW w:w="1530" w:type="dxa"/>
          </w:tcPr>
          <w:p w14:paraId="6D6F261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294" w:type="dxa"/>
          </w:tcPr>
          <w:p w14:paraId="6D6F261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620" w14:textId="2272AE7C" w:rsidR="00650E6F" w:rsidRPr="000E1EB0" w:rsidRDefault="00650E6F" w:rsidP="00650E6F">
      <w:pPr>
        <w:pStyle w:val="AAAATEX"/>
        <w:rPr>
          <w:i/>
        </w:rPr>
      </w:pPr>
      <w:r w:rsidRPr="000E1EB0">
        <w:rPr>
          <w:i/>
        </w:rPr>
        <w:t xml:space="preserve">* Vlera bazë lidhet me performancën e përfituesve/grupeve të synuara para ndërhyrjes; </w:t>
      </w:r>
      <w:r w:rsidR="002B2BC5" w:rsidRPr="000E1EB0">
        <w:rPr>
          <w:i/>
        </w:rPr>
        <w:t xml:space="preserve">shifrat </w:t>
      </w:r>
      <w:r w:rsidRPr="000E1EB0">
        <w:rPr>
          <w:i/>
        </w:rPr>
        <w:t>përkatëse për të matur vlerën bazë, duhet të sigurohen nga aplikanti në formularin e aplikimit për grante.</w:t>
      </w:r>
    </w:p>
    <w:p w14:paraId="6D6F2621" w14:textId="18DA4400" w:rsidR="00650E6F" w:rsidRPr="000E1EB0" w:rsidRDefault="00650E6F" w:rsidP="00650E6F">
      <w:pPr>
        <w:pStyle w:val="AAAATEX"/>
        <w:rPr>
          <w:i/>
        </w:rPr>
      </w:pPr>
      <w:r w:rsidRPr="000E1EB0">
        <w:rPr>
          <w:i/>
        </w:rPr>
        <w:t xml:space="preserve">Rezultati 3.1.2 i </w:t>
      </w:r>
      <w:r w:rsidR="002B2BC5" w:rsidRPr="000E1EB0">
        <w:rPr>
          <w:i/>
        </w:rPr>
        <w:t xml:space="preserve">objektivit specifik: infrastruktura </w:t>
      </w:r>
      <w:r w:rsidRPr="000E1EB0">
        <w:rPr>
          <w:i/>
        </w:rPr>
        <w:t>publike në rrezik nga përmbytjet, erozioni i dherave dhe zjarret është përmirësuar</w:t>
      </w:r>
    </w:p>
    <w:tbl>
      <w:tblPr>
        <w:tblStyle w:val="MediumGrid3-Accent1"/>
        <w:tblW w:w="0" w:type="auto"/>
        <w:tblLook w:val="04A0" w:firstRow="1" w:lastRow="0" w:firstColumn="1" w:lastColumn="0" w:noHBand="0" w:noVBand="1"/>
      </w:tblPr>
      <w:tblGrid>
        <w:gridCol w:w="1792"/>
        <w:gridCol w:w="1783"/>
        <w:gridCol w:w="1063"/>
        <w:gridCol w:w="1011"/>
        <w:gridCol w:w="1125"/>
        <w:gridCol w:w="1229"/>
        <w:gridCol w:w="1284"/>
      </w:tblGrid>
      <w:tr w:rsidR="00650E6F" w:rsidRPr="000E1EB0" w14:paraId="6D6F2629"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14:paraId="6D6F2622" w14:textId="24F6D9F2"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2B2BC5" w:rsidRPr="000E1EB0">
              <w:rPr>
                <w:rFonts w:ascii="Garamond" w:hAnsi="Garamond" w:cs="Tahoma"/>
                <w:sz w:val="20"/>
                <w:szCs w:val="20"/>
                <w:lang w:val="sq-AL"/>
              </w:rPr>
              <w:t>kontributit</w:t>
            </w:r>
          </w:p>
        </w:tc>
        <w:tc>
          <w:tcPr>
            <w:tcW w:w="1783" w:type="dxa"/>
          </w:tcPr>
          <w:p w14:paraId="6D6F262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1063" w:type="dxa"/>
          </w:tcPr>
          <w:p w14:paraId="6D6F2624"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1011" w:type="dxa"/>
          </w:tcPr>
          <w:p w14:paraId="6D6F262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(2017)</w:t>
            </w:r>
          </w:p>
        </w:tc>
        <w:tc>
          <w:tcPr>
            <w:tcW w:w="1125" w:type="dxa"/>
          </w:tcPr>
          <w:p w14:paraId="6D6F2626"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1229" w:type="dxa"/>
          </w:tcPr>
          <w:p w14:paraId="6D6F2627"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284" w:type="dxa"/>
          </w:tcPr>
          <w:p w14:paraId="6D6F2628"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631"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14:paraId="6D6F262A"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Nr. i projekteve të mbështetur</w:t>
            </w:r>
          </w:p>
        </w:tc>
        <w:tc>
          <w:tcPr>
            <w:tcW w:w="1783" w:type="dxa"/>
          </w:tcPr>
          <w:p w14:paraId="6D6F262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total i projekteve të reja të mbështetur nën këtë objektiv</w:t>
            </w:r>
          </w:p>
        </w:tc>
        <w:tc>
          <w:tcPr>
            <w:tcW w:w="1063" w:type="dxa"/>
          </w:tcPr>
          <w:p w14:paraId="6D6F262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011" w:type="dxa"/>
          </w:tcPr>
          <w:p w14:paraId="6D6F262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1125" w:type="dxa"/>
          </w:tcPr>
          <w:p w14:paraId="6D6F262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12</w:t>
            </w:r>
          </w:p>
        </w:tc>
        <w:tc>
          <w:tcPr>
            <w:tcW w:w="1229" w:type="dxa"/>
          </w:tcPr>
          <w:p w14:paraId="6D6F262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284" w:type="dxa"/>
          </w:tcPr>
          <w:p w14:paraId="6D6F263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39" w14:textId="77777777" w:rsidTr="00650E6F">
        <w:tc>
          <w:tcPr>
            <w:cnfStyle w:val="001000000000" w:firstRow="0" w:lastRow="0" w:firstColumn="1" w:lastColumn="0" w:oddVBand="0" w:evenVBand="0" w:oddHBand="0" w:evenHBand="0" w:firstRowFirstColumn="0" w:firstRowLastColumn="0" w:lastRowFirstColumn="0" w:lastRowLastColumn="0"/>
            <w:tcW w:w="1792" w:type="dxa"/>
          </w:tcPr>
          <w:p w14:paraId="6D6F2632"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 xml:space="preserve">Nr. i objekteve të siguruara për </w:t>
            </w:r>
            <w:r w:rsidRPr="000E1EB0">
              <w:rPr>
                <w:rFonts w:ascii="Garamond" w:hAnsi="Garamond" w:cs="Tahoma"/>
                <w:b w:val="0"/>
                <w:sz w:val="20"/>
                <w:szCs w:val="20"/>
                <w:lang w:val="sq-AL"/>
              </w:rPr>
              <w:lastRenderedPageBreak/>
              <w:t>mbrojtjen nga përmbytjet dhe zjarret</w:t>
            </w:r>
          </w:p>
        </w:tc>
        <w:tc>
          <w:tcPr>
            <w:tcW w:w="1783" w:type="dxa"/>
          </w:tcPr>
          <w:p w14:paraId="6D6F263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 xml:space="preserve">Nr. i objekteve të reja të siguruara për </w:t>
            </w:r>
            <w:r w:rsidRPr="000E1EB0">
              <w:rPr>
                <w:rFonts w:ascii="Garamond" w:hAnsi="Garamond" w:cs="Tahoma"/>
                <w:sz w:val="20"/>
                <w:szCs w:val="20"/>
                <w:lang w:val="sq-AL"/>
              </w:rPr>
              <w:lastRenderedPageBreak/>
              <w:t>mbrojtjen nga përmbytjet dhe zjarri</w:t>
            </w:r>
          </w:p>
        </w:tc>
        <w:tc>
          <w:tcPr>
            <w:tcW w:w="1063" w:type="dxa"/>
          </w:tcPr>
          <w:p w14:paraId="6D6F263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lastRenderedPageBreak/>
              <w:t>0</w:t>
            </w:r>
          </w:p>
        </w:tc>
        <w:tc>
          <w:tcPr>
            <w:tcW w:w="1011" w:type="dxa"/>
          </w:tcPr>
          <w:p w14:paraId="6D6F263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125" w:type="dxa"/>
          </w:tcPr>
          <w:p w14:paraId="6D6F263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c>
          <w:tcPr>
            <w:tcW w:w="1229" w:type="dxa"/>
          </w:tcPr>
          <w:p w14:paraId="6D6F263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284" w:type="dxa"/>
          </w:tcPr>
          <w:p w14:paraId="6D6F263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41"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14:paraId="6D6F263A"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lastRenderedPageBreak/>
              <w:t>Nr. i fushatave të ndërgjegjësimit</w:t>
            </w:r>
          </w:p>
        </w:tc>
        <w:tc>
          <w:tcPr>
            <w:tcW w:w="1783" w:type="dxa"/>
          </w:tcPr>
          <w:p w14:paraId="6D6F263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fushatave të reja të ndërgjegjësimit</w:t>
            </w:r>
          </w:p>
        </w:tc>
        <w:tc>
          <w:tcPr>
            <w:tcW w:w="1063" w:type="dxa"/>
          </w:tcPr>
          <w:p w14:paraId="6D6F263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011" w:type="dxa"/>
          </w:tcPr>
          <w:p w14:paraId="6D6F263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c>
          <w:tcPr>
            <w:tcW w:w="1125" w:type="dxa"/>
          </w:tcPr>
          <w:p w14:paraId="6D6F263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1229" w:type="dxa"/>
          </w:tcPr>
          <w:p w14:paraId="6D6F263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284" w:type="dxa"/>
          </w:tcPr>
          <w:p w14:paraId="6D6F264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49" w14:textId="77777777" w:rsidTr="00650E6F">
        <w:tc>
          <w:tcPr>
            <w:cnfStyle w:val="001000000000" w:firstRow="0" w:lastRow="0" w:firstColumn="1" w:lastColumn="0" w:oddVBand="0" w:evenVBand="0" w:oddHBand="0" w:evenHBand="0" w:firstRowFirstColumn="0" w:firstRowLastColumn="0" w:lastRowFirstColumn="0" w:lastRowLastColumn="0"/>
            <w:tcW w:w="1792" w:type="dxa"/>
          </w:tcPr>
          <w:p w14:paraId="6D6F2642"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Numri i familjeve / fermave dhe organizatave të tjera që përfitojnë nga aktivitetet e reja</w:t>
            </w:r>
          </w:p>
        </w:tc>
        <w:tc>
          <w:tcPr>
            <w:tcW w:w="1783" w:type="dxa"/>
          </w:tcPr>
          <w:p w14:paraId="6D6F264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Numri i familjeve / fermave dhe organizatave të tjera që përfitojnë nga aktivitetet e reja</w:t>
            </w:r>
          </w:p>
        </w:tc>
        <w:tc>
          <w:tcPr>
            <w:tcW w:w="1063" w:type="dxa"/>
          </w:tcPr>
          <w:p w14:paraId="6D6F264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1011" w:type="dxa"/>
          </w:tcPr>
          <w:p w14:paraId="6D6F264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100</w:t>
            </w:r>
          </w:p>
        </w:tc>
        <w:tc>
          <w:tcPr>
            <w:tcW w:w="1125" w:type="dxa"/>
          </w:tcPr>
          <w:p w14:paraId="6D6F264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250</w:t>
            </w:r>
          </w:p>
        </w:tc>
        <w:tc>
          <w:tcPr>
            <w:tcW w:w="1229" w:type="dxa"/>
          </w:tcPr>
          <w:p w14:paraId="6D6F264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Sistemi i monitorimit</w:t>
            </w:r>
          </w:p>
        </w:tc>
        <w:tc>
          <w:tcPr>
            <w:tcW w:w="1284" w:type="dxa"/>
          </w:tcPr>
          <w:p w14:paraId="6D6F264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64A" w14:textId="77777777" w:rsidR="00650E6F" w:rsidRPr="000E1EB0" w:rsidRDefault="00650E6F" w:rsidP="00650E6F">
      <w:pPr>
        <w:pStyle w:val="AAAATEX"/>
        <w:rPr>
          <w:i/>
        </w:rPr>
      </w:pPr>
      <w:r w:rsidRPr="000E1EB0">
        <w:rPr>
          <w:i/>
        </w:rPr>
        <w:t>* Grumbulluese</w:t>
      </w:r>
    </w:p>
    <w:p w14:paraId="6D6F264B" w14:textId="77777777" w:rsidR="00650E6F" w:rsidRPr="000E1EB0" w:rsidRDefault="00650E6F" w:rsidP="00650E6F">
      <w:pPr>
        <w:pStyle w:val="AAAATEX"/>
      </w:pPr>
    </w:p>
    <w:tbl>
      <w:tblPr>
        <w:tblStyle w:val="MediumGrid3-Accent1"/>
        <w:tblW w:w="0" w:type="auto"/>
        <w:tblLayout w:type="fixed"/>
        <w:tblLook w:val="04A0" w:firstRow="1" w:lastRow="0" w:firstColumn="1" w:lastColumn="0" w:noHBand="0" w:noVBand="1"/>
      </w:tblPr>
      <w:tblGrid>
        <w:gridCol w:w="1602"/>
        <w:gridCol w:w="2106"/>
        <w:gridCol w:w="810"/>
        <w:gridCol w:w="990"/>
        <w:gridCol w:w="1170"/>
        <w:gridCol w:w="1350"/>
        <w:gridCol w:w="1259"/>
      </w:tblGrid>
      <w:tr w:rsidR="00650E6F" w:rsidRPr="000E1EB0" w14:paraId="6D6F2653"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6D6F264C" w14:textId="6C19240C"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Treguesi i </w:t>
            </w:r>
            <w:r w:rsidR="002B2BC5" w:rsidRPr="000E1EB0">
              <w:rPr>
                <w:rFonts w:ascii="Garamond" w:hAnsi="Garamond" w:cs="Tahoma"/>
                <w:sz w:val="20"/>
                <w:szCs w:val="20"/>
                <w:lang w:val="sq-AL"/>
              </w:rPr>
              <w:t>rezultatit</w:t>
            </w:r>
          </w:p>
        </w:tc>
        <w:tc>
          <w:tcPr>
            <w:tcW w:w="2106" w:type="dxa"/>
          </w:tcPr>
          <w:p w14:paraId="6D6F264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Përshkrimi</w:t>
            </w:r>
          </w:p>
        </w:tc>
        <w:tc>
          <w:tcPr>
            <w:tcW w:w="810" w:type="dxa"/>
          </w:tcPr>
          <w:p w14:paraId="6D6F264E"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bazë</w:t>
            </w:r>
          </w:p>
        </w:tc>
        <w:tc>
          <w:tcPr>
            <w:tcW w:w="990" w:type="dxa"/>
          </w:tcPr>
          <w:p w14:paraId="6D6F264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(2017)</w:t>
            </w:r>
          </w:p>
        </w:tc>
        <w:tc>
          <w:tcPr>
            <w:tcW w:w="1170" w:type="dxa"/>
          </w:tcPr>
          <w:p w14:paraId="6D6F265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Vlera e synuar (2020)</w:t>
            </w:r>
          </w:p>
        </w:tc>
        <w:tc>
          <w:tcPr>
            <w:tcW w:w="1350" w:type="dxa"/>
          </w:tcPr>
          <w:p w14:paraId="6D6F265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Burimi i të dhënave</w:t>
            </w:r>
          </w:p>
        </w:tc>
        <w:tc>
          <w:tcPr>
            <w:tcW w:w="1259" w:type="dxa"/>
          </w:tcPr>
          <w:p w14:paraId="6D6F2652"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Intervali i raportimit</w:t>
            </w:r>
          </w:p>
        </w:tc>
      </w:tr>
      <w:tr w:rsidR="00650E6F" w:rsidRPr="000E1EB0" w14:paraId="6D6F265B"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6D6F2654"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Gjatësia e rrugëve të mbrojtura</w:t>
            </w:r>
          </w:p>
        </w:tc>
        <w:tc>
          <w:tcPr>
            <w:tcW w:w="2106" w:type="dxa"/>
          </w:tcPr>
          <w:p w14:paraId="6D6F265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km të rrugëve të ekspozuar ndaj fatkeqësive natyrore të mbrojtura në raport me nr. e km të rrugëve në nevojë për mbrojtje</w:t>
            </w:r>
          </w:p>
        </w:tc>
        <w:tc>
          <w:tcPr>
            <w:tcW w:w="810" w:type="dxa"/>
          </w:tcPr>
          <w:p w14:paraId="6D6F265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990" w:type="dxa"/>
          </w:tcPr>
          <w:p w14:paraId="6D6F265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w:t>
            </w:r>
          </w:p>
        </w:tc>
        <w:tc>
          <w:tcPr>
            <w:tcW w:w="1170" w:type="dxa"/>
          </w:tcPr>
          <w:p w14:paraId="6D6F265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 e rrugëve të ekspozuara ndaj rrezikut</w:t>
            </w:r>
          </w:p>
        </w:tc>
        <w:tc>
          <w:tcPr>
            <w:tcW w:w="1350" w:type="dxa"/>
          </w:tcPr>
          <w:p w14:paraId="6D6F265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Zyra Shtetërore e Statistikave, INSTAT, Sistemi i monitorimit</w:t>
            </w:r>
          </w:p>
        </w:tc>
        <w:tc>
          <w:tcPr>
            <w:tcW w:w="1259" w:type="dxa"/>
          </w:tcPr>
          <w:p w14:paraId="6D6F265A"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63" w14:textId="77777777" w:rsidTr="00650E6F">
        <w:tc>
          <w:tcPr>
            <w:cnfStyle w:val="001000000000" w:firstRow="0" w:lastRow="0" w:firstColumn="1" w:lastColumn="0" w:oddVBand="0" w:evenVBand="0" w:oddHBand="0" w:evenHBand="0" w:firstRowFirstColumn="0" w:firstRowLastColumn="0" w:lastRowFirstColumn="0" w:lastRowLastColumn="0"/>
            <w:tcW w:w="1602" w:type="dxa"/>
          </w:tcPr>
          <w:p w14:paraId="6D6F265C"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Madhësia e sipërfaqes bujqësore të mbrojtur</w:t>
            </w:r>
          </w:p>
        </w:tc>
        <w:tc>
          <w:tcPr>
            <w:tcW w:w="2106" w:type="dxa"/>
          </w:tcPr>
          <w:p w14:paraId="6D6F265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Norma e sipërfaqes së tokës bujqësore të mbrojtur në raport me sipërfaqen totale të tokës në nevojë për mbrojtje</w:t>
            </w:r>
          </w:p>
        </w:tc>
        <w:tc>
          <w:tcPr>
            <w:tcW w:w="810" w:type="dxa"/>
          </w:tcPr>
          <w:p w14:paraId="6D6F265E"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990" w:type="dxa"/>
          </w:tcPr>
          <w:p w14:paraId="6D6F265F"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c>
          <w:tcPr>
            <w:tcW w:w="1170" w:type="dxa"/>
          </w:tcPr>
          <w:p w14:paraId="6D6F266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 e tokës e ekspozuar ndaj rrezikut</w:t>
            </w:r>
          </w:p>
        </w:tc>
        <w:tc>
          <w:tcPr>
            <w:tcW w:w="1350" w:type="dxa"/>
          </w:tcPr>
          <w:p w14:paraId="6D6F2661" w14:textId="6D60C2F4"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Zyra Shtetërore e Statistikave, INSTAT</w:t>
            </w:r>
            <w:r w:rsidR="002B2BC5">
              <w:rPr>
                <w:rFonts w:ascii="Garamond" w:hAnsi="Garamond" w:cs="Tahoma"/>
                <w:sz w:val="20"/>
                <w:szCs w:val="20"/>
                <w:lang w:val="sq-AL"/>
              </w:rPr>
              <w:t>-i</w:t>
            </w:r>
            <w:r w:rsidRPr="000E1EB0">
              <w:rPr>
                <w:rFonts w:ascii="Garamond" w:hAnsi="Garamond" w:cs="Tahoma"/>
                <w:sz w:val="20"/>
                <w:szCs w:val="20"/>
                <w:lang w:val="sq-AL"/>
              </w:rPr>
              <w:t>, Sistemi i monitorimit</w:t>
            </w:r>
          </w:p>
        </w:tc>
        <w:tc>
          <w:tcPr>
            <w:tcW w:w="1259" w:type="dxa"/>
          </w:tcPr>
          <w:p w14:paraId="6D6F266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r w:rsidR="00650E6F" w:rsidRPr="000E1EB0" w14:paraId="6D6F266B"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6D6F2664"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Madhësia e zonave pyjore të mbrojtura</w:t>
            </w:r>
          </w:p>
        </w:tc>
        <w:tc>
          <w:tcPr>
            <w:tcW w:w="2106" w:type="dxa"/>
          </w:tcPr>
          <w:p w14:paraId="6D6F266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Norma e sipërfaqes së zonës pyjore të mbrojtur në raport me sipërfaqen totale të zonës pyjore në nevojë për mbrojtje</w:t>
            </w:r>
          </w:p>
        </w:tc>
        <w:tc>
          <w:tcPr>
            <w:tcW w:w="810" w:type="dxa"/>
          </w:tcPr>
          <w:p w14:paraId="6D6F266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w:t>
            </w:r>
          </w:p>
        </w:tc>
        <w:tc>
          <w:tcPr>
            <w:tcW w:w="990" w:type="dxa"/>
          </w:tcPr>
          <w:p w14:paraId="6D6F266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c>
          <w:tcPr>
            <w:tcW w:w="1170" w:type="dxa"/>
          </w:tcPr>
          <w:p w14:paraId="6D6F266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 e pyjeve të ekspozuar ndaj rrezikut</w:t>
            </w:r>
          </w:p>
        </w:tc>
        <w:tc>
          <w:tcPr>
            <w:tcW w:w="1350" w:type="dxa"/>
          </w:tcPr>
          <w:p w14:paraId="6D6F2669" w14:textId="1B88E25D"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Zyra Shtetërore e Statistikave, INSTAT</w:t>
            </w:r>
            <w:r w:rsidR="002B2BC5">
              <w:rPr>
                <w:rFonts w:ascii="Garamond" w:hAnsi="Garamond" w:cs="Tahoma"/>
                <w:sz w:val="20"/>
                <w:szCs w:val="20"/>
                <w:lang w:val="sq-AL"/>
              </w:rPr>
              <w:t>-i</w:t>
            </w:r>
            <w:r w:rsidRPr="000E1EB0">
              <w:rPr>
                <w:rFonts w:ascii="Garamond" w:hAnsi="Garamond" w:cs="Tahoma"/>
                <w:sz w:val="20"/>
                <w:szCs w:val="20"/>
                <w:lang w:val="sq-AL"/>
              </w:rPr>
              <w:t>, Sistemi i monitorimit</w:t>
            </w:r>
          </w:p>
        </w:tc>
        <w:tc>
          <w:tcPr>
            <w:tcW w:w="1259" w:type="dxa"/>
          </w:tcPr>
          <w:p w14:paraId="6D6F266A"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Vjetor</w:t>
            </w:r>
          </w:p>
        </w:tc>
      </w:tr>
    </w:tbl>
    <w:p w14:paraId="6D6F266C" w14:textId="77777777" w:rsidR="00650E6F" w:rsidRPr="000E1EB0" w:rsidRDefault="00650E6F" w:rsidP="00650E6F">
      <w:pPr>
        <w:pStyle w:val="AAAATEX"/>
      </w:pPr>
    </w:p>
    <w:tbl>
      <w:tblPr>
        <w:tblStyle w:val="MediumGrid3-Accent1"/>
        <w:tblW w:w="5000" w:type="pct"/>
        <w:tblLook w:val="04A0" w:firstRow="1" w:lastRow="0" w:firstColumn="1" w:lastColumn="0" w:noHBand="0" w:noVBand="1"/>
      </w:tblPr>
      <w:tblGrid>
        <w:gridCol w:w="2709"/>
        <w:gridCol w:w="1856"/>
        <w:gridCol w:w="954"/>
        <w:gridCol w:w="1316"/>
        <w:gridCol w:w="1316"/>
        <w:gridCol w:w="1425"/>
      </w:tblGrid>
      <w:tr w:rsidR="00650E6F" w:rsidRPr="000E1EB0" w14:paraId="6D6F2673"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6D6F266D" w14:textId="77777777" w:rsidR="00650E6F" w:rsidRPr="000E1EB0" w:rsidRDefault="00650E6F" w:rsidP="00650E6F">
            <w:pPr>
              <w:pStyle w:val="AAAATEX"/>
              <w:ind w:firstLine="0"/>
              <w:rPr>
                <w:sz w:val="20"/>
                <w:szCs w:val="20"/>
                <w:lang w:val="sq-AL"/>
              </w:rPr>
            </w:pPr>
            <w:r w:rsidRPr="000E1EB0">
              <w:rPr>
                <w:sz w:val="20"/>
                <w:szCs w:val="20"/>
                <w:lang w:val="sq-AL"/>
              </w:rPr>
              <w:t>Treguesi i Ndikimit</w:t>
            </w:r>
          </w:p>
        </w:tc>
        <w:tc>
          <w:tcPr>
            <w:tcW w:w="969" w:type="pct"/>
          </w:tcPr>
          <w:p w14:paraId="6D6F266E" w14:textId="77777777" w:rsidR="00650E6F" w:rsidRPr="000E1EB0" w:rsidRDefault="00650E6F" w:rsidP="00650E6F">
            <w:pPr>
              <w:pStyle w:val="AAAATEX"/>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0E1EB0">
              <w:rPr>
                <w:sz w:val="20"/>
                <w:szCs w:val="20"/>
                <w:lang w:val="sq-AL"/>
              </w:rPr>
              <w:t>Përshkrimi</w:t>
            </w:r>
          </w:p>
        </w:tc>
        <w:tc>
          <w:tcPr>
            <w:tcW w:w="498" w:type="pct"/>
          </w:tcPr>
          <w:p w14:paraId="6D6F266F" w14:textId="77777777" w:rsidR="00650E6F" w:rsidRPr="000E1EB0" w:rsidRDefault="00650E6F" w:rsidP="00650E6F">
            <w:pPr>
              <w:pStyle w:val="AAAATEX"/>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0E1EB0">
              <w:rPr>
                <w:sz w:val="20"/>
                <w:szCs w:val="20"/>
                <w:lang w:val="sq-AL"/>
              </w:rPr>
              <w:t>Vlera bazë</w:t>
            </w:r>
          </w:p>
        </w:tc>
        <w:tc>
          <w:tcPr>
            <w:tcW w:w="687" w:type="pct"/>
          </w:tcPr>
          <w:p w14:paraId="6D6F2670" w14:textId="77777777" w:rsidR="00650E6F" w:rsidRPr="000E1EB0" w:rsidRDefault="00650E6F" w:rsidP="00650E6F">
            <w:pPr>
              <w:pStyle w:val="AAAATEX"/>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0E1EB0">
              <w:rPr>
                <w:sz w:val="20"/>
                <w:szCs w:val="20"/>
                <w:lang w:val="sq-AL"/>
              </w:rPr>
              <w:t>Vlera e synuar (2020)</w:t>
            </w:r>
          </w:p>
        </w:tc>
        <w:tc>
          <w:tcPr>
            <w:tcW w:w="687" w:type="pct"/>
          </w:tcPr>
          <w:p w14:paraId="6D6F2671" w14:textId="77777777" w:rsidR="00650E6F" w:rsidRPr="000E1EB0" w:rsidRDefault="00650E6F" w:rsidP="00650E6F">
            <w:pPr>
              <w:pStyle w:val="AAAATEX"/>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0E1EB0">
              <w:rPr>
                <w:sz w:val="20"/>
                <w:szCs w:val="20"/>
                <w:lang w:val="sq-AL"/>
              </w:rPr>
              <w:t>Burimi i të dhënave</w:t>
            </w:r>
          </w:p>
        </w:tc>
        <w:tc>
          <w:tcPr>
            <w:tcW w:w="744" w:type="pct"/>
          </w:tcPr>
          <w:p w14:paraId="6D6F2672" w14:textId="77777777" w:rsidR="00650E6F" w:rsidRPr="000E1EB0" w:rsidRDefault="00650E6F" w:rsidP="00650E6F">
            <w:pPr>
              <w:pStyle w:val="AAAATEX"/>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0E1EB0">
              <w:rPr>
                <w:sz w:val="20"/>
                <w:szCs w:val="20"/>
                <w:lang w:val="sq-AL"/>
              </w:rPr>
              <w:t>Intervali i raportimit</w:t>
            </w:r>
          </w:p>
        </w:tc>
      </w:tr>
      <w:tr w:rsidR="00650E6F" w:rsidRPr="000E1EB0" w14:paraId="6D6F267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6D6F2674" w14:textId="77777777" w:rsidR="00650E6F" w:rsidRPr="000E1EB0" w:rsidRDefault="00650E6F" w:rsidP="00650E6F">
            <w:pPr>
              <w:pStyle w:val="AAAATEX"/>
              <w:ind w:firstLine="0"/>
              <w:rPr>
                <w:b w:val="0"/>
                <w:color w:val="auto"/>
                <w:sz w:val="20"/>
                <w:szCs w:val="20"/>
                <w:lang w:val="sq-AL"/>
              </w:rPr>
            </w:pPr>
            <w:r w:rsidRPr="000E1EB0">
              <w:rPr>
                <w:sz w:val="20"/>
                <w:szCs w:val="20"/>
                <w:lang w:val="sq-AL"/>
              </w:rPr>
              <w:t>Madhësia e zonës së Bashkëpunimit Ndërkufitar të mbuluar nga aktivitetet</w:t>
            </w:r>
          </w:p>
        </w:tc>
        <w:tc>
          <w:tcPr>
            <w:tcW w:w="969" w:type="pct"/>
          </w:tcPr>
          <w:p w14:paraId="6D6F2675" w14:textId="77777777" w:rsidR="00650E6F" w:rsidRPr="000E1EB0" w:rsidRDefault="00650E6F" w:rsidP="00650E6F">
            <w:pPr>
              <w:pStyle w:val="AAAATEX"/>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0E1EB0">
              <w:rPr>
                <w:sz w:val="20"/>
                <w:szCs w:val="20"/>
                <w:lang w:val="sq-AL"/>
              </w:rPr>
              <w:t>Sipërfaqja e pranueshme e programit CBC është mbuluar nga aktivitetet e projektit</w:t>
            </w:r>
          </w:p>
        </w:tc>
        <w:tc>
          <w:tcPr>
            <w:tcW w:w="498" w:type="pct"/>
          </w:tcPr>
          <w:p w14:paraId="6D6F2676" w14:textId="77777777" w:rsidR="00650E6F" w:rsidRPr="000E1EB0" w:rsidRDefault="00650E6F" w:rsidP="00650E6F">
            <w:pPr>
              <w:pStyle w:val="AAAATEX"/>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0E1EB0">
              <w:rPr>
                <w:sz w:val="20"/>
                <w:szCs w:val="20"/>
                <w:lang w:val="sq-AL"/>
              </w:rPr>
              <w:t>0</w:t>
            </w:r>
          </w:p>
        </w:tc>
        <w:tc>
          <w:tcPr>
            <w:tcW w:w="687" w:type="pct"/>
          </w:tcPr>
          <w:p w14:paraId="6D6F2677" w14:textId="77777777" w:rsidR="00650E6F" w:rsidRPr="000E1EB0" w:rsidRDefault="00650E6F" w:rsidP="00650E6F">
            <w:pPr>
              <w:pStyle w:val="AAAATEX"/>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0E1EB0">
              <w:rPr>
                <w:sz w:val="20"/>
                <w:szCs w:val="20"/>
                <w:lang w:val="sq-AL"/>
              </w:rPr>
              <w:t>3%</w:t>
            </w:r>
          </w:p>
        </w:tc>
        <w:tc>
          <w:tcPr>
            <w:tcW w:w="687" w:type="pct"/>
          </w:tcPr>
          <w:p w14:paraId="6D6F2678" w14:textId="77777777" w:rsidR="00650E6F" w:rsidRPr="000E1EB0" w:rsidRDefault="00650E6F" w:rsidP="00650E6F">
            <w:pPr>
              <w:pStyle w:val="AAAATEX"/>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0E1EB0">
              <w:rPr>
                <w:sz w:val="20"/>
                <w:szCs w:val="20"/>
                <w:lang w:val="sq-AL"/>
              </w:rPr>
              <w:t>Sistemi i monitorimit</w:t>
            </w:r>
          </w:p>
        </w:tc>
        <w:tc>
          <w:tcPr>
            <w:tcW w:w="744" w:type="pct"/>
          </w:tcPr>
          <w:p w14:paraId="6D6F2679" w14:textId="77777777" w:rsidR="00650E6F" w:rsidRPr="000E1EB0" w:rsidRDefault="00650E6F" w:rsidP="00650E6F">
            <w:pPr>
              <w:pStyle w:val="AAAATEX"/>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0E1EB0">
              <w:rPr>
                <w:sz w:val="20"/>
                <w:szCs w:val="20"/>
                <w:lang w:val="sq-AL"/>
              </w:rPr>
              <w:t>Vjetor</w:t>
            </w:r>
          </w:p>
        </w:tc>
      </w:tr>
    </w:tbl>
    <w:p w14:paraId="29D3D510" w14:textId="77777777" w:rsidR="002B2BC5" w:rsidRDefault="002B2BC5" w:rsidP="00650E6F">
      <w:pPr>
        <w:pStyle w:val="AAAATEX"/>
        <w:rPr>
          <w:b/>
        </w:rPr>
      </w:pPr>
    </w:p>
    <w:p w14:paraId="6D6F267B" w14:textId="63680D51" w:rsidR="00650E6F" w:rsidRPr="000E1EB0" w:rsidRDefault="00650E6F" w:rsidP="00650E6F">
      <w:pPr>
        <w:pStyle w:val="AAAATEX"/>
        <w:rPr>
          <w:b/>
        </w:rPr>
      </w:pPr>
      <w:r w:rsidRPr="000E1EB0">
        <w:rPr>
          <w:b/>
        </w:rPr>
        <w:t xml:space="preserve">Modalitetet e </w:t>
      </w:r>
      <w:r w:rsidR="002B2BC5">
        <w:rPr>
          <w:b/>
        </w:rPr>
        <w:t>z</w:t>
      </w:r>
      <w:r w:rsidRPr="000E1EB0">
        <w:rPr>
          <w:b/>
        </w:rPr>
        <w:t>batimit</w:t>
      </w:r>
      <w:r w:rsidRPr="000E1EB0">
        <w:rPr>
          <w:rStyle w:val="FootnoteReference"/>
        </w:rPr>
        <w:footnoteReference w:id="13"/>
      </w:r>
    </w:p>
    <w:p w14:paraId="6D6F267C" w14:textId="77777777" w:rsidR="00650E6F" w:rsidRPr="000E1EB0" w:rsidRDefault="00650E6F" w:rsidP="00650E6F">
      <w:pPr>
        <w:pStyle w:val="AAAATEX"/>
      </w:pPr>
      <w:r w:rsidRPr="000E1EB0">
        <w:t xml:space="preserve">Aktivitetet do të zbatohen nëpërmjet financimit me grante, duke ndjekur modalitetet e PRAG për dhënien e granteve. </w:t>
      </w:r>
    </w:p>
    <w:p w14:paraId="6D6F267D" w14:textId="450E0132" w:rsidR="00650E6F" w:rsidRPr="000E1EB0" w:rsidRDefault="00650E6F" w:rsidP="00650E6F">
      <w:pPr>
        <w:pStyle w:val="AAAATEX"/>
      </w:pPr>
      <w:r w:rsidRPr="000E1EB0">
        <w:t xml:space="preserve">Zbatimi i prioritet tematik do të kërkojë përfshirjen aktive të grupeve të ndryshme të interesit në nivel lokal dhe rajonal. Pritet që me kalimin e kohës të ketë një ndikim më të ndjeshëm nga motivimi </w:t>
      </w:r>
      <w:r w:rsidRPr="000E1EB0">
        <w:lastRenderedPageBreak/>
        <w:t xml:space="preserve">i autoriteteve lokale dhe shoqërivepublike komunale në rajonin e </w:t>
      </w:r>
      <w:r w:rsidR="003C188C" w:rsidRPr="000E1EB0">
        <w:t xml:space="preserve">bashkëpunimit ndërkufitar </w:t>
      </w:r>
      <w:r w:rsidRPr="000E1EB0">
        <w:t>për të marrë një rol aktiv në zbatimin e programit: investimet e vogla në mjedis do të projektohen në kuadër të mandatit të tyre nëpërmjet procedurave transparente të prokurimit publik, dhe nuk do të kërkohet përgatitja e dokumentacionit të detajuar dhe të shtrenjtë të projektit të financuar nga fondet e programit.</w:t>
      </w:r>
    </w:p>
    <w:p w14:paraId="6D6F267E" w14:textId="77777777" w:rsidR="00650E6F" w:rsidRPr="000E1EB0" w:rsidRDefault="00650E6F" w:rsidP="00650E6F">
      <w:pPr>
        <w:pStyle w:val="AAAATEX"/>
      </w:pPr>
      <w:r w:rsidRPr="000E1EB0">
        <w:t>Financimi i granteve mund të ofrohet në bazë të skenarëve të mëposhtëm alternativë:</w:t>
      </w:r>
    </w:p>
    <w:p w14:paraId="6D6F267F" w14:textId="3ABC15FC" w:rsidR="00650E6F" w:rsidRPr="000E1EB0" w:rsidRDefault="00650E6F" w:rsidP="00650E6F">
      <w:pPr>
        <w:pStyle w:val="AAAATEX"/>
      </w:pPr>
      <w:r w:rsidRPr="000E1EB0">
        <w:t>1. Të dy</w:t>
      </w:r>
      <w:r w:rsidR="00B15692">
        <w:t>ja</w:t>
      </w:r>
      <w:r w:rsidRPr="000E1EB0">
        <w:t xml:space="preserve"> aktivitetet mund të zbatohen paralelisht. </w:t>
      </w:r>
    </w:p>
    <w:p w14:paraId="6D6F2680" w14:textId="3AB1F8C0" w:rsidR="00650E6F" w:rsidRPr="000E1EB0" w:rsidRDefault="00650E6F" w:rsidP="00650E6F">
      <w:pPr>
        <w:pStyle w:val="AAAATEX"/>
      </w:pPr>
      <w:r w:rsidRPr="000E1EB0">
        <w:t xml:space="preserve">2. Aktiviteti 3.1.1.1 mund të zbatohet gjatë raundit të parë dhe të tretë të thirrjeve për </w:t>
      </w:r>
      <w:r w:rsidR="00601FA3">
        <w:t>projektpropozime</w:t>
      </w:r>
      <w:r w:rsidRPr="000E1EB0">
        <w:t xml:space="preserve">, ndërsa aktiviteti 3.1.2.1 - në rrjedhën e raundit të dytë të thirrjeve për </w:t>
      </w:r>
      <w:r w:rsidR="00601FA3">
        <w:t>projektpropozime</w:t>
      </w:r>
      <w:r w:rsidRPr="000E1EB0">
        <w:t>.</w:t>
      </w:r>
    </w:p>
    <w:p w14:paraId="6D6F2681" w14:textId="43ACFF80" w:rsidR="00650E6F" w:rsidRPr="000E1EB0" w:rsidRDefault="00650E6F" w:rsidP="00650E6F">
      <w:pPr>
        <w:pStyle w:val="AAAATEX"/>
        <w:rPr>
          <w:b/>
        </w:rPr>
      </w:pPr>
      <w:r w:rsidRPr="000E1EB0">
        <w:rPr>
          <w:b/>
        </w:rPr>
        <w:t xml:space="preserve">Asistenca </w:t>
      </w:r>
      <w:r w:rsidR="003C188C">
        <w:rPr>
          <w:b/>
        </w:rPr>
        <w:t>t</w:t>
      </w:r>
      <w:r w:rsidRPr="000E1EB0">
        <w:rPr>
          <w:b/>
        </w:rPr>
        <w:t xml:space="preserve">eknike </w:t>
      </w:r>
    </w:p>
    <w:p w14:paraId="6D6F2682" w14:textId="1CC79DCA" w:rsidR="00650E6F" w:rsidRPr="000E1EB0" w:rsidRDefault="00650E6F" w:rsidP="00650E6F">
      <w:pPr>
        <w:pStyle w:val="AAAATEX"/>
        <w:rPr>
          <w:rFonts w:eastAsia="Times New Roman"/>
          <w:color w:val="000000"/>
          <w:lang w:eastAsia="ar-SA"/>
        </w:rPr>
      </w:pPr>
      <w:r w:rsidRPr="000E1EB0">
        <w:rPr>
          <w:rFonts w:eastAsia="Times New Roman"/>
          <w:color w:val="000000"/>
          <w:lang w:eastAsia="ar-SA"/>
        </w:rPr>
        <w:t>Objektivi specifik i asistencës teknike është të sigurojë zbatimin efektiv, efikas, transparent dhe në kohë të programit të bashkëpunimit ndërkufitar, si dhe të rrisë ndërgjegjësimin e komuniteteve në nivel kombëtar, rajonal dhe lokal dhe në popullsinë e zonës së programit në përgjithësi. Gjithashtu</w:t>
      </w:r>
      <w:r w:rsidR="00A352CE">
        <w:rPr>
          <w:rFonts w:eastAsia="Times New Roman"/>
          <w:color w:val="000000"/>
          <w:lang w:eastAsia="ar-SA"/>
        </w:rPr>
        <w:t>,</w:t>
      </w:r>
      <w:r w:rsidRPr="000E1EB0">
        <w:rPr>
          <w:rFonts w:eastAsia="Times New Roman"/>
          <w:color w:val="000000"/>
          <w:lang w:eastAsia="ar-SA"/>
        </w:rPr>
        <w:t xml:space="preserve"> ai mbështet aktivitete ndërgjegjësimi në nivel kombëtar, me qëllim informimin e qytetarëve në të dy</w:t>
      </w:r>
      <w:r w:rsidR="00A352CE">
        <w:rPr>
          <w:rFonts w:eastAsia="Times New Roman"/>
          <w:color w:val="000000"/>
          <w:lang w:eastAsia="ar-SA"/>
        </w:rPr>
        <w:t>ja</w:t>
      </w:r>
      <w:r w:rsidRPr="000E1EB0">
        <w:rPr>
          <w:rFonts w:eastAsia="Times New Roman"/>
          <w:color w:val="000000"/>
          <w:lang w:eastAsia="ar-SA"/>
        </w:rPr>
        <w:t xml:space="preserve"> vendet përfitues të IPA II. Për më tepër, siç ka treguar përvoja në ciklin e programit </w:t>
      </w:r>
      <w:r w:rsidR="00BC47F8">
        <w:rPr>
          <w:rFonts w:eastAsia="Times New Roman"/>
          <w:color w:val="000000"/>
          <w:lang w:eastAsia="ar-SA"/>
        </w:rPr>
        <w:t>2007–2013</w:t>
      </w:r>
      <w:r w:rsidRPr="000E1EB0">
        <w:rPr>
          <w:rFonts w:eastAsia="Times New Roman"/>
          <w:color w:val="000000"/>
          <w:lang w:eastAsia="ar-SA"/>
        </w:rPr>
        <w:t>, ky prioritet do të forcojë kapacitetin administrativ të autoriteteve dhe përfituesve që do të zbatojnë programin, me qëllim për të përmirësuar pronësinë dhe përshtatshmërinë e programit me rezultatet e projekteve.</w:t>
      </w:r>
    </w:p>
    <w:p w14:paraId="6D6F2683" w14:textId="25576E7D" w:rsidR="00650E6F" w:rsidRPr="000E1EB0" w:rsidRDefault="00650E6F" w:rsidP="00650E6F">
      <w:pPr>
        <w:pStyle w:val="AAAATEX"/>
        <w:rPr>
          <w:rFonts w:eastAsia="Times New Roman"/>
          <w:color w:val="000000"/>
          <w:lang w:eastAsia="ar-SA"/>
        </w:rPr>
      </w:pPr>
      <w:r w:rsidRPr="000E1EB0">
        <w:rPr>
          <w:rFonts w:eastAsia="Times New Roman"/>
          <w:color w:val="000000"/>
          <w:lang w:eastAsia="ar-SA"/>
        </w:rPr>
        <w:t xml:space="preserve">Alokimi për asistencën teknike do të përdoret për të mbështetur punën e </w:t>
      </w:r>
      <w:r w:rsidR="00112A36" w:rsidRPr="000E1EB0">
        <w:rPr>
          <w:rFonts w:eastAsia="Times New Roman"/>
          <w:color w:val="000000"/>
          <w:lang w:eastAsia="ar-SA"/>
        </w:rPr>
        <w:t>strukturave kombëtare operativ</w:t>
      </w:r>
      <w:r w:rsidRPr="000E1EB0">
        <w:rPr>
          <w:rFonts w:eastAsia="Times New Roman"/>
          <w:color w:val="000000"/>
          <w:lang w:eastAsia="ar-SA"/>
        </w:rPr>
        <w:t xml:space="preserve">e (OS) dhe të Komitetit të Përbashkët të Monitorimit (JMC), në sigurimin e fillimit, zbatimit, monitorimit dhe vlerësimit efikas të programeve, si dhe për një përdorim optimal të burimeve. Kjo do të arrihet nëpërmjet krijimit dhe funksionimit të një Sekretariati të Përbashkët Teknik (JTS) me bazë në territorin e </w:t>
      </w:r>
      <w:r w:rsidR="00EB5DEB">
        <w:rPr>
          <w:rFonts w:eastAsia="Times New Roman"/>
          <w:color w:val="000000"/>
          <w:lang w:eastAsia="ar-SA"/>
        </w:rPr>
        <w:t>ish-Repu</w:t>
      </w:r>
      <w:r w:rsidRPr="000E1EB0">
        <w:rPr>
          <w:rFonts w:eastAsia="Times New Roman"/>
          <w:color w:val="000000"/>
          <w:lang w:eastAsia="ar-SA"/>
        </w:rPr>
        <w:t>blikës Jugosllave të Maqedonisë dhe një Zyrë Antena në Republikën e Shqipërisë. JTS do të jetë në krye të menaxhimit të përditshëm të programit dhe do ti raportojë mbi ecurinë e tij OS-ve dhe JMC-së.</w:t>
      </w:r>
    </w:p>
    <w:p w14:paraId="6D6F2684" w14:textId="4A02FEB4" w:rsidR="00650E6F" w:rsidRPr="000E1EB0" w:rsidRDefault="00650E6F" w:rsidP="00650E6F">
      <w:pPr>
        <w:pStyle w:val="AAAATEX"/>
        <w:rPr>
          <w:rFonts w:eastAsia="Cambria"/>
          <w:i/>
        </w:rPr>
      </w:pPr>
      <w:r w:rsidRPr="000E1EB0">
        <w:rPr>
          <w:rFonts w:eastAsia="Cambria"/>
          <w:i/>
        </w:rPr>
        <w:t>Rezultatet e synuar</w:t>
      </w:r>
      <w:r w:rsidR="00425CE3">
        <w:rPr>
          <w:rFonts w:eastAsia="Cambria"/>
          <w:i/>
        </w:rPr>
        <w:t>a</w:t>
      </w:r>
      <w:r w:rsidRPr="000E1EB0">
        <w:rPr>
          <w:rFonts w:eastAsia="Cambria"/>
          <w:i/>
        </w:rPr>
        <w:t>:</w:t>
      </w:r>
    </w:p>
    <w:p w14:paraId="6D6F2685" w14:textId="2706C6BD" w:rsidR="00650E6F" w:rsidRPr="000E1EB0" w:rsidRDefault="00650E6F" w:rsidP="00650E6F">
      <w:pPr>
        <w:pStyle w:val="AAAATEX"/>
        <w:rPr>
          <w:rFonts w:eastAsia="Cambria"/>
          <w:i/>
        </w:rPr>
      </w:pPr>
      <w:r w:rsidRPr="000E1EB0">
        <w:rPr>
          <w:rFonts w:eastAsia="Cambria"/>
          <w:i/>
        </w:rPr>
        <w:t xml:space="preserve">Mbështetja administrative </w:t>
      </w:r>
      <w:r w:rsidR="00425CE3" w:rsidRPr="000E1EB0">
        <w:rPr>
          <w:rFonts w:eastAsia="Cambria"/>
          <w:i/>
        </w:rPr>
        <w:t xml:space="preserve">për strukturat operative </w:t>
      </w:r>
      <w:r w:rsidRPr="000E1EB0">
        <w:rPr>
          <w:rFonts w:eastAsia="Cambria"/>
          <w:i/>
        </w:rPr>
        <w:t>(OS) dhe Komitetin e Përbashkët të Monitorimit (JMC) të programit është rritur.</w:t>
      </w:r>
    </w:p>
    <w:p w14:paraId="6D6F2686" w14:textId="2FC15F93" w:rsidR="00650E6F" w:rsidRPr="000E1EB0" w:rsidRDefault="00650E6F" w:rsidP="00650E6F">
      <w:pPr>
        <w:pStyle w:val="AAAATEX"/>
        <w:rPr>
          <w:rFonts w:eastAsia="Times New Roman"/>
          <w:color w:val="000000"/>
          <w:lang w:eastAsia="ar-SA"/>
        </w:rPr>
      </w:pPr>
      <w:r w:rsidRPr="000E1EB0">
        <w:rPr>
          <w:rFonts w:eastAsia="Times New Roman"/>
          <w:color w:val="000000"/>
          <w:lang w:eastAsia="ar-SA"/>
        </w:rPr>
        <w:t xml:space="preserve">Ky prioritet do të sigurojë një zbatim normal të programit gjatë të gjitha fazave të tij. Ai përfshin disponueshmërinë e mjeteve financiare dhe vendosjen e personelit të kualifikuar përgjegjës për të </w:t>
      </w:r>
      <w:r w:rsidR="00425CE3" w:rsidRPr="000E1EB0">
        <w:rPr>
          <w:rFonts w:eastAsia="Times New Roman"/>
          <w:color w:val="000000"/>
          <w:lang w:eastAsia="ar-SA"/>
        </w:rPr>
        <w:t xml:space="preserve">ndihmuar strukturat operative dhe </w:t>
      </w:r>
      <w:r w:rsidRPr="000E1EB0">
        <w:rPr>
          <w:rFonts w:eastAsia="Times New Roman"/>
          <w:color w:val="000000"/>
          <w:lang w:eastAsia="ar-SA"/>
        </w:rPr>
        <w:t>Komitetin e Përbashkët të Monitorimit, si dhe krijimin dhe zbatimin e mekanizmave dhe procedurave të menaxhimit, monitorimit dhe kontrollit. Nëse kërkohet, ai gjithashtu do të kontribuojë në përgatitjen e ciklit pasardhës financiar (</w:t>
      </w:r>
      <w:r w:rsidR="007221C5">
        <w:rPr>
          <w:rFonts w:eastAsia="Times New Roman"/>
          <w:color w:val="000000"/>
          <w:lang w:eastAsia="ar-SA"/>
        </w:rPr>
        <w:t>2021–2027</w:t>
      </w:r>
      <w:r w:rsidRPr="000E1EB0">
        <w:rPr>
          <w:rFonts w:eastAsia="Times New Roman"/>
          <w:color w:val="000000"/>
          <w:lang w:eastAsia="ar-SA"/>
        </w:rPr>
        <w:t>).</w:t>
      </w:r>
    </w:p>
    <w:p w14:paraId="6D6F2687" w14:textId="77777777" w:rsidR="00650E6F" w:rsidRPr="000E1EB0" w:rsidRDefault="00650E6F" w:rsidP="00650E6F">
      <w:pPr>
        <w:pStyle w:val="AAAATEX"/>
        <w:rPr>
          <w:b/>
        </w:rPr>
      </w:pPr>
      <w:r w:rsidRPr="000E1EB0">
        <w:rPr>
          <w:b/>
        </w:rPr>
        <w:t>Treguesit e rezultatit:</w:t>
      </w:r>
    </w:p>
    <w:tbl>
      <w:tblPr>
        <w:tblStyle w:val="TableGrid3"/>
        <w:tblW w:w="0" w:type="auto"/>
        <w:tblLook w:val="04A0" w:firstRow="1" w:lastRow="0" w:firstColumn="1" w:lastColumn="0" w:noHBand="0" w:noVBand="1"/>
      </w:tblPr>
      <w:tblGrid>
        <w:gridCol w:w="5506"/>
        <w:gridCol w:w="954"/>
        <w:gridCol w:w="637"/>
        <w:gridCol w:w="1667"/>
        <w:gridCol w:w="812"/>
      </w:tblGrid>
      <w:tr w:rsidR="00650E6F" w:rsidRPr="000E1EB0" w14:paraId="6D6F268D" w14:textId="77777777" w:rsidTr="00650E6F">
        <w:trPr>
          <w:tblHeader/>
        </w:trPr>
        <w:tc>
          <w:tcPr>
            <w:tcW w:w="0" w:type="auto"/>
            <w:shd w:val="clear" w:color="auto" w:fill="5B9BD5" w:themeFill="accent1"/>
          </w:tcPr>
          <w:p w14:paraId="6D6F2688" w14:textId="77777777" w:rsidR="00650E6F" w:rsidRPr="000E1EB0" w:rsidRDefault="00650E6F" w:rsidP="00650E6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Treguesi</w:t>
            </w:r>
          </w:p>
        </w:tc>
        <w:tc>
          <w:tcPr>
            <w:tcW w:w="0" w:type="auto"/>
            <w:shd w:val="clear" w:color="auto" w:fill="5B9BD5" w:themeFill="accent1"/>
          </w:tcPr>
          <w:p w14:paraId="6D6F2689" w14:textId="77777777" w:rsidR="00650E6F" w:rsidRPr="000E1EB0" w:rsidRDefault="00650E6F" w:rsidP="00650E6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Njësia</w:t>
            </w:r>
          </w:p>
        </w:tc>
        <w:tc>
          <w:tcPr>
            <w:tcW w:w="0" w:type="auto"/>
            <w:shd w:val="clear" w:color="auto" w:fill="5B9BD5" w:themeFill="accent1"/>
          </w:tcPr>
          <w:p w14:paraId="6D6F268A" w14:textId="77777777" w:rsidR="00650E6F" w:rsidRPr="000E1EB0" w:rsidRDefault="00650E6F" w:rsidP="00650E6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Baza</w:t>
            </w:r>
          </w:p>
        </w:tc>
        <w:tc>
          <w:tcPr>
            <w:tcW w:w="0" w:type="auto"/>
            <w:shd w:val="clear" w:color="auto" w:fill="5B9BD5" w:themeFill="accent1"/>
          </w:tcPr>
          <w:p w14:paraId="6D6F268B" w14:textId="18CEA829" w:rsidR="00650E6F" w:rsidRPr="000E1EB0" w:rsidRDefault="00650E6F" w:rsidP="006121D5">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 xml:space="preserve">Synimi deri </w:t>
            </w:r>
            <w:r w:rsidR="006121D5">
              <w:rPr>
                <w:rFonts w:ascii="Garamond" w:eastAsia="Cambria" w:hAnsi="Garamond" w:cs="Tahoma"/>
                <w:b/>
                <w:color w:val="FFFFFF" w:themeColor="background1"/>
                <w:sz w:val="20"/>
                <w:szCs w:val="20"/>
                <w:lang w:val="sq-AL"/>
              </w:rPr>
              <w:t>m</w:t>
            </w:r>
            <w:r w:rsidRPr="000E1EB0">
              <w:rPr>
                <w:rFonts w:ascii="Garamond" w:eastAsia="Cambria" w:hAnsi="Garamond" w:cs="Tahoma"/>
                <w:b/>
                <w:color w:val="FFFFFF" w:themeColor="background1"/>
                <w:sz w:val="20"/>
                <w:szCs w:val="20"/>
                <w:lang w:val="sq-AL"/>
              </w:rPr>
              <w:t>ë 2022</w:t>
            </w:r>
          </w:p>
        </w:tc>
        <w:tc>
          <w:tcPr>
            <w:tcW w:w="0" w:type="auto"/>
            <w:shd w:val="clear" w:color="auto" w:fill="5B9BD5" w:themeFill="accent1"/>
          </w:tcPr>
          <w:p w14:paraId="6D6F268C" w14:textId="77777777" w:rsidR="00650E6F" w:rsidRPr="000E1EB0" w:rsidRDefault="00650E6F" w:rsidP="00650E6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Burimi</w:t>
            </w:r>
          </w:p>
        </w:tc>
      </w:tr>
      <w:tr w:rsidR="00650E6F" w:rsidRPr="000E1EB0" w14:paraId="6D6F2693" w14:textId="77777777" w:rsidTr="00650E6F">
        <w:tc>
          <w:tcPr>
            <w:tcW w:w="0" w:type="auto"/>
            <w:shd w:val="clear" w:color="auto" w:fill="D5DCE4" w:themeFill="text2" w:themeFillTint="33"/>
          </w:tcPr>
          <w:p w14:paraId="6D6F268E" w14:textId="77777777" w:rsidR="00650E6F" w:rsidRPr="000E1EB0" w:rsidRDefault="00650E6F" w:rsidP="00650E6F">
            <w:pPr>
              <w:jc w:val="both"/>
              <w:rPr>
                <w:rFonts w:ascii="Garamond" w:eastAsia="Cambria" w:hAnsi="Garamond" w:cs="Tahoma"/>
                <w:sz w:val="20"/>
                <w:szCs w:val="20"/>
                <w:lang w:val="sq-AL"/>
              </w:rPr>
            </w:pPr>
            <w:r w:rsidRPr="000E1EB0">
              <w:rPr>
                <w:rFonts w:ascii="Garamond" w:eastAsia="Cambria" w:hAnsi="Garamond" w:cs="Tahoma"/>
                <w:sz w:val="20"/>
                <w:szCs w:val="20"/>
                <w:lang w:val="sq-AL"/>
              </w:rPr>
              <w:t>Përqindja mesatare e përfituesve të kënaqur me mbështetjen nga programi i zbatuar</w:t>
            </w:r>
            <w:r w:rsidRPr="000E1EB0">
              <w:rPr>
                <w:rFonts w:ascii="Garamond" w:eastAsia="Cambria" w:hAnsi="Garamond" w:cs="Tahoma"/>
                <w:sz w:val="20"/>
                <w:szCs w:val="20"/>
                <w:vertAlign w:val="superscript"/>
                <w:lang w:val="sq-AL"/>
              </w:rPr>
              <w:footnoteReference w:id="14"/>
            </w:r>
          </w:p>
        </w:tc>
        <w:tc>
          <w:tcPr>
            <w:tcW w:w="0" w:type="auto"/>
            <w:shd w:val="clear" w:color="auto" w:fill="D5DCE4" w:themeFill="text2" w:themeFillTint="33"/>
          </w:tcPr>
          <w:p w14:paraId="6D6F268F" w14:textId="77777777" w:rsidR="00650E6F" w:rsidRPr="000E1EB0" w:rsidRDefault="00650E6F" w:rsidP="00650E6F">
            <w:pPr>
              <w:jc w:val="both"/>
              <w:rPr>
                <w:rFonts w:ascii="Garamond" w:eastAsia="Cambria" w:hAnsi="Garamond" w:cs="Tahoma"/>
                <w:sz w:val="20"/>
                <w:szCs w:val="20"/>
                <w:lang w:val="sq-AL"/>
              </w:rPr>
            </w:pPr>
            <w:r w:rsidRPr="000E1EB0">
              <w:rPr>
                <w:rFonts w:ascii="Garamond" w:eastAsia="Cambria" w:hAnsi="Garamond" w:cs="Tahoma"/>
                <w:sz w:val="20"/>
                <w:szCs w:val="20"/>
                <w:lang w:val="sq-AL"/>
              </w:rPr>
              <w:t>Përqindje</w:t>
            </w:r>
          </w:p>
        </w:tc>
        <w:tc>
          <w:tcPr>
            <w:tcW w:w="0" w:type="auto"/>
            <w:shd w:val="clear" w:color="auto" w:fill="D5DCE4" w:themeFill="text2" w:themeFillTint="33"/>
          </w:tcPr>
          <w:p w14:paraId="6D6F2690" w14:textId="77777777" w:rsidR="00650E6F" w:rsidRPr="000E1EB0" w:rsidRDefault="00650E6F" w:rsidP="00650E6F">
            <w:pPr>
              <w:jc w:val="both"/>
              <w:rPr>
                <w:rFonts w:ascii="Garamond" w:eastAsia="Cambria" w:hAnsi="Garamond" w:cs="Tahoma"/>
                <w:sz w:val="20"/>
                <w:szCs w:val="20"/>
                <w:lang w:val="sq-AL"/>
              </w:rPr>
            </w:pPr>
            <w:r w:rsidRPr="000E1EB0">
              <w:rPr>
                <w:rFonts w:ascii="Garamond" w:eastAsia="Cambria" w:hAnsi="Garamond" w:cs="Tahoma"/>
                <w:sz w:val="20"/>
                <w:szCs w:val="20"/>
                <w:lang w:val="sq-AL"/>
              </w:rPr>
              <w:t>0</w:t>
            </w:r>
          </w:p>
        </w:tc>
        <w:tc>
          <w:tcPr>
            <w:tcW w:w="0" w:type="auto"/>
            <w:shd w:val="clear" w:color="auto" w:fill="D5DCE4" w:themeFill="text2" w:themeFillTint="33"/>
          </w:tcPr>
          <w:p w14:paraId="6D6F2691" w14:textId="77777777" w:rsidR="00650E6F" w:rsidRPr="000E1EB0" w:rsidRDefault="00650E6F" w:rsidP="00650E6F">
            <w:pPr>
              <w:jc w:val="both"/>
              <w:rPr>
                <w:rFonts w:ascii="Garamond" w:eastAsia="Cambria" w:hAnsi="Garamond" w:cs="Tahoma"/>
                <w:sz w:val="20"/>
                <w:szCs w:val="20"/>
                <w:lang w:val="sq-AL"/>
              </w:rPr>
            </w:pPr>
            <w:r w:rsidRPr="000E1EB0">
              <w:rPr>
                <w:rFonts w:ascii="Garamond" w:eastAsia="Cambria" w:hAnsi="Garamond" w:cs="Tahoma"/>
                <w:sz w:val="20"/>
                <w:szCs w:val="20"/>
                <w:lang w:val="sq-AL"/>
              </w:rPr>
              <w:t>60 %</w:t>
            </w:r>
          </w:p>
        </w:tc>
        <w:tc>
          <w:tcPr>
            <w:tcW w:w="0" w:type="auto"/>
            <w:shd w:val="clear" w:color="auto" w:fill="D5DCE4" w:themeFill="text2" w:themeFillTint="33"/>
          </w:tcPr>
          <w:p w14:paraId="6D6F2692" w14:textId="77777777" w:rsidR="00650E6F" w:rsidRPr="000E1EB0" w:rsidRDefault="00650E6F" w:rsidP="00650E6F">
            <w:pPr>
              <w:jc w:val="both"/>
              <w:rPr>
                <w:rFonts w:ascii="Garamond" w:eastAsia="Cambria" w:hAnsi="Garamond" w:cs="Tahoma"/>
                <w:sz w:val="20"/>
                <w:szCs w:val="20"/>
                <w:lang w:val="sq-AL"/>
              </w:rPr>
            </w:pPr>
            <w:r w:rsidRPr="000E1EB0">
              <w:rPr>
                <w:rFonts w:ascii="Garamond" w:eastAsia="Cambria" w:hAnsi="Garamond" w:cs="Tahoma"/>
                <w:sz w:val="20"/>
                <w:szCs w:val="20"/>
                <w:lang w:val="sq-AL"/>
              </w:rPr>
              <w:t>Anketë</w:t>
            </w:r>
          </w:p>
        </w:tc>
      </w:tr>
    </w:tbl>
    <w:p w14:paraId="6D6F2694" w14:textId="77777777" w:rsidR="00650E6F" w:rsidRPr="000E1EB0" w:rsidRDefault="00650E6F" w:rsidP="00650E6F">
      <w:pPr>
        <w:pStyle w:val="AAAATEX"/>
      </w:pPr>
    </w:p>
    <w:p w14:paraId="6D6F2695" w14:textId="77777777" w:rsidR="00650E6F" w:rsidRPr="00C66945" w:rsidRDefault="00650E6F" w:rsidP="00650E6F">
      <w:pPr>
        <w:pStyle w:val="AAAATEX"/>
        <w:rPr>
          <w:i/>
          <w:szCs w:val="20"/>
        </w:rPr>
      </w:pPr>
      <w:r w:rsidRPr="00C66945">
        <w:rPr>
          <w:i/>
          <w:szCs w:val="20"/>
        </w:rPr>
        <w:t>Kapaciteti teknik dhe administrativ për menaxhimin dhe zbatimin e programit është rritur.</w:t>
      </w:r>
    </w:p>
    <w:p w14:paraId="6D6F2696" w14:textId="35F94B46" w:rsidR="00650E6F" w:rsidRPr="000E1EB0" w:rsidRDefault="00650E6F" w:rsidP="00650E6F">
      <w:pPr>
        <w:pStyle w:val="AAAATEX"/>
        <w:rPr>
          <w:szCs w:val="20"/>
        </w:rPr>
      </w:pPr>
      <w:r w:rsidRPr="000E1EB0">
        <w:rPr>
          <w:szCs w:val="20"/>
        </w:rPr>
        <w:t xml:space="preserve">Ky prioritet do të ofrojë mundësi për përmirësimin e kompetencave dhe aftësive të strukturave menaxhuese të programeve, si dhe të aplikuesve të mundshëm dhe përfituesve të granteve. Aktivitete specifike për ngritjen e kapaciteteve do të planifikohen dhe zbatohen në bazë të nevojave të identifikuara gjatë zbatimit të programit. Si pjesë e mësimeve të nxjerra nga cikli i programit </w:t>
      </w:r>
      <w:r w:rsidR="00BC47F8">
        <w:rPr>
          <w:szCs w:val="20"/>
        </w:rPr>
        <w:t>2007–</w:t>
      </w:r>
      <w:r w:rsidR="00BC47F8">
        <w:rPr>
          <w:szCs w:val="20"/>
        </w:rPr>
        <w:lastRenderedPageBreak/>
        <w:t>2013</w:t>
      </w:r>
      <w:r w:rsidR="00C66945">
        <w:rPr>
          <w:szCs w:val="20"/>
        </w:rPr>
        <w:t>:</w:t>
      </w:r>
      <w:r w:rsidRPr="000E1EB0">
        <w:rPr>
          <w:szCs w:val="20"/>
        </w:rPr>
        <w:t xml:space="preserve"> i) do të pritet një pjesëmarrje në rritje e anëtarëve të KPM në detyrat e përcaktuara nën kuadrin ligjor të IPA II; ii) kapaciteti i aplikuesve të mundshëm për zhvillimin e partneriteteve të qëndrueshme ndërkufitare do të rritet; dhe iii) kapaciteti i përfituesve të granteve për të përmbushur detyrimet e kontratave të tyre në mënyrë të kënaqshme, të do të përforcohet.</w:t>
      </w:r>
    </w:p>
    <w:p w14:paraId="32912FEA" w14:textId="77777777" w:rsidR="00C66945" w:rsidRDefault="00C66945" w:rsidP="00650E6F">
      <w:pPr>
        <w:pStyle w:val="AAAATEX"/>
        <w:rPr>
          <w:b/>
        </w:rPr>
      </w:pPr>
    </w:p>
    <w:p w14:paraId="6D6F2697" w14:textId="77777777" w:rsidR="00650E6F" w:rsidRPr="000E1EB0" w:rsidRDefault="00650E6F" w:rsidP="00650E6F">
      <w:pPr>
        <w:pStyle w:val="AAAATEX"/>
        <w:rPr>
          <w:b/>
        </w:rPr>
      </w:pPr>
      <w:r w:rsidRPr="000E1EB0">
        <w:rPr>
          <w:b/>
        </w:rPr>
        <w:t>Treguesit e rezultatit:</w:t>
      </w:r>
    </w:p>
    <w:tbl>
      <w:tblPr>
        <w:tblStyle w:val="TableGrid3"/>
        <w:tblW w:w="5172" w:type="pct"/>
        <w:tblLook w:val="04A0" w:firstRow="1" w:lastRow="0" w:firstColumn="1" w:lastColumn="0" w:noHBand="0" w:noVBand="1"/>
      </w:tblPr>
      <w:tblGrid>
        <w:gridCol w:w="4137"/>
        <w:gridCol w:w="1323"/>
        <w:gridCol w:w="1133"/>
        <w:gridCol w:w="1442"/>
        <w:gridCol w:w="1870"/>
      </w:tblGrid>
      <w:tr w:rsidR="00650E6F" w:rsidRPr="000E1EB0" w14:paraId="6D6F269D" w14:textId="77777777" w:rsidTr="00650E6F">
        <w:trPr>
          <w:tblHeader/>
        </w:trPr>
        <w:tc>
          <w:tcPr>
            <w:tcW w:w="0" w:type="auto"/>
            <w:shd w:val="clear" w:color="auto" w:fill="5B9BD5" w:themeFill="accent1"/>
          </w:tcPr>
          <w:p w14:paraId="6D6F2698" w14:textId="77777777" w:rsidR="00650E6F" w:rsidRPr="000E1EB0" w:rsidRDefault="00650E6F" w:rsidP="00650E6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Treguesi</w:t>
            </w:r>
          </w:p>
        </w:tc>
        <w:tc>
          <w:tcPr>
            <w:tcW w:w="0" w:type="auto"/>
            <w:shd w:val="clear" w:color="auto" w:fill="5B9BD5" w:themeFill="accent1"/>
          </w:tcPr>
          <w:p w14:paraId="6D6F2699" w14:textId="77777777" w:rsidR="00650E6F" w:rsidRPr="000E1EB0" w:rsidRDefault="00650E6F" w:rsidP="007015FE">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Njësia</w:t>
            </w:r>
          </w:p>
        </w:tc>
        <w:tc>
          <w:tcPr>
            <w:tcW w:w="0" w:type="auto"/>
            <w:shd w:val="clear" w:color="auto" w:fill="5B9BD5" w:themeFill="accent1"/>
          </w:tcPr>
          <w:p w14:paraId="6D6F269A" w14:textId="77777777" w:rsidR="00650E6F" w:rsidRPr="000E1EB0" w:rsidRDefault="00650E6F" w:rsidP="007015FE">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Baza</w:t>
            </w:r>
          </w:p>
        </w:tc>
        <w:tc>
          <w:tcPr>
            <w:tcW w:w="728" w:type="pct"/>
            <w:shd w:val="clear" w:color="auto" w:fill="5B9BD5" w:themeFill="accent1"/>
          </w:tcPr>
          <w:p w14:paraId="6D6F269B" w14:textId="128FF5B4" w:rsidR="00650E6F" w:rsidRPr="000E1EB0" w:rsidRDefault="00650E6F" w:rsidP="00B15692">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 xml:space="preserve">Synimi deri </w:t>
            </w:r>
            <w:r w:rsidR="00B15692">
              <w:rPr>
                <w:rFonts w:ascii="Garamond" w:eastAsia="Cambria" w:hAnsi="Garamond" w:cs="Tahoma"/>
                <w:b/>
                <w:color w:val="FFFFFF" w:themeColor="background1"/>
                <w:sz w:val="20"/>
                <w:szCs w:val="20"/>
                <w:lang w:val="sq-AL"/>
              </w:rPr>
              <w:t>m</w:t>
            </w:r>
            <w:r w:rsidRPr="000E1EB0">
              <w:rPr>
                <w:rFonts w:ascii="Garamond" w:eastAsia="Cambria" w:hAnsi="Garamond" w:cs="Tahoma"/>
                <w:b/>
                <w:color w:val="FFFFFF" w:themeColor="background1"/>
                <w:sz w:val="20"/>
                <w:szCs w:val="20"/>
                <w:lang w:val="sq-AL"/>
              </w:rPr>
              <w:t>ë 2022</w:t>
            </w:r>
          </w:p>
        </w:tc>
        <w:tc>
          <w:tcPr>
            <w:tcW w:w="944" w:type="pct"/>
            <w:shd w:val="clear" w:color="auto" w:fill="5B9BD5" w:themeFill="accent1"/>
          </w:tcPr>
          <w:p w14:paraId="6D6F269C" w14:textId="77777777" w:rsidR="00650E6F" w:rsidRPr="000E1EB0" w:rsidRDefault="00650E6F" w:rsidP="007015FE">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Burimi</w:t>
            </w:r>
          </w:p>
        </w:tc>
      </w:tr>
      <w:tr w:rsidR="00650E6F" w:rsidRPr="000E1EB0" w14:paraId="6D6F26A3" w14:textId="77777777" w:rsidTr="007015FE">
        <w:trPr>
          <w:trHeight w:val="53"/>
        </w:trPr>
        <w:tc>
          <w:tcPr>
            <w:tcW w:w="2088" w:type="pct"/>
            <w:shd w:val="clear" w:color="auto" w:fill="D5DCE4" w:themeFill="text2" w:themeFillTint="33"/>
          </w:tcPr>
          <w:p w14:paraId="6D6F269E" w14:textId="77777777" w:rsidR="00650E6F" w:rsidRPr="000E1EB0" w:rsidRDefault="00650E6F" w:rsidP="007015FE">
            <w:pPr>
              <w:jc w:val="both"/>
              <w:rPr>
                <w:rFonts w:ascii="Garamond" w:eastAsia="Cambria" w:hAnsi="Garamond" w:cs="Tahoma"/>
                <w:sz w:val="20"/>
                <w:szCs w:val="20"/>
                <w:lang w:val="sq-AL"/>
              </w:rPr>
            </w:pPr>
            <w:r w:rsidRPr="000E1EB0">
              <w:rPr>
                <w:rFonts w:ascii="Garamond" w:eastAsia="Cambria" w:hAnsi="Garamond" w:cs="Tahoma"/>
                <w:sz w:val="20"/>
                <w:szCs w:val="20"/>
                <w:lang w:val="sq-AL"/>
              </w:rPr>
              <w:t>Rritja mesatare e numrit të propozimeve të marra në kuadër të çdo thirrje të njëpasnjëshme</w:t>
            </w:r>
            <w:r w:rsidRPr="000E1EB0">
              <w:rPr>
                <w:rStyle w:val="FootnoteReference"/>
                <w:rFonts w:ascii="Garamond" w:eastAsia="Cambria" w:hAnsi="Garamond" w:cs="Tahoma"/>
                <w:sz w:val="20"/>
                <w:lang w:val="sq-AL"/>
              </w:rPr>
              <w:footnoteReference w:id="15"/>
            </w:r>
          </w:p>
        </w:tc>
        <w:tc>
          <w:tcPr>
            <w:tcW w:w="668" w:type="pct"/>
            <w:shd w:val="clear" w:color="auto" w:fill="D5DCE4" w:themeFill="text2" w:themeFillTint="33"/>
          </w:tcPr>
          <w:p w14:paraId="6D6F269F"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Përqindje</w:t>
            </w:r>
          </w:p>
        </w:tc>
        <w:tc>
          <w:tcPr>
            <w:tcW w:w="572" w:type="pct"/>
            <w:shd w:val="clear" w:color="auto" w:fill="D5DCE4" w:themeFill="text2" w:themeFillTint="33"/>
          </w:tcPr>
          <w:p w14:paraId="6D6F26A0"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123 *</w:t>
            </w:r>
          </w:p>
        </w:tc>
        <w:tc>
          <w:tcPr>
            <w:tcW w:w="728" w:type="pct"/>
            <w:shd w:val="clear" w:color="auto" w:fill="D5DCE4" w:themeFill="text2" w:themeFillTint="33"/>
          </w:tcPr>
          <w:p w14:paraId="6D6F26A1"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+ 45%</w:t>
            </w:r>
          </w:p>
        </w:tc>
        <w:tc>
          <w:tcPr>
            <w:tcW w:w="944" w:type="pct"/>
            <w:shd w:val="clear" w:color="auto" w:fill="D5DCE4" w:themeFill="text2" w:themeFillTint="33"/>
          </w:tcPr>
          <w:p w14:paraId="6D6F26A2"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AIR</w:t>
            </w:r>
          </w:p>
        </w:tc>
      </w:tr>
      <w:tr w:rsidR="00650E6F" w:rsidRPr="000E1EB0" w14:paraId="6D6F26A9" w14:textId="77777777" w:rsidTr="007015FE">
        <w:trPr>
          <w:trHeight w:val="53"/>
        </w:trPr>
        <w:tc>
          <w:tcPr>
            <w:tcW w:w="2088" w:type="pct"/>
            <w:shd w:val="clear" w:color="auto" w:fill="D5DCE4" w:themeFill="text2" w:themeFillTint="33"/>
          </w:tcPr>
          <w:p w14:paraId="6D6F26A4" w14:textId="77777777" w:rsidR="00650E6F" w:rsidRPr="000E1EB0" w:rsidRDefault="00650E6F" w:rsidP="007015FE">
            <w:pPr>
              <w:jc w:val="both"/>
              <w:rPr>
                <w:rFonts w:ascii="Garamond" w:eastAsia="Cambria" w:hAnsi="Garamond" w:cs="Tahoma"/>
                <w:sz w:val="20"/>
                <w:szCs w:val="20"/>
                <w:lang w:val="sq-AL"/>
              </w:rPr>
            </w:pPr>
            <w:r w:rsidRPr="000E1EB0">
              <w:rPr>
                <w:rFonts w:ascii="Garamond" w:eastAsia="Cambria" w:hAnsi="Garamond" w:cs="Tahoma"/>
                <w:sz w:val="20"/>
                <w:szCs w:val="20"/>
                <w:lang w:val="sq-AL"/>
              </w:rPr>
              <w:t>Rritja mesatare e numrit të koncept ideve që do të kualifikohen për vlerësim të mëtejshëm</w:t>
            </w:r>
          </w:p>
        </w:tc>
        <w:tc>
          <w:tcPr>
            <w:tcW w:w="668" w:type="pct"/>
            <w:shd w:val="clear" w:color="auto" w:fill="D5DCE4" w:themeFill="text2" w:themeFillTint="33"/>
          </w:tcPr>
          <w:p w14:paraId="6D6F26A5"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Përqindje</w:t>
            </w:r>
          </w:p>
        </w:tc>
        <w:tc>
          <w:tcPr>
            <w:tcW w:w="572" w:type="pct"/>
            <w:shd w:val="clear" w:color="auto" w:fill="D5DCE4" w:themeFill="text2" w:themeFillTint="33"/>
          </w:tcPr>
          <w:p w14:paraId="6D6F26A6"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59</w:t>
            </w:r>
          </w:p>
        </w:tc>
        <w:tc>
          <w:tcPr>
            <w:tcW w:w="728" w:type="pct"/>
            <w:shd w:val="clear" w:color="auto" w:fill="D5DCE4" w:themeFill="text2" w:themeFillTint="33"/>
          </w:tcPr>
          <w:p w14:paraId="6D6F26A7"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10 %</w:t>
            </w:r>
          </w:p>
        </w:tc>
        <w:tc>
          <w:tcPr>
            <w:tcW w:w="944" w:type="pct"/>
            <w:shd w:val="clear" w:color="auto" w:fill="D5DCE4" w:themeFill="text2" w:themeFillTint="33"/>
          </w:tcPr>
          <w:p w14:paraId="6D6F26A8"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AIR</w:t>
            </w:r>
          </w:p>
        </w:tc>
      </w:tr>
    </w:tbl>
    <w:p w14:paraId="2ED81458" w14:textId="77777777" w:rsidR="00C66945" w:rsidRDefault="00C66945" w:rsidP="00650E6F">
      <w:pPr>
        <w:pStyle w:val="AAAATEX"/>
      </w:pPr>
    </w:p>
    <w:p w14:paraId="6D6F26AA" w14:textId="77777777" w:rsidR="00650E6F" w:rsidRPr="000E1EB0" w:rsidRDefault="00650E6F" w:rsidP="00650E6F">
      <w:pPr>
        <w:pStyle w:val="AAAATEX"/>
      </w:pPr>
      <w:r w:rsidRPr="000E1EB0">
        <w:t xml:space="preserve">Vizibiliteti i programit dhe i rezultateve të tij, garantohet. </w:t>
      </w:r>
    </w:p>
    <w:p w14:paraId="6D6F26AB" w14:textId="0B5DC288" w:rsidR="00650E6F" w:rsidRPr="000E1EB0" w:rsidRDefault="00650E6F" w:rsidP="00650E6F">
      <w:pPr>
        <w:pStyle w:val="AAAATEX"/>
      </w:pPr>
      <w:r w:rsidRPr="000E1EB0">
        <w:t xml:space="preserve">Programet CBC kanë qenë shumë të famshëm në zonat përfituese, përveç të tjerave, falë veprimeve të vizibilitetit të ndërmarra gjatë ciklit të programit </w:t>
      </w:r>
      <w:r w:rsidR="00BC47F8">
        <w:t>2007–2013</w:t>
      </w:r>
      <w:r w:rsidRPr="000E1EB0">
        <w:t xml:space="preserve">. Duke parë numrin e aplikuesve në thirrjet pasuese, është vënë re se ka një interes në rritje për iniciativat e bashkëpunimit. Këto arritje duhet të ruhen dhe të përmirësohen edhe gjatë zbatimit të perspektivës financiare </w:t>
      </w:r>
      <w:r w:rsidR="00BE160D">
        <w:t>2014–2020</w:t>
      </w:r>
      <w:r w:rsidRPr="000E1EB0">
        <w:t>. Një shumëllojshmëri e kanaleve të komunikimit dhe mjeteve të publicitetit duhet të zhvillohet për të siguruar informacion të rregullt midis palëve të interesuara të programit dhe një audience më të gjerë.</w:t>
      </w:r>
    </w:p>
    <w:p w14:paraId="6D6F26AC" w14:textId="77777777" w:rsidR="00650E6F" w:rsidRPr="000E1EB0" w:rsidRDefault="00650E6F" w:rsidP="00650E6F">
      <w:pPr>
        <w:pStyle w:val="AAAATEX"/>
      </w:pPr>
      <w:r w:rsidRPr="000E1EB0">
        <w:t>Treguesit e rezultatit:</w:t>
      </w:r>
    </w:p>
    <w:tbl>
      <w:tblPr>
        <w:tblStyle w:val="TableGrid3"/>
        <w:tblW w:w="5000" w:type="pct"/>
        <w:tblLook w:val="04A0" w:firstRow="1" w:lastRow="0" w:firstColumn="1" w:lastColumn="0" w:noHBand="0" w:noVBand="1"/>
      </w:tblPr>
      <w:tblGrid>
        <w:gridCol w:w="3818"/>
        <w:gridCol w:w="986"/>
        <w:gridCol w:w="1276"/>
        <w:gridCol w:w="1749"/>
        <w:gridCol w:w="1747"/>
      </w:tblGrid>
      <w:tr w:rsidR="00650E6F" w:rsidRPr="000E1EB0" w14:paraId="6D6F26B2" w14:textId="77777777" w:rsidTr="00650E6F">
        <w:trPr>
          <w:tblHeader/>
        </w:trPr>
        <w:tc>
          <w:tcPr>
            <w:tcW w:w="1994" w:type="pct"/>
            <w:shd w:val="clear" w:color="auto" w:fill="5B9BD5" w:themeFill="accent1"/>
          </w:tcPr>
          <w:p w14:paraId="6D6F26AD" w14:textId="77777777" w:rsidR="00650E6F" w:rsidRPr="000E1EB0" w:rsidRDefault="00650E6F" w:rsidP="00650E6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Treguesi</w:t>
            </w:r>
          </w:p>
        </w:tc>
        <w:tc>
          <w:tcPr>
            <w:tcW w:w="515" w:type="pct"/>
            <w:shd w:val="clear" w:color="auto" w:fill="5B9BD5" w:themeFill="accent1"/>
          </w:tcPr>
          <w:p w14:paraId="6D6F26AE" w14:textId="77777777" w:rsidR="00650E6F" w:rsidRPr="000E1EB0" w:rsidRDefault="00650E6F" w:rsidP="007015FE">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Njësia</w:t>
            </w:r>
          </w:p>
        </w:tc>
        <w:tc>
          <w:tcPr>
            <w:tcW w:w="666" w:type="pct"/>
            <w:shd w:val="clear" w:color="auto" w:fill="5B9BD5" w:themeFill="accent1"/>
          </w:tcPr>
          <w:p w14:paraId="6D6F26AF" w14:textId="77777777" w:rsidR="00650E6F" w:rsidRPr="000E1EB0" w:rsidRDefault="00650E6F" w:rsidP="007015FE">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Baza</w:t>
            </w:r>
          </w:p>
        </w:tc>
        <w:tc>
          <w:tcPr>
            <w:tcW w:w="913" w:type="pct"/>
            <w:shd w:val="clear" w:color="auto" w:fill="5B9BD5" w:themeFill="accent1"/>
          </w:tcPr>
          <w:p w14:paraId="6D6F26B0" w14:textId="24CBF29B" w:rsidR="00650E6F" w:rsidRPr="000E1EB0" w:rsidRDefault="00650E6F" w:rsidP="00C44D5F">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 xml:space="preserve">Synimi deri </w:t>
            </w:r>
            <w:r w:rsidR="00C44D5F">
              <w:rPr>
                <w:rFonts w:ascii="Garamond" w:eastAsia="Cambria" w:hAnsi="Garamond" w:cs="Tahoma"/>
                <w:b/>
                <w:color w:val="FFFFFF" w:themeColor="background1"/>
                <w:sz w:val="20"/>
                <w:szCs w:val="20"/>
                <w:lang w:val="sq-AL"/>
              </w:rPr>
              <w:t>m</w:t>
            </w:r>
            <w:r w:rsidRPr="000E1EB0">
              <w:rPr>
                <w:rFonts w:ascii="Garamond" w:eastAsia="Cambria" w:hAnsi="Garamond" w:cs="Tahoma"/>
                <w:b/>
                <w:color w:val="FFFFFF" w:themeColor="background1"/>
                <w:sz w:val="20"/>
                <w:szCs w:val="20"/>
                <w:lang w:val="sq-AL"/>
              </w:rPr>
              <w:t>ë 2022</w:t>
            </w:r>
          </w:p>
        </w:tc>
        <w:tc>
          <w:tcPr>
            <w:tcW w:w="912" w:type="pct"/>
            <w:shd w:val="clear" w:color="auto" w:fill="5B9BD5" w:themeFill="accent1"/>
          </w:tcPr>
          <w:p w14:paraId="6D6F26B1" w14:textId="77777777" w:rsidR="00650E6F" w:rsidRPr="000E1EB0" w:rsidRDefault="00650E6F" w:rsidP="007015FE">
            <w:pPr>
              <w:jc w:val="center"/>
              <w:rPr>
                <w:rFonts w:ascii="Garamond" w:eastAsia="Cambria" w:hAnsi="Garamond" w:cs="Tahoma"/>
                <w:b/>
                <w:color w:val="FFFFFF" w:themeColor="background1"/>
                <w:sz w:val="20"/>
                <w:szCs w:val="20"/>
                <w:lang w:val="sq-AL"/>
              </w:rPr>
            </w:pPr>
            <w:r w:rsidRPr="000E1EB0">
              <w:rPr>
                <w:rFonts w:ascii="Garamond" w:eastAsia="Cambria" w:hAnsi="Garamond" w:cs="Tahoma"/>
                <w:b/>
                <w:color w:val="FFFFFF" w:themeColor="background1"/>
                <w:sz w:val="20"/>
                <w:szCs w:val="20"/>
                <w:lang w:val="sq-AL"/>
              </w:rPr>
              <w:t>Burimi</w:t>
            </w:r>
          </w:p>
        </w:tc>
      </w:tr>
      <w:tr w:rsidR="00650E6F" w:rsidRPr="000E1EB0" w14:paraId="6D6F26B8" w14:textId="77777777" w:rsidTr="00650E6F">
        <w:tc>
          <w:tcPr>
            <w:tcW w:w="1994" w:type="pct"/>
            <w:shd w:val="clear" w:color="auto" w:fill="D5DCE4" w:themeFill="text2" w:themeFillTint="33"/>
          </w:tcPr>
          <w:p w14:paraId="6D6F26B3" w14:textId="77777777" w:rsidR="00650E6F" w:rsidRPr="000E1EB0" w:rsidRDefault="00650E6F" w:rsidP="00650E6F">
            <w:pPr>
              <w:rPr>
                <w:rFonts w:ascii="Garamond" w:eastAsia="Cambria" w:hAnsi="Garamond" w:cs="Tahoma"/>
                <w:sz w:val="20"/>
                <w:szCs w:val="20"/>
                <w:lang w:val="sq-AL"/>
              </w:rPr>
            </w:pPr>
            <w:r w:rsidRPr="000E1EB0">
              <w:rPr>
                <w:rFonts w:ascii="Garamond" w:eastAsia="Cambria" w:hAnsi="Garamond" w:cs="Tahoma"/>
                <w:sz w:val="20"/>
                <w:szCs w:val="20"/>
                <w:lang w:val="sq-AL"/>
              </w:rPr>
              <w:t>Rritja e numrit të personave që marrin pjesë në aktivitetet promovuese</w:t>
            </w:r>
          </w:p>
        </w:tc>
        <w:tc>
          <w:tcPr>
            <w:tcW w:w="515" w:type="pct"/>
            <w:shd w:val="clear" w:color="auto" w:fill="D5DCE4" w:themeFill="text2" w:themeFillTint="33"/>
          </w:tcPr>
          <w:p w14:paraId="6D6F26B4" w14:textId="77777777" w:rsidR="00650E6F" w:rsidRPr="000E1EB0" w:rsidRDefault="00650E6F" w:rsidP="007015FE">
            <w:pPr>
              <w:widowControl w:val="0"/>
              <w:autoSpaceDE w:val="0"/>
              <w:autoSpaceDN w:val="0"/>
              <w:adjustRightInd w:val="0"/>
              <w:jc w:val="both"/>
              <w:rPr>
                <w:rFonts w:ascii="Garamond" w:hAnsi="Garamond" w:cs="Tahoma"/>
                <w:sz w:val="20"/>
                <w:szCs w:val="20"/>
                <w:lang w:val="sq-AL"/>
              </w:rPr>
            </w:pPr>
            <w:r w:rsidRPr="000E1EB0">
              <w:rPr>
                <w:rFonts w:ascii="Garamond" w:hAnsi="Garamond" w:cs="Tahoma"/>
                <w:sz w:val="20"/>
                <w:szCs w:val="20"/>
                <w:lang w:val="sq-AL"/>
              </w:rPr>
              <w:t>Numër</w:t>
            </w:r>
          </w:p>
        </w:tc>
        <w:tc>
          <w:tcPr>
            <w:tcW w:w="666" w:type="pct"/>
            <w:shd w:val="clear" w:color="auto" w:fill="D5DCE4" w:themeFill="text2" w:themeFillTint="33"/>
          </w:tcPr>
          <w:p w14:paraId="6D6F26B5"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1398*</w:t>
            </w:r>
          </w:p>
        </w:tc>
        <w:tc>
          <w:tcPr>
            <w:tcW w:w="913" w:type="pct"/>
            <w:shd w:val="clear" w:color="auto" w:fill="D5DCE4" w:themeFill="text2" w:themeFillTint="33"/>
          </w:tcPr>
          <w:p w14:paraId="6D6F26B6"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2000</w:t>
            </w:r>
          </w:p>
        </w:tc>
        <w:tc>
          <w:tcPr>
            <w:tcW w:w="912" w:type="pct"/>
            <w:shd w:val="clear" w:color="auto" w:fill="D5DCE4" w:themeFill="text2" w:themeFillTint="33"/>
          </w:tcPr>
          <w:p w14:paraId="6D6F26B7"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AIR</w:t>
            </w:r>
          </w:p>
        </w:tc>
      </w:tr>
      <w:tr w:rsidR="00650E6F" w:rsidRPr="000E1EB0" w14:paraId="6D6F26BE" w14:textId="77777777" w:rsidTr="005A442E">
        <w:trPr>
          <w:trHeight w:val="45"/>
        </w:trPr>
        <w:tc>
          <w:tcPr>
            <w:tcW w:w="1994" w:type="pct"/>
            <w:shd w:val="clear" w:color="auto" w:fill="D5DCE4" w:themeFill="text2" w:themeFillTint="33"/>
          </w:tcPr>
          <w:p w14:paraId="6D6F26B9" w14:textId="77777777" w:rsidR="00650E6F" w:rsidRPr="000E1EB0" w:rsidRDefault="00650E6F" w:rsidP="00650E6F">
            <w:pPr>
              <w:rPr>
                <w:rFonts w:ascii="Garamond" w:eastAsia="Cambria" w:hAnsi="Garamond" w:cs="Tahoma"/>
                <w:sz w:val="20"/>
                <w:szCs w:val="20"/>
                <w:lang w:val="sq-AL"/>
              </w:rPr>
            </w:pPr>
            <w:r w:rsidRPr="000E1EB0">
              <w:rPr>
                <w:rFonts w:ascii="Garamond" w:eastAsia="Cambria" w:hAnsi="Garamond" w:cs="Tahoma"/>
                <w:sz w:val="20"/>
                <w:szCs w:val="20"/>
                <w:lang w:val="sq-AL"/>
              </w:rPr>
              <w:t>Vizitat në faqen e internetit të programit</w:t>
            </w:r>
          </w:p>
        </w:tc>
        <w:tc>
          <w:tcPr>
            <w:tcW w:w="515" w:type="pct"/>
            <w:shd w:val="clear" w:color="auto" w:fill="D5DCE4" w:themeFill="text2" w:themeFillTint="33"/>
          </w:tcPr>
          <w:p w14:paraId="6D6F26BA" w14:textId="77777777" w:rsidR="00650E6F" w:rsidRPr="000E1EB0" w:rsidRDefault="00650E6F" w:rsidP="007015FE">
            <w:pPr>
              <w:widowControl w:val="0"/>
              <w:autoSpaceDE w:val="0"/>
              <w:autoSpaceDN w:val="0"/>
              <w:adjustRightInd w:val="0"/>
              <w:jc w:val="both"/>
              <w:rPr>
                <w:rFonts w:ascii="Garamond" w:hAnsi="Garamond" w:cs="Tahoma"/>
                <w:sz w:val="20"/>
                <w:szCs w:val="20"/>
                <w:lang w:val="sq-AL"/>
              </w:rPr>
            </w:pPr>
            <w:r w:rsidRPr="000E1EB0">
              <w:rPr>
                <w:rFonts w:ascii="Garamond" w:hAnsi="Garamond" w:cs="Tahoma"/>
                <w:sz w:val="20"/>
                <w:szCs w:val="20"/>
                <w:lang w:val="sq-AL"/>
              </w:rPr>
              <w:t>Numër</w:t>
            </w:r>
          </w:p>
        </w:tc>
        <w:tc>
          <w:tcPr>
            <w:tcW w:w="666" w:type="pct"/>
            <w:shd w:val="clear" w:color="auto" w:fill="D5DCE4" w:themeFill="text2" w:themeFillTint="33"/>
          </w:tcPr>
          <w:p w14:paraId="6D6F26BB"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40*</w:t>
            </w:r>
          </w:p>
        </w:tc>
        <w:tc>
          <w:tcPr>
            <w:tcW w:w="913" w:type="pct"/>
            <w:shd w:val="clear" w:color="auto" w:fill="D5DCE4" w:themeFill="text2" w:themeFillTint="33"/>
          </w:tcPr>
          <w:p w14:paraId="6D6F26BC"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700</w:t>
            </w:r>
          </w:p>
        </w:tc>
        <w:tc>
          <w:tcPr>
            <w:tcW w:w="912" w:type="pct"/>
            <w:shd w:val="clear" w:color="auto" w:fill="D5DCE4" w:themeFill="text2" w:themeFillTint="33"/>
          </w:tcPr>
          <w:p w14:paraId="6D6F26BD" w14:textId="77777777" w:rsidR="00650E6F" w:rsidRPr="000E1EB0" w:rsidRDefault="00650E6F" w:rsidP="007015FE">
            <w:pPr>
              <w:widowControl w:val="0"/>
              <w:autoSpaceDE w:val="0"/>
              <w:autoSpaceDN w:val="0"/>
              <w:adjustRightInd w:val="0"/>
              <w:jc w:val="center"/>
              <w:rPr>
                <w:rFonts w:ascii="Garamond" w:hAnsi="Garamond" w:cs="Tahoma"/>
                <w:sz w:val="20"/>
                <w:szCs w:val="20"/>
                <w:lang w:val="sq-AL"/>
              </w:rPr>
            </w:pPr>
            <w:r w:rsidRPr="000E1EB0">
              <w:rPr>
                <w:rFonts w:ascii="Garamond" w:hAnsi="Garamond" w:cs="Tahoma"/>
                <w:sz w:val="20"/>
                <w:szCs w:val="20"/>
                <w:lang w:val="sq-AL"/>
              </w:rPr>
              <w:t>AIR</w:t>
            </w:r>
          </w:p>
        </w:tc>
      </w:tr>
    </w:tbl>
    <w:p w14:paraId="6D6F26BF" w14:textId="77777777" w:rsidR="00650E6F" w:rsidRPr="000E1EB0" w:rsidRDefault="00650E6F" w:rsidP="00650E6F">
      <w:pPr>
        <w:pStyle w:val="AAAATEX"/>
        <w:rPr>
          <w:i/>
        </w:rPr>
      </w:pPr>
      <w:r w:rsidRPr="000E1EB0">
        <w:rPr>
          <w:i/>
        </w:rPr>
        <w:t>* AIR 2013</w:t>
      </w:r>
    </w:p>
    <w:p w14:paraId="48DBB75B" w14:textId="77777777" w:rsidR="005A442E" w:rsidRDefault="005A442E" w:rsidP="00650E6F">
      <w:pPr>
        <w:pStyle w:val="AAAATEX"/>
        <w:rPr>
          <w:b/>
        </w:rPr>
      </w:pPr>
    </w:p>
    <w:p w14:paraId="6D6F26C0" w14:textId="77777777" w:rsidR="00650E6F" w:rsidRPr="000E1EB0" w:rsidRDefault="00650E6F" w:rsidP="00650E6F">
      <w:pPr>
        <w:pStyle w:val="AAAATEX"/>
        <w:rPr>
          <w:b/>
        </w:rPr>
      </w:pPr>
      <w:r w:rsidRPr="000E1EB0">
        <w:rPr>
          <w:b/>
        </w:rPr>
        <w:t>Lloji i aktiviteteve:</w:t>
      </w:r>
    </w:p>
    <w:p w14:paraId="6D6F26C1" w14:textId="66914DB6" w:rsidR="00650E6F" w:rsidRPr="000E1EB0" w:rsidRDefault="00650E6F" w:rsidP="00650E6F">
      <w:pPr>
        <w:pStyle w:val="AAAATEX"/>
      </w:pPr>
      <w:r w:rsidRPr="000E1EB0">
        <w:t>Një listë joshteruese e aktiviteteve të mundshme të mbuluara nga alokimi i asistencës teknike do të përfshijë:</w:t>
      </w:r>
    </w:p>
    <w:p w14:paraId="6D6F26C2" w14:textId="66EB4EEA" w:rsidR="00650E6F" w:rsidRPr="000E1EB0" w:rsidRDefault="00650E6F" w:rsidP="00650E6F">
      <w:pPr>
        <w:pStyle w:val="AAAATEX"/>
      </w:pPr>
      <w:r w:rsidRPr="000E1EB0">
        <w:t>- Ngritja dhe funksionimi i Sekretariatit të Përbashkët Teknik dhe Antena-s së tij.</w:t>
      </w:r>
      <w:r w:rsidR="009A5DA1">
        <w:t xml:space="preserve"> </w:t>
      </w:r>
    </w:p>
    <w:p w14:paraId="6D6F26C3" w14:textId="77777777" w:rsidR="00650E6F" w:rsidRPr="000E1EB0" w:rsidRDefault="00650E6F" w:rsidP="00650E6F">
      <w:pPr>
        <w:pStyle w:val="AAAATEX"/>
      </w:pPr>
      <w:r w:rsidRPr="000E1EB0">
        <w:t>- Organizimi i aktiviteteve, takimeve, trajnimeve, vizitave studimore apo vizitave të shkëmbimit, për të mësuar nga praktikat më të mira të nismave të tjera të zhvillimit territorial.</w:t>
      </w:r>
    </w:p>
    <w:p w14:paraId="6D6F26C4" w14:textId="77777777" w:rsidR="00650E6F" w:rsidRPr="000E1EB0" w:rsidRDefault="00650E6F" w:rsidP="00650E6F">
      <w:pPr>
        <w:pStyle w:val="AAAATEX"/>
      </w:pPr>
      <w:r w:rsidRPr="000E1EB0">
        <w:t>- Pjesëmarrja e stafit të strukturave të menaxhimit në forumet e Ballkanit Perëndimor apo të BE-së.</w:t>
      </w:r>
    </w:p>
    <w:p w14:paraId="6D6F26C5" w14:textId="63E90579" w:rsidR="00650E6F" w:rsidRPr="000E1EB0" w:rsidRDefault="00650E6F" w:rsidP="00650E6F">
      <w:pPr>
        <w:pStyle w:val="AAAATEX"/>
      </w:pPr>
      <w:r w:rsidRPr="000E1EB0">
        <w:t>- Përgatitja e manualeve/doracakëve të brendshëm dhe/ose të jashtëm.</w:t>
      </w:r>
    </w:p>
    <w:p w14:paraId="6D6F26C6" w14:textId="21D275A2" w:rsidR="00650E6F" w:rsidRPr="000E1EB0" w:rsidRDefault="00650E6F" w:rsidP="00650E6F">
      <w:pPr>
        <w:pStyle w:val="AAAATEX"/>
      </w:pPr>
      <w:r w:rsidRPr="000E1EB0">
        <w:lastRenderedPageBreak/>
        <w:t>- Asistencë për aplikuesit e mundshëm në partneritet dhe për zhvillimin e projektit (forume për kërkimin e partnerëve</w:t>
      </w:r>
      <w:r w:rsidR="00E834B7">
        <w:t xml:space="preserve"> etj.</w:t>
      </w:r>
      <w:r w:rsidRPr="000E1EB0">
        <w:t>).</w:t>
      </w:r>
    </w:p>
    <w:p w14:paraId="6D6F26C7" w14:textId="77777777" w:rsidR="00650E6F" w:rsidRPr="000E1EB0" w:rsidRDefault="00650E6F" w:rsidP="00650E6F">
      <w:pPr>
        <w:pStyle w:val="AAAATEX"/>
      </w:pPr>
      <w:r w:rsidRPr="000E1EB0">
        <w:t>- Këshilla për përfituesit e granteve mbi çështje lidhur me zbatimin e projektit.</w:t>
      </w:r>
    </w:p>
    <w:p w14:paraId="6D6F26C8" w14:textId="77777777" w:rsidR="00650E6F" w:rsidRPr="000E1EB0" w:rsidRDefault="00650E6F" w:rsidP="00650E6F">
      <w:pPr>
        <w:pStyle w:val="AAAATEX"/>
      </w:pPr>
      <w:r w:rsidRPr="000E1EB0">
        <w:t>- Monitorimi i zbatimit të projektit dhe programit, duke përfshirë krijimin e një sistemi të monitorimit dhe raportimit përkatës.</w:t>
      </w:r>
    </w:p>
    <w:p w14:paraId="6D6F26C9" w14:textId="77777777" w:rsidR="00650E6F" w:rsidRPr="000E1EB0" w:rsidRDefault="00650E6F" w:rsidP="00650E6F">
      <w:pPr>
        <w:pStyle w:val="AAAATEX"/>
      </w:pPr>
      <w:r w:rsidRPr="000E1EB0">
        <w:t>- Organizimi i aktiviteteve të vlerësimit, analizave, sondazheve dhe / ose studimeve.</w:t>
      </w:r>
    </w:p>
    <w:p w14:paraId="6D6F26CA" w14:textId="30160443" w:rsidR="00650E6F" w:rsidRPr="000E1EB0" w:rsidRDefault="00650E6F" w:rsidP="00650E6F">
      <w:pPr>
        <w:pStyle w:val="AAAATEX"/>
      </w:pPr>
      <w:r w:rsidRPr="000E1EB0">
        <w:t xml:space="preserve">Informim dhe publicitet, duke përfshirë përgatitjen, miratimin dhe rishikimin e rregullt të një plani vizibiliteti dhe komunikimi, shpërndarjen e informacionit (ditë informimi, mësimet e nxjerra, studimet e rasteve më të mira, artikuj dhe deklarata për shtyp), ngjarje promovuese dhe artikuj të shtypur, zhvillimi i mjeteve të komunikimit, mirëmbajtja, përditësimi dhe përmirësimi i faqes së internetit të programit etj. </w:t>
      </w:r>
    </w:p>
    <w:p w14:paraId="6D6F26CB" w14:textId="6F41935B" w:rsidR="00650E6F" w:rsidRPr="000E1EB0" w:rsidRDefault="00650E6F" w:rsidP="00650E6F">
      <w:pPr>
        <w:pStyle w:val="AAAATEX"/>
      </w:pPr>
      <w:r w:rsidRPr="000E1EB0">
        <w:t>Mbështetje për punën e Task</w:t>
      </w:r>
      <w:r w:rsidR="005A442E">
        <w:t>-</w:t>
      </w:r>
      <w:r w:rsidRPr="000E1EB0">
        <w:t xml:space="preserve">Forcës së </w:t>
      </w:r>
      <w:r w:rsidR="00655D6A" w:rsidRPr="000E1EB0">
        <w:t xml:space="preserve">përbashkët </w:t>
      </w:r>
      <w:r w:rsidRPr="000E1EB0">
        <w:t>të ngarkuar me përgatitjen e ciklit të programit 2021-2026.</w:t>
      </w:r>
    </w:p>
    <w:p w14:paraId="6D6F26CC" w14:textId="5E78E5E9" w:rsidR="00650E6F" w:rsidRPr="000E1EB0" w:rsidRDefault="00650E6F" w:rsidP="00650E6F">
      <w:pPr>
        <w:pStyle w:val="AAAATEX"/>
        <w:rPr>
          <w:rFonts w:eastAsia="Calibri"/>
          <w:b/>
        </w:rPr>
      </w:pPr>
      <w:r w:rsidRPr="000E1EB0">
        <w:rPr>
          <w:b/>
        </w:rPr>
        <w:t>Grupet e synuara dhe përfituesit përfundimtarë (listë joshteruese)</w:t>
      </w:r>
      <w:r w:rsidR="00311D1D">
        <w:rPr>
          <w:b/>
        </w:rPr>
        <w:t>:</w:t>
      </w:r>
    </w:p>
    <w:p w14:paraId="6D6F26CD" w14:textId="736C2615" w:rsidR="00650E6F" w:rsidRPr="000E1EB0" w:rsidRDefault="00650E6F" w:rsidP="00650E6F">
      <w:pPr>
        <w:pStyle w:val="AAAATEX"/>
      </w:pPr>
      <w:r w:rsidRPr="000E1EB0">
        <w:t xml:space="preserve">- </w:t>
      </w:r>
      <w:r w:rsidR="00311D1D" w:rsidRPr="000E1EB0">
        <w:t xml:space="preserve">strukturat </w:t>
      </w:r>
      <w:r w:rsidRPr="000E1EB0">
        <w:t>e menaxhimit të programit</w:t>
      </w:r>
      <w:r w:rsidR="00311D1D">
        <w:t>;</w:t>
      </w:r>
    </w:p>
    <w:p w14:paraId="6D6F26CE" w14:textId="23F96CBC" w:rsidR="00650E6F" w:rsidRPr="000E1EB0" w:rsidRDefault="00650E6F" w:rsidP="00650E6F">
      <w:pPr>
        <w:pStyle w:val="AAAATEX"/>
      </w:pPr>
      <w:r w:rsidRPr="000E1EB0">
        <w:t xml:space="preserve">- </w:t>
      </w:r>
      <w:r w:rsidR="00311D1D" w:rsidRPr="000E1EB0">
        <w:t xml:space="preserve">aplikuesit </w:t>
      </w:r>
      <w:r w:rsidRPr="000E1EB0">
        <w:t>e mundshëm</w:t>
      </w:r>
      <w:r w:rsidR="00311D1D">
        <w:t>;</w:t>
      </w:r>
    </w:p>
    <w:p w14:paraId="6D6F26CF" w14:textId="06DC70FC" w:rsidR="00650E6F" w:rsidRPr="000E1EB0" w:rsidRDefault="00650E6F" w:rsidP="00650E6F">
      <w:pPr>
        <w:pStyle w:val="AAAATEX"/>
      </w:pPr>
      <w:r w:rsidRPr="000E1EB0">
        <w:t xml:space="preserve">- </w:t>
      </w:r>
      <w:r w:rsidR="00311D1D" w:rsidRPr="000E1EB0">
        <w:t xml:space="preserve">përfituesit </w:t>
      </w:r>
      <w:r w:rsidRPr="000E1EB0">
        <w:t>e granteve</w:t>
      </w:r>
      <w:r w:rsidR="00311D1D">
        <w:t>;</w:t>
      </w:r>
    </w:p>
    <w:p w14:paraId="6D6F26D0" w14:textId="2E7FE3F2" w:rsidR="00650E6F" w:rsidRPr="000E1EB0" w:rsidRDefault="00650E6F" w:rsidP="00650E6F">
      <w:pPr>
        <w:pStyle w:val="AAAATEX"/>
      </w:pPr>
      <w:r w:rsidRPr="000E1EB0">
        <w:t xml:space="preserve">- </w:t>
      </w:r>
      <w:r w:rsidR="00311D1D" w:rsidRPr="000E1EB0">
        <w:t xml:space="preserve">përfituesit </w:t>
      </w:r>
      <w:r w:rsidRPr="000E1EB0">
        <w:t>përfundimtarë të projektit</w:t>
      </w:r>
      <w:r w:rsidR="00311D1D">
        <w:t>;</w:t>
      </w:r>
    </w:p>
    <w:p w14:paraId="6D6F26D1" w14:textId="0C5E8F2F" w:rsidR="00650E6F" w:rsidRPr="000E1EB0" w:rsidRDefault="00650E6F" w:rsidP="00650E6F">
      <w:pPr>
        <w:pStyle w:val="AAAATEX"/>
      </w:pPr>
      <w:r w:rsidRPr="000E1EB0">
        <w:t xml:space="preserve">- </w:t>
      </w:r>
      <w:r w:rsidR="00311D1D" w:rsidRPr="000E1EB0">
        <w:t xml:space="preserve">publiku </w:t>
      </w:r>
      <w:r w:rsidRPr="000E1EB0">
        <w:t>i gjerë</w:t>
      </w:r>
      <w:r w:rsidR="00311D1D">
        <w:t>.</w:t>
      </w:r>
    </w:p>
    <w:p w14:paraId="6D6F26D2" w14:textId="77777777" w:rsidR="00650E6F" w:rsidRPr="000E1EB0" w:rsidRDefault="00650E6F" w:rsidP="00650E6F">
      <w:pPr>
        <w:pStyle w:val="AAAATEX"/>
        <w:rPr>
          <w:b/>
        </w:rPr>
      </w:pPr>
      <w:r w:rsidRPr="000E1EB0">
        <w:rPr>
          <w:b/>
        </w:rPr>
        <w:t>Modalitetet e zbatimit</w:t>
      </w:r>
    </w:p>
    <w:p w14:paraId="6D6F26D4" w14:textId="2B08748D" w:rsidR="00650E6F" w:rsidRPr="000E1EB0" w:rsidRDefault="00650E6F" w:rsidP="00650E6F">
      <w:pPr>
        <w:pStyle w:val="AAAATEX"/>
      </w:pPr>
      <w:r w:rsidRPr="000E1EB0">
        <w:t xml:space="preserve">Plani i vizibilitetit dhe komunikimit duhet të prodhohet në përputhje me kërkesat e përgjithshme të IPA II dhe praktikat më të mira mbi transparencën dhe trajtimin e barabartë. </w:t>
      </w:r>
    </w:p>
    <w:p w14:paraId="6D6F26D5" w14:textId="77777777" w:rsidR="00650E6F" w:rsidRPr="000E1EB0" w:rsidRDefault="00650E6F" w:rsidP="00650E6F">
      <w:pPr>
        <w:pStyle w:val="AAAATEX"/>
      </w:pPr>
      <w:r w:rsidRPr="000E1EB0">
        <w:t>Përfituesit duhet të informohen në mënyrë korrekte dhe të plotë mbi rregulloret për publicitetin. Kujdes i veçantë i kushtohet rregullave të vizibilitetit edhe gjatë monitorimit të zbatimit të projektit.</w:t>
      </w:r>
    </w:p>
    <w:p w14:paraId="6D6F26D6" w14:textId="38A0E995" w:rsidR="00650E6F" w:rsidRPr="000E1EB0" w:rsidRDefault="00650E6F" w:rsidP="00650E6F">
      <w:pPr>
        <w:pStyle w:val="AAAATEX"/>
      </w:pPr>
      <w:r w:rsidRPr="000E1EB0">
        <w:t xml:space="preserve">Organet e përfshira në zbatimin e programit janë përgjegjëse për të siguruar që përfituesit përfundimtarë të marrin masat për informimin dhe publicitetin mbi aktivitetet e </w:t>
      </w:r>
      <w:r w:rsidR="00036A7C">
        <w:t>bashkë</w:t>
      </w:r>
      <w:r w:rsidRPr="000E1EB0">
        <w:t>financuara në kuadër të IPA II, në përputhje me udhëzimet e BE-së mbi vizibilitetin.</w:t>
      </w:r>
    </w:p>
    <w:p w14:paraId="6B685288" w14:textId="77777777" w:rsidR="0001647A" w:rsidRDefault="0001647A" w:rsidP="005A442E">
      <w:pPr>
        <w:pStyle w:val="AAAATEX"/>
        <w:rPr>
          <w:i/>
        </w:rPr>
      </w:pPr>
    </w:p>
    <w:p w14:paraId="6D6F26D8" w14:textId="1E40F745" w:rsidR="00650E6F" w:rsidRPr="000E1EB0" w:rsidRDefault="00650E6F" w:rsidP="005A442E">
      <w:pPr>
        <w:pStyle w:val="AAAATEX"/>
        <w:rPr>
          <w:sz w:val="20"/>
          <w:szCs w:val="20"/>
        </w:rPr>
      </w:pPr>
      <w:r w:rsidRPr="005A442E">
        <w:rPr>
          <w:i/>
        </w:rPr>
        <w:t>Tabela 2</w:t>
      </w:r>
      <w:r w:rsidR="005A442E" w:rsidRPr="005A442E">
        <w:rPr>
          <w:i/>
        </w:rPr>
        <w:t>.</w:t>
      </w:r>
      <w:r w:rsidRPr="005A442E">
        <w:rPr>
          <w:i/>
        </w:rPr>
        <w:t xml:space="preserve"> Përmbledhje e strategjisë së programit</w:t>
      </w:r>
    </w:p>
    <w:tbl>
      <w:tblPr>
        <w:tblStyle w:val="TableGrid2"/>
        <w:tblW w:w="9235" w:type="dxa"/>
        <w:tblLayout w:type="fixed"/>
        <w:tblLook w:val="04A0" w:firstRow="1" w:lastRow="0" w:firstColumn="1" w:lastColumn="0" w:noHBand="0" w:noVBand="1"/>
      </w:tblPr>
      <w:tblGrid>
        <w:gridCol w:w="1458"/>
        <w:gridCol w:w="1627"/>
        <w:gridCol w:w="1559"/>
        <w:gridCol w:w="2268"/>
        <w:gridCol w:w="2323"/>
      </w:tblGrid>
      <w:tr w:rsidR="00650E6F" w:rsidRPr="000E1EB0" w14:paraId="6D6F26E1" w14:textId="77777777" w:rsidTr="00650E6F">
        <w:tc>
          <w:tcPr>
            <w:tcW w:w="1458" w:type="dxa"/>
            <w:shd w:val="clear" w:color="auto" w:fill="5B9BD5" w:themeFill="accent1"/>
          </w:tcPr>
          <w:p w14:paraId="6D6F26D9" w14:textId="13753251" w:rsidR="00650E6F" w:rsidRPr="000E1EB0" w:rsidRDefault="00650E6F" w:rsidP="00650E6F">
            <w:pPr>
              <w:suppressAutoHyphens/>
              <w:autoSpaceDE w:val="0"/>
              <w:contextualSpacing/>
              <w:jc w:val="center"/>
              <w:rPr>
                <w:rFonts w:ascii="Garamond" w:hAnsi="Garamond" w:cs="Tahoma"/>
                <w:b/>
                <w:lang w:val="sq-AL" w:eastAsia="ar-SA"/>
              </w:rPr>
            </w:pPr>
            <w:r w:rsidRPr="000E1EB0">
              <w:rPr>
                <w:rFonts w:ascii="Garamond" w:hAnsi="Garamond" w:cs="Tahoma"/>
                <w:b/>
                <w:lang w:val="sq-AL" w:eastAsia="ar-SA"/>
              </w:rPr>
              <w:t xml:space="preserve">Prioriteti </w:t>
            </w:r>
            <w:r w:rsidR="00960825" w:rsidRPr="000E1EB0">
              <w:rPr>
                <w:rFonts w:ascii="Garamond" w:hAnsi="Garamond" w:cs="Tahoma"/>
                <w:b/>
                <w:lang w:val="sq-AL" w:eastAsia="ar-SA"/>
              </w:rPr>
              <w:t xml:space="preserve">tematik </w:t>
            </w:r>
            <w:r w:rsidRPr="000E1EB0">
              <w:rPr>
                <w:rFonts w:ascii="Garamond" w:hAnsi="Garamond" w:cs="Tahoma"/>
                <w:b/>
                <w:lang w:val="sq-AL" w:eastAsia="ar-SA"/>
              </w:rPr>
              <w:t>(TP)</w:t>
            </w:r>
          </w:p>
        </w:tc>
        <w:tc>
          <w:tcPr>
            <w:tcW w:w="1627" w:type="dxa"/>
            <w:shd w:val="clear" w:color="auto" w:fill="5B9BD5" w:themeFill="accent1"/>
          </w:tcPr>
          <w:p w14:paraId="6D6F26DA" w14:textId="57225764" w:rsidR="00650E6F" w:rsidRPr="000E1EB0" w:rsidRDefault="00650E6F" w:rsidP="00650E6F">
            <w:pPr>
              <w:suppressAutoHyphens/>
              <w:autoSpaceDE w:val="0"/>
              <w:contextualSpacing/>
              <w:jc w:val="center"/>
              <w:rPr>
                <w:rFonts w:ascii="Garamond" w:hAnsi="Garamond" w:cs="Tahoma"/>
                <w:b/>
                <w:lang w:val="sq-AL" w:eastAsia="ar-SA"/>
              </w:rPr>
            </w:pPr>
            <w:r w:rsidRPr="000E1EB0">
              <w:rPr>
                <w:rFonts w:ascii="Garamond" w:hAnsi="Garamond" w:cs="Tahoma"/>
                <w:b/>
                <w:lang w:val="sq-AL" w:eastAsia="ar-SA"/>
              </w:rPr>
              <w:t>Objektivat</w:t>
            </w:r>
            <w:r w:rsidR="009A5DA1">
              <w:rPr>
                <w:rFonts w:ascii="Garamond" w:hAnsi="Garamond" w:cs="Tahoma"/>
                <w:b/>
                <w:lang w:val="sq-AL" w:eastAsia="ar-SA"/>
              </w:rPr>
              <w:t xml:space="preserve"> </w:t>
            </w:r>
            <w:r w:rsidR="00960825" w:rsidRPr="000E1EB0">
              <w:rPr>
                <w:rFonts w:ascii="Garamond" w:hAnsi="Garamond" w:cs="Tahoma"/>
                <w:b/>
                <w:lang w:val="sq-AL" w:eastAsia="ar-SA"/>
              </w:rPr>
              <w:t>specifikë</w:t>
            </w:r>
          </w:p>
        </w:tc>
        <w:tc>
          <w:tcPr>
            <w:tcW w:w="1559" w:type="dxa"/>
            <w:shd w:val="clear" w:color="auto" w:fill="5B9BD5" w:themeFill="accent1"/>
          </w:tcPr>
          <w:p w14:paraId="6D6F26DB" w14:textId="77777777" w:rsidR="00650E6F" w:rsidRPr="000E1EB0" w:rsidRDefault="00650E6F" w:rsidP="00650E6F">
            <w:pPr>
              <w:suppressAutoHyphens/>
              <w:autoSpaceDE w:val="0"/>
              <w:contextualSpacing/>
              <w:jc w:val="center"/>
              <w:rPr>
                <w:rFonts w:ascii="Garamond" w:hAnsi="Garamond" w:cs="Tahoma"/>
                <w:b/>
                <w:lang w:val="sq-AL" w:eastAsia="ar-SA"/>
              </w:rPr>
            </w:pPr>
            <w:r w:rsidRPr="000E1EB0">
              <w:rPr>
                <w:rFonts w:ascii="Garamond" w:hAnsi="Garamond" w:cs="Tahoma"/>
                <w:b/>
                <w:lang w:val="sq-AL" w:eastAsia="ar-SA"/>
              </w:rPr>
              <w:t>Rezultatet</w:t>
            </w:r>
          </w:p>
          <w:p w14:paraId="6D6F26DC" w14:textId="77777777" w:rsidR="00650E6F" w:rsidRPr="000E1EB0" w:rsidRDefault="00650E6F" w:rsidP="00650E6F">
            <w:pPr>
              <w:suppressAutoHyphens/>
              <w:autoSpaceDE w:val="0"/>
              <w:contextualSpacing/>
              <w:jc w:val="center"/>
              <w:rPr>
                <w:rFonts w:ascii="Garamond" w:hAnsi="Garamond" w:cs="Tahoma"/>
                <w:b/>
                <w:lang w:val="sq-AL" w:eastAsia="ar-SA"/>
              </w:rPr>
            </w:pPr>
          </w:p>
        </w:tc>
        <w:tc>
          <w:tcPr>
            <w:tcW w:w="2268" w:type="dxa"/>
            <w:shd w:val="clear" w:color="auto" w:fill="5B9BD5" w:themeFill="accent1"/>
          </w:tcPr>
          <w:p w14:paraId="6D6F26DD" w14:textId="77777777" w:rsidR="00650E6F" w:rsidRPr="000E1EB0" w:rsidRDefault="00650E6F" w:rsidP="00650E6F">
            <w:pPr>
              <w:suppressAutoHyphens/>
              <w:autoSpaceDE w:val="0"/>
              <w:contextualSpacing/>
              <w:jc w:val="center"/>
              <w:rPr>
                <w:rFonts w:ascii="Garamond" w:hAnsi="Garamond" w:cs="Tahoma"/>
                <w:b/>
                <w:lang w:val="sq-AL" w:eastAsia="ar-SA"/>
              </w:rPr>
            </w:pPr>
            <w:r w:rsidRPr="000E1EB0">
              <w:rPr>
                <w:rFonts w:ascii="Garamond" w:hAnsi="Garamond" w:cs="Tahoma"/>
                <w:b/>
                <w:lang w:val="sq-AL" w:eastAsia="ar-SA"/>
              </w:rPr>
              <w:t>Treguesit</w:t>
            </w:r>
          </w:p>
          <w:p w14:paraId="6D6F26DE" w14:textId="77777777" w:rsidR="00650E6F" w:rsidRPr="000E1EB0" w:rsidRDefault="00650E6F" w:rsidP="00650E6F">
            <w:pPr>
              <w:suppressAutoHyphens/>
              <w:autoSpaceDE w:val="0"/>
              <w:contextualSpacing/>
              <w:jc w:val="center"/>
              <w:rPr>
                <w:rFonts w:ascii="Garamond" w:hAnsi="Garamond" w:cs="Tahoma"/>
                <w:b/>
                <w:lang w:val="sq-AL" w:eastAsia="ar-SA"/>
              </w:rPr>
            </w:pPr>
          </w:p>
        </w:tc>
        <w:tc>
          <w:tcPr>
            <w:tcW w:w="2323" w:type="dxa"/>
            <w:shd w:val="clear" w:color="auto" w:fill="5B9BD5" w:themeFill="accent1"/>
          </w:tcPr>
          <w:p w14:paraId="6D6F26DF" w14:textId="77777777" w:rsidR="00650E6F" w:rsidRPr="000E1EB0" w:rsidRDefault="00650E6F" w:rsidP="00650E6F">
            <w:pPr>
              <w:suppressAutoHyphens/>
              <w:autoSpaceDE w:val="0"/>
              <w:contextualSpacing/>
              <w:jc w:val="center"/>
              <w:rPr>
                <w:rFonts w:ascii="Garamond" w:hAnsi="Garamond" w:cs="Tahoma"/>
                <w:b/>
                <w:lang w:val="sq-AL" w:eastAsia="ar-SA"/>
              </w:rPr>
            </w:pPr>
            <w:r w:rsidRPr="000E1EB0">
              <w:rPr>
                <w:rFonts w:ascii="Garamond" w:hAnsi="Garamond" w:cs="Tahoma"/>
                <w:b/>
                <w:lang w:val="sq-AL" w:eastAsia="ar-SA"/>
              </w:rPr>
              <w:t>Llojet e aktiviteteve</w:t>
            </w:r>
          </w:p>
          <w:p w14:paraId="6D6F26E0" w14:textId="77777777" w:rsidR="00650E6F" w:rsidRPr="000E1EB0" w:rsidRDefault="00650E6F" w:rsidP="00650E6F">
            <w:pPr>
              <w:suppressAutoHyphens/>
              <w:autoSpaceDE w:val="0"/>
              <w:contextualSpacing/>
              <w:jc w:val="center"/>
              <w:rPr>
                <w:rFonts w:ascii="Garamond" w:hAnsi="Garamond" w:cs="Tahoma"/>
                <w:lang w:val="sq-AL" w:eastAsia="ar-SA"/>
              </w:rPr>
            </w:pPr>
            <w:r w:rsidRPr="000E1EB0">
              <w:rPr>
                <w:rFonts w:ascii="Garamond" w:hAnsi="Garamond" w:cs="Tahoma"/>
                <w:lang w:val="sq-AL" w:eastAsia="ar-SA"/>
              </w:rPr>
              <w:t>(shembuj)</w:t>
            </w:r>
          </w:p>
        </w:tc>
      </w:tr>
      <w:tr w:rsidR="00650E6F" w:rsidRPr="000E1EB0" w14:paraId="6D6F26F5" w14:textId="77777777" w:rsidTr="00655D6A">
        <w:trPr>
          <w:trHeight w:val="620"/>
        </w:trPr>
        <w:tc>
          <w:tcPr>
            <w:tcW w:w="1458" w:type="dxa"/>
            <w:shd w:val="clear" w:color="auto" w:fill="DEEAF6" w:themeFill="accent1" w:themeFillTint="33"/>
          </w:tcPr>
          <w:p w14:paraId="6D6F26E2" w14:textId="64790525"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Prioriteti </w:t>
            </w:r>
            <w:r w:rsidR="00960825" w:rsidRPr="000E1EB0">
              <w:rPr>
                <w:rFonts w:ascii="Garamond" w:hAnsi="Garamond" w:cs="Tahoma"/>
                <w:lang w:val="sq-AL" w:eastAsia="ar-SA"/>
              </w:rPr>
              <w:t xml:space="preserve">tematik </w:t>
            </w:r>
            <w:r w:rsidRPr="000E1EB0">
              <w:rPr>
                <w:rFonts w:ascii="Garamond" w:hAnsi="Garamond" w:cs="Tahoma"/>
                <w:lang w:val="sq-AL" w:eastAsia="ar-SA"/>
              </w:rPr>
              <w:t>1: Nxitja e turizmit, kulturës dhe trashëgimisë natyrore. (TP4)</w:t>
            </w:r>
          </w:p>
          <w:p w14:paraId="6D6F26E3" w14:textId="77777777" w:rsidR="00650E6F" w:rsidRPr="000E1EB0" w:rsidRDefault="00650E6F" w:rsidP="00650E6F">
            <w:pPr>
              <w:suppressAutoHyphens/>
              <w:autoSpaceDE w:val="0"/>
              <w:contextualSpacing/>
              <w:rPr>
                <w:rFonts w:ascii="Garamond" w:hAnsi="Garamond" w:cs="Tahoma"/>
                <w:lang w:val="sq-AL" w:eastAsia="ar-SA"/>
              </w:rPr>
            </w:pPr>
          </w:p>
        </w:tc>
        <w:tc>
          <w:tcPr>
            <w:tcW w:w="1627" w:type="dxa"/>
            <w:shd w:val="clear" w:color="auto" w:fill="DEEAF6" w:themeFill="accent1" w:themeFillTint="33"/>
          </w:tcPr>
          <w:p w14:paraId="6D6F26E4" w14:textId="721DDB35"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Objektivi </w:t>
            </w:r>
            <w:r w:rsidR="00960825" w:rsidRPr="000E1EB0">
              <w:rPr>
                <w:rFonts w:ascii="Garamond" w:hAnsi="Garamond" w:cs="Tahoma"/>
                <w:lang w:val="sq-AL" w:eastAsia="ar-SA"/>
              </w:rPr>
              <w:t>specifik i këtij prioriteti tematik sy</w:t>
            </w:r>
            <w:r w:rsidRPr="000E1EB0">
              <w:rPr>
                <w:rFonts w:ascii="Garamond" w:hAnsi="Garamond" w:cs="Tahoma"/>
                <w:lang w:val="sq-AL" w:eastAsia="ar-SA"/>
              </w:rPr>
              <w:t xml:space="preserve">non të zhvillojë potencialin e turizmit duke promovuar trashëgiminë dhe vlerat kulturore </w:t>
            </w:r>
          </w:p>
        </w:tc>
        <w:tc>
          <w:tcPr>
            <w:tcW w:w="1559" w:type="dxa"/>
            <w:shd w:val="clear" w:color="auto" w:fill="DEEAF6" w:themeFill="accent1" w:themeFillTint="33"/>
          </w:tcPr>
          <w:p w14:paraId="6D6F26E5"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1.1.1 </w:t>
            </w:r>
            <w:r w:rsidRPr="000E1EB0">
              <w:rPr>
                <w:rFonts w:ascii="Garamond" w:hAnsi="Garamond" w:cs="Tahoma"/>
                <w:lang w:val="sq-AL"/>
              </w:rPr>
              <w:t>Mundësitë e biznesit për ofruesit lokalë të shërbimeve dhe operatorët në fushën e turizmit janë rritur;</w:t>
            </w:r>
          </w:p>
          <w:p w14:paraId="6D6F26E6"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1.1.2 </w:t>
            </w:r>
            <w:r w:rsidRPr="000E1EB0">
              <w:rPr>
                <w:rFonts w:ascii="Garamond" w:hAnsi="Garamond" w:cs="Tahoma"/>
                <w:lang w:val="sq-AL"/>
              </w:rPr>
              <w:t>Bashkëpunimi i ndërsjellë, mirëkuptimi dhe respekti për trashëgiminë dhe vlerat kulturore janë zhvilluar më tej.</w:t>
            </w:r>
          </w:p>
        </w:tc>
        <w:tc>
          <w:tcPr>
            <w:tcW w:w="2268" w:type="dxa"/>
            <w:shd w:val="clear" w:color="auto" w:fill="DEEAF6" w:themeFill="accent1" w:themeFillTint="33"/>
          </w:tcPr>
          <w:p w14:paraId="6D6F26E7"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1.1.1 Nr. i turistëve që përdorin shërbimet e reja/ përmirësuar.</w:t>
            </w:r>
          </w:p>
          <w:p w14:paraId="6D6F26E8"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shërbimeve/</w:t>
            </w:r>
          </w:p>
          <w:p w14:paraId="6D6F26E9"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produkteve të reja/përmirësuara.</w:t>
            </w:r>
          </w:p>
          <w:p w14:paraId="6D6F26EA"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Nr. i personave të trajnuar.</w:t>
            </w:r>
          </w:p>
          <w:p w14:paraId="6D6F26EB"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Kohëzgjatja mesatare e qëndrimit të turistëve (me fjetje).</w:t>
            </w:r>
          </w:p>
          <w:p w14:paraId="6D6F26EC"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1.1.2 Nr. i vizitorëve në vendet e trashëgimisë kulturore.</w:t>
            </w:r>
          </w:p>
          <w:p w14:paraId="6D6F26ED"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vendeve të trashëgimisë kulturore të përmirësuar.</w:t>
            </w:r>
          </w:p>
          <w:p w14:paraId="6D6F26EE"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aktiviteteve të organizuara.</w:t>
            </w:r>
          </w:p>
          <w:p w14:paraId="6D6F26EF" w14:textId="52DE9581" w:rsidR="00650E6F" w:rsidRPr="000E1EB0" w:rsidRDefault="00650E6F" w:rsidP="00650E6F">
            <w:pPr>
              <w:rPr>
                <w:rFonts w:ascii="Garamond" w:hAnsi="Garamond" w:cs="Tahoma"/>
                <w:lang w:val="sq-AL" w:eastAsia="ar-SA"/>
              </w:rPr>
            </w:pPr>
            <w:r w:rsidRPr="000E1EB0">
              <w:rPr>
                <w:rFonts w:ascii="Garamond" w:hAnsi="Garamond" w:cs="Tahoma"/>
                <w:lang w:val="sq-AL" w:eastAsia="ar-SA"/>
              </w:rPr>
              <w:t xml:space="preserve">Nr. i librarive të reja të </w:t>
            </w:r>
            <w:r w:rsidRPr="000E1EB0">
              <w:rPr>
                <w:rFonts w:ascii="Garamond" w:hAnsi="Garamond" w:cs="Tahoma"/>
                <w:lang w:val="sq-AL" w:eastAsia="ar-SA"/>
              </w:rPr>
              <w:lastRenderedPageBreak/>
              <w:t>di</w:t>
            </w:r>
            <w:r w:rsidR="00960825">
              <w:rPr>
                <w:rFonts w:ascii="Garamond" w:hAnsi="Garamond" w:cs="Tahoma"/>
                <w:lang w:val="sq-AL" w:eastAsia="ar-SA"/>
              </w:rPr>
              <w:t>gj</w:t>
            </w:r>
            <w:r w:rsidRPr="000E1EB0">
              <w:rPr>
                <w:rFonts w:ascii="Garamond" w:hAnsi="Garamond" w:cs="Tahoma"/>
                <w:lang w:val="sq-AL" w:eastAsia="ar-SA"/>
              </w:rPr>
              <w:t>italizuara.</w:t>
            </w:r>
          </w:p>
          <w:p w14:paraId="6D6F26F0"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 e palëve të interesuara të përfshirë në aktivitete.</w:t>
            </w:r>
          </w:p>
        </w:tc>
        <w:tc>
          <w:tcPr>
            <w:tcW w:w="2323" w:type="dxa"/>
            <w:shd w:val="clear" w:color="auto" w:fill="DEEAF6" w:themeFill="accent1" w:themeFillTint="33"/>
          </w:tcPr>
          <w:p w14:paraId="6D6F26F1"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lastRenderedPageBreak/>
              <w:t xml:space="preserve">1.1.1.1 Projektimi, zhvillimi dhe promovimi i produkteve dhe shërbimeve të përbashkëta turistike dhe i investimeve në shkallë të vogël në infrastrukturën publike të turizmit. </w:t>
            </w:r>
          </w:p>
          <w:p w14:paraId="6D6F26F2"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1.1.1.2 Trajnim për rritjen e aftësive në industrinë e mikpritjes.</w:t>
            </w:r>
          </w:p>
          <w:p w14:paraId="6D6F26F3"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1.1.2.1 Restaurimi / rezervimi, ruajtja, pastrimi dhe mirëmbajtja e objekteve kulturore dhe historike, dhe e mjedisit të lidhur me këto objekte.</w:t>
            </w:r>
          </w:p>
          <w:p w14:paraId="6D6F26F4"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1.1.2.2 Mbështetje për aktivitete të përbashkëta kulturore.</w:t>
            </w:r>
          </w:p>
        </w:tc>
      </w:tr>
      <w:tr w:rsidR="00650E6F" w:rsidRPr="000E1EB0" w14:paraId="6D6F2704" w14:textId="77777777" w:rsidTr="00650E6F">
        <w:tc>
          <w:tcPr>
            <w:tcW w:w="1458" w:type="dxa"/>
            <w:shd w:val="clear" w:color="auto" w:fill="BDD6EE" w:themeFill="accent1" w:themeFillTint="66"/>
          </w:tcPr>
          <w:p w14:paraId="6D6F26F6" w14:textId="4FCBF765"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lastRenderedPageBreak/>
              <w:t xml:space="preserve">Prioriteti </w:t>
            </w:r>
            <w:r w:rsidR="00960825" w:rsidRPr="000E1EB0">
              <w:rPr>
                <w:rFonts w:ascii="Garamond" w:hAnsi="Garamond" w:cs="Tahoma"/>
                <w:lang w:val="sq-AL" w:eastAsia="ar-SA"/>
              </w:rPr>
              <w:t xml:space="preserve">tematik </w:t>
            </w:r>
            <w:r w:rsidRPr="000E1EB0">
              <w:rPr>
                <w:rFonts w:ascii="Garamond" w:hAnsi="Garamond" w:cs="Tahoma"/>
                <w:lang w:val="sq-AL" w:eastAsia="ar-SA"/>
              </w:rPr>
              <w:t>2: Rritja e konkurrencës, biznesit, tregtisë dhe investimeve. (TP7)</w:t>
            </w:r>
          </w:p>
        </w:tc>
        <w:tc>
          <w:tcPr>
            <w:tcW w:w="1627" w:type="dxa"/>
            <w:shd w:val="clear" w:color="auto" w:fill="BDD6EE" w:themeFill="accent1" w:themeFillTint="66"/>
          </w:tcPr>
          <w:p w14:paraId="6D6F26F7"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Forcimi i kapaciteteve prodhuese të SME-ve dhe aksesit të tyre në tregje.</w:t>
            </w:r>
          </w:p>
        </w:tc>
        <w:tc>
          <w:tcPr>
            <w:tcW w:w="1559" w:type="dxa"/>
            <w:shd w:val="clear" w:color="auto" w:fill="BDD6EE" w:themeFill="accent1" w:themeFillTint="66"/>
          </w:tcPr>
          <w:p w14:paraId="6D6F26F8"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2.1.1 </w:t>
            </w:r>
            <w:r w:rsidRPr="000E1EB0">
              <w:rPr>
                <w:rFonts w:ascii="Garamond" w:hAnsi="Garamond" w:cs="Tahoma"/>
                <w:lang w:val="sq-AL"/>
              </w:rPr>
              <w:t>Ndërgjegjësimi dhe kapaciteti i SME-ve dhe bizneseve të reja për të hyrë në tregjet e reja dhe zinxhirët e vlerave janë rritur.</w:t>
            </w:r>
          </w:p>
        </w:tc>
        <w:tc>
          <w:tcPr>
            <w:tcW w:w="2268" w:type="dxa"/>
            <w:shd w:val="clear" w:color="auto" w:fill="BDD6EE" w:themeFill="accent1" w:themeFillTint="66"/>
          </w:tcPr>
          <w:p w14:paraId="6D6F26F9"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Vlera e eksportit të mallrave dhe shërbimeve (%).</w:t>
            </w:r>
          </w:p>
          <w:p w14:paraId="6D6F26FA"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Qarkullimi i bizneseve</w:t>
            </w:r>
          </w:p>
          <w:p w14:paraId="6D6F26FB"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GVA.</w:t>
            </w:r>
          </w:p>
          <w:p w14:paraId="6D6F26FC"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aktiviteteve të tregtisë së jashtme.</w:t>
            </w:r>
          </w:p>
          <w:p w14:paraId="6D6F26FD"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bizneseve që marrin pjesë në aktivitete të reja të tregtisë së jashtme.</w:t>
            </w:r>
          </w:p>
          <w:p w14:paraId="6D6F26FE" w14:textId="5EDEB282"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SME-ve me certifikata të reja të konformitetit të fituara (ISO, HACCP etj.).</w:t>
            </w:r>
          </w:p>
          <w:p w14:paraId="6D6F26FF"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tregjeve të reja dhe objekteve tregtare të zhvilluara nëpërmjet marrëveshjeve.</w:t>
            </w:r>
          </w:p>
        </w:tc>
        <w:tc>
          <w:tcPr>
            <w:tcW w:w="2323" w:type="dxa"/>
            <w:shd w:val="clear" w:color="auto" w:fill="BDD6EE" w:themeFill="accent1" w:themeFillTint="66"/>
          </w:tcPr>
          <w:p w14:paraId="6D6F2700"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2.1.1.1 Asistencë për SME-të dhe bizneset e reja për ndërkombëtarizim dhe gjetjen e partnerëve të biznesit.</w:t>
            </w:r>
          </w:p>
          <w:p w14:paraId="6D6F2701"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2.1.1.2 Investime në tregun e vogël ndërkufitar dhe në objekte tregtare.</w:t>
            </w:r>
          </w:p>
          <w:p w14:paraId="6D6F2702" w14:textId="77777777" w:rsidR="00650E6F" w:rsidRPr="000E1EB0" w:rsidRDefault="00650E6F" w:rsidP="00650E6F">
            <w:pPr>
              <w:rPr>
                <w:rFonts w:ascii="Garamond" w:hAnsi="Garamond" w:cs="Tahoma"/>
                <w:lang w:val="sq-AL" w:eastAsia="ar-SA"/>
              </w:rPr>
            </w:pPr>
          </w:p>
          <w:p w14:paraId="6D6F2703" w14:textId="77777777" w:rsidR="00650E6F" w:rsidRPr="000E1EB0" w:rsidRDefault="00650E6F" w:rsidP="00650E6F">
            <w:pPr>
              <w:rPr>
                <w:rFonts w:ascii="Garamond" w:hAnsi="Garamond" w:cs="Tahoma"/>
                <w:lang w:val="sq-AL" w:eastAsia="ar-SA"/>
              </w:rPr>
            </w:pPr>
          </w:p>
        </w:tc>
      </w:tr>
      <w:tr w:rsidR="00650E6F" w:rsidRPr="000E1EB0" w14:paraId="6D6F271C" w14:textId="77777777" w:rsidTr="00650E6F">
        <w:tc>
          <w:tcPr>
            <w:tcW w:w="1458" w:type="dxa"/>
            <w:shd w:val="clear" w:color="auto" w:fill="DEEAF6" w:themeFill="accent1" w:themeFillTint="33"/>
          </w:tcPr>
          <w:p w14:paraId="6D6F2705" w14:textId="41BEEB1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Prioriteti </w:t>
            </w:r>
            <w:r w:rsidR="00960825" w:rsidRPr="000E1EB0">
              <w:rPr>
                <w:rFonts w:ascii="Garamond" w:hAnsi="Garamond" w:cs="Tahoma"/>
                <w:lang w:val="sq-AL" w:eastAsia="ar-SA"/>
              </w:rPr>
              <w:t xml:space="preserve">tematik </w:t>
            </w:r>
            <w:r w:rsidRPr="000E1EB0">
              <w:rPr>
                <w:rFonts w:ascii="Garamond" w:hAnsi="Garamond" w:cs="Tahoma"/>
                <w:lang w:val="sq-AL" w:eastAsia="ar-SA"/>
              </w:rPr>
              <w:t>3: Mbrojtja e mjedisit, nxitja e përshtatjes dhe lehtësimit ndaj ndryshimeve klimatike, parandalimi dhe menaxhimi i rrezikut. (TP2)</w:t>
            </w:r>
            <w:r w:rsidR="00655D6A">
              <w:rPr>
                <w:rFonts w:ascii="Garamond" w:hAnsi="Garamond" w:cs="Tahoma"/>
                <w:lang w:val="sq-AL" w:eastAsia="ar-SA"/>
              </w:rPr>
              <w:t>.</w:t>
            </w:r>
          </w:p>
        </w:tc>
        <w:tc>
          <w:tcPr>
            <w:tcW w:w="1627" w:type="dxa"/>
            <w:shd w:val="clear" w:color="auto" w:fill="DEEAF6" w:themeFill="accent1" w:themeFillTint="33"/>
          </w:tcPr>
          <w:p w14:paraId="6D6F2706"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Rritja e ndërgjegjësimit për një ekonomi më të gjelbër, mjedis më të pastër dhe ndryshimet klimatike. </w:t>
            </w:r>
          </w:p>
        </w:tc>
        <w:tc>
          <w:tcPr>
            <w:tcW w:w="1559" w:type="dxa"/>
            <w:shd w:val="clear" w:color="auto" w:fill="DEEAF6" w:themeFill="accent1" w:themeFillTint="33"/>
          </w:tcPr>
          <w:p w14:paraId="6D6F2707"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3.1.1 </w:t>
            </w:r>
            <w:r w:rsidRPr="000E1EB0">
              <w:rPr>
                <w:rFonts w:ascii="Garamond" w:hAnsi="Garamond" w:cs="Tahoma"/>
                <w:lang w:val="sq-AL"/>
              </w:rPr>
              <w:t>Ndërgjegjësimi dhe njohuritë mbi përdorimin e qëndrueshëm të burimeve natyrore dhe mjedisit janë rritur</w:t>
            </w:r>
            <w:r w:rsidRPr="000E1EB0">
              <w:rPr>
                <w:rFonts w:ascii="Garamond" w:hAnsi="Garamond" w:cs="Tahoma"/>
                <w:lang w:val="sq-AL" w:eastAsia="ar-SA"/>
              </w:rPr>
              <w:t>;</w:t>
            </w:r>
          </w:p>
          <w:p w14:paraId="6D6F2708"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xml:space="preserve">3.1.2 </w:t>
            </w:r>
            <w:r w:rsidRPr="000E1EB0">
              <w:rPr>
                <w:rFonts w:ascii="Garamond" w:hAnsi="Garamond" w:cs="Tahoma"/>
                <w:lang w:val="sq-AL"/>
              </w:rPr>
              <w:t>Infrastruktura publike në rrezik nga përmbytjet, erozioni i dherave dhe zjarret është përmirësuar</w:t>
            </w:r>
            <w:r w:rsidRPr="000E1EB0">
              <w:rPr>
                <w:rFonts w:ascii="Garamond" w:hAnsi="Garamond" w:cs="Tahoma"/>
                <w:lang w:val="sq-AL" w:eastAsia="ar-SA"/>
              </w:rPr>
              <w:t>.</w:t>
            </w:r>
          </w:p>
        </w:tc>
        <w:tc>
          <w:tcPr>
            <w:tcW w:w="2268" w:type="dxa"/>
            <w:shd w:val="clear" w:color="auto" w:fill="DEEAF6" w:themeFill="accent1" w:themeFillTint="33"/>
          </w:tcPr>
          <w:p w14:paraId="6D6F2709"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3.1.1 Përdorimi i ujit nga familjet dhe bizneset.</w:t>
            </w:r>
          </w:p>
          <w:p w14:paraId="6D6F270A"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e mbetjeve të grumbulluara për riciklim.</w:t>
            </w:r>
          </w:p>
          <w:p w14:paraId="6D6F270B"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Nr. i fushatave ndërgjegjësuese mbi përdorimin e qëndrueshëm të burimeve dhe të mjedisit.</w:t>
            </w:r>
          </w:p>
          <w:p w14:paraId="6D6F270C"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Nr. i sistemeve të menaxhimit të mbetjeve dhe zinxhirëve të vlerave të përmirësuar brenda zonës.</w:t>
            </w:r>
          </w:p>
          <w:p w14:paraId="6D6F270D"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Nr. i aksioneve të pastrimit.</w:t>
            </w:r>
          </w:p>
          <w:p w14:paraId="6D6F270E"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e popullsisë në zonën CBC e ndërgjegjësuar mbi përdorimin e qëndrueshëm të burimeve natyrore dhe mjedisit në sektorët kyç.</w:t>
            </w:r>
          </w:p>
          <w:p w14:paraId="6D6F270F"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 e të gjitha bizneseve dhe organizatave që marrin pjesë në veprimet e përbashkëta për menaxhimin e ujit dhe mbetjeve.</w:t>
            </w:r>
          </w:p>
          <w:p w14:paraId="6D6F2710"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3.1.2 Gjatësia e rrugëve të mbrojtura.</w:t>
            </w:r>
          </w:p>
          <w:p w14:paraId="6D6F2711"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Madhësia e sipërfaqes bujqësore të mbrojtur.</w:t>
            </w:r>
          </w:p>
          <w:p w14:paraId="6D6F2712"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Madhësia e zonave pyjore të mbrojtura.</w:t>
            </w:r>
          </w:p>
          <w:p w14:paraId="6D6F2713"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projekteve të mbështetur.</w:t>
            </w:r>
          </w:p>
          <w:p w14:paraId="6D6F2714"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lastRenderedPageBreak/>
              <w:t>Nr. i objekteve të siguruara për mbrojtjen nga përmbytjet dhe zjarret.</w:t>
            </w:r>
          </w:p>
          <w:p w14:paraId="6D6F2715"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Nr. i fushatave të ndërgjegjësimit.</w:t>
            </w:r>
          </w:p>
          <w:p w14:paraId="6D6F2716"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Numri i familjeve / fermave dhe organizatave të tjera që përfitojnë nga aktivitetet e reja.</w:t>
            </w:r>
          </w:p>
          <w:p w14:paraId="6D6F2717"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Madhësia e zonës së Bashkëpunimit Ndërkufitar të mbuluar nga aktivitetet.</w:t>
            </w:r>
          </w:p>
        </w:tc>
        <w:tc>
          <w:tcPr>
            <w:tcW w:w="2323" w:type="dxa"/>
            <w:shd w:val="clear" w:color="auto" w:fill="DEEAF6" w:themeFill="accent1" w:themeFillTint="33"/>
          </w:tcPr>
          <w:p w14:paraId="6D6F2718"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lastRenderedPageBreak/>
              <w:t>3.1.1.1 Promovimi dhe mbështetja e përdorimit të qëndrueshëm të burimeve natyrore dhe mjedisit.</w:t>
            </w:r>
          </w:p>
          <w:p w14:paraId="6D6F2719"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t>3.1.2.1 Promovimi i investimeve të vogla në infrastrukturë për rimëkëmbjen nga katastrofat dhe mbrojtjen e mjedisit.</w:t>
            </w:r>
          </w:p>
          <w:p w14:paraId="6D6F271A" w14:textId="77777777" w:rsidR="00650E6F" w:rsidRPr="000E1EB0" w:rsidRDefault="00650E6F" w:rsidP="00650E6F">
            <w:pPr>
              <w:suppressAutoHyphens/>
              <w:autoSpaceDE w:val="0"/>
              <w:contextualSpacing/>
              <w:rPr>
                <w:rFonts w:ascii="Garamond" w:hAnsi="Garamond" w:cs="Tahoma"/>
                <w:lang w:val="sq-AL" w:eastAsia="ar-SA"/>
              </w:rPr>
            </w:pPr>
          </w:p>
          <w:p w14:paraId="6D6F271B" w14:textId="77777777" w:rsidR="00650E6F" w:rsidRPr="000E1EB0" w:rsidRDefault="00650E6F" w:rsidP="00650E6F">
            <w:pPr>
              <w:suppressAutoHyphens/>
              <w:autoSpaceDE w:val="0"/>
              <w:contextualSpacing/>
              <w:rPr>
                <w:rFonts w:ascii="Garamond" w:hAnsi="Garamond" w:cs="Tahoma"/>
                <w:lang w:val="sq-AL" w:eastAsia="ar-SA"/>
              </w:rPr>
            </w:pPr>
          </w:p>
        </w:tc>
      </w:tr>
      <w:tr w:rsidR="00650E6F" w:rsidRPr="000E1EB0" w14:paraId="6D6F2744" w14:textId="77777777" w:rsidTr="00650E6F">
        <w:tc>
          <w:tcPr>
            <w:tcW w:w="1458" w:type="dxa"/>
            <w:shd w:val="clear" w:color="auto" w:fill="BDD6EE" w:themeFill="accent1" w:themeFillTint="66"/>
          </w:tcPr>
          <w:p w14:paraId="6D6F271D" w14:textId="68E77F14" w:rsidR="00650E6F" w:rsidRPr="000E1EB0" w:rsidRDefault="00650E6F" w:rsidP="00650E6F">
            <w:pPr>
              <w:suppressAutoHyphens/>
              <w:autoSpaceDE w:val="0"/>
              <w:contextualSpacing/>
              <w:rPr>
                <w:rFonts w:ascii="Garamond" w:hAnsi="Garamond" w:cs="Tahoma"/>
                <w:lang w:val="sq-AL" w:eastAsia="ar-SA"/>
              </w:rPr>
            </w:pPr>
            <w:r w:rsidRPr="000E1EB0">
              <w:rPr>
                <w:rFonts w:ascii="Garamond" w:hAnsi="Garamond" w:cs="Tahoma"/>
                <w:lang w:val="sq-AL" w:eastAsia="ar-SA"/>
              </w:rPr>
              <w:lastRenderedPageBreak/>
              <w:t xml:space="preserve">Asistenca </w:t>
            </w:r>
            <w:r w:rsidR="00960825" w:rsidRPr="000E1EB0">
              <w:rPr>
                <w:rFonts w:ascii="Garamond" w:hAnsi="Garamond" w:cs="Tahoma"/>
                <w:lang w:val="sq-AL" w:eastAsia="ar-SA"/>
              </w:rPr>
              <w:t>teknike</w:t>
            </w:r>
          </w:p>
        </w:tc>
        <w:tc>
          <w:tcPr>
            <w:tcW w:w="1627" w:type="dxa"/>
            <w:shd w:val="clear" w:color="auto" w:fill="BDD6EE" w:themeFill="accent1" w:themeFillTint="66"/>
          </w:tcPr>
          <w:p w14:paraId="6D6F271E" w14:textId="5FE2F060" w:rsidR="00650E6F" w:rsidRPr="000E1EB0" w:rsidRDefault="00650E6F" w:rsidP="00650E6F">
            <w:pPr>
              <w:rPr>
                <w:rFonts w:ascii="Garamond" w:hAnsi="Garamond" w:cs="Tahoma"/>
                <w:lang w:val="sq-AL"/>
              </w:rPr>
            </w:pPr>
            <w:r w:rsidRPr="000E1EB0">
              <w:rPr>
                <w:rFonts w:ascii="Garamond" w:hAnsi="Garamond" w:cs="Tahoma"/>
                <w:lang w:val="sq-AL" w:eastAsia="ar-SA"/>
              </w:rPr>
              <w:t>Të sigurojë zbatimin efektiv, efikas, transparent dhe në kohë të programit të bashkëpunimit ndërkufitar, si dhe të rrisë ndërgjegjësimin e komuniteteve në nivel kombëtar, rajonal dhe lokal, dhe në popullsinë e zonës së programit në përgjithësi. Gjithashtu ai mbështet aktivitete ndërgjegjësimi në nivel kombëtar, me qëllim informimin e qytetarëve në të dy</w:t>
            </w:r>
            <w:r w:rsidR="003E0357">
              <w:rPr>
                <w:rFonts w:ascii="Garamond" w:hAnsi="Garamond" w:cs="Tahoma"/>
                <w:lang w:val="sq-AL" w:eastAsia="ar-SA"/>
              </w:rPr>
              <w:t>ja</w:t>
            </w:r>
            <w:r w:rsidRPr="000E1EB0">
              <w:rPr>
                <w:rFonts w:ascii="Garamond" w:hAnsi="Garamond" w:cs="Tahoma"/>
                <w:lang w:val="sq-AL" w:eastAsia="ar-SA"/>
              </w:rPr>
              <w:t xml:space="preserve"> vendet përfitues të IPA II.</w:t>
            </w:r>
            <w:r w:rsidRPr="000E1EB0">
              <w:rPr>
                <w:rFonts w:ascii="Garamond" w:hAnsi="Garamond" w:cs="Tahoma"/>
                <w:lang w:val="sq-AL"/>
              </w:rPr>
              <w:t xml:space="preserve"> K</w:t>
            </w:r>
            <w:r w:rsidRPr="000E1EB0">
              <w:rPr>
                <w:rFonts w:ascii="Garamond" w:hAnsi="Garamond" w:cs="Tahoma"/>
                <w:lang w:val="sq-AL" w:eastAsia="ar-SA"/>
              </w:rPr>
              <w:t>y prioritet do të forcojë kapacitetin administrativ të autoriteteve dhe përfituesve që do të zbatojnë programin, me qëllim për të përmirësuar pronësinë dhe përshtatshmërinë e programit me rezultatet e projekteve.</w:t>
            </w:r>
          </w:p>
          <w:p w14:paraId="6D6F271F" w14:textId="77777777" w:rsidR="00650E6F" w:rsidRPr="000E1EB0" w:rsidRDefault="00650E6F" w:rsidP="00650E6F">
            <w:pPr>
              <w:suppressAutoHyphens/>
              <w:autoSpaceDE w:val="0"/>
              <w:contextualSpacing/>
              <w:rPr>
                <w:rFonts w:ascii="Garamond" w:hAnsi="Garamond" w:cs="Tahoma"/>
                <w:lang w:val="sq-AL" w:eastAsia="ar-SA"/>
              </w:rPr>
            </w:pPr>
          </w:p>
        </w:tc>
        <w:tc>
          <w:tcPr>
            <w:tcW w:w="1559" w:type="dxa"/>
            <w:shd w:val="clear" w:color="auto" w:fill="BDD6EE" w:themeFill="accent1" w:themeFillTint="66"/>
          </w:tcPr>
          <w:p w14:paraId="6D6F2720" w14:textId="563473F0" w:rsidR="00650E6F" w:rsidRPr="000E1EB0" w:rsidRDefault="00650E6F" w:rsidP="00650E6F">
            <w:pPr>
              <w:rPr>
                <w:rFonts w:ascii="Garamond" w:hAnsi="Garamond" w:cs="Tahoma"/>
                <w:lang w:val="sq-AL" w:eastAsia="ar-SA"/>
              </w:rPr>
            </w:pPr>
            <w:r w:rsidRPr="000E1EB0">
              <w:rPr>
                <w:rFonts w:ascii="Garamond" w:hAnsi="Garamond" w:cs="Tahoma"/>
                <w:lang w:val="sq-AL" w:eastAsia="ar-SA"/>
              </w:rPr>
              <w:t xml:space="preserve">Mbështetja administrative për </w:t>
            </w:r>
            <w:r w:rsidR="00960825" w:rsidRPr="000E1EB0">
              <w:rPr>
                <w:rFonts w:ascii="Garamond" w:hAnsi="Garamond" w:cs="Tahoma"/>
                <w:lang w:val="sq-AL" w:eastAsia="ar-SA"/>
              </w:rPr>
              <w:t xml:space="preserve">strukturat operative </w:t>
            </w:r>
            <w:r w:rsidRPr="000E1EB0">
              <w:rPr>
                <w:rFonts w:ascii="Garamond" w:hAnsi="Garamond" w:cs="Tahoma"/>
                <w:lang w:val="sq-AL" w:eastAsia="ar-SA"/>
              </w:rPr>
              <w:t>dhe Komitetin e Përbashkët të Monitorimit të programit është rritur.</w:t>
            </w:r>
          </w:p>
          <w:p w14:paraId="6D6F2721" w14:textId="77777777" w:rsidR="00650E6F" w:rsidRPr="000E1EB0" w:rsidRDefault="00650E6F" w:rsidP="00650E6F">
            <w:pPr>
              <w:rPr>
                <w:rFonts w:ascii="Garamond" w:hAnsi="Garamond" w:cs="Tahoma"/>
                <w:lang w:val="sq-AL" w:eastAsia="ar-SA"/>
              </w:rPr>
            </w:pPr>
          </w:p>
          <w:p w14:paraId="6D6F2722"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Kapaciteti teknik dhe administrativ për menaxhimin dhe zbatimin e programit është rritur.</w:t>
            </w:r>
          </w:p>
          <w:p w14:paraId="6D6F2723" w14:textId="77777777" w:rsidR="00650E6F" w:rsidRPr="000E1EB0" w:rsidRDefault="00650E6F" w:rsidP="00650E6F">
            <w:pPr>
              <w:rPr>
                <w:rFonts w:ascii="Garamond" w:hAnsi="Garamond" w:cs="Tahoma"/>
                <w:lang w:val="sq-AL" w:eastAsia="ar-SA"/>
              </w:rPr>
            </w:pPr>
          </w:p>
          <w:p w14:paraId="6D6F2724"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Vizibiliteti i programit dhe i rezultateve të tij, garantohet.</w:t>
            </w:r>
          </w:p>
          <w:p w14:paraId="6D6F2725" w14:textId="77777777" w:rsidR="00650E6F" w:rsidRPr="000E1EB0" w:rsidRDefault="00650E6F" w:rsidP="00650E6F">
            <w:pPr>
              <w:rPr>
                <w:rFonts w:ascii="Garamond" w:hAnsi="Garamond" w:cs="Tahoma"/>
                <w:lang w:val="sq-AL" w:eastAsia="ar-SA"/>
              </w:rPr>
            </w:pPr>
            <w:r w:rsidRPr="000E1EB0">
              <w:rPr>
                <w:rFonts w:ascii="Garamond" w:hAnsi="Garamond" w:cs="Tahoma"/>
                <w:lang w:val="sq-AL" w:eastAsia="ar-SA"/>
              </w:rPr>
              <w:t xml:space="preserve"> </w:t>
            </w:r>
          </w:p>
        </w:tc>
        <w:tc>
          <w:tcPr>
            <w:tcW w:w="2268" w:type="dxa"/>
            <w:shd w:val="clear" w:color="auto" w:fill="BDD6EE" w:themeFill="accent1" w:themeFillTint="66"/>
          </w:tcPr>
          <w:p w14:paraId="6D6F2726" w14:textId="77777777" w:rsidR="00650E6F" w:rsidRPr="000E1EB0" w:rsidRDefault="00650E6F" w:rsidP="00650E6F">
            <w:pPr>
              <w:suppressAutoHyphens/>
              <w:autoSpaceDE w:val="0"/>
              <w:contextualSpacing/>
              <w:rPr>
                <w:rFonts w:ascii="Garamond" w:hAnsi="Garamond" w:cs="Tahoma"/>
                <w:lang w:val="sq-AL" w:eastAsia="ar-SA"/>
              </w:rPr>
            </w:pPr>
            <w:r w:rsidRPr="000E1EB0">
              <w:rPr>
                <w:rFonts w:ascii="Garamond" w:eastAsia="Cambria" w:hAnsi="Garamond" w:cs="Tahoma"/>
                <w:lang w:val="sq-AL"/>
              </w:rPr>
              <w:t>Përqindja mesatare e përfituesve të kënaqur me mbështetjen nga programi i zbatuar</w:t>
            </w:r>
            <w:r w:rsidRPr="000E1EB0">
              <w:rPr>
                <w:rFonts w:ascii="Garamond" w:hAnsi="Garamond" w:cs="Tahoma"/>
                <w:lang w:val="sq-AL" w:eastAsia="ar-SA"/>
              </w:rPr>
              <w:t>.</w:t>
            </w:r>
          </w:p>
          <w:p w14:paraId="6D6F2727" w14:textId="77777777" w:rsidR="00650E6F" w:rsidRPr="000E1EB0" w:rsidRDefault="00650E6F" w:rsidP="00650E6F">
            <w:pPr>
              <w:suppressAutoHyphens/>
              <w:autoSpaceDE w:val="0"/>
              <w:contextualSpacing/>
              <w:rPr>
                <w:rFonts w:ascii="Garamond" w:hAnsi="Garamond" w:cs="Tahoma"/>
                <w:lang w:val="sq-AL" w:eastAsia="ar-SA"/>
              </w:rPr>
            </w:pPr>
          </w:p>
          <w:p w14:paraId="6D6F2728" w14:textId="77777777" w:rsidR="00650E6F" w:rsidRPr="000E1EB0" w:rsidRDefault="00650E6F" w:rsidP="00650E6F">
            <w:pPr>
              <w:rPr>
                <w:rFonts w:ascii="Garamond" w:eastAsia="Cambria" w:hAnsi="Garamond" w:cs="Tahoma"/>
                <w:lang w:val="sq-AL"/>
              </w:rPr>
            </w:pPr>
            <w:r w:rsidRPr="000E1EB0">
              <w:rPr>
                <w:rFonts w:ascii="Garamond" w:eastAsia="Cambria" w:hAnsi="Garamond" w:cs="Tahoma"/>
                <w:lang w:val="sq-AL"/>
              </w:rPr>
              <w:t>Rritja mesatare e numrit të propozimeve të marra në kuadër të çdo thirrje të njëpasnjëshme.</w:t>
            </w:r>
          </w:p>
          <w:p w14:paraId="6D6F2729" w14:textId="77777777" w:rsidR="00650E6F" w:rsidRPr="000E1EB0" w:rsidRDefault="00650E6F" w:rsidP="00650E6F">
            <w:pPr>
              <w:rPr>
                <w:rFonts w:ascii="Garamond" w:hAnsi="Garamond" w:cs="Tahoma"/>
                <w:lang w:val="sq-AL"/>
              </w:rPr>
            </w:pPr>
          </w:p>
          <w:p w14:paraId="6D6F272A" w14:textId="77777777" w:rsidR="00650E6F" w:rsidRPr="000E1EB0" w:rsidRDefault="00650E6F" w:rsidP="00650E6F">
            <w:pPr>
              <w:rPr>
                <w:rFonts w:ascii="Garamond" w:hAnsi="Garamond" w:cs="Tahoma"/>
                <w:lang w:val="sq-AL" w:eastAsia="ar-SA"/>
              </w:rPr>
            </w:pPr>
            <w:r w:rsidRPr="000E1EB0">
              <w:rPr>
                <w:rFonts w:ascii="Garamond" w:eastAsia="Cambria" w:hAnsi="Garamond" w:cs="Tahoma"/>
                <w:lang w:val="sq-AL"/>
              </w:rPr>
              <w:t>Rritja mesatare e numrit të koncept ideve që do të kualifikohen për vlerësim të mëtejshëm</w:t>
            </w:r>
            <w:r w:rsidRPr="000E1EB0">
              <w:rPr>
                <w:rFonts w:ascii="Garamond" w:hAnsi="Garamond" w:cs="Tahoma"/>
                <w:lang w:val="sq-AL" w:eastAsia="ar-SA"/>
              </w:rPr>
              <w:t>.</w:t>
            </w:r>
          </w:p>
          <w:p w14:paraId="6D6F272B" w14:textId="77777777" w:rsidR="00650E6F" w:rsidRPr="000E1EB0" w:rsidRDefault="00650E6F" w:rsidP="00650E6F">
            <w:pPr>
              <w:suppressAutoHyphens/>
              <w:autoSpaceDE w:val="0"/>
              <w:contextualSpacing/>
              <w:rPr>
                <w:rFonts w:ascii="Garamond" w:hAnsi="Garamond" w:cs="Tahoma"/>
                <w:lang w:val="sq-AL" w:eastAsia="ar-SA"/>
              </w:rPr>
            </w:pPr>
          </w:p>
          <w:p w14:paraId="6D6F272C" w14:textId="77777777" w:rsidR="00650E6F" w:rsidRPr="000E1EB0" w:rsidRDefault="00650E6F" w:rsidP="00650E6F">
            <w:pPr>
              <w:rPr>
                <w:rFonts w:ascii="Garamond" w:eastAsia="Cambria" w:hAnsi="Garamond" w:cs="Tahoma"/>
                <w:lang w:val="sq-AL"/>
              </w:rPr>
            </w:pPr>
            <w:r w:rsidRPr="000E1EB0">
              <w:rPr>
                <w:rFonts w:ascii="Garamond" w:eastAsia="Cambria" w:hAnsi="Garamond" w:cs="Tahoma"/>
                <w:lang w:val="sq-AL"/>
              </w:rPr>
              <w:t>Rritja e numrit të personave që marrin pjesë në aktivitetet promovuese.</w:t>
            </w:r>
          </w:p>
          <w:p w14:paraId="6D6F272D" w14:textId="77777777" w:rsidR="00650E6F" w:rsidRPr="000E1EB0" w:rsidRDefault="00650E6F" w:rsidP="00650E6F">
            <w:pPr>
              <w:rPr>
                <w:rFonts w:ascii="Garamond" w:hAnsi="Garamond" w:cs="Tahoma"/>
                <w:lang w:val="sq-AL"/>
              </w:rPr>
            </w:pPr>
          </w:p>
          <w:p w14:paraId="6D6F272E" w14:textId="77777777" w:rsidR="00650E6F" w:rsidRPr="000E1EB0" w:rsidRDefault="00650E6F" w:rsidP="00650E6F">
            <w:pPr>
              <w:rPr>
                <w:rFonts w:ascii="Garamond" w:hAnsi="Garamond" w:cs="Tahoma"/>
                <w:lang w:val="sq-AL"/>
              </w:rPr>
            </w:pPr>
            <w:r w:rsidRPr="000E1EB0">
              <w:rPr>
                <w:rFonts w:ascii="Garamond" w:eastAsia="Cambria" w:hAnsi="Garamond" w:cs="Tahoma"/>
                <w:lang w:val="sq-AL"/>
              </w:rPr>
              <w:t>Vizitat në faqen e internetit të programit</w:t>
            </w:r>
            <w:r w:rsidRPr="000E1EB0">
              <w:rPr>
                <w:rFonts w:ascii="Garamond" w:hAnsi="Garamond" w:cs="Tahoma"/>
                <w:lang w:val="sq-AL" w:eastAsia="ar-SA"/>
              </w:rPr>
              <w:t>.</w:t>
            </w:r>
          </w:p>
        </w:tc>
        <w:tc>
          <w:tcPr>
            <w:tcW w:w="2323" w:type="dxa"/>
            <w:shd w:val="clear" w:color="auto" w:fill="BDD6EE" w:themeFill="accent1" w:themeFillTint="66"/>
          </w:tcPr>
          <w:p w14:paraId="6D6F272F"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 xml:space="preserve">Ngritja dhe funksionimi i Sekretariatit të Përbashkët Teknik dhe Antena-s së tij. </w:t>
            </w:r>
          </w:p>
          <w:p w14:paraId="6D6F2730" w14:textId="77777777" w:rsidR="00650E6F" w:rsidRPr="000E1EB0" w:rsidRDefault="00650E6F" w:rsidP="00650E6F">
            <w:pPr>
              <w:suppressAutoHyphens/>
              <w:autoSpaceDE w:val="0"/>
              <w:contextualSpacing/>
              <w:rPr>
                <w:rFonts w:ascii="Garamond" w:eastAsia="Cambria" w:hAnsi="Garamond" w:cs="Tahoma"/>
                <w:lang w:val="sq-AL"/>
              </w:rPr>
            </w:pPr>
            <w:r w:rsidRPr="000E1EB0" w:rsidDel="0055155F">
              <w:rPr>
                <w:rFonts w:ascii="Garamond" w:eastAsia="Cambria" w:hAnsi="Garamond" w:cs="Tahoma"/>
                <w:lang w:val="sq-AL"/>
              </w:rPr>
              <w:t xml:space="preserve"> </w:t>
            </w:r>
          </w:p>
          <w:p w14:paraId="6D6F2731"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Organizimi i aktiviteteve, takimeve, trajnimeve, vizitave studimore apo vizitave të shkëmbimit, për të mësuar nga praktikat më të mira të nismave të tjera të zhvillimit territorial.</w:t>
            </w:r>
          </w:p>
          <w:p w14:paraId="6D6F2732" w14:textId="77777777" w:rsidR="00650E6F" w:rsidRPr="000E1EB0" w:rsidRDefault="00650E6F" w:rsidP="00650E6F">
            <w:pPr>
              <w:suppressAutoHyphens/>
              <w:autoSpaceDE w:val="0"/>
              <w:contextualSpacing/>
              <w:rPr>
                <w:rFonts w:ascii="Garamond" w:eastAsia="Cambria" w:hAnsi="Garamond" w:cs="Tahoma"/>
                <w:lang w:val="sq-AL"/>
              </w:rPr>
            </w:pPr>
          </w:p>
          <w:p w14:paraId="6D6F2733"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Pjesëmarrja e stafit të strukturave të menaxhimit në forumet e Ballkanit Perëndimor apo të BE-së.</w:t>
            </w:r>
          </w:p>
          <w:p w14:paraId="6D6F2734" w14:textId="77777777" w:rsidR="00650E6F" w:rsidRPr="000E1EB0" w:rsidRDefault="00650E6F" w:rsidP="00650E6F">
            <w:pPr>
              <w:suppressAutoHyphens/>
              <w:autoSpaceDE w:val="0"/>
              <w:contextualSpacing/>
              <w:rPr>
                <w:rFonts w:ascii="Garamond" w:eastAsia="Cambria" w:hAnsi="Garamond" w:cs="Tahoma"/>
                <w:lang w:val="sq-AL"/>
              </w:rPr>
            </w:pPr>
          </w:p>
          <w:p w14:paraId="6D6F2735"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Përgatitja e manualeve / doracakëve të brendshëm dhe / ose të jashtëm.</w:t>
            </w:r>
          </w:p>
          <w:p w14:paraId="6D6F2736" w14:textId="77777777" w:rsidR="00650E6F" w:rsidRPr="000E1EB0" w:rsidRDefault="00650E6F" w:rsidP="00650E6F">
            <w:pPr>
              <w:suppressAutoHyphens/>
              <w:autoSpaceDE w:val="0"/>
              <w:contextualSpacing/>
              <w:rPr>
                <w:rFonts w:ascii="Garamond" w:eastAsia="Cambria" w:hAnsi="Garamond" w:cs="Tahoma"/>
                <w:lang w:val="sq-AL"/>
              </w:rPr>
            </w:pPr>
          </w:p>
          <w:p w14:paraId="6D6F2737" w14:textId="2F1AAD7D"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Asistencë për aplikuesit e mundshëm në partneritet dhe për zhvillimin e projektit (forume për kërkimin e partnerëve</w:t>
            </w:r>
            <w:r w:rsidR="00E834B7">
              <w:rPr>
                <w:rFonts w:ascii="Garamond" w:eastAsia="Cambria" w:hAnsi="Garamond" w:cs="Tahoma"/>
                <w:lang w:val="sq-AL"/>
              </w:rPr>
              <w:t xml:space="preserve"> etj.</w:t>
            </w:r>
            <w:r w:rsidRPr="000E1EB0">
              <w:rPr>
                <w:rFonts w:ascii="Garamond" w:eastAsia="Cambria" w:hAnsi="Garamond" w:cs="Tahoma"/>
                <w:lang w:val="sq-AL"/>
              </w:rPr>
              <w:t>).</w:t>
            </w:r>
          </w:p>
          <w:p w14:paraId="6D6F2738" w14:textId="77777777" w:rsidR="00650E6F" w:rsidRPr="000E1EB0" w:rsidRDefault="00650E6F" w:rsidP="00650E6F">
            <w:pPr>
              <w:suppressAutoHyphens/>
              <w:autoSpaceDE w:val="0"/>
              <w:contextualSpacing/>
              <w:rPr>
                <w:rFonts w:ascii="Garamond" w:eastAsia="Cambria" w:hAnsi="Garamond" w:cs="Tahoma"/>
                <w:lang w:val="sq-AL"/>
              </w:rPr>
            </w:pPr>
          </w:p>
          <w:p w14:paraId="6D6F2739"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Këshilla për përfituesit e granteve mbi çështje lidhur me zbatimin e projektit.</w:t>
            </w:r>
          </w:p>
          <w:p w14:paraId="6D6F273A" w14:textId="77777777" w:rsidR="00650E6F" w:rsidRPr="000E1EB0" w:rsidRDefault="00650E6F" w:rsidP="00650E6F">
            <w:pPr>
              <w:suppressAutoHyphens/>
              <w:autoSpaceDE w:val="0"/>
              <w:contextualSpacing/>
              <w:rPr>
                <w:rFonts w:ascii="Garamond" w:eastAsia="Cambria" w:hAnsi="Garamond" w:cs="Tahoma"/>
                <w:lang w:val="sq-AL"/>
              </w:rPr>
            </w:pPr>
          </w:p>
          <w:p w14:paraId="6D6F273B"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Monitorimi i zbatimit të projektit dhe programit, duke përfshirë krijimin e një sistemi të monitorimit dhe raportimit përkatës.</w:t>
            </w:r>
          </w:p>
          <w:p w14:paraId="6D6F273C" w14:textId="77777777" w:rsidR="00650E6F" w:rsidRPr="000E1EB0" w:rsidRDefault="00650E6F" w:rsidP="00650E6F">
            <w:pPr>
              <w:suppressAutoHyphens/>
              <w:autoSpaceDE w:val="0"/>
              <w:contextualSpacing/>
              <w:rPr>
                <w:rFonts w:ascii="Garamond" w:eastAsia="Cambria" w:hAnsi="Garamond" w:cs="Tahoma"/>
                <w:lang w:val="sq-AL"/>
              </w:rPr>
            </w:pPr>
          </w:p>
          <w:p w14:paraId="6D6F273D"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Organizimi i aktiviteteve të vlerësimit, analizave, sondazheve dhe / ose studimeve.</w:t>
            </w:r>
          </w:p>
          <w:p w14:paraId="6D6F273E" w14:textId="77777777" w:rsidR="00650E6F" w:rsidRPr="000E1EB0" w:rsidRDefault="00650E6F" w:rsidP="00650E6F">
            <w:pPr>
              <w:suppressAutoHyphens/>
              <w:autoSpaceDE w:val="0"/>
              <w:contextualSpacing/>
              <w:rPr>
                <w:rFonts w:ascii="Garamond" w:eastAsia="Cambria" w:hAnsi="Garamond" w:cs="Tahoma"/>
                <w:lang w:val="sq-AL"/>
              </w:rPr>
            </w:pPr>
          </w:p>
          <w:p w14:paraId="6D6F273F" w14:textId="65F3C372"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 xml:space="preserve">Informim dhe publicitet, </w:t>
            </w:r>
            <w:r w:rsidRPr="000E1EB0">
              <w:rPr>
                <w:rFonts w:ascii="Garamond" w:eastAsia="Cambria" w:hAnsi="Garamond" w:cs="Tahoma"/>
                <w:lang w:val="sq-AL"/>
              </w:rPr>
              <w:lastRenderedPageBreak/>
              <w:t>duke përfshirë përgatitjen, miratimin dhe rishikimin e rregullt të një plani vizibiliteti dhe komunikimi, shpërndarjen e informacionit (ditë informimi, mësimet e nxjerra, studimet e rasteve më të mira, artikuj dhe deklarata për shtyp), ngjarje promovuese dhe artikuj të shtypur, zhvillimi i mjeteve të komunikimit, mirëmbajtja, përditësimi dhe përmirësimi i faqes së internetit të programit</w:t>
            </w:r>
            <w:r w:rsidR="00E834B7">
              <w:rPr>
                <w:rFonts w:ascii="Garamond" w:eastAsia="Cambria" w:hAnsi="Garamond" w:cs="Tahoma"/>
                <w:lang w:val="sq-AL"/>
              </w:rPr>
              <w:t xml:space="preserve"> etj.</w:t>
            </w:r>
            <w:r w:rsidRPr="000E1EB0">
              <w:rPr>
                <w:rFonts w:ascii="Garamond" w:eastAsia="Cambria" w:hAnsi="Garamond" w:cs="Tahoma"/>
                <w:lang w:val="sq-AL"/>
              </w:rPr>
              <w:t xml:space="preserve"> </w:t>
            </w:r>
          </w:p>
          <w:p w14:paraId="6D6F2740" w14:textId="77777777" w:rsidR="00650E6F" w:rsidRPr="000E1EB0" w:rsidRDefault="00650E6F" w:rsidP="00650E6F">
            <w:pPr>
              <w:suppressAutoHyphens/>
              <w:autoSpaceDE w:val="0"/>
              <w:contextualSpacing/>
              <w:rPr>
                <w:rFonts w:ascii="Garamond" w:eastAsia="Cambria" w:hAnsi="Garamond" w:cs="Tahoma"/>
                <w:lang w:val="sq-AL"/>
              </w:rPr>
            </w:pPr>
          </w:p>
          <w:p w14:paraId="6D6F2741" w14:textId="03F174C9"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Mbështetje për punën e Task</w:t>
            </w:r>
            <w:r w:rsidR="00212FD8">
              <w:rPr>
                <w:rFonts w:ascii="Garamond" w:eastAsia="Cambria" w:hAnsi="Garamond" w:cs="Tahoma"/>
                <w:lang w:val="sq-AL"/>
              </w:rPr>
              <w:t>-</w:t>
            </w:r>
            <w:r w:rsidRPr="000E1EB0">
              <w:rPr>
                <w:rFonts w:ascii="Garamond" w:eastAsia="Cambria" w:hAnsi="Garamond" w:cs="Tahoma"/>
                <w:lang w:val="sq-AL"/>
              </w:rPr>
              <w:t>Forcës së Përbashkët të ngarkuar me përgatitjen e ciklit të programit 2021-2026.</w:t>
            </w:r>
          </w:p>
          <w:p w14:paraId="6D6F2742" w14:textId="77777777" w:rsidR="00650E6F" w:rsidRPr="000E1EB0" w:rsidRDefault="00650E6F" w:rsidP="00650E6F">
            <w:pPr>
              <w:suppressAutoHyphens/>
              <w:autoSpaceDE w:val="0"/>
              <w:contextualSpacing/>
              <w:rPr>
                <w:rFonts w:ascii="Garamond" w:eastAsia="Cambria" w:hAnsi="Garamond" w:cs="Tahoma"/>
                <w:lang w:val="sq-AL"/>
              </w:rPr>
            </w:pPr>
          </w:p>
          <w:p w14:paraId="6D6F2743" w14:textId="77777777" w:rsidR="00650E6F" w:rsidRPr="000E1EB0" w:rsidRDefault="00650E6F" w:rsidP="00650E6F">
            <w:pPr>
              <w:suppressAutoHyphens/>
              <w:autoSpaceDE w:val="0"/>
              <w:contextualSpacing/>
              <w:rPr>
                <w:rFonts w:ascii="Garamond" w:eastAsia="Cambria" w:hAnsi="Garamond" w:cs="Tahoma"/>
                <w:lang w:val="sq-AL"/>
              </w:rPr>
            </w:pPr>
            <w:r w:rsidRPr="000E1EB0">
              <w:rPr>
                <w:rFonts w:ascii="Garamond" w:eastAsia="Cambria" w:hAnsi="Garamond" w:cs="Tahoma"/>
                <w:lang w:val="sq-AL"/>
              </w:rPr>
              <w:t>Tjetër.</w:t>
            </w:r>
          </w:p>
        </w:tc>
      </w:tr>
    </w:tbl>
    <w:p w14:paraId="6D6F2745" w14:textId="77777777" w:rsidR="00650E6F" w:rsidRPr="000E1EB0" w:rsidRDefault="00650E6F" w:rsidP="00650E6F">
      <w:pPr>
        <w:pStyle w:val="AAAATEX"/>
      </w:pPr>
    </w:p>
    <w:p w14:paraId="6D6F2746" w14:textId="77777777" w:rsidR="00650E6F" w:rsidRPr="000E1EB0" w:rsidRDefault="00650E6F" w:rsidP="00650E6F">
      <w:pPr>
        <w:pStyle w:val="AAAATEX"/>
        <w:rPr>
          <w:b/>
        </w:rPr>
      </w:pPr>
      <w:bookmarkStart w:id="1" w:name="_Toc363833825"/>
      <w:bookmarkStart w:id="2" w:name="_Toc363833939"/>
      <w:bookmarkStart w:id="3" w:name="_Toc364756959"/>
      <w:bookmarkStart w:id="4" w:name="_Toc437600595"/>
      <w:r w:rsidRPr="000E1EB0">
        <w:rPr>
          <w:b/>
        </w:rPr>
        <w:t xml:space="preserve">3.3 </w:t>
      </w:r>
      <w:bookmarkEnd w:id="1"/>
      <w:bookmarkEnd w:id="2"/>
      <w:bookmarkEnd w:id="3"/>
      <w:r w:rsidRPr="000E1EB0">
        <w:rPr>
          <w:b/>
        </w:rPr>
        <w:t>Çështjet horizontale dhe të ndërthurura</w:t>
      </w:r>
      <w:bookmarkEnd w:id="4"/>
    </w:p>
    <w:p w14:paraId="6D6F2747" w14:textId="77777777" w:rsidR="00650E6F" w:rsidRPr="000E1EB0" w:rsidRDefault="00650E6F" w:rsidP="00650E6F">
      <w:pPr>
        <w:pStyle w:val="AAAATEX"/>
      </w:pPr>
      <w:r w:rsidRPr="000E1EB0">
        <w:t>Çështjet horizontale dhe ndërsektoriale kanë të bëjnë me temat e ndërlidhura me modalitetet e zbatimit të prioriteteve tematike të përzgjedhura dhe me politikat e komunitetit të karakterit horizontal.</w:t>
      </w:r>
    </w:p>
    <w:p w14:paraId="6D6F2748" w14:textId="2386AE24" w:rsidR="00650E6F" w:rsidRPr="000E1EB0" w:rsidRDefault="00650E6F" w:rsidP="00650E6F">
      <w:pPr>
        <w:pStyle w:val="AAAATEX"/>
      </w:pPr>
      <w:r w:rsidRPr="000E1EB0">
        <w:t xml:space="preserve">Programi pranon aksionet </w:t>
      </w:r>
      <w:r w:rsidRPr="000E1EB0">
        <w:rPr>
          <w:b/>
        </w:rPr>
        <w:t>njerëz-për-njerëz</w:t>
      </w:r>
      <w:r w:rsidRPr="000E1EB0">
        <w:t xml:space="preserve"> dhe </w:t>
      </w:r>
      <w:r w:rsidRPr="000E1EB0">
        <w:rPr>
          <w:b/>
        </w:rPr>
        <w:t>rrjetet institucionale/të bashkëpunimit</w:t>
      </w:r>
      <w:r w:rsidRPr="000E1EB0">
        <w:t xml:space="preserve"> </w:t>
      </w:r>
      <w:r w:rsidRPr="000E1EB0">
        <w:rPr>
          <w:b/>
        </w:rPr>
        <w:t xml:space="preserve">për LPP </w:t>
      </w:r>
      <w:r w:rsidRPr="000E1EB0">
        <w:t>si modalitete që do të zbatohen në të gjitha prioritetet e zgjedhura tematike.</w:t>
      </w:r>
    </w:p>
    <w:p w14:paraId="6D6F2749" w14:textId="765B9819" w:rsidR="00650E6F" w:rsidRPr="000E1EB0" w:rsidRDefault="00650E6F" w:rsidP="00650E6F">
      <w:pPr>
        <w:pStyle w:val="AAAATEX"/>
      </w:pPr>
      <w:r w:rsidRPr="000E1EB0">
        <w:t>Përveç kësaj, legjislacioni i BE-së kërkon që çështjet specifike horizontale dhe ndërsektoriale që janë pjesë e politikave të komunitetit, të trajtohen në mënyrën e duhur në të gjitha programet e financuara nga BE</w:t>
      </w:r>
      <w:r w:rsidR="00960825">
        <w:t>-ja</w:t>
      </w:r>
      <w:r w:rsidRPr="000E1EB0">
        <w:t xml:space="preserve">. </w:t>
      </w:r>
      <w:r w:rsidRPr="000E1EB0">
        <w:rPr>
          <w:rFonts w:eastAsia="Times New Roman"/>
          <w:lang w:eastAsia="en-GB"/>
        </w:rPr>
        <w:t>Në këtë kontekst, strategjia ka të bëjë me prioritetet e Evropës 2020 në harmoni me rrethanat rajonale, duke trajtuar një vizion të ekonomisë sociale të tregut në Evropë, duke sjellë kështu nivele të rritura të punësimit, produktivitetit dhe kohezionit social. Kjo strategji është e bazuar në tri prioritetet e përbashkët përforcues</w:t>
      </w:r>
      <w:r w:rsidRPr="000E1EB0">
        <w:t xml:space="preserve">: </w:t>
      </w:r>
      <w:r w:rsidR="00C8430B" w:rsidRPr="000E1EB0">
        <w:rPr>
          <w:b/>
        </w:rPr>
        <w:t xml:space="preserve">rritje </w:t>
      </w:r>
      <w:r w:rsidRPr="000E1EB0">
        <w:rPr>
          <w:b/>
        </w:rPr>
        <w:t>e mençur, e qëndrueshme dhe gjithëpërfshirëse</w:t>
      </w:r>
      <w:r w:rsidRPr="000E1EB0">
        <w:t xml:space="preserve"> për të gjithë. Në këtë kontekst, </w:t>
      </w:r>
      <w:r w:rsidRPr="000E1EB0">
        <w:rPr>
          <w:b/>
        </w:rPr>
        <w:t>qëndrueshmëria sociale</w:t>
      </w:r>
      <w:r w:rsidRPr="000E1EB0">
        <w:t xml:space="preserve"> është çështja që integrohet në këtë program të bashkëpunimit ndërkufitar, e cila synon të parandalojë çdo diskriminim në bazë të gjinisë, prejardhjes raciale apo etnike, fesë ose besimit, paaftësisë, moshës ose orientimit seksual. Ndërsa </w:t>
      </w:r>
      <w:r w:rsidRPr="000E1EB0">
        <w:rPr>
          <w:b/>
        </w:rPr>
        <w:t>qëndrueshmëria e mjedisit</w:t>
      </w:r>
      <w:r w:rsidRPr="000E1EB0">
        <w:t xml:space="preserve"> do të kërkojë kryesisht pajtueshmërinë me </w:t>
      </w:r>
      <w:r w:rsidR="00C8430B" w:rsidRPr="000E1EB0">
        <w:t xml:space="preserve">direktivën e habitateve </w:t>
      </w:r>
      <w:r w:rsidR="003566F4">
        <w:t>92</w:t>
      </w:r>
      <w:r w:rsidRPr="000E1EB0">
        <w:t xml:space="preserve">/43/KE, </w:t>
      </w:r>
      <w:r w:rsidR="00C8430B" w:rsidRPr="000E1EB0">
        <w:t xml:space="preserve">direktivën për zogjtë </w:t>
      </w:r>
      <w:r w:rsidRPr="000E1EB0">
        <w:t xml:space="preserve">79/409/KE dhe direktivat në lidhje me rrjetin evropian të zonave të mbrojtura NATURA 2000. Në krye të kësaj, çështjet mjedisore do marrin në konsideratë drejtpërdrejt aspekte që, ndër të tjera, lidhen me menaxhimin e mbetjeve, efikasitetin e energjisë dhe aftësinë ripërtëritëse ndaj ndryshimeve klimatike si pjesë e </w:t>
      </w:r>
      <w:r w:rsidR="006D6936" w:rsidRPr="000E1EB0">
        <w:t xml:space="preserve">prioritetit </w:t>
      </w:r>
      <w:r w:rsidRPr="000E1EB0">
        <w:t>3.</w:t>
      </w:r>
    </w:p>
    <w:p w14:paraId="6D6F274A" w14:textId="77777777" w:rsidR="00650E6F" w:rsidRPr="000E1EB0" w:rsidRDefault="00650E6F" w:rsidP="00650E6F">
      <w:pPr>
        <w:pStyle w:val="AAAATEX"/>
      </w:pPr>
      <w:r w:rsidRPr="000E1EB0">
        <w:t>Çështjet horizontale dhe ndërsektoriale do të trajtohen në mënyrë të dyfishtë:</w:t>
      </w:r>
    </w:p>
    <w:p w14:paraId="6D6F274B" w14:textId="77777777" w:rsidR="00650E6F" w:rsidRPr="000E1EB0" w:rsidRDefault="00650E6F" w:rsidP="00650E6F">
      <w:pPr>
        <w:pStyle w:val="AAAATEX"/>
      </w:pPr>
      <w:r w:rsidRPr="000E1EB0">
        <w:t>1. Nëpërmjet operacioneve dhe aktiviteteve</w:t>
      </w:r>
      <w:r w:rsidRPr="006D6936">
        <w:t xml:space="preserve"> </w:t>
      </w:r>
      <w:r w:rsidRPr="000E1EB0">
        <w:rPr>
          <w:u w:val="single"/>
        </w:rPr>
        <w:t>të drejtpërdrejta</w:t>
      </w:r>
      <w:r w:rsidRPr="006D6936">
        <w:t xml:space="preserve">, </w:t>
      </w:r>
      <w:r w:rsidRPr="000E1EB0">
        <w:t>duke nxitur dhe mbështetur rritjen gjithëpërfshirëse dhe qëndrueshmërinë sociale dhe mjedisore;</w:t>
      </w:r>
    </w:p>
    <w:p w14:paraId="6D6F274C" w14:textId="77777777" w:rsidR="00650E6F" w:rsidRPr="000E1EB0" w:rsidRDefault="00650E6F" w:rsidP="00650E6F">
      <w:pPr>
        <w:pStyle w:val="AAAATEX"/>
      </w:pPr>
      <w:r w:rsidRPr="000E1EB0">
        <w:t xml:space="preserve">2. Nga përfshirja e tyre si çështje të ndërlidhura që </w:t>
      </w:r>
      <w:r w:rsidRPr="000E1EB0">
        <w:rPr>
          <w:u w:val="single"/>
        </w:rPr>
        <w:t>kanë ndikim të tërthortë dhe integrohen në</w:t>
      </w:r>
      <w:r w:rsidRPr="000E1EB0">
        <w:t xml:space="preserve"> operacionet dhe aktivitetet brenda çdo prioriteti tematik.</w:t>
      </w:r>
    </w:p>
    <w:p w14:paraId="6D6F274D" w14:textId="3128F6E2" w:rsidR="00650E6F" w:rsidRPr="000E1EB0" w:rsidRDefault="00650E6F" w:rsidP="00650E6F">
      <w:pPr>
        <w:pStyle w:val="AAAATEX"/>
      </w:pPr>
      <w:r w:rsidRPr="000E1EB0">
        <w:lastRenderedPageBreak/>
        <w:t xml:space="preserve">Rrjedhimisht, </w:t>
      </w:r>
      <w:r w:rsidR="006D6936" w:rsidRPr="000E1EB0">
        <w:t xml:space="preserve">strukturat operative </w:t>
      </w:r>
      <w:r w:rsidRPr="000E1EB0">
        <w:t>janë të nevojshme për të futur dispozita të veçanta në dokumentet që shtrojnë bazat për aktivitetet dhe operacionet, p.sh. skemat e granteve, termat e referencës etj., në mënyrë që të sigurohet që:</w:t>
      </w:r>
    </w:p>
    <w:p w14:paraId="6D6F274E" w14:textId="77777777" w:rsidR="00650E6F" w:rsidRPr="000E1EB0" w:rsidRDefault="00650E6F" w:rsidP="00650E6F">
      <w:pPr>
        <w:pStyle w:val="AAAATEX"/>
      </w:pPr>
      <w:r w:rsidRPr="000E1EB0">
        <w:t>- Aktivitetet dhe operacionet të mos vendosin pengesa të lidhura me gjininë, pikëpamjet, orientimin seksual, racor apo origjinën etnike, veçanërisht në lidhje me punësimin dhe politikat e HR të ndjekura ndaj personave të cilët do të jenë të punësuar në kuadër të projekteve të zbatuara nën skemat e granteve ose përmes ndërhyrjeve të asistencës teknike;</w:t>
      </w:r>
    </w:p>
    <w:p w14:paraId="6D6F274F" w14:textId="77777777" w:rsidR="00650E6F" w:rsidRPr="000E1EB0" w:rsidRDefault="00650E6F" w:rsidP="00650E6F">
      <w:pPr>
        <w:pStyle w:val="AAAATEX"/>
      </w:pPr>
      <w:r w:rsidRPr="000E1EB0">
        <w:t>- Përshtatshmëria për personat me aftësi të kufizuara të jetë një nga kriteret që duhet të respektohet për zhvillimin e infrastrukturës;</w:t>
      </w:r>
    </w:p>
    <w:p w14:paraId="6D6F2750" w14:textId="65816A55" w:rsidR="00650E6F" w:rsidRPr="000E1EB0" w:rsidRDefault="00650E6F" w:rsidP="00650E6F">
      <w:pPr>
        <w:pStyle w:val="AAAATEX"/>
      </w:pPr>
      <w:r w:rsidRPr="000E1EB0">
        <w:t xml:space="preserve">- Përfituesit e granteve të bashkëpunimit ndërkufitar të sigurojnë që përfituesit përfundimtarë të kenë mundësi të barabarta aksesi në të gjitha shërbimet, trajnimet, asetet ose pajisjet fikse ose </w:t>
      </w:r>
      <w:r w:rsidR="001E1489">
        <w:t>jo</w:t>
      </w:r>
      <w:r w:rsidRPr="000E1EB0">
        <w:t>materiale të blera nëpërmjet aktiviteteve dhe operacioneve;</w:t>
      </w:r>
    </w:p>
    <w:p w14:paraId="6D6F2751" w14:textId="77777777" w:rsidR="00650E6F" w:rsidRPr="000E1EB0" w:rsidRDefault="00650E6F" w:rsidP="00650E6F">
      <w:pPr>
        <w:pStyle w:val="AAAATEX"/>
      </w:pPr>
      <w:r w:rsidRPr="000E1EB0">
        <w:t xml:space="preserve">- Aktivitetet dhe operacionet gjithashtu duhet të hartohen në përputhje me parimet e një mjedisi të qëndrueshëm dhe promovimit të mbrojtjes së mjedisit, dhe të prodhojnë ndikim pozitiv ose të paktën neutral në mjedis. Që aktivitetet dhe operacionet të kenë ndikim pozitiv, duhet të hartohen me qëllim që, ose të marrin në konsideratë të paktën një nga pikat e mëposhtme: </w:t>
      </w:r>
    </w:p>
    <w:p w14:paraId="6D6F2752" w14:textId="128F73B9" w:rsidR="00650E6F" w:rsidRPr="000E1EB0" w:rsidRDefault="00650E6F" w:rsidP="00650E6F">
      <w:pPr>
        <w:pStyle w:val="AAAATEX"/>
      </w:pPr>
      <w:r w:rsidRPr="000E1EB0">
        <w:t xml:space="preserve">- </w:t>
      </w:r>
      <w:r w:rsidR="00B42915" w:rsidRPr="000E1EB0">
        <w:t xml:space="preserve">përmirësimin </w:t>
      </w:r>
      <w:r w:rsidRPr="000E1EB0">
        <w:t>e zinxhirit të menaxhimit të mbetjeve (për mbetjet e ngurta dhe/ose të lëngshme);</w:t>
      </w:r>
    </w:p>
    <w:p w14:paraId="6D6F2753" w14:textId="6EEC3D78" w:rsidR="00650E6F" w:rsidRPr="000E1EB0" w:rsidRDefault="00650E6F" w:rsidP="00650E6F">
      <w:pPr>
        <w:pStyle w:val="AAAATEX"/>
      </w:pPr>
      <w:r w:rsidRPr="000E1EB0">
        <w:t xml:space="preserve">- </w:t>
      </w:r>
      <w:r w:rsidR="00B42915" w:rsidRPr="000E1EB0">
        <w:t xml:space="preserve">zvogëlimin </w:t>
      </w:r>
      <w:r w:rsidRPr="000E1EB0">
        <w:t>e vëllimit të mbetjeve tashmë të krijuara, në fazën e planifikimit dhe projektimit të projektit individual;</w:t>
      </w:r>
    </w:p>
    <w:p w14:paraId="6D6F2754" w14:textId="6E9968AC" w:rsidR="00650E6F" w:rsidRPr="000E1EB0" w:rsidRDefault="00650E6F" w:rsidP="00650E6F">
      <w:pPr>
        <w:pStyle w:val="AAAATEX"/>
      </w:pPr>
      <w:r w:rsidRPr="000E1EB0">
        <w:t xml:space="preserve">- </w:t>
      </w:r>
      <w:r w:rsidR="00B42915" w:rsidRPr="000E1EB0">
        <w:t xml:space="preserve">përdorimin </w:t>
      </w:r>
      <w:r w:rsidRPr="000E1EB0">
        <w:t>e qëndrueshëm të burimeve natyrore</w:t>
      </w:r>
      <w:r w:rsidR="004D08E2">
        <w:t>;</w:t>
      </w:r>
      <w:r w:rsidRPr="000E1EB0">
        <w:t xml:space="preserve"> </w:t>
      </w:r>
    </w:p>
    <w:p w14:paraId="6D6F2755" w14:textId="3C60C027" w:rsidR="00650E6F" w:rsidRPr="000E1EB0" w:rsidRDefault="00650E6F" w:rsidP="00650E6F">
      <w:pPr>
        <w:pStyle w:val="AAAATEX"/>
      </w:pPr>
      <w:r w:rsidRPr="000E1EB0">
        <w:t xml:space="preserve">- </w:t>
      </w:r>
      <w:r w:rsidR="00B42915" w:rsidRPr="000E1EB0">
        <w:t xml:space="preserve">elasticitetin </w:t>
      </w:r>
      <w:r w:rsidRPr="000E1EB0">
        <w:t>klimatik;</w:t>
      </w:r>
    </w:p>
    <w:p w14:paraId="6D6F2756" w14:textId="754AE1AD" w:rsidR="00650E6F" w:rsidRPr="000E1EB0" w:rsidRDefault="00650E6F" w:rsidP="00650E6F">
      <w:pPr>
        <w:pStyle w:val="AAAATEX"/>
      </w:pPr>
      <w:r w:rsidRPr="000E1EB0">
        <w:t xml:space="preserve">- </w:t>
      </w:r>
      <w:r w:rsidR="00B42915" w:rsidRPr="000E1EB0">
        <w:t xml:space="preserve">proceset </w:t>
      </w:r>
      <w:r w:rsidRPr="000E1EB0">
        <w:t>pjesëmarrëse të planifikimit dhe konsultimit publik për proceset e planifikimit të zhvillimit hapësinor dhe të investimeve.</w:t>
      </w:r>
    </w:p>
    <w:p w14:paraId="6D6F2757" w14:textId="77777777" w:rsidR="00650E6F" w:rsidRPr="000E1EB0" w:rsidRDefault="00650E6F" w:rsidP="00650E6F">
      <w:pPr>
        <w:pStyle w:val="AAAATEX"/>
        <w:rPr>
          <w:lang w:eastAsia="ar-SA"/>
        </w:rPr>
      </w:pPr>
      <w:r w:rsidRPr="000E1EB0">
        <w:rPr>
          <w:lang w:eastAsia="ar-SA"/>
        </w:rPr>
        <w:t>Projektet të kontribuojnë në mënyrë të drejtpërdrejtë në krijimin e vendeve të punës (duke përfshirë dialogun social), nxitjen e punësimit dhe forcimin e kushteve të punës, si dhe të promovojnë sigurimin e barazisë.</w:t>
      </w:r>
    </w:p>
    <w:p w14:paraId="6D6F2758" w14:textId="2EB3960F" w:rsidR="00650E6F" w:rsidRPr="000E1EB0" w:rsidRDefault="00650E6F" w:rsidP="00650E6F">
      <w:pPr>
        <w:pStyle w:val="AAAATEX"/>
      </w:pPr>
      <w:r w:rsidRPr="000E1EB0">
        <w:t xml:space="preserve">Temat horizontale dhe të ndërlidhura të këtij programi të bashkëpunimit ndërkufitar duhet të harmonizohen edhe nëpërmjet prioritetit të Asistencës Teknike që synon forcimin e efikasitetit dhe efektivitetit të ndërhyrjeve të </w:t>
      </w:r>
      <w:r w:rsidR="00036A7C">
        <w:t>bashkë</w:t>
      </w:r>
      <w:r w:rsidRPr="000E1EB0">
        <w:t>financimit nga fondet e IPA II me cilësi të lartë dhe menaxhim të shëndoshë në nivel kombëtar dhe me mbështetje gjithëpërfshirëse në nivel lokal.</w:t>
      </w:r>
    </w:p>
    <w:p w14:paraId="6D6F2759" w14:textId="59320655" w:rsidR="00650E6F" w:rsidRPr="000E1EB0" w:rsidRDefault="00650E6F" w:rsidP="00650E6F">
      <w:pPr>
        <w:pStyle w:val="AAAATEX"/>
      </w:pPr>
      <w:r w:rsidRPr="000E1EB0">
        <w:t>Projektet e përgatitura në kuadër të qasjes së Zhvillimit të Bazuar në Zonë (ABD) për të lehtësuar rritjen e qëndrueshme në zonat gjeografike të përcaktuara në rajonet ndërkufitare të Ballkanit Perëndimor, në zona të veçanta rurale që karakterizohen nga probleme të veçanta komplekse zhvillimore, mund të konsiderohen për financim në kuadër të këtij programi të bashkëpunimit ndërkufitar. Puna përgatitore për qasjen ABD tashmë të zbatuar në rajonin ndërkufitar që mbulon ish</w:t>
      </w:r>
      <w:r w:rsidR="006D6936">
        <w:t>-</w:t>
      </w:r>
      <w:r w:rsidRPr="000E1EB0">
        <w:t>Republikën Jugosllave të Maqedonisë dhe Republikën e Shqipërisë, do të merret në konsideratë.</w:t>
      </w:r>
    </w:p>
    <w:p w14:paraId="63F91140" w14:textId="77777777" w:rsidR="006D6936" w:rsidRDefault="006D6936" w:rsidP="00650E6F">
      <w:pPr>
        <w:pStyle w:val="AAAATEX"/>
        <w:rPr>
          <w:b/>
        </w:rPr>
      </w:pPr>
      <w:bookmarkStart w:id="5" w:name="_Toc437600596"/>
    </w:p>
    <w:p w14:paraId="6D6F275A" w14:textId="160FAD12" w:rsidR="00650E6F" w:rsidRPr="006D6936" w:rsidRDefault="006D6936" w:rsidP="006D6936">
      <w:pPr>
        <w:pStyle w:val="AAAATEX"/>
        <w:jc w:val="center"/>
      </w:pPr>
      <w:r w:rsidRPr="006D6936">
        <w:t>SEKSIONI 4</w:t>
      </w:r>
      <w:bookmarkEnd w:id="5"/>
    </w:p>
    <w:p w14:paraId="6D6F275B" w14:textId="519E2BC9" w:rsidR="00650E6F" w:rsidRPr="006D6936" w:rsidRDefault="006D6936" w:rsidP="006D6936">
      <w:pPr>
        <w:pStyle w:val="AAAATEX"/>
        <w:jc w:val="center"/>
      </w:pPr>
      <w:bookmarkStart w:id="6" w:name="_Toc437600597"/>
      <w:r w:rsidRPr="006D6936">
        <w:t>PLANI FINANCIAR</w:t>
      </w:r>
      <w:bookmarkEnd w:id="6"/>
    </w:p>
    <w:p w14:paraId="6F29D1C1" w14:textId="77777777" w:rsidR="006D6936" w:rsidRDefault="006D6936" w:rsidP="00650E6F">
      <w:pPr>
        <w:pStyle w:val="AAAATEX"/>
      </w:pPr>
    </w:p>
    <w:p w14:paraId="6D6F275C" w14:textId="025E6987" w:rsidR="00650E6F" w:rsidRPr="000E1EB0" w:rsidRDefault="00650E6F" w:rsidP="00650E6F">
      <w:pPr>
        <w:pStyle w:val="AAAATEX"/>
      </w:pPr>
      <w:r w:rsidRPr="000E1EB0">
        <w:t xml:space="preserve">Tabela 1 tregon sasinë vjetore të parashikuar të kontributit të Bashkimit Evropian për programin e bashkëpunimit ndërkufitar për periudhën </w:t>
      </w:r>
      <w:r w:rsidR="00BE160D">
        <w:t>2014–2020</w:t>
      </w:r>
      <w:r w:rsidRPr="000E1EB0">
        <w:t xml:space="preserve">. Tabela 2 ofron një shpërndarje të parashikuar për alokimet për secilin prioritet tematik si dhe një parashikim mbi shumën maksimale të </w:t>
      </w:r>
      <w:r w:rsidR="00036A7C">
        <w:t>bashkë</w:t>
      </w:r>
      <w:r w:rsidRPr="000E1EB0">
        <w:t>financimit të Bashkimit Evropian.</w:t>
      </w:r>
    </w:p>
    <w:p w14:paraId="6D6F275D" w14:textId="413B998A" w:rsidR="00650E6F" w:rsidRPr="006D6936" w:rsidRDefault="00650E6F" w:rsidP="00650E6F">
      <w:pPr>
        <w:pStyle w:val="AAAATEX"/>
        <w:rPr>
          <w:i/>
        </w:rPr>
      </w:pPr>
      <w:r w:rsidRPr="006D6936">
        <w:rPr>
          <w:i/>
        </w:rPr>
        <w:t>Tabela 1</w:t>
      </w:r>
      <w:r w:rsidR="006D6936">
        <w:rPr>
          <w:i/>
        </w:rPr>
        <w:t>.</w:t>
      </w:r>
      <w:r w:rsidRPr="006D6936">
        <w:rPr>
          <w:i/>
        </w:rPr>
        <w:t xml:space="preserve"> Alokimet e parashikuara financiare në vit për programin e bashkëpunimit ndërkufitar </w:t>
      </w:r>
      <w:r w:rsidR="00BE160D">
        <w:rPr>
          <w:i/>
        </w:rPr>
        <w:t>2014–2020</w:t>
      </w:r>
      <w:r w:rsidRPr="006D6936">
        <w:rPr>
          <w:i/>
        </w:rPr>
        <w:t xml:space="preserve"> </w:t>
      </w:r>
    </w:p>
    <w:p w14:paraId="6D6F275E" w14:textId="77777777" w:rsidR="00650E6F" w:rsidRPr="000E1EB0" w:rsidRDefault="00650E6F" w:rsidP="00650E6F">
      <w:pPr>
        <w:spacing w:after="0" w:line="240" w:lineRule="auto"/>
        <w:jc w:val="both"/>
        <w:rPr>
          <w:rFonts w:ascii="Garamond" w:hAnsi="Garamond" w:cs="Tahoma"/>
          <w:sz w:val="20"/>
          <w:szCs w:val="20"/>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29" w:type="dxa"/>
          <w:left w:w="115" w:type="dxa"/>
          <w:bottom w:w="29" w:type="dxa"/>
          <w:right w:w="115" w:type="dxa"/>
        </w:tblCellMar>
        <w:tblLook w:val="04A0" w:firstRow="1" w:lastRow="0" w:firstColumn="1" w:lastColumn="0" w:noHBand="0" w:noVBand="1"/>
      </w:tblPr>
      <w:tblGrid>
        <w:gridCol w:w="1098"/>
        <w:gridCol w:w="999"/>
        <w:gridCol w:w="1039"/>
        <w:gridCol w:w="1039"/>
        <w:gridCol w:w="1038"/>
        <w:gridCol w:w="1041"/>
        <w:gridCol w:w="1042"/>
        <w:gridCol w:w="1046"/>
        <w:gridCol w:w="1248"/>
      </w:tblGrid>
      <w:tr w:rsidR="00650E6F" w:rsidRPr="000E1EB0" w14:paraId="6D6F2762" w14:textId="77777777" w:rsidTr="006B2531">
        <w:trPr>
          <w:trHeight w:val="29"/>
          <w:jc w:val="center"/>
        </w:trPr>
        <w:tc>
          <w:tcPr>
            <w:tcW w:w="565" w:type="pct"/>
            <w:vMerge w:val="restart"/>
            <w:tcBorders>
              <w:top w:val="single" w:sz="2" w:space="0" w:color="auto"/>
              <w:left w:val="single" w:sz="2" w:space="0" w:color="auto"/>
              <w:bottom w:val="single" w:sz="2" w:space="0" w:color="auto"/>
              <w:right w:val="single" w:sz="2" w:space="0" w:color="auto"/>
            </w:tcBorders>
            <w:shd w:val="clear" w:color="auto" w:fill="5B9BD5" w:themeFill="accent1"/>
            <w:noWrap/>
            <w:vAlign w:val="center"/>
            <w:hideMark/>
          </w:tcPr>
          <w:p w14:paraId="6D6F275F"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Viti</w:t>
            </w:r>
          </w:p>
        </w:tc>
        <w:tc>
          <w:tcPr>
            <w:tcW w:w="3784" w:type="pct"/>
            <w:gridSpan w:val="7"/>
            <w:tcBorders>
              <w:top w:val="single" w:sz="2" w:space="0" w:color="auto"/>
              <w:left w:val="single" w:sz="2" w:space="0" w:color="auto"/>
              <w:bottom w:val="single" w:sz="2" w:space="0" w:color="auto"/>
              <w:right w:val="single" w:sz="2" w:space="0" w:color="auto"/>
            </w:tcBorders>
            <w:shd w:val="clear" w:color="auto" w:fill="5B9BD5" w:themeFill="accent1"/>
            <w:noWrap/>
            <w:vAlign w:val="center"/>
            <w:hideMark/>
          </w:tcPr>
          <w:p w14:paraId="6D6F2760" w14:textId="144136AB"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 xml:space="preserve">Programi IPA II CBC </w:t>
            </w:r>
            <w:r w:rsidR="00EB5DEB">
              <w:rPr>
                <w:rFonts w:ascii="Garamond" w:eastAsia="Calibri" w:hAnsi="Garamond" w:cs="Tahoma"/>
                <w:b/>
                <w:bCs/>
                <w:color w:val="FFFFFF" w:themeColor="background1"/>
                <w:sz w:val="18"/>
                <w:szCs w:val="20"/>
              </w:rPr>
              <w:t>Ish-Repu</w:t>
            </w:r>
            <w:r w:rsidRPr="000E1EB0">
              <w:rPr>
                <w:rFonts w:ascii="Garamond" w:eastAsia="Calibri" w:hAnsi="Garamond" w:cs="Tahoma"/>
                <w:b/>
                <w:bCs/>
                <w:color w:val="FFFFFF" w:themeColor="background1"/>
                <w:sz w:val="18"/>
                <w:szCs w:val="20"/>
              </w:rPr>
              <w:t xml:space="preserve">blika Jugosllave e Maqedonisë – Republika e Shqipërisë </w:t>
            </w:r>
          </w:p>
        </w:tc>
        <w:tc>
          <w:tcPr>
            <w:tcW w:w="651" w:type="pct"/>
            <w:tcBorders>
              <w:top w:val="single" w:sz="2" w:space="0" w:color="auto"/>
              <w:left w:val="single" w:sz="2" w:space="0" w:color="auto"/>
              <w:bottom w:val="single" w:sz="2" w:space="0" w:color="auto"/>
              <w:right w:val="single" w:sz="2" w:space="0" w:color="auto"/>
            </w:tcBorders>
            <w:shd w:val="clear" w:color="auto" w:fill="5B9BD5" w:themeFill="accent1"/>
            <w:hideMark/>
          </w:tcPr>
          <w:p w14:paraId="6D6F2761"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Totali (EUR)</w:t>
            </w:r>
          </w:p>
        </w:tc>
      </w:tr>
      <w:tr w:rsidR="00650E6F" w:rsidRPr="000E1EB0" w14:paraId="6D6F276C" w14:textId="77777777" w:rsidTr="006B2531">
        <w:trPr>
          <w:trHeight w:val="29"/>
          <w:jc w:val="center"/>
        </w:trPr>
        <w:tc>
          <w:tcPr>
            <w:tcW w:w="565" w:type="pct"/>
            <w:vMerge/>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3" w14:textId="77777777" w:rsidR="00650E6F" w:rsidRPr="000E1EB0" w:rsidRDefault="00650E6F" w:rsidP="006B2531">
            <w:pPr>
              <w:spacing w:after="0"/>
              <w:rPr>
                <w:rFonts w:ascii="Garamond" w:eastAsia="Calibri" w:hAnsi="Garamond" w:cs="Tahoma"/>
                <w:b/>
                <w:bCs/>
                <w:color w:val="FFFFFF" w:themeColor="background1"/>
                <w:sz w:val="18"/>
                <w:szCs w:val="20"/>
              </w:rPr>
            </w:pPr>
          </w:p>
        </w:tc>
        <w:tc>
          <w:tcPr>
            <w:tcW w:w="522"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4"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2014</w:t>
            </w:r>
          </w:p>
        </w:tc>
        <w:tc>
          <w:tcPr>
            <w:tcW w:w="543"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5"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2015</w:t>
            </w:r>
          </w:p>
        </w:tc>
        <w:tc>
          <w:tcPr>
            <w:tcW w:w="543"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6"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2016</w:t>
            </w:r>
          </w:p>
        </w:tc>
        <w:tc>
          <w:tcPr>
            <w:tcW w:w="542"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7"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2017</w:t>
            </w:r>
          </w:p>
        </w:tc>
        <w:tc>
          <w:tcPr>
            <w:tcW w:w="544"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8"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2018</w:t>
            </w:r>
          </w:p>
        </w:tc>
        <w:tc>
          <w:tcPr>
            <w:tcW w:w="544"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9"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2019</w:t>
            </w:r>
          </w:p>
        </w:tc>
        <w:tc>
          <w:tcPr>
            <w:tcW w:w="546"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A" w14:textId="77777777" w:rsidR="00650E6F" w:rsidRPr="000E1EB0" w:rsidRDefault="00650E6F" w:rsidP="006B2531">
            <w:pPr>
              <w:spacing w:after="0"/>
              <w:jc w:val="center"/>
              <w:rPr>
                <w:rFonts w:ascii="Garamond" w:eastAsia="Calibri" w:hAnsi="Garamond" w:cs="Tahoma"/>
                <w:b/>
                <w:bCs/>
                <w:color w:val="FFFFFF" w:themeColor="background1"/>
                <w:sz w:val="18"/>
                <w:szCs w:val="20"/>
              </w:rPr>
            </w:pPr>
            <w:r w:rsidRPr="000E1EB0">
              <w:rPr>
                <w:rFonts w:ascii="Garamond" w:eastAsia="Calibri" w:hAnsi="Garamond" w:cs="Tahoma"/>
                <w:b/>
                <w:bCs/>
                <w:color w:val="FFFFFF" w:themeColor="background1"/>
                <w:sz w:val="18"/>
                <w:szCs w:val="20"/>
              </w:rPr>
              <w:t>2020</w:t>
            </w:r>
          </w:p>
        </w:tc>
        <w:tc>
          <w:tcPr>
            <w:tcW w:w="651" w:type="pct"/>
            <w:tcBorders>
              <w:top w:val="single" w:sz="2" w:space="0" w:color="auto"/>
              <w:left w:val="single" w:sz="2" w:space="0" w:color="auto"/>
              <w:bottom w:val="single" w:sz="2" w:space="0" w:color="auto"/>
              <w:right w:val="single" w:sz="2" w:space="0" w:color="auto"/>
            </w:tcBorders>
            <w:shd w:val="clear" w:color="auto" w:fill="5B9BD5" w:themeFill="accent1"/>
            <w:vAlign w:val="center"/>
            <w:hideMark/>
          </w:tcPr>
          <w:p w14:paraId="6D6F276B" w14:textId="51917274" w:rsidR="00650E6F" w:rsidRPr="000E1EB0" w:rsidRDefault="00BE160D" w:rsidP="006B2531">
            <w:pPr>
              <w:spacing w:after="0"/>
              <w:jc w:val="center"/>
              <w:rPr>
                <w:rFonts w:ascii="Garamond" w:eastAsia="Calibri" w:hAnsi="Garamond" w:cs="Tahoma"/>
                <w:b/>
                <w:bCs/>
                <w:color w:val="FFFFFF" w:themeColor="background1"/>
                <w:sz w:val="18"/>
                <w:szCs w:val="20"/>
              </w:rPr>
            </w:pPr>
            <w:r>
              <w:rPr>
                <w:rFonts w:ascii="Garamond" w:eastAsia="Calibri" w:hAnsi="Garamond" w:cs="Tahoma"/>
                <w:b/>
                <w:bCs/>
                <w:color w:val="FFFFFF" w:themeColor="background1"/>
                <w:sz w:val="18"/>
                <w:szCs w:val="20"/>
              </w:rPr>
              <w:t>2014–2020</w:t>
            </w:r>
          </w:p>
        </w:tc>
      </w:tr>
      <w:tr w:rsidR="00650E6F" w:rsidRPr="000E1EB0" w14:paraId="6D6F2776" w14:textId="77777777" w:rsidTr="006D6936">
        <w:trPr>
          <w:trHeight w:val="353"/>
          <w:jc w:val="center"/>
        </w:trPr>
        <w:tc>
          <w:tcPr>
            <w:tcW w:w="565"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bottom"/>
            <w:hideMark/>
          </w:tcPr>
          <w:p w14:paraId="6D6F276D" w14:textId="77777777" w:rsidR="00650E6F" w:rsidRPr="000E1EB0" w:rsidRDefault="00650E6F" w:rsidP="006B2531">
            <w:pPr>
              <w:spacing w:after="0"/>
              <w:rPr>
                <w:rFonts w:ascii="Garamond" w:eastAsia="Calibri" w:hAnsi="Garamond" w:cs="Tahoma"/>
                <w:bCs/>
                <w:color w:val="000000"/>
                <w:sz w:val="18"/>
                <w:szCs w:val="20"/>
              </w:rPr>
            </w:pPr>
            <w:r w:rsidRPr="000E1EB0">
              <w:rPr>
                <w:rFonts w:ascii="Garamond" w:eastAsia="Calibri" w:hAnsi="Garamond" w:cs="Tahoma"/>
                <w:bCs/>
                <w:color w:val="000000"/>
                <w:sz w:val="18"/>
                <w:szCs w:val="20"/>
              </w:rPr>
              <w:t>Operacionet CBC (të gjitha prioritetet tematike)</w:t>
            </w:r>
          </w:p>
        </w:tc>
        <w:tc>
          <w:tcPr>
            <w:tcW w:w="522"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hideMark/>
          </w:tcPr>
          <w:p w14:paraId="6D6F276E" w14:textId="77777777" w:rsidR="00650E6F" w:rsidRPr="000E1EB0" w:rsidRDefault="00650E6F" w:rsidP="006B2531">
            <w:pPr>
              <w:spacing w:after="0"/>
              <w:ind w:left="-55"/>
              <w:jc w:val="center"/>
              <w:rPr>
                <w:rFonts w:ascii="Garamond" w:eastAsia="Calibri" w:hAnsi="Garamond" w:cs="Tahoma"/>
                <w:bCs/>
                <w:color w:val="000000"/>
                <w:sz w:val="18"/>
                <w:szCs w:val="20"/>
              </w:rPr>
            </w:pPr>
            <w:r w:rsidRPr="000E1EB0">
              <w:rPr>
                <w:rFonts w:ascii="Garamond" w:eastAsia="Calibri" w:hAnsi="Garamond" w:cs="Tahoma"/>
                <w:color w:val="000000"/>
                <w:sz w:val="18"/>
                <w:szCs w:val="20"/>
              </w:rPr>
              <w:t>1 190 000</w:t>
            </w:r>
          </w:p>
        </w:tc>
        <w:tc>
          <w:tcPr>
            <w:tcW w:w="543"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6F"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70"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1 700 000</w:t>
            </w:r>
          </w:p>
        </w:tc>
        <w:tc>
          <w:tcPr>
            <w:tcW w:w="542"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71"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1 190 000</w:t>
            </w:r>
          </w:p>
        </w:tc>
        <w:tc>
          <w:tcPr>
            <w:tcW w:w="544"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72"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1 700 000</w:t>
            </w:r>
          </w:p>
        </w:tc>
        <w:tc>
          <w:tcPr>
            <w:tcW w:w="544"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73"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1 700 000</w:t>
            </w:r>
          </w:p>
        </w:tc>
        <w:tc>
          <w:tcPr>
            <w:tcW w:w="546"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74"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1 530 000</w:t>
            </w:r>
          </w:p>
        </w:tc>
        <w:tc>
          <w:tcPr>
            <w:tcW w:w="651"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75"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10 710 000</w:t>
            </w:r>
          </w:p>
        </w:tc>
      </w:tr>
      <w:tr w:rsidR="00650E6F" w:rsidRPr="000E1EB0" w14:paraId="6D6F2780" w14:textId="77777777" w:rsidTr="006B2531">
        <w:trPr>
          <w:trHeight w:val="29"/>
          <w:jc w:val="center"/>
        </w:trPr>
        <w:tc>
          <w:tcPr>
            <w:tcW w:w="565"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bottom"/>
            <w:hideMark/>
          </w:tcPr>
          <w:p w14:paraId="6D6F2777" w14:textId="73E7A952" w:rsidR="00650E6F" w:rsidRPr="000E1EB0" w:rsidRDefault="00650E6F" w:rsidP="006B2531">
            <w:pPr>
              <w:spacing w:after="0"/>
              <w:jc w:val="both"/>
              <w:rPr>
                <w:rFonts w:ascii="Garamond" w:eastAsia="Calibri" w:hAnsi="Garamond" w:cs="Tahoma"/>
                <w:bCs/>
                <w:color w:val="000000"/>
                <w:sz w:val="18"/>
                <w:szCs w:val="20"/>
              </w:rPr>
            </w:pPr>
            <w:r w:rsidRPr="000E1EB0">
              <w:rPr>
                <w:rFonts w:ascii="Garamond" w:eastAsia="Calibri" w:hAnsi="Garamond" w:cs="Tahoma"/>
                <w:bCs/>
                <w:color w:val="000000"/>
                <w:sz w:val="18"/>
                <w:szCs w:val="20"/>
              </w:rPr>
              <w:t xml:space="preserve">Asistenca </w:t>
            </w:r>
            <w:r w:rsidR="006D6936" w:rsidRPr="000E1EB0">
              <w:rPr>
                <w:rFonts w:ascii="Garamond" w:eastAsia="Calibri" w:hAnsi="Garamond" w:cs="Tahoma"/>
                <w:bCs/>
                <w:color w:val="000000"/>
                <w:sz w:val="18"/>
                <w:szCs w:val="20"/>
              </w:rPr>
              <w:t>teknike</w:t>
            </w:r>
          </w:p>
        </w:tc>
        <w:tc>
          <w:tcPr>
            <w:tcW w:w="522"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hideMark/>
          </w:tcPr>
          <w:p w14:paraId="6D6F2778"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510 000</w:t>
            </w:r>
          </w:p>
        </w:tc>
        <w:tc>
          <w:tcPr>
            <w:tcW w:w="543"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9"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0.00</w:t>
            </w:r>
          </w:p>
        </w:tc>
        <w:tc>
          <w:tcPr>
            <w:tcW w:w="543"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A"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0.00</w:t>
            </w:r>
          </w:p>
        </w:tc>
        <w:tc>
          <w:tcPr>
            <w:tcW w:w="542"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B"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510 000</w:t>
            </w:r>
          </w:p>
        </w:tc>
        <w:tc>
          <w:tcPr>
            <w:tcW w:w="544"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C"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0.00</w:t>
            </w:r>
          </w:p>
        </w:tc>
        <w:tc>
          <w:tcPr>
            <w:tcW w:w="544"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D"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0.00</w:t>
            </w:r>
          </w:p>
        </w:tc>
        <w:tc>
          <w:tcPr>
            <w:tcW w:w="546"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E"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170 000</w:t>
            </w:r>
          </w:p>
        </w:tc>
        <w:tc>
          <w:tcPr>
            <w:tcW w:w="651" w:type="pct"/>
            <w:tcBorders>
              <w:top w:val="single" w:sz="2" w:space="0" w:color="auto"/>
              <w:left w:val="single" w:sz="2" w:space="0" w:color="auto"/>
              <w:bottom w:val="single" w:sz="2" w:space="0" w:color="auto"/>
              <w:right w:val="single" w:sz="2" w:space="0" w:color="auto"/>
            </w:tcBorders>
            <w:shd w:val="clear" w:color="auto" w:fill="D5DCE4" w:themeFill="text2" w:themeFillTint="33"/>
            <w:vAlign w:val="center"/>
          </w:tcPr>
          <w:p w14:paraId="6D6F277F" w14:textId="77777777" w:rsidR="00650E6F" w:rsidRPr="000E1EB0" w:rsidRDefault="00650E6F" w:rsidP="006B2531">
            <w:pPr>
              <w:spacing w:after="0"/>
              <w:jc w:val="center"/>
              <w:rPr>
                <w:rFonts w:ascii="Garamond" w:eastAsia="Calibri" w:hAnsi="Garamond" w:cs="Tahoma"/>
                <w:bCs/>
                <w:color w:val="000000"/>
                <w:sz w:val="18"/>
                <w:szCs w:val="20"/>
              </w:rPr>
            </w:pPr>
            <w:r w:rsidRPr="000E1EB0">
              <w:rPr>
                <w:rFonts w:ascii="Garamond" w:eastAsia="Calibri" w:hAnsi="Garamond" w:cs="Tahoma"/>
                <w:bCs/>
                <w:color w:val="000000"/>
                <w:sz w:val="18"/>
                <w:szCs w:val="20"/>
              </w:rPr>
              <w:t>1 190 000</w:t>
            </w:r>
          </w:p>
        </w:tc>
      </w:tr>
      <w:tr w:rsidR="00650E6F" w:rsidRPr="000E1EB0" w14:paraId="6D6F278A" w14:textId="77777777" w:rsidTr="00650E6F">
        <w:trPr>
          <w:trHeight w:val="252"/>
          <w:jc w:val="center"/>
        </w:trPr>
        <w:tc>
          <w:tcPr>
            <w:tcW w:w="565"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hideMark/>
          </w:tcPr>
          <w:p w14:paraId="6D6F2781" w14:textId="77777777" w:rsidR="00650E6F" w:rsidRPr="000E1EB0" w:rsidRDefault="00650E6F" w:rsidP="006B2531">
            <w:pPr>
              <w:spacing w:after="0" w:line="240" w:lineRule="auto"/>
              <w:jc w:val="center"/>
              <w:rPr>
                <w:rFonts w:ascii="Garamond" w:eastAsia="Calibri" w:hAnsi="Garamond" w:cs="Tahoma"/>
                <w:b/>
                <w:bCs/>
                <w:color w:val="000000"/>
                <w:sz w:val="18"/>
                <w:szCs w:val="20"/>
              </w:rPr>
            </w:pPr>
            <w:r w:rsidRPr="000E1EB0">
              <w:rPr>
                <w:rFonts w:ascii="Garamond" w:eastAsia="Calibri" w:hAnsi="Garamond" w:cs="Tahoma"/>
                <w:b/>
                <w:bCs/>
                <w:color w:val="000000"/>
                <w:sz w:val="18"/>
                <w:szCs w:val="20"/>
              </w:rPr>
              <w:t>Totali (EURO)</w:t>
            </w:r>
          </w:p>
        </w:tc>
        <w:tc>
          <w:tcPr>
            <w:tcW w:w="522"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hideMark/>
          </w:tcPr>
          <w:p w14:paraId="6D6F2782"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3"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4"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542"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5"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544"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6"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544"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7"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546"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8"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1 700 000</w:t>
            </w:r>
          </w:p>
        </w:tc>
        <w:tc>
          <w:tcPr>
            <w:tcW w:w="651" w:type="pc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6F2789" w14:textId="77777777" w:rsidR="00650E6F" w:rsidRPr="000E1EB0" w:rsidRDefault="00650E6F" w:rsidP="006B2531">
            <w:pPr>
              <w:spacing w:after="0" w:line="240" w:lineRule="auto"/>
              <w:jc w:val="center"/>
              <w:rPr>
                <w:rFonts w:ascii="Garamond" w:eastAsia="Calibri" w:hAnsi="Garamond" w:cs="Tahoma"/>
                <w:color w:val="000000"/>
                <w:sz w:val="18"/>
                <w:szCs w:val="20"/>
              </w:rPr>
            </w:pPr>
            <w:r w:rsidRPr="000E1EB0">
              <w:rPr>
                <w:rFonts w:ascii="Garamond" w:eastAsia="Calibri" w:hAnsi="Garamond" w:cs="Tahoma"/>
                <w:color w:val="000000"/>
                <w:sz w:val="18"/>
                <w:szCs w:val="20"/>
              </w:rPr>
              <w:t>11 900 000</w:t>
            </w:r>
          </w:p>
        </w:tc>
      </w:tr>
    </w:tbl>
    <w:p w14:paraId="6D6F278B" w14:textId="77777777" w:rsidR="00650E6F" w:rsidRPr="000E1EB0" w:rsidRDefault="00650E6F" w:rsidP="00650E6F">
      <w:pPr>
        <w:pStyle w:val="AAAATEX"/>
      </w:pPr>
    </w:p>
    <w:p w14:paraId="6D6F278C" w14:textId="6C4C5FDA" w:rsidR="00650E6F" w:rsidRPr="006D6936" w:rsidRDefault="00650E6F" w:rsidP="00650E6F">
      <w:pPr>
        <w:pStyle w:val="AAAATEX"/>
        <w:rPr>
          <w:i/>
        </w:rPr>
      </w:pPr>
      <w:r w:rsidRPr="006D6936">
        <w:rPr>
          <w:i/>
        </w:rPr>
        <w:t>Tabela 2</w:t>
      </w:r>
      <w:r w:rsidR="006D6936" w:rsidRPr="006D6936">
        <w:rPr>
          <w:i/>
        </w:rPr>
        <w:t xml:space="preserve">. </w:t>
      </w:r>
      <w:r w:rsidRPr="006D6936">
        <w:rPr>
          <w:i/>
        </w:rPr>
        <w:t xml:space="preserve">Alokimet e parashikuara financiare për prioritet gjatë periudhës </w:t>
      </w:r>
      <w:r w:rsidR="00BE160D">
        <w:rPr>
          <w:i/>
        </w:rPr>
        <w:t>2014–2020</w:t>
      </w:r>
      <w:r w:rsidRPr="006D6936">
        <w:rPr>
          <w:i/>
        </w:rPr>
        <w:t xml:space="preserve"> dhe shkalla e kontributit të BE-së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1553"/>
        <w:gridCol w:w="1682"/>
        <w:gridCol w:w="1682"/>
        <w:gridCol w:w="1423"/>
      </w:tblGrid>
      <w:tr w:rsidR="00650E6F" w:rsidRPr="000E1EB0" w14:paraId="6D6F278F" w14:textId="77777777" w:rsidTr="00650E6F">
        <w:trPr>
          <w:jc w:val="center"/>
        </w:trPr>
        <w:tc>
          <w:tcPr>
            <w:tcW w:w="1690" w:type="pct"/>
            <w:vMerge w:val="restar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8D" w14:textId="77777777" w:rsidR="00650E6F" w:rsidRPr="000E1EB0" w:rsidRDefault="00650E6F" w:rsidP="00650E6F">
            <w:pPr>
              <w:spacing w:after="0" w:line="240" w:lineRule="auto"/>
              <w:jc w:val="center"/>
              <w:rPr>
                <w:rFonts w:ascii="Garamond" w:eastAsia="Calibri" w:hAnsi="Garamond" w:cs="Tahoma"/>
                <w:b/>
                <w:bCs/>
                <w:color w:val="FFFFFF" w:themeColor="background1"/>
                <w:sz w:val="16"/>
                <w:szCs w:val="16"/>
              </w:rPr>
            </w:pPr>
            <w:r w:rsidRPr="000E1EB0">
              <w:rPr>
                <w:rFonts w:ascii="Garamond" w:eastAsia="Calibri" w:hAnsi="Garamond" w:cs="Tahoma"/>
                <w:b/>
                <w:bCs/>
                <w:color w:val="FFFFFF" w:themeColor="background1"/>
                <w:sz w:val="16"/>
                <w:szCs w:val="16"/>
              </w:rPr>
              <w:t>PRIORITETET</w:t>
            </w:r>
          </w:p>
        </w:tc>
        <w:tc>
          <w:tcPr>
            <w:tcW w:w="3310" w:type="pct"/>
            <w:gridSpan w:val="4"/>
            <w:tcBorders>
              <w:top w:val="single" w:sz="4" w:space="0" w:color="auto"/>
              <w:left w:val="single" w:sz="4" w:space="0" w:color="auto"/>
              <w:bottom w:val="single" w:sz="4" w:space="0" w:color="auto"/>
              <w:right w:val="single" w:sz="4" w:space="0" w:color="auto"/>
            </w:tcBorders>
            <w:shd w:val="clear" w:color="auto" w:fill="5B9BD5" w:themeFill="accent1"/>
            <w:hideMark/>
          </w:tcPr>
          <w:p w14:paraId="6D6F278E" w14:textId="0D1D9195" w:rsidR="00650E6F" w:rsidRPr="000E1EB0" w:rsidRDefault="00650E6F" w:rsidP="006D6936">
            <w:pPr>
              <w:spacing w:after="0" w:line="240" w:lineRule="auto"/>
              <w:jc w:val="center"/>
              <w:rPr>
                <w:rFonts w:ascii="Garamond" w:eastAsia="Calibri" w:hAnsi="Garamond" w:cs="Tahoma"/>
                <w:color w:val="FFFFFF" w:themeColor="background1"/>
                <w:sz w:val="16"/>
                <w:szCs w:val="16"/>
              </w:rPr>
            </w:pPr>
            <w:r w:rsidRPr="000E1EB0">
              <w:rPr>
                <w:rFonts w:ascii="Garamond" w:eastAsia="Calibri" w:hAnsi="Garamond" w:cs="Tahoma"/>
                <w:b/>
                <w:bCs/>
                <w:color w:val="FFFFFF" w:themeColor="background1"/>
                <w:sz w:val="16"/>
                <w:szCs w:val="16"/>
              </w:rPr>
              <w:t xml:space="preserve">Programi IPA II CBC </w:t>
            </w:r>
            <w:r w:rsidR="006D6936" w:rsidRPr="000E1EB0">
              <w:rPr>
                <w:rFonts w:ascii="Garamond" w:eastAsia="Calibri" w:hAnsi="Garamond" w:cs="Tahoma"/>
                <w:b/>
                <w:bCs/>
                <w:color w:val="FFFFFF" w:themeColor="background1"/>
                <w:sz w:val="16"/>
                <w:szCs w:val="16"/>
              </w:rPr>
              <w:t>ish</w:t>
            </w:r>
            <w:r w:rsidR="006D6936">
              <w:rPr>
                <w:rFonts w:ascii="Garamond" w:eastAsia="Calibri" w:hAnsi="Garamond" w:cs="Tahoma"/>
                <w:b/>
                <w:bCs/>
                <w:color w:val="FFFFFF" w:themeColor="background1"/>
                <w:sz w:val="16"/>
                <w:szCs w:val="16"/>
              </w:rPr>
              <w:t>-</w:t>
            </w:r>
            <w:r w:rsidRPr="000E1EB0">
              <w:rPr>
                <w:rFonts w:ascii="Garamond" w:eastAsia="Calibri" w:hAnsi="Garamond" w:cs="Tahoma"/>
                <w:b/>
                <w:bCs/>
                <w:color w:val="FFFFFF" w:themeColor="background1"/>
                <w:sz w:val="16"/>
                <w:szCs w:val="16"/>
              </w:rPr>
              <w:t xml:space="preserve">Republika Jugosllave e Maqedonisë – Republika e Shqipërisë </w:t>
            </w:r>
            <w:r w:rsidR="00BE160D">
              <w:rPr>
                <w:rFonts w:ascii="Garamond" w:eastAsia="Calibri" w:hAnsi="Garamond" w:cs="Tahoma"/>
                <w:b/>
                <w:bCs/>
                <w:color w:val="FFFFFF" w:themeColor="background1"/>
                <w:sz w:val="16"/>
                <w:szCs w:val="16"/>
              </w:rPr>
              <w:t>2014–2020</w:t>
            </w:r>
          </w:p>
        </w:tc>
      </w:tr>
      <w:tr w:rsidR="00650E6F" w:rsidRPr="000E1EB0" w14:paraId="6D6F2795" w14:textId="77777777" w:rsidTr="00650E6F">
        <w:trPr>
          <w:jc w:val="center"/>
        </w:trPr>
        <w:tc>
          <w:tcPr>
            <w:tcW w:w="1690" w:type="pct"/>
            <w:vMerge/>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0" w14:textId="77777777" w:rsidR="00650E6F" w:rsidRPr="000E1EB0" w:rsidRDefault="00650E6F" w:rsidP="00650E6F">
            <w:pPr>
              <w:spacing w:after="0" w:line="240" w:lineRule="auto"/>
              <w:rPr>
                <w:rFonts w:ascii="Garamond" w:eastAsia="Calibri" w:hAnsi="Garamond" w:cs="Tahoma"/>
                <w:b/>
                <w:bCs/>
                <w:color w:val="FFFFFF" w:themeColor="background1"/>
                <w:sz w:val="16"/>
                <w:szCs w:val="16"/>
              </w:rPr>
            </w:pPr>
          </w:p>
        </w:tc>
        <w:tc>
          <w:tcPr>
            <w:tcW w:w="811"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1" w14:textId="77777777" w:rsidR="00650E6F" w:rsidRPr="000E1EB0" w:rsidRDefault="00650E6F" w:rsidP="00650E6F">
            <w:pPr>
              <w:spacing w:after="0" w:line="240" w:lineRule="auto"/>
              <w:jc w:val="center"/>
              <w:rPr>
                <w:rFonts w:ascii="Garamond" w:eastAsia="Calibri" w:hAnsi="Garamond" w:cs="Tahoma"/>
                <w:b/>
                <w:bCs/>
                <w:color w:val="FFFFFF" w:themeColor="background1"/>
                <w:sz w:val="16"/>
                <w:szCs w:val="16"/>
              </w:rPr>
            </w:pPr>
            <w:r w:rsidRPr="000E1EB0">
              <w:rPr>
                <w:rFonts w:ascii="Garamond" w:eastAsia="Calibri" w:hAnsi="Garamond" w:cs="Tahoma"/>
                <w:b/>
                <w:bCs/>
                <w:color w:val="FFFFFF" w:themeColor="background1"/>
                <w:sz w:val="16"/>
                <w:szCs w:val="16"/>
              </w:rPr>
              <w:t>Kontributi i BE-së</w:t>
            </w:r>
          </w:p>
        </w:tc>
        <w:tc>
          <w:tcPr>
            <w:tcW w:w="878"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2" w14:textId="3A95997F" w:rsidR="00650E6F" w:rsidRPr="000E1EB0" w:rsidRDefault="00036A7C" w:rsidP="00650E6F">
            <w:pPr>
              <w:spacing w:after="0" w:line="240" w:lineRule="auto"/>
              <w:jc w:val="center"/>
              <w:rPr>
                <w:rFonts w:ascii="Garamond" w:eastAsia="Calibri" w:hAnsi="Garamond" w:cs="Tahoma"/>
                <w:b/>
                <w:bCs/>
                <w:color w:val="FFFFFF" w:themeColor="background1"/>
                <w:sz w:val="16"/>
                <w:szCs w:val="16"/>
              </w:rPr>
            </w:pPr>
            <w:r>
              <w:rPr>
                <w:rFonts w:ascii="Garamond" w:eastAsia="Calibri" w:hAnsi="Garamond" w:cs="Tahoma"/>
                <w:b/>
                <w:bCs/>
                <w:color w:val="FFFFFF" w:themeColor="background1"/>
                <w:sz w:val="16"/>
                <w:szCs w:val="16"/>
              </w:rPr>
              <w:t>Bashkë</w:t>
            </w:r>
            <w:r w:rsidR="00650E6F" w:rsidRPr="000E1EB0">
              <w:rPr>
                <w:rFonts w:ascii="Garamond" w:eastAsia="Calibri" w:hAnsi="Garamond" w:cs="Tahoma"/>
                <w:b/>
                <w:bCs/>
                <w:color w:val="FFFFFF" w:themeColor="background1"/>
                <w:sz w:val="16"/>
                <w:szCs w:val="16"/>
              </w:rPr>
              <w:t>financimi i përfituesve</w:t>
            </w:r>
          </w:p>
        </w:tc>
        <w:tc>
          <w:tcPr>
            <w:tcW w:w="878"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3" w14:textId="77777777" w:rsidR="00650E6F" w:rsidRPr="000E1EB0" w:rsidRDefault="00650E6F" w:rsidP="00650E6F">
            <w:pPr>
              <w:spacing w:after="0" w:line="240" w:lineRule="auto"/>
              <w:jc w:val="center"/>
              <w:rPr>
                <w:rFonts w:ascii="Garamond" w:eastAsia="Calibri" w:hAnsi="Garamond" w:cs="Tahoma"/>
                <w:b/>
                <w:bCs/>
                <w:color w:val="FFFFFF" w:themeColor="background1"/>
                <w:sz w:val="16"/>
                <w:szCs w:val="16"/>
              </w:rPr>
            </w:pPr>
            <w:r w:rsidRPr="000E1EB0">
              <w:rPr>
                <w:rFonts w:ascii="Garamond" w:eastAsia="Calibri" w:hAnsi="Garamond" w:cs="Tahoma"/>
                <w:b/>
                <w:bCs/>
                <w:color w:val="FFFFFF" w:themeColor="background1"/>
                <w:sz w:val="16"/>
                <w:szCs w:val="16"/>
              </w:rPr>
              <w:t>Financimi total</w:t>
            </w:r>
          </w:p>
        </w:tc>
        <w:tc>
          <w:tcPr>
            <w:tcW w:w="743"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4" w14:textId="77777777" w:rsidR="00650E6F" w:rsidRPr="000E1EB0" w:rsidRDefault="00650E6F" w:rsidP="00650E6F">
            <w:pPr>
              <w:spacing w:after="0" w:line="240" w:lineRule="auto"/>
              <w:jc w:val="center"/>
              <w:rPr>
                <w:rFonts w:ascii="Garamond" w:eastAsia="Calibri" w:hAnsi="Garamond" w:cs="Tahoma"/>
                <w:b/>
                <w:bCs/>
                <w:color w:val="FFFFFF" w:themeColor="background1"/>
                <w:sz w:val="16"/>
                <w:szCs w:val="16"/>
              </w:rPr>
            </w:pPr>
            <w:r w:rsidRPr="000E1EB0">
              <w:rPr>
                <w:rFonts w:ascii="Garamond" w:eastAsia="Calibri" w:hAnsi="Garamond" w:cs="Tahoma"/>
                <w:b/>
                <w:bCs/>
                <w:color w:val="FFFFFF" w:themeColor="background1"/>
                <w:sz w:val="16"/>
                <w:szCs w:val="16"/>
              </w:rPr>
              <w:t>Shkalla e kontributit të BE-së</w:t>
            </w:r>
          </w:p>
        </w:tc>
      </w:tr>
      <w:tr w:rsidR="00650E6F" w:rsidRPr="000E1EB0" w14:paraId="6D6F279B" w14:textId="77777777" w:rsidTr="00650E6F">
        <w:trPr>
          <w:jc w:val="center"/>
        </w:trPr>
        <w:tc>
          <w:tcPr>
            <w:tcW w:w="1690" w:type="pct"/>
            <w:vMerge/>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6" w14:textId="77777777" w:rsidR="00650E6F" w:rsidRPr="000E1EB0" w:rsidRDefault="00650E6F" w:rsidP="00650E6F">
            <w:pPr>
              <w:spacing w:after="0" w:line="240" w:lineRule="auto"/>
              <w:rPr>
                <w:rFonts w:ascii="Garamond" w:eastAsia="Calibri" w:hAnsi="Garamond" w:cs="Tahoma"/>
                <w:b/>
                <w:bCs/>
                <w:color w:val="FFFFFF" w:themeColor="background1"/>
                <w:sz w:val="16"/>
                <w:szCs w:val="16"/>
              </w:rPr>
            </w:pPr>
          </w:p>
        </w:tc>
        <w:tc>
          <w:tcPr>
            <w:tcW w:w="811"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7" w14:textId="77777777" w:rsidR="00650E6F" w:rsidRPr="000E1EB0" w:rsidRDefault="00650E6F" w:rsidP="00650E6F">
            <w:pPr>
              <w:spacing w:after="0" w:line="240" w:lineRule="auto"/>
              <w:jc w:val="center"/>
              <w:rPr>
                <w:rFonts w:ascii="Garamond" w:eastAsia="Calibri" w:hAnsi="Garamond" w:cs="Tahoma"/>
                <w:color w:val="FFFFFF" w:themeColor="background1"/>
                <w:sz w:val="16"/>
                <w:szCs w:val="16"/>
              </w:rPr>
            </w:pPr>
            <w:r w:rsidRPr="000E1EB0">
              <w:rPr>
                <w:rFonts w:ascii="Garamond" w:eastAsia="Calibri" w:hAnsi="Garamond" w:cs="Tahoma"/>
                <w:color w:val="FFFFFF" w:themeColor="background1"/>
                <w:sz w:val="16"/>
                <w:szCs w:val="16"/>
              </w:rPr>
              <w:t>(a)</w:t>
            </w:r>
          </w:p>
        </w:tc>
        <w:tc>
          <w:tcPr>
            <w:tcW w:w="878"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8" w14:textId="77777777" w:rsidR="00650E6F" w:rsidRPr="000E1EB0" w:rsidRDefault="00650E6F" w:rsidP="00650E6F">
            <w:pPr>
              <w:spacing w:after="0" w:line="240" w:lineRule="auto"/>
              <w:jc w:val="center"/>
              <w:rPr>
                <w:rFonts w:ascii="Garamond" w:eastAsia="Calibri" w:hAnsi="Garamond" w:cs="Tahoma"/>
                <w:color w:val="FFFFFF" w:themeColor="background1"/>
                <w:sz w:val="16"/>
                <w:szCs w:val="16"/>
              </w:rPr>
            </w:pPr>
            <w:r w:rsidRPr="000E1EB0">
              <w:rPr>
                <w:rFonts w:ascii="Garamond" w:eastAsia="Calibri" w:hAnsi="Garamond" w:cs="Tahoma"/>
                <w:color w:val="FFFFFF" w:themeColor="background1"/>
                <w:sz w:val="16"/>
                <w:szCs w:val="16"/>
              </w:rPr>
              <w:t>(b)</w:t>
            </w:r>
          </w:p>
        </w:tc>
        <w:tc>
          <w:tcPr>
            <w:tcW w:w="878"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9" w14:textId="77777777" w:rsidR="00650E6F" w:rsidRPr="000E1EB0" w:rsidRDefault="00650E6F" w:rsidP="00650E6F">
            <w:pPr>
              <w:spacing w:after="0" w:line="240" w:lineRule="auto"/>
              <w:jc w:val="center"/>
              <w:rPr>
                <w:rFonts w:ascii="Garamond" w:eastAsia="Calibri" w:hAnsi="Garamond" w:cs="Tahoma"/>
                <w:color w:val="FFFFFF" w:themeColor="background1"/>
                <w:sz w:val="16"/>
                <w:szCs w:val="16"/>
              </w:rPr>
            </w:pPr>
            <w:r w:rsidRPr="000E1EB0">
              <w:rPr>
                <w:rFonts w:ascii="Garamond" w:eastAsia="Calibri" w:hAnsi="Garamond" w:cs="Tahoma"/>
                <w:color w:val="FFFFFF" w:themeColor="background1"/>
                <w:sz w:val="16"/>
                <w:szCs w:val="16"/>
              </w:rPr>
              <w:t>(c) = (a)+(b)</w:t>
            </w:r>
          </w:p>
        </w:tc>
        <w:tc>
          <w:tcPr>
            <w:tcW w:w="743"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D6F279A" w14:textId="77777777" w:rsidR="00650E6F" w:rsidRPr="000E1EB0" w:rsidRDefault="00650E6F" w:rsidP="00650E6F">
            <w:pPr>
              <w:spacing w:after="0" w:line="240" w:lineRule="auto"/>
              <w:jc w:val="center"/>
              <w:rPr>
                <w:rFonts w:ascii="Garamond" w:eastAsia="Calibri" w:hAnsi="Garamond" w:cs="Tahoma"/>
                <w:color w:val="FFFFFF" w:themeColor="background1"/>
                <w:sz w:val="16"/>
                <w:szCs w:val="16"/>
              </w:rPr>
            </w:pPr>
            <w:r w:rsidRPr="000E1EB0">
              <w:rPr>
                <w:rFonts w:ascii="Garamond" w:eastAsia="Calibri" w:hAnsi="Garamond" w:cs="Tahoma"/>
                <w:color w:val="FFFFFF" w:themeColor="background1"/>
                <w:sz w:val="16"/>
                <w:szCs w:val="16"/>
              </w:rPr>
              <w:t>(d) = (a)/(c)</w:t>
            </w:r>
          </w:p>
        </w:tc>
      </w:tr>
      <w:tr w:rsidR="00650E6F" w:rsidRPr="000E1EB0" w14:paraId="6D6F27A2" w14:textId="77777777" w:rsidTr="006B2531">
        <w:trPr>
          <w:trHeight w:val="53"/>
          <w:jc w:val="center"/>
        </w:trPr>
        <w:tc>
          <w:tcPr>
            <w:tcW w:w="169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D6F279D" w14:textId="3AD68AB3" w:rsidR="00650E6F" w:rsidRPr="000E1EB0" w:rsidRDefault="00650E6F" w:rsidP="006B2531">
            <w:pPr>
              <w:pStyle w:val="ListParagraph"/>
              <w:numPr>
                <w:ilvl w:val="0"/>
                <w:numId w:val="20"/>
              </w:numPr>
              <w:spacing w:after="0" w:line="240" w:lineRule="auto"/>
              <w:ind w:left="0" w:firstLine="0"/>
              <w:rPr>
                <w:rFonts w:ascii="Garamond" w:eastAsia="Calibri" w:hAnsi="Garamond" w:cs="Tahoma"/>
                <w:bCs/>
                <w:color w:val="000000"/>
                <w:sz w:val="16"/>
                <w:szCs w:val="16"/>
              </w:rPr>
            </w:pPr>
            <w:r w:rsidRPr="000E1EB0">
              <w:rPr>
                <w:rFonts w:ascii="Garamond" w:eastAsia="Calibri" w:hAnsi="Garamond" w:cs="Tahoma"/>
                <w:bCs/>
                <w:color w:val="000000"/>
                <w:sz w:val="16"/>
                <w:szCs w:val="16"/>
              </w:rPr>
              <w:t xml:space="preserve">Prioriteti </w:t>
            </w:r>
            <w:r w:rsidR="006D6936" w:rsidRPr="000E1EB0">
              <w:rPr>
                <w:rFonts w:ascii="Garamond" w:eastAsia="Calibri" w:hAnsi="Garamond" w:cs="Tahoma"/>
                <w:bCs/>
                <w:color w:val="000000"/>
                <w:sz w:val="16"/>
                <w:szCs w:val="16"/>
              </w:rPr>
              <w:t xml:space="preserve">tematik </w:t>
            </w:r>
            <w:r w:rsidRPr="000E1EB0">
              <w:rPr>
                <w:rFonts w:ascii="Garamond" w:eastAsia="Calibri" w:hAnsi="Garamond" w:cs="Tahoma"/>
                <w:bCs/>
                <w:color w:val="000000"/>
                <w:sz w:val="16"/>
                <w:szCs w:val="16"/>
              </w:rPr>
              <w:t xml:space="preserve">1: Nxitja e turizmit, kulturës dhe trashëgimisë natyrore </w:t>
            </w:r>
          </w:p>
        </w:tc>
        <w:tc>
          <w:tcPr>
            <w:tcW w:w="8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9E"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3 750 000.00</w:t>
            </w:r>
          </w:p>
        </w:tc>
        <w:tc>
          <w:tcPr>
            <w:tcW w:w="8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9F"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661 764.71</w:t>
            </w:r>
          </w:p>
        </w:tc>
        <w:tc>
          <w:tcPr>
            <w:tcW w:w="8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A0"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4 411 764.71</w:t>
            </w:r>
          </w:p>
        </w:tc>
        <w:tc>
          <w:tcPr>
            <w:tcW w:w="7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A1"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85%</w:t>
            </w:r>
          </w:p>
        </w:tc>
      </w:tr>
      <w:tr w:rsidR="00650E6F" w:rsidRPr="000E1EB0" w14:paraId="6D6F27A8" w14:textId="77777777" w:rsidTr="00650E6F">
        <w:trPr>
          <w:jc w:val="center"/>
        </w:trPr>
        <w:tc>
          <w:tcPr>
            <w:tcW w:w="1690" w:type="pct"/>
            <w:tcBorders>
              <w:top w:val="single" w:sz="4" w:space="0" w:color="auto"/>
              <w:left w:val="single" w:sz="4" w:space="0" w:color="auto"/>
              <w:bottom w:val="single" w:sz="4" w:space="0" w:color="auto"/>
              <w:right w:val="single" w:sz="4" w:space="0" w:color="auto"/>
            </w:tcBorders>
            <w:vAlign w:val="bottom"/>
            <w:hideMark/>
          </w:tcPr>
          <w:p w14:paraId="6D6F27A3" w14:textId="2FB95895" w:rsidR="00650E6F" w:rsidRPr="000E1EB0" w:rsidRDefault="00650E6F" w:rsidP="00650E6F">
            <w:pPr>
              <w:pStyle w:val="ListParagraph"/>
              <w:numPr>
                <w:ilvl w:val="0"/>
                <w:numId w:val="20"/>
              </w:numPr>
              <w:spacing w:after="0" w:line="240" w:lineRule="auto"/>
              <w:ind w:left="0" w:firstLine="0"/>
              <w:rPr>
                <w:rFonts w:ascii="Garamond" w:eastAsia="Calibri" w:hAnsi="Garamond" w:cs="Tahoma"/>
                <w:bCs/>
                <w:color w:val="000000"/>
                <w:sz w:val="16"/>
                <w:szCs w:val="16"/>
              </w:rPr>
            </w:pPr>
            <w:r w:rsidRPr="000E1EB0">
              <w:rPr>
                <w:rFonts w:ascii="Garamond" w:eastAsia="Calibri" w:hAnsi="Garamond" w:cs="Tahoma"/>
                <w:bCs/>
                <w:color w:val="000000"/>
                <w:sz w:val="16"/>
                <w:szCs w:val="16"/>
              </w:rPr>
              <w:t xml:space="preserve">Prioriteti </w:t>
            </w:r>
            <w:r w:rsidR="006D6936" w:rsidRPr="000E1EB0">
              <w:rPr>
                <w:rFonts w:ascii="Garamond" w:eastAsia="Calibri" w:hAnsi="Garamond" w:cs="Tahoma"/>
                <w:bCs/>
                <w:color w:val="000000"/>
                <w:sz w:val="16"/>
                <w:szCs w:val="16"/>
              </w:rPr>
              <w:t xml:space="preserve">tematik </w:t>
            </w:r>
            <w:r w:rsidRPr="000E1EB0">
              <w:rPr>
                <w:rFonts w:ascii="Garamond" w:eastAsia="Calibri" w:hAnsi="Garamond" w:cs="Tahoma"/>
                <w:bCs/>
                <w:color w:val="000000"/>
                <w:sz w:val="16"/>
                <w:szCs w:val="16"/>
              </w:rPr>
              <w:t xml:space="preserve">2: Rritja e konkurrencës, biznesit, tregtisë dhe investimeve </w:t>
            </w:r>
          </w:p>
        </w:tc>
        <w:tc>
          <w:tcPr>
            <w:tcW w:w="811" w:type="pct"/>
            <w:tcBorders>
              <w:top w:val="single" w:sz="4" w:space="0" w:color="auto"/>
              <w:left w:val="single" w:sz="4" w:space="0" w:color="auto"/>
              <w:bottom w:val="single" w:sz="4" w:space="0" w:color="auto"/>
              <w:right w:val="single" w:sz="4" w:space="0" w:color="auto"/>
            </w:tcBorders>
            <w:vAlign w:val="center"/>
            <w:hideMark/>
          </w:tcPr>
          <w:p w14:paraId="6D6F27A4"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3 750 000.00</w:t>
            </w:r>
          </w:p>
        </w:tc>
        <w:tc>
          <w:tcPr>
            <w:tcW w:w="878" w:type="pct"/>
            <w:tcBorders>
              <w:top w:val="single" w:sz="4" w:space="0" w:color="auto"/>
              <w:left w:val="single" w:sz="4" w:space="0" w:color="auto"/>
              <w:bottom w:val="single" w:sz="4" w:space="0" w:color="auto"/>
              <w:right w:val="single" w:sz="4" w:space="0" w:color="auto"/>
            </w:tcBorders>
            <w:vAlign w:val="center"/>
            <w:hideMark/>
          </w:tcPr>
          <w:p w14:paraId="6D6F27A5"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661 764.71</w:t>
            </w:r>
          </w:p>
        </w:tc>
        <w:tc>
          <w:tcPr>
            <w:tcW w:w="878" w:type="pct"/>
            <w:tcBorders>
              <w:top w:val="single" w:sz="4" w:space="0" w:color="auto"/>
              <w:left w:val="single" w:sz="4" w:space="0" w:color="auto"/>
              <w:bottom w:val="single" w:sz="4" w:space="0" w:color="auto"/>
              <w:right w:val="single" w:sz="4" w:space="0" w:color="auto"/>
            </w:tcBorders>
            <w:vAlign w:val="center"/>
            <w:hideMark/>
          </w:tcPr>
          <w:p w14:paraId="6D6F27A6"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4 411 764.71</w:t>
            </w:r>
          </w:p>
        </w:tc>
        <w:tc>
          <w:tcPr>
            <w:tcW w:w="743" w:type="pct"/>
            <w:tcBorders>
              <w:top w:val="single" w:sz="4" w:space="0" w:color="auto"/>
              <w:left w:val="single" w:sz="4" w:space="0" w:color="auto"/>
              <w:bottom w:val="single" w:sz="4" w:space="0" w:color="auto"/>
              <w:right w:val="single" w:sz="4" w:space="0" w:color="auto"/>
            </w:tcBorders>
            <w:vAlign w:val="center"/>
            <w:hideMark/>
          </w:tcPr>
          <w:p w14:paraId="6D6F27A7"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85%</w:t>
            </w:r>
          </w:p>
        </w:tc>
      </w:tr>
      <w:tr w:rsidR="00650E6F" w:rsidRPr="000E1EB0" w14:paraId="6D6F27AF" w14:textId="77777777" w:rsidTr="00282883">
        <w:trPr>
          <w:trHeight w:val="45"/>
          <w:jc w:val="center"/>
        </w:trPr>
        <w:tc>
          <w:tcPr>
            <w:tcW w:w="169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D6F27AA" w14:textId="5393BF81" w:rsidR="00650E6F" w:rsidRPr="000E1EB0" w:rsidRDefault="00650E6F" w:rsidP="006B2531">
            <w:pPr>
              <w:pStyle w:val="ListParagraph"/>
              <w:numPr>
                <w:ilvl w:val="0"/>
                <w:numId w:val="20"/>
              </w:numPr>
              <w:spacing w:after="0" w:line="240" w:lineRule="auto"/>
              <w:ind w:left="0" w:firstLine="0"/>
              <w:rPr>
                <w:rFonts w:ascii="Garamond" w:eastAsia="Calibri" w:hAnsi="Garamond" w:cs="Tahoma"/>
                <w:bCs/>
                <w:color w:val="000000"/>
                <w:sz w:val="16"/>
                <w:szCs w:val="16"/>
              </w:rPr>
            </w:pPr>
            <w:r w:rsidRPr="000E1EB0">
              <w:rPr>
                <w:rFonts w:ascii="Garamond" w:eastAsia="Calibri" w:hAnsi="Garamond" w:cs="Tahoma"/>
                <w:bCs/>
                <w:color w:val="000000"/>
                <w:sz w:val="16"/>
                <w:szCs w:val="16"/>
              </w:rPr>
              <w:t xml:space="preserve">Prioriteti </w:t>
            </w:r>
            <w:r w:rsidR="006D6936" w:rsidRPr="000E1EB0">
              <w:rPr>
                <w:rFonts w:ascii="Garamond" w:eastAsia="Calibri" w:hAnsi="Garamond" w:cs="Tahoma"/>
                <w:bCs/>
                <w:color w:val="000000"/>
                <w:sz w:val="16"/>
                <w:szCs w:val="16"/>
              </w:rPr>
              <w:t xml:space="preserve">tematik </w:t>
            </w:r>
            <w:r w:rsidRPr="000E1EB0">
              <w:rPr>
                <w:rFonts w:ascii="Garamond" w:eastAsia="Calibri" w:hAnsi="Garamond" w:cs="Tahoma"/>
                <w:bCs/>
                <w:color w:val="000000"/>
                <w:sz w:val="16"/>
                <w:szCs w:val="16"/>
              </w:rPr>
              <w:t xml:space="preserve">3: Mbrojtja e mjedisit, nxitja e përshtatjes dhe lehtësimit ndaj ndryshimeve klimatike, parandalimi dhe menaxhimi i rrezikut </w:t>
            </w:r>
          </w:p>
        </w:tc>
        <w:tc>
          <w:tcPr>
            <w:tcW w:w="8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AB"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3 210 000.00</w:t>
            </w:r>
          </w:p>
        </w:tc>
        <w:tc>
          <w:tcPr>
            <w:tcW w:w="8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AC"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566 470.58</w:t>
            </w:r>
          </w:p>
        </w:tc>
        <w:tc>
          <w:tcPr>
            <w:tcW w:w="8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AD"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3 776 470.58</w:t>
            </w:r>
          </w:p>
        </w:tc>
        <w:tc>
          <w:tcPr>
            <w:tcW w:w="7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AE"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85%</w:t>
            </w:r>
          </w:p>
        </w:tc>
      </w:tr>
      <w:tr w:rsidR="00650E6F" w:rsidRPr="000E1EB0" w14:paraId="6D6F27B5" w14:textId="77777777" w:rsidTr="00650E6F">
        <w:trPr>
          <w:jc w:val="center"/>
        </w:trPr>
        <w:tc>
          <w:tcPr>
            <w:tcW w:w="1690" w:type="pct"/>
            <w:tcBorders>
              <w:top w:val="single" w:sz="4" w:space="0" w:color="auto"/>
              <w:left w:val="single" w:sz="4" w:space="0" w:color="auto"/>
              <w:bottom w:val="single" w:sz="18" w:space="0" w:color="auto"/>
              <w:right w:val="single" w:sz="4" w:space="0" w:color="auto"/>
            </w:tcBorders>
            <w:vAlign w:val="bottom"/>
            <w:hideMark/>
          </w:tcPr>
          <w:p w14:paraId="6D6F27B0" w14:textId="0DD7ACF3" w:rsidR="00650E6F" w:rsidRPr="000E1EB0" w:rsidRDefault="00650E6F" w:rsidP="00650E6F">
            <w:pPr>
              <w:pStyle w:val="ListParagraph"/>
              <w:numPr>
                <w:ilvl w:val="0"/>
                <w:numId w:val="20"/>
              </w:numPr>
              <w:spacing w:after="0" w:line="240" w:lineRule="auto"/>
              <w:ind w:left="0" w:firstLine="0"/>
              <w:jc w:val="both"/>
              <w:rPr>
                <w:rFonts w:ascii="Garamond" w:eastAsia="Calibri" w:hAnsi="Garamond" w:cs="Tahoma"/>
                <w:bCs/>
                <w:color w:val="000000"/>
                <w:sz w:val="16"/>
                <w:szCs w:val="16"/>
              </w:rPr>
            </w:pPr>
            <w:r w:rsidRPr="000E1EB0">
              <w:rPr>
                <w:rFonts w:ascii="Garamond" w:eastAsia="Calibri" w:hAnsi="Garamond" w:cs="Tahoma"/>
                <w:bCs/>
                <w:color w:val="000000"/>
                <w:sz w:val="16"/>
                <w:szCs w:val="16"/>
              </w:rPr>
              <w:t xml:space="preserve">Asistenca </w:t>
            </w:r>
            <w:r w:rsidR="006D6936" w:rsidRPr="000E1EB0">
              <w:rPr>
                <w:rFonts w:ascii="Garamond" w:eastAsia="Calibri" w:hAnsi="Garamond" w:cs="Tahoma"/>
                <w:bCs/>
                <w:color w:val="000000"/>
                <w:sz w:val="16"/>
                <w:szCs w:val="16"/>
              </w:rPr>
              <w:t>teknike</w:t>
            </w:r>
          </w:p>
        </w:tc>
        <w:tc>
          <w:tcPr>
            <w:tcW w:w="811" w:type="pct"/>
            <w:tcBorders>
              <w:top w:val="single" w:sz="4" w:space="0" w:color="auto"/>
              <w:left w:val="single" w:sz="4" w:space="0" w:color="auto"/>
              <w:bottom w:val="single" w:sz="18" w:space="0" w:color="auto"/>
              <w:right w:val="single" w:sz="4" w:space="0" w:color="auto"/>
            </w:tcBorders>
            <w:vAlign w:val="center"/>
            <w:hideMark/>
          </w:tcPr>
          <w:p w14:paraId="6D6F27B1"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1 190 000.00</w:t>
            </w:r>
          </w:p>
        </w:tc>
        <w:tc>
          <w:tcPr>
            <w:tcW w:w="878" w:type="pct"/>
            <w:tcBorders>
              <w:top w:val="single" w:sz="4" w:space="0" w:color="auto"/>
              <w:left w:val="single" w:sz="4" w:space="0" w:color="auto"/>
              <w:bottom w:val="single" w:sz="18" w:space="0" w:color="auto"/>
              <w:right w:val="single" w:sz="4" w:space="0" w:color="auto"/>
            </w:tcBorders>
            <w:vAlign w:val="center"/>
            <w:hideMark/>
          </w:tcPr>
          <w:p w14:paraId="6D6F27B2"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0.00</w:t>
            </w:r>
          </w:p>
        </w:tc>
        <w:tc>
          <w:tcPr>
            <w:tcW w:w="878" w:type="pct"/>
            <w:tcBorders>
              <w:top w:val="single" w:sz="4" w:space="0" w:color="auto"/>
              <w:left w:val="single" w:sz="4" w:space="0" w:color="auto"/>
              <w:bottom w:val="single" w:sz="18" w:space="0" w:color="auto"/>
              <w:right w:val="single" w:sz="4" w:space="0" w:color="auto"/>
            </w:tcBorders>
            <w:vAlign w:val="center"/>
            <w:hideMark/>
          </w:tcPr>
          <w:p w14:paraId="6D6F27B3"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1 190 000.00</w:t>
            </w:r>
          </w:p>
        </w:tc>
        <w:tc>
          <w:tcPr>
            <w:tcW w:w="743" w:type="pct"/>
            <w:tcBorders>
              <w:top w:val="single" w:sz="4" w:space="0" w:color="auto"/>
              <w:left w:val="single" w:sz="4" w:space="0" w:color="auto"/>
              <w:bottom w:val="single" w:sz="18" w:space="0" w:color="auto"/>
              <w:right w:val="single" w:sz="4" w:space="0" w:color="auto"/>
            </w:tcBorders>
            <w:vAlign w:val="center"/>
            <w:hideMark/>
          </w:tcPr>
          <w:p w14:paraId="6D6F27B4"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100%</w:t>
            </w:r>
          </w:p>
        </w:tc>
      </w:tr>
      <w:tr w:rsidR="00650E6F" w:rsidRPr="000E1EB0" w14:paraId="6D6F27BB" w14:textId="77777777" w:rsidTr="00650E6F">
        <w:trPr>
          <w:jc w:val="center"/>
        </w:trPr>
        <w:tc>
          <w:tcPr>
            <w:tcW w:w="1690" w:type="pct"/>
            <w:tcBorders>
              <w:top w:val="single" w:sz="18" w:space="0" w:color="auto"/>
              <w:left w:val="single" w:sz="4" w:space="0" w:color="auto"/>
              <w:bottom w:val="single" w:sz="4" w:space="0" w:color="auto"/>
              <w:right w:val="single" w:sz="4" w:space="0" w:color="auto"/>
            </w:tcBorders>
            <w:shd w:val="clear" w:color="auto" w:fill="DEEAF6" w:themeFill="accent1" w:themeFillTint="33"/>
            <w:vAlign w:val="bottom"/>
            <w:hideMark/>
          </w:tcPr>
          <w:p w14:paraId="6D6F27B6" w14:textId="77777777" w:rsidR="00650E6F" w:rsidRPr="000E1EB0" w:rsidRDefault="00650E6F" w:rsidP="00650E6F">
            <w:pPr>
              <w:spacing w:after="0" w:line="240" w:lineRule="auto"/>
              <w:jc w:val="center"/>
              <w:rPr>
                <w:rFonts w:ascii="Garamond" w:eastAsia="Calibri" w:hAnsi="Garamond" w:cs="Tahoma"/>
                <w:b/>
                <w:bCs/>
                <w:color w:val="000000"/>
                <w:sz w:val="16"/>
                <w:szCs w:val="16"/>
              </w:rPr>
            </w:pPr>
            <w:r w:rsidRPr="000E1EB0">
              <w:rPr>
                <w:rFonts w:ascii="Garamond" w:eastAsia="Cambria" w:hAnsi="Garamond" w:cs="Tahoma"/>
                <w:b/>
                <w:bCs/>
                <w:sz w:val="16"/>
                <w:szCs w:val="16"/>
              </w:rPr>
              <w:t>GRANTI TOTAL</w:t>
            </w:r>
          </w:p>
        </w:tc>
        <w:tc>
          <w:tcPr>
            <w:tcW w:w="811" w:type="pct"/>
            <w:tcBorders>
              <w:top w:val="single" w:sz="18"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B7"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11 900 000.00</w:t>
            </w:r>
          </w:p>
        </w:tc>
        <w:tc>
          <w:tcPr>
            <w:tcW w:w="878" w:type="pct"/>
            <w:tcBorders>
              <w:top w:val="single" w:sz="18"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B8"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1 890 000.00</w:t>
            </w:r>
          </w:p>
        </w:tc>
        <w:tc>
          <w:tcPr>
            <w:tcW w:w="878" w:type="pct"/>
            <w:tcBorders>
              <w:top w:val="single" w:sz="18" w:space="0" w:color="auto"/>
              <w:left w:val="single" w:sz="4" w:space="0" w:color="auto"/>
              <w:bottom w:val="single" w:sz="4" w:space="0" w:color="auto"/>
              <w:right w:val="single" w:sz="4" w:space="0" w:color="auto"/>
            </w:tcBorders>
            <w:shd w:val="clear" w:color="auto" w:fill="DEEAF6" w:themeFill="accent1" w:themeFillTint="33"/>
            <w:vAlign w:val="center"/>
            <w:hideMark/>
          </w:tcPr>
          <w:p w14:paraId="6D6F27B9" w14:textId="77777777" w:rsidR="00650E6F" w:rsidRPr="000E1EB0" w:rsidRDefault="00650E6F" w:rsidP="00650E6F">
            <w:pPr>
              <w:spacing w:after="0" w:line="240" w:lineRule="auto"/>
              <w:jc w:val="center"/>
              <w:rPr>
                <w:rFonts w:ascii="Garamond" w:eastAsia="Calibri" w:hAnsi="Garamond" w:cs="Tahoma"/>
                <w:color w:val="000000"/>
                <w:sz w:val="16"/>
                <w:szCs w:val="16"/>
              </w:rPr>
            </w:pPr>
            <w:r w:rsidRPr="000E1EB0">
              <w:rPr>
                <w:rFonts w:ascii="Garamond" w:eastAsia="Calibri" w:hAnsi="Garamond" w:cs="Tahoma"/>
                <w:color w:val="000000"/>
                <w:sz w:val="16"/>
                <w:szCs w:val="16"/>
              </w:rPr>
              <w:t>13 790 000.00</w:t>
            </w:r>
          </w:p>
        </w:tc>
        <w:tc>
          <w:tcPr>
            <w:tcW w:w="743" w:type="pct"/>
            <w:tcBorders>
              <w:top w:val="single" w:sz="18" w:space="0" w:color="auto"/>
              <w:left w:val="single" w:sz="4" w:space="0" w:color="auto"/>
              <w:bottom w:val="single" w:sz="4" w:space="0" w:color="auto"/>
              <w:right w:val="single" w:sz="4" w:space="0" w:color="auto"/>
            </w:tcBorders>
            <w:shd w:val="clear" w:color="auto" w:fill="DEEAF6" w:themeFill="accent1" w:themeFillTint="33"/>
            <w:vAlign w:val="center"/>
          </w:tcPr>
          <w:p w14:paraId="6D6F27BA" w14:textId="77777777" w:rsidR="00650E6F" w:rsidRPr="000E1EB0" w:rsidRDefault="00650E6F" w:rsidP="00650E6F">
            <w:pPr>
              <w:spacing w:after="0" w:line="240" w:lineRule="auto"/>
              <w:jc w:val="center"/>
              <w:rPr>
                <w:rFonts w:ascii="Garamond" w:eastAsia="Calibri" w:hAnsi="Garamond" w:cs="Tahoma"/>
                <w:color w:val="000000"/>
                <w:sz w:val="16"/>
                <w:szCs w:val="16"/>
              </w:rPr>
            </w:pPr>
          </w:p>
        </w:tc>
      </w:tr>
    </w:tbl>
    <w:p w14:paraId="6D6F27BC" w14:textId="77777777" w:rsidR="00650E6F" w:rsidRPr="000E1EB0" w:rsidRDefault="00650E6F" w:rsidP="00650E6F">
      <w:pPr>
        <w:pStyle w:val="AAAATEX"/>
      </w:pPr>
    </w:p>
    <w:p w14:paraId="6D6F27BD" w14:textId="1564E8CC" w:rsidR="00650E6F" w:rsidRPr="000E1EB0" w:rsidRDefault="00650E6F" w:rsidP="00650E6F">
      <w:pPr>
        <w:pStyle w:val="AAAATEX"/>
      </w:pPr>
      <w:r w:rsidRPr="000E1EB0">
        <w:t xml:space="preserve">Kontributi i BE-së është llogaritur në raport me shpenzimet e pranueshme, të cilat bazohen në totalin e shpenzimeve të pranueshme, duke përfshirë shpenzimet publike dhe private. Shkalla e </w:t>
      </w:r>
      <w:r w:rsidR="00036A7C">
        <w:t>bashkë</w:t>
      </w:r>
      <w:r w:rsidRPr="000E1EB0">
        <w:t>financimit të BE</w:t>
      </w:r>
      <w:r w:rsidR="00282883">
        <w:t>-s</w:t>
      </w:r>
      <w:r w:rsidR="00282883" w:rsidRPr="000E1EB0">
        <w:t>ë</w:t>
      </w:r>
      <w:r w:rsidRPr="000E1EB0">
        <w:t xml:space="preserve"> në nivel të çdo prioriteti tematik nuk duhet të jetë më pak se 20% dhe jo më e lartë se 85% e shpenzimeve të pranueshme. </w:t>
      </w:r>
    </w:p>
    <w:p w14:paraId="6D6F27BE" w14:textId="00FA3FBE" w:rsidR="00650E6F" w:rsidRPr="000E1EB0" w:rsidRDefault="00036A7C" w:rsidP="00650E6F">
      <w:pPr>
        <w:pStyle w:val="AAAATEX"/>
      </w:pPr>
      <w:r>
        <w:t>Bashkë</w:t>
      </w:r>
      <w:r w:rsidR="00650E6F" w:rsidRPr="000E1EB0">
        <w:t>financimi i prioriteteve tematike do të sigurohet nga përfituesit e granteve. Përfituesit e grantit duhet të kontribuojnë me një minimum prej 15% të totalit të shpenzimeve të pranueshme.</w:t>
      </w:r>
    </w:p>
    <w:p w14:paraId="6D6F27BF" w14:textId="192E8F1C" w:rsidR="00650E6F" w:rsidRPr="000E1EB0" w:rsidRDefault="00650E6F" w:rsidP="00650E6F">
      <w:pPr>
        <w:pStyle w:val="AAAATEX"/>
      </w:pPr>
      <w:r w:rsidRPr="000E1EB0">
        <w:t xml:space="preserve">Shuma e dedikuar për asistencën teknike do të kufizohet në 10% të shumës totale të caktuar për programin. Shkalla e </w:t>
      </w:r>
      <w:r w:rsidR="00036A7C">
        <w:t>bashkë</w:t>
      </w:r>
      <w:r w:rsidRPr="000E1EB0">
        <w:t>financimit të BE-së do të jetë 100%.</w:t>
      </w:r>
    </w:p>
    <w:p w14:paraId="6D6F27C0" w14:textId="7BCA16A2" w:rsidR="00650E6F" w:rsidRPr="000E1EB0" w:rsidRDefault="00650E6F" w:rsidP="00650E6F">
      <w:pPr>
        <w:pStyle w:val="AAAATEX"/>
      </w:pPr>
      <w:r w:rsidRPr="000E1EB0">
        <w:t xml:space="preserve">Fondet për prioritetet tematike do të jepen nëpërmjet </w:t>
      </w:r>
      <w:r w:rsidR="00561705">
        <w:t>v</w:t>
      </w:r>
      <w:r w:rsidRPr="000E1EB0">
        <w:t xml:space="preserve">endimeve të Komisionit Zbatues, duke mbuluar alokime një deri në trevjeçare, sipas nevojës. Fondet për asistencën teknike do të jepen nëpërmjet një </w:t>
      </w:r>
      <w:r w:rsidR="00155364" w:rsidRPr="000E1EB0">
        <w:t xml:space="preserve">vendimi </w:t>
      </w:r>
      <w:r w:rsidRPr="000E1EB0">
        <w:t>të veçantë të Komisionit Zbatues.</w:t>
      </w:r>
    </w:p>
    <w:p w14:paraId="4C71EE40" w14:textId="77777777" w:rsidR="00155364" w:rsidRDefault="00155364" w:rsidP="00650E6F">
      <w:pPr>
        <w:pStyle w:val="AAAATEX"/>
        <w:rPr>
          <w:b/>
        </w:rPr>
      </w:pPr>
      <w:bookmarkStart w:id="7" w:name="_Toc437600598"/>
    </w:p>
    <w:p w14:paraId="6D6F27C1" w14:textId="723ED086" w:rsidR="00650E6F" w:rsidRPr="00155364" w:rsidRDefault="00155364" w:rsidP="00155364">
      <w:pPr>
        <w:pStyle w:val="AAAATEX"/>
        <w:jc w:val="center"/>
      </w:pPr>
      <w:r w:rsidRPr="00155364">
        <w:t>SEKSIONI 5</w:t>
      </w:r>
      <w:bookmarkEnd w:id="7"/>
    </w:p>
    <w:p w14:paraId="6D6F27C2" w14:textId="1A7D225A" w:rsidR="00650E6F" w:rsidRPr="00155364" w:rsidRDefault="00155364" w:rsidP="00155364">
      <w:pPr>
        <w:pStyle w:val="AAAATEX"/>
        <w:jc w:val="center"/>
      </w:pPr>
      <w:bookmarkStart w:id="8" w:name="_Toc437600599"/>
      <w:r w:rsidRPr="00155364">
        <w:t>DISPOZITAT ZBATUESE</w:t>
      </w:r>
      <w:bookmarkEnd w:id="8"/>
    </w:p>
    <w:p w14:paraId="12D33A58" w14:textId="77777777" w:rsidR="00155364" w:rsidRDefault="00155364" w:rsidP="00650E6F">
      <w:pPr>
        <w:pStyle w:val="AAAATEX"/>
      </w:pPr>
      <w:bookmarkStart w:id="9" w:name="_Toc363833830"/>
      <w:bookmarkStart w:id="10" w:name="_Toc363833944"/>
      <w:bookmarkStart w:id="11" w:name="_Toc364756964"/>
    </w:p>
    <w:p w14:paraId="6D6F27C3" w14:textId="77777777" w:rsidR="00650E6F" w:rsidRPr="000E1EB0" w:rsidRDefault="00650E6F" w:rsidP="00650E6F">
      <w:pPr>
        <w:pStyle w:val="AAAATEX"/>
      </w:pPr>
      <w:r w:rsidRPr="000E1EB0">
        <w:t>Në kuadër të këtij programi nuk janë parashikuar thirrje për projekte strategjike.</w:t>
      </w:r>
    </w:p>
    <w:p w14:paraId="6D6F27C4" w14:textId="42034BFE" w:rsidR="00650E6F" w:rsidRPr="000E1EB0" w:rsidRDefault="00650E6F" w:rsidP="00650E6F">
      <w:pPr>
        <w:pStyle w:val="AAAATEX"/>
      </w:pPr>
      <w:r w:rsidRPr="000E1EB0">
        <w:t xml:space="preserve">Ashtu siç është parashikuar nën prioritetin e </w:t>
      </w:r>
      <w:r w:rsidR="00155364" w:rsidRPr="000E1EB0">
        <w:t>asistencës teknike</w:t>
      </w:r>
      <w:r w:rsidRPr="000E1EB0">
        <w:t>, aplikuesit kanë të drejtë të kenë mbështetje gjatë hartimit dhe zhvillimit të projektit.</w:t>
      </w:r>
    </w:p>
    <w:p w14:paraId="6D6F27C5" w14:textId="77777777" w:rsidR="00650E6F" w:rsidRPr="000E1EB0" w:rsidRDefault="00650E6F" w:rsidP="00650E6F">
      <w:pPr>
        <w:pStyle w:val="AAAATEX"/>
      </w:pPr>
      <w:r w:rsidRPr="000E1EB0">
        <w:t>Duke pasur parasysh që baza duhet të identifikohet përpara ndërhyrjes së programit, të gjithë aplikuesit duhet të ofrojnë informacionin e kërkuar për të llogaritur vlerën e treguesve bazë. Informacioni duhet të sigurohet për aplikuesin kryesor, të gjithë partnerët dhe bashkëpunëtorët.</w:t>
      </w:r>
    </w:p>
    <w:p w14:paraId="6D6F27C6" w14:textId="4B373CE7" w:rsidR="00650E6F" w:rsidRPr="000E1EB0" w:rsidRDefault="00650E6F" w:rsidP="00650E6F">
      <w:pPr>
        <w:pStyle w:val="AAAATEX"/>
      </w:pPr>
      <w:r w:rsidRPr="000E1EB0">
        <w:t xml:space="preserve">Për shkak të burimeve të kufizuara financiare, nuk ka asnjë dispozitë për të synuar </w:t>
      </w:r>
      <w:r w:rsidR="00833455">
        <w:t>nën</w:t>
      </w:r>
      <w:r w:rsidRPr="000E1EB0">
        <w:t>tema ose aktivitete specifike për thirrje për propozime.</w:t>
      </w:r>
    </w:p>
    <w:p w14:paraId="6D6F27C7" w14:textId="63A1BEEA" w:rsidR="00650E6F" w:rsidRPr="000E1EB0" w:rsidRDefault="00650E6F" w:rsidP="00650E6F">
      <w:pPr>
        <w:pStyle w:val="AAAATEX"/>
      </w:pPr>
      <w:r w:rsidRPr="000E1EB0">
        <w:lastRenderedPageBreak/>
        <w:t>Modalitetet e propozuara të zbatimit janë të detajuara në përshkrimin e çdo prioriteti, të bazuar në supozimin se gjatë periudhës së zbatimit të programit do të kryhen tr</w:t>
      </w:r>
      <w:r w:rsidR="00212FD8">
        <w:t>i</w:t>
      </w:r>
      <w:r w:rsidRPr="000E1EB0">
        <w:t xml:space="preserve"> raunde të thirrjeve për </w:t>
      </w:r>
      <w:r w:rsidR="00601FA3">
        <w:t>projektpropozime</w:t>
      </w:r>
      <w:r w:rsidRPr="000E1EB0">
        <w:t xml:space="preserve"> dhe në faktin që nuk është parashikuar asnjë projekt strategjik për zbatim. Tabela e mëposhtme përmbledh këto modalitete bazuar në dy skenarë të hartuar nën paragrafin e modaliteteve të zbatimit të seksionit 3.2. Megjithatë, këta skenarë kanë një natyrë supozuese dhe mund të ndryshojnë në bazë të mundësive të tjera që mund të shqyrtohen gjatë zbatimit të programit dhe me qëllim të ngritjes së efikasitetit dhe rezultateve të prokurimit.</w:t>
      </w:r>
    </w:p>
    <w:p w14:paraId="6D6F27C8" w14:textId="77777777" w:rsidR="00650E6F" w:rsidRPr="000E1EB0" w:rsidRDefault="00650E6F" w:rsidP="00650E6F">
      <w:pPr>
        <w:pStyle w:val="AAAATEX"/>
        <w:rPr>
          <w:b/>
        </w:rPr>
      </w:pPr>
      <w:r w:rsidRPr="000E1EB0">
        <w:rPr>
          <w:b/>
        </w:rPr>
        <w:t>Skenari 1</w:t>
      </w:r>
    </w:p>
    <w:p w14:paraId="6D6F27C9" w14:textId="3996F464" w:rsidR="00650E6F" w:rsidRPr="000E1EB0" w:rsidRDefault="00650E6F" w:rsidP="00650E6F">
      <w:pPr>
        <w:pStyle w:val="AAAATEX"/>
      </w:pPr>
      <w:r w:rsidRPr="00DD2299">
        <w:t>Ky skenar parashikon organizimin e tr</w:t>
      </w:r>
      <w:r w:rsidR="00212FD8" w:rsidRPr="00DD2299">
        <w:t>i</w:t>
      </w:r>
      <w:r w:rsidRPr="00DD2299">
        <w:t xml:space="preserve"> raundeve të thirrjeve për propozime me ndarje të</w:t>
      </w:r>
      <w:r w:rsidRPr="000E1EB0">
        <w:t xml:space="preserve"> barabartë financiare për çdo prioritet tematik, me afërsisht 1/3 e buxhetit total të programit për prioritet. Të gjitha thirrjet do të synojë secilin prioritet dhe aktivitete të zgjedhura. </w:t>
      </w:r>
    </w:p>
    <w:p w14:paraId="6D6F27CA" w14:textId="77777777" w:rsidR="00650E6F" w:rsidRPr="000E1EB0" w:rsidRDefault="00650E6F" w:rsidP="00650E6F">
      <w:pPr>
        <w:pStyle w:val="AAAATEX"/>
      </w:pPr>
      <w:r w:rsidRPr="000E1EB0">
        <w:t>Të gjitha grupet e synuara do të kenë akses të barabartë në financimin e ofruar nga programi.</w:t>
      </w:r>
    </w:p>
    <w:p w14:paraId="6D6F27CB"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3346" w:type="pct"/>
        <w:jc w:val="center"/>
        <w:tblLook w:val="04A0" w:firstRow="1" w:lastRow="0" w:firstColumn="1" w:lastColumn="0" w:noHBand="0" w:noVBand="1"/>
      </w:tblPr>
      <w:tblGrid>
        <w:gridCol w:w="2468"/>
        <w:gridCol w:w="3940"/>
      </w:tblGrid>
      <w:tr w:rsidR="00650E6F" w:rsidRPr="000E1EB0" w14:paraId="6D6F27CE" w14:textId="77777777" w:rsidTr="00650E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CC" w14:textId="0C403AFF" w:rsidR="00650E6F" w:rsidRPr="000E1EB0" w:rsidRDefault="00650E6F" w:rsidP="00BB556D">
            <w:pPr>
              <w:jc w:val="center"/>
              <w:rPr>
                <w:rFonts w:ascii="Garamond" w:hAnsi="Garamond" w:cs="Tahoma"/>
                <w:sz w:val="20"/>
                <w:szCs w:val="20"/>
                <w:lang w:val="sq-AL"/>
              </w:rPr>
            </w:pPr>
            <w:r w:rsidRPr="000E1EB0">
              <w:rPr>
                <w:rFonts w:ascii="Garamond" w:hAnsi="Garamond" w:cs="Tahoma"/>
                <w:sz w:val="20"/>
                <w:szCs w:val="20"/>
                <w:lang w:val="sq-AL"/>
              </w:rPr>
              <w:t xml:space="preserve">Raundi i </w:t>
            </w:r>
            <w:r w:rsidR="005510D8" w:rsidRPr="000E1EB0">
              <w:rPr>
                <w:rFonts w:ascii="Garamond" w:hAnsi="Garamond" w:cs="Tahoma"/>
                <w:sz w:val="20"/>
                <w:szCs w:val="20"/>
                <w:lang w:val="sq-AL"/>
              </w:rPr>
              <w:t>t</w:t>
            </w:r>
            <w:r w:rsidRPr="000E1EB0">
              <w:rPr>
                <w:rFonts w:ascii="Garamond" w:hAnsi="Garamond" w:cs="Tahoma"/>
                <w:sz w:val="20"/>
                <w:szCs w:val="20"/>
                <w:lang w:val="sq-AL"/>
              </w:rPr>
              <w:t>hirrjeve për projektpropozime</w:t>
            </w:r>
          </w:p>
        </w:tc>
        <w:tc>
          <w:tcPr>
            <w:tcW w:w="3074" w:type="pct"/>
          </w:tcPr>
          <w:p w14:paraId="6D6F27C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Aktivitetet</w:t>
            </w:r>
          </w:p>
        </w:tc>
      </w:tr>
      <w:tr w:rsidR="00650E6F" w:rsidRPr="000E1EB0" w14:paraId="6D6F27D6" w14:textId="77777777" w:rsidTr="00650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C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 pari</w:t>
            </w:r>
          </w:p>
        </w:tc>
        <w:tc>
          <w:tcPr>
            <w:tcW w:w="3074" w:type="pct"/>
          </w:tcPr>
          <w:p w14:paraId="6D6F27D0"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1.1.1.2</w:t>
            </w:r>
          </w:p>
          <w:p w14:paraId="6D6F27D1"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1.1.2.2</w:t>
            </w:r>
          </w:p>
          <w:p w14:paraId="6D6F27D2"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p w14:paraId="6D6F27D3"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2.1.1.1</w:t>
            </w:r>
          </w:p>
          <w:p w14:paraId="6D6F27D4"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p w14:paraId="6D6F27D5"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3.1.1.1</w:t>
            </w:r>
          </w:p>
        </w:tc>
      </w:tr>
      <w:tr w:rsidR="00650E6F" w:rsidRPr="000E1EB0" w14:paraId="6D6F27DE" w14:textId="77777777" w:rsidTr="00650E6F">
        <w:trPr>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D7"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 dyti</w:t>
            </w:r>
          </w:p>
        </w:tc>
        <w:tc>
          <w:tcPr>
            <w:tcW w:w="3074" w:type="pct"/>
          </w:tcPr>
          <w:p w14:paraId="6D6F27D8"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1.1.1.1</w:t>
            </w:r>
          </w:p>
          <w:p w14:paraId="6D6F27D9"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1.1.2.1</w:t>
            </w:r>
          </w:p>
          <w:p w14:paraId="6D6F27DA"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p>
          <w:p w14:paraId="6D6F27DB"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2.1.1.2</w:t>
            </w:r>
          </w:p>
          <w:p w14:paraId="6D6F27DC"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p>
          <w:p w14:paraId="6D6F27DD"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3.1.2.1</w:t>
            </w:r>
          </w:p>
        </w:tc>
      </w:tr>
      <w:tr w:rsidR="00650E6F" w:rsidRPr="000E1EB0" w14:paraId="6D6F27E9" w14:textId="77777777" w:rsidTr="00650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D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I treti</w:t>
            </w:r>
          </w:p>
        </w:tc>
        <w:tc>
          <w:tcPr>
            <w:tcW w:w="3074" w:type="pct"/>
          </w:tcPr>
          <w:p w14:paraId="6D6F27E0"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1.1.1.1</w:t>
            </w:r>
          </w:p>
          <w:p w14:paraId="6D6F27E1"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1.1.2.1</w:t>
            </w:r>
          </w:p>
          <w:p w14:paraId="6D6F27E2"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1.1.1.2</w:t>
            </w:r>
          </w:p>
          <w:p w14:paraId="6D6F27E3"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1.1.2.2</w:t>
            </w:r>
          </w:p>
          <w:p w14:paraId="6D6F27E4"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p w14:paraId="6D6F27E5"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2.1.1.1</w:t>
            </w:r>
          </w:p>
          <w:p w14:paraId="6D6F27E6"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2.1.1.2</w:t>
            </w:r>
          </w:p>
          <w:p w14:paraId="6D6F27E7"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p w14:paraId="6D6F27E8"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3.1.1.1</w:t>
            </w:r>
          </w:p>
        </w:tc>
      </w:tr>
    </w:tbl>
    <w:p w14:paraId="6D6F27EA" w14:textId="77777777" w:rsidR="00650E6F" w:rsidRPr="000E1EB0" w:rsidRDefault="00650E6F" w:rsidP="00650E6F">
      <w:pPr>
        <w:spacing w:after="0" w:line="240" w:lineRule="auto"/>
        <w:jc w:val="both"/>
        <w:rPr>
          <w:rFonts w:ascii="Garamond" w:hAnsi="Garamond" w:cs="Tahoma"/>
          <w:sz w:val="20"/>
          <w:szCs w:val="20"/>
        </w:rPr>
      </w:pPr>
    </w:p>
    <w:p w14:paraId="6D6F27EB" w14:textId="77777777" w:rsidR="00650E6F" w:rsidRPr="000E1EB0" w:rsidRDefault="00650E6F" w:rsidP="00650E6F">
      <w:pPr>
        <w:pStyle w:val="AAAATEX"/>
        <w:rPr>
          <w:b/>
        </w:rPr>
      </w:pPr>
      <w:r w:rsidRPr="000E1EB0">
        <w:rPr>
          <w:b/>
        </w:rPr>
        <w:t>Skenari 2</w:t>
      </w:r>
    </w:p>
    <w:p w14:paraId="6D6F27EC" w14:textId="139DE47D" w:rsidR="00650E6F" w:rsidRPr="000E1EB0" w:rsidRDefault="00650E6F" w:rsidP="00650E6F">
      <w:pPr>
        <w:pStyle w:val="AAAATEX"/>
      </w:pPr>
      <w:r w:rsidRPr="000E1EB0">
        <w:t xml:space="preserve">Sipas këtij skenari çdo thirrje për </w:t>
      </w:r>
      <w:r w:rsidR="00601FA3">
        <w:t>projektpropozime</w:t>
      </w:r>
      <w:r w:rsidRPr="000E1EB0">
        <w:t xml:space="preserve"> do të synojë një prioritet të vetëm, përveç raundit të parë ku </w:t>
      </w:r>
      <w:r w:rsidR="005510D8" w:rsidRPr="000E1EB0">
        <w:t xml:space="preserve">aktiviteti </w:t>
      </w:r>
      <w:r w:rsidRPr="000E1EB0">
        <w:t xml:space="preserve">1.1.2.2 është përjashtuar. Ky aktivitet do të përfshihet në raundin e dytë dhe të tretë të thirrjeve për </w:t>
      </w:r>
      <w:r w:rsidR="00601FA3">
        <w:t>projektpropozime</w:t>
      </w:r>
      <w:r w:rsidRPr="000E1EB0">
        <w:t xml:space="preserve">, në mënyrë të përsëritur. </w:t>
      </w:r>
    </w:p>
    <w:p w14:paraId="6D6F27ED" w14:textId="77777777" w:rsidR="00650E6F" w:rsidRPr="000E1EB0" w:rsidRDefault="00650E6F" w:rsidP="00650E6F">
      <w:pPr>
        <w:pStyle w:val="AAAATEX"/>
      </w:pPr>
    </w:p>
    <w:tbl>
      <w:tblPr>
        <w:tblStyle w:val="MediumGrid3-Accent1"/>
        <w:tblW w:w="3346" w:type="pct"/>
        <w:jc w:val="center"/>
        <w:tblLook w:val="04A0" w:firstRow="1" w:lastRow="0" w:firstColumn="1" w:lastColumn="0" w:noHBand="0" w:noVBand="1"/>
      </w:tblPr>
      <w:tblGrid>
        <w:gridCol w:w="2468"/>
        <w:gridCol w:w="3940"/>
      </w:tblGrid>
      <w:tr w:rsidR="00650E6F" w:rsidRPr="000E1EB0" w14:paraId="6D6F27F0" w14:textId="77777777" w:rsidTr="00650E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EE" w14:textId="40851A91"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 xml:space="preserve">Raundi i </w:t>
            </w:r>
            <w:r w:rsidR="00F507E0" w:rsidRPr="000E1EB0">
              <w:rPr>
                <w:rFonts w:ascii="Garamond" w:hAnsi="Garamond" w:cs="Tahoma"/>
                <w:sz w:val="20"/>
                <w:szCs w:val="20"/>
                <w:lang w:val="sq-AL"/>
              </w:rPr>
              <w:t xml:space="preserve">thirrjeve </w:t>
            </w:r>
            <w:r w:rsidRPr="000E1EB0">
              <w:rPr>
                <w:rFonts w:ascii="Garamond" w:hAnsi="Garamond" w:cs="Tahoma"/>
                <w:sz w:val="20"/>
                <w:szCs w:val="20"/>
                <w:lang w:val="sq-AL"/>
              </w:rPr>
              <w:t xml:space="preserve">për </w:t>
            </w:r>
            <w:r w:rsidR="00BB0FD6">
              <w:rPr>
                <w:rFonts w:ascii="Garamond" w:hAnsi="Garamond" w:cs="Tahoma"/>
                <w:sz w:val="20"/>
                <w:szCs w:val="20"/>
                <w:lang w:val="sq-AL"/>
              </w:rPr>
              <w:t>projekt</w:t>
            </w:r>
            <w:r w:rsidRPr="000E1EB0">
              <w:rPr>
                <w:rFonts w:ascii="Garamond" w:hAnsi="Garamond" w:cs="Tahoma"/>
                <w:sz w:val="20"/>
                <w:szCs w:val="20"/>
                <w:lang w:val="sq-AL"/>
              </w:rPr>
              <w:t>propozime</w:t>
            </w:r>
          </w:p>
        </w:tc>
        <w:tc>
          <w:tcPr>
            <w:tcW w:w="3074" w:type="pct"/>
          </w:tcPr>
          <w:p w14:paraId="6D6F27E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Aktivitetet</w:t>
            </w:r>
          </w:p>
        </w:tc>
      </w:tr>
      <w:tr w:rsidR="00650E6F" w:rsidRPr="000E1EB0" w14:paraId="6D6F27F3" w14:textId="77777777" w:rsidTr="00650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F1"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I pari</w:t>
            </w:r>
          </w:p>
        </w:tc>
        <w:tc>
          <w:tcPr>
            <w:tcW w:w="3074" w:type="pct"/>
          </w:tcPr>
          <w:p w14:paraId="6D6F27F2"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Prioriteti 1, përveç aktivitetit 1.1.2.2 që mund të qarkullojë gjatë gjithë periudhës së zbatimit</w:t>
            </w:r>
          </w:p>
        </w:tc>
      </w:tr>
      <w:tr w:rsidR="00650E6F" w:rsidRPr="000E1EB0" w14:paraId="6D6F27F6" w14:textId="77777777" w:rsidTr="00650E6F">
        <w:trPr>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F4"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I dyti</w:t>
            </w:r>
          </w:p>
        </w:tc>
        <w:tc>
          <w:tcPr>
            <w:tcW w:w="3074" w:type="pct"/>
          </w:tcPr>
          <w:p w14:paraId="6D6F27F5" w14:textId="77777777" w:rsidR="00650E6F" w:rsidRPr="000E1EB0"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Prioriteti 2 me aktivitetin 1.1.2.2</w:t>
            </w:r>
          </w:p>
        </w:tc>
      </w:tr>
      <w:tr w:rsidR="00650E6F" w:rsidRPr="000E1EB0" w14:paraId="6D6F27F9" w14:textId="77777777" w:rsidTr="00650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6" w:type="pct"/>
          </w:tcPr>
          <w:p w14:paraId="6D6F27F7"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I treti</w:t>
            </w:r>
          </w:p>
        </w:tc>
        <w:tc>
          <w:tcPr>
            <w:tcW w:w="3074" w:type="pct"/>
          </w:tcPr>
          <w:p w14:paraId="6D6F27F8" w14:textId="77777777" w:rsidR="00650E6F" w:rsidRPr="000E1EB0"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Prioriteti 3 me aktivitetin 1.1.2.2</w:t>
            </w:r>
          </w:p>
        </w:tc>
      </w:tr>
    </w:tbl>
    <w:p w14:paraId="6D6F27FA" w14:textId="77777777" w:rsidR="00650E6F" w:rsidRPr="000E1EB0" w:rsidRDefault="00650E6F" w:rsidP="00650E6F">
      <w:pPr>
        <w:spacing w:after="0" w:line="240" w:lineRule="auto"/>
        <w:jc w:val="both"/>
        <w:rPr>
          <w:rFonts w:ascii="Garamond" w:hAnsi="Garamond" w:cs="Tahoma"/>
          <w:sz w:val="20"/>
          <w:szCs w:val="20"/>
        </w:rPr>
      </w:pPr>
    </w:p>
    <w:p w14:paraId="6D6F27FB" w14:textId="41234028" w:rsidR="00650E6F" w:rsidRPr="000E1EB0" w:rsidRDefault="00650E6F" w:rsidP="00650E6F">
      <w:pPr>
        <w:pStyle w:val="AAAATEX"/>
      </w:pPr>
      <w:r w:rsidRPr="000E1EB0">
        <w:t>Të gjith</w:t>
      </w:r>
      <w:r w:rsidR="006A19F2">
        <w:t>a</w:t>
      </w:r>
      <w:r w:rsidRPr="000E1EB0">
        <w:t xml:space="preserve"> projektet dhe aksionet do të përzgjidhen për mbështetje duke pasur parasysh çështjet horizontale dhe ndërsektoriale të parashikuara në pikën 3.3.</w:t>
      </w:r>
    </w:p>
    <w:p w14:paraId="6D6F27FC" w14:textId="466CAA88" w:rsidR="00650E6F" w:rsidRPr="000E1EB0" w:rsidRDefault="00650E6F" w:rsidP="00650E6F">
      <w:pPr>
        <w:pStyle w:val="AAAATEX"/>
      </w:pPr>
      <w:r w:rsidRPr="000E1EB0">
        <w:t>Projektet duhet të projektohen dhe</w:t>
      </w:r>
      <w:r w:rsidR="009A5DA1">
        <w:t xml:space="preserve"> </w:t>
      </w:r>
      <w:r w:rsidRPr="000E1EB0">
        <w:t xml:space="preserve">paketohen në përputhje me parimin e partnerit kryesor. </w:t>
      </w:r>
    </w:p>
    <w:p w14:paraId="720A1AD0" w14:textId="77777777" w:rsidR="005510D8" w:rsidRDefault="005510D8" w:rsidP="005510D8">
      <w:pPr>
        <w:pStyle w:val="AAAATEX"/>
        <w:jc w:val="center"/>
      </w:pPr>
      <w:bookmarkStart w:id="12" w:name="_Toc437600600"/>
      <w:bookmarkEnd w:id="9"/>
      <w:bookmarkEnd w:id="10"/>
      <w:bookmarkEnd w:id="11"/>
    </w:p>
    <w:p w14:paraId="6D6F27FD" w14:textId="77777777" w:rsidR="00650E6F" w:rsidRPr="005510D8" w:rsidRDefault="00650E6F" w:rsidP="005510D8">
      <w:pPr>
        <w:pStyle w:val="AAAATEX"/>
        <w:jc w:val="center"/>
      </w:pPr>
      <w:r w:rsidRPr="005510D8">
        <w:t>LISTA E SHTOJCAVE</w:t>
      </w:r>
      <w:bookmarkEnd w:id="12"/>
    </w:p>
    <w:p w14:paraId="6D6F27FE" w14:textId="77777777" w:rsidR="00650E6F" w:rsidRDefault="00650E6F" w:rsidP="005510D8">
      <w:pPr>
        <w:pStyle w:val="AAAATEX"/>
        <w:jc w:val="center"/>
      </w:pPr>
      <w:bookmarkStart w:id="13" w:name="_Toc437600601"/>
      <w:r w:rsidRPr="005510D8">
        <w:t>SHTOJCA 1</w:t>
      </w:r>
      <w:bookmarkEnd w:id="13"/>
    </w:p>
    <w:p w14:paraId="08B39886" w14:textId="77777777" w:rsidR="005510D8" w:rsidRPr="005510D8" w:rsidRDefault="005510D8" w:rsidP="005510D8">
      <w:pPr>
        <w:pStyle w:val="AAAATEX"/>
        <w:jc w:val="center"/>
      </w:pPr>
    </w:p>
    <w:p w14:paraId="6D6F27FF" w14:textId="77777777" w:rsidR="00650E6F" w:rsidRPr="000E1EB0" w:rsidRDefault="00650E6F" w:rsidP="00650E6F">
      <w:pPr>
        <w:pStyle w:val="AAAATEX"/>
        <w:rPr>
          <w:b/>
        </w:rPr>
      </w:pPr>
      <w:bookmarkStart w:id="14" w:name="_Toc437600602"/>
      <w:r w:rsidRPr="000E1EB0">
        <w:rPr>
          <w:b/>
        </w:rPr>
        <w:t>Analiza e Situatës dhe Analiza SWOT</w:t>
      </w:r>
      <w:bookmarkEnd w:id="14"/>
    </w:p>
    <w:p w14:paraId="6D6F2800" w14:textId="77777777" w:rsidR="00650E6F" w:rsidRPr="000E1EB0" w:rsidRDefault="00650E6F" w:rsidP="00650E6F">
      <w:pPr>
        <w:pStyle w:val="AAAATEX"/>
        <w:rPr>
          <w:b/>
        </w:rPr>
      </w:pPr>
      <w:bookmarkStart w:id="15" w:name="_Toc437600603"/>
      <w:r w:rsidRPr="000E1EB0">
        <w:rPr>
          <w:b/>
        </w:rPr>
        <w:t>Analiza e Situatës së Zonës së Programit</w:t>
      </w:r>
      <w:bookmarkEnd w:id="15"/>
    </w:p>
    <w:p w14:paraId="6D6F2801" w14:textId="7DC663FC" w:rsidR="00650E6F" w:rsidRPr="000E1EB0" w:rsidRDefault="00650E6F" w:rsidP="00650E6F">
      <w:pPr>
        <w:pStyle w:val="AAAATEX"/>
      </w:pPr>
      <w:r w:rsidRPr="000E1EB0">
        <w:t xml:space="preserve">Rajoni kufitar midis </w:t>
      </w:r>
      <w:r w:rsidR="00850DEC">
        <w:t>i</w:t>
      </w:r>
      <w:r w:rsidRPr="000E1EB0">
        <w:t>sh</w:t>
      </w:r>
      <w:r w:rsidR="00850DEC">
        <w:t>-</w:t>
      </w:r>
      <w:r w:rsidRPr="000E1EB0">
        <w:t>Republikës Jugosllave të Maqedonisë dhe Republikës së Shqipërisë karakterizohet nga gjuhë të ndryshme të folura dhe larmi etnike, por kulturë, histori dhe vlera tradicionale të ngjashme. Karakteristikat e mëposhtme kryesore hapësinore dhe klimatike dominojnë zonën e programit:</w:t>
      </w:r>
    </w:p>
    <w:p w14:paraId="6D6F2802" w14:textId="77777777" w:rsidR="00650E6F" w:rsidRPr="000E1EB0" w:rsidRDefault="00650E6F" w:rsidP="00650E6F">
      <w:pPr>
        <w:pStyle w:val="AAAATEX"/>
      </w:pPr>
      <w:r w:rsidRPr="000E1EB0">
        <w:t>Vargu Jugor i Alpeve Dinarike (Dinariket) me pyje dhe kullota të bollshme, natyrë të pasur dhe mjedis të kombinuar me fusha dhe ultësira, pengon aksesin në të gjithë rajonin: diferenca ndërmjet majës më të lartë (Golem Korabi 2.753 m mbi nivelin e detit) dhe zonave fushore të Pellagonisë (130 m mbi nivelin e detit) është më shumë se 2.600 m.</w:t>
      </w:r>
    </w:p>
    <w:p w14:paraId="6D6F2803" w14:textId="295D2523" w:rsidR="00650E6F" w:rsidRPr="000E1EB0" w:rsidRDefault="00650E6F" w:rsidP="00650E6F">
      <w:pPr>
        <w:pStyle w:val="AAAATEX"/>
      </w:pPr>
      <w:r w:rsidRPr="000E1EB0">
        <w:t xml:space="preserve">Liqeni i Ohrit, i Prespës dhe Liqeni artificial i Dibrës, së bashku me </w:t>
      </w:r>
      <w:r w:rsidR="00231D59" w:rsidRPr="000E1EB0">
        <w:t xml:space="preserve">parqet kombëtare </w:t>
      </w:r>
      <w:r w:rsidRPr="000E1EB0">
        <w:t xml:space="preserve">Galiçica dhe Shebenik-Jabllanicë dhe fushat, </w:t>
      </w:r>
      <w:r w:rsidR="00322E1F" w:rsidRPr="000E1EB0">
        <w:t>kamionët</w:t>
      </w:r>
      <w:r w:rsidRPr="000E1EB0">
        <w:t xml:space="preserve"> dhe livadhet e tyre, sigurojnë kushte të favorshme për faunën dhe florën dhe mundësitë e zhvillimit të turizmit. Pyjet mbulojnë rreth 44% të zonës së programit të ish-Republikës Jugosllave të Maqedonisë dhe 37% të zonës së programit të Republikës së Shqipërisë. Liqeni i Ohrit është deklaruar nga UNESCO</w:t>
      </w:r>
      <w:r w:rsidR="009A5DA1">
        <w:t>-ja</w:t>
      </w:r>
      <w:r w:rsidRPr="000E1EB0">
        <w:t xml:space="preserve"> si</w:t>
      </w:r>
      <w:r w:rsidR="009A5DA1">
        <w:t xml:space="preserve"> </w:t>
      </w:r>
      <w:r w:rsidRPr="000E1EB0">
        <w:t xml:space="preserve">vend kulturor dhe natyror i trashëgimisë botërore dhe </w:t>
      </w:r>
      <w:r w:rsidR="009A5DA1" w:rsidRPr="000E1EB0">
        <w:t xml:space="preserve">liqeni </w:t>
      </w:r>
      <w:r w:rsidRPr="000E1EB0">
        <w:t>i Prespës është një zonë Ramsar me rëndësi ndërkombëtare</w:t>
      </w:r>
      <w:r w:rsidR="00DD2299">
        <w:t>.</w:t>
      </w:r>
    </w:p>
    <w:p w14:paraId="6D6F2804" w14:textId="0DDFE0C3" w:rsidR="00650E6F" w:rsidRPr="000E1EB0" w:rsidRDefault="00650E6F" w:rsidP="00650E6F">
      <w:pPr>
        <w:pStyle w:val="AAAATEX"/>
      </w:pPr>
      <w:r w:rsidRPr="000E1EB0">
        <w:t xml:space="preserve">Dy korridoret kryesore të transportit mbarevropian nxjerrin në pah vendndodhjen e rëndësishme gjeostrategjike të </w:t>
      </w:r>
      <w:r w:rsidR="00EB5DEB">
        <w:t>ish-Repu</w:t>
      </w:r>
      <w:r w:rsidRPr="000E1EB0">
        <w:t>blikës Jugosllave të Maqedonisë dhe Republikës së Shqipërisë në Evropën Juglindore. Korridori VIII (Durrës-Shkup-Sofje-Varna) dhe Dega D e Korridorit X (Igumenicë-Manastir-Prilep-Veles) ndikojnë fuqishëm në dinamikën e zonës së programit, ekonominë, njerëzit dhe mjedisin e saj.</w:t>
      </w:r>
      <w:r w:rsidRPr="000E1EB0">
        <w:rPr>
          <w:rStyle w:val="FootnoteReference"/>
        </w:rPr>
        <w:footnoteReference w:id="16"/>
      </w:r>
    </w:p>
    <w:p w14:paraId="6D6F2805" w14:textId="77777777" w:rsidR="00650E6F" w:rsidRPr="000E1EB0" w:rsidRDefault="00650E6F" w:rsidP="00650E6F">
      <w:pPr>
        <w:pStyle w:val="AAAATEX"/>
      </w:pPr>
    </w:p>
    <w:p w14:paraId="6D6F2806" w14:textId="77777777" w:rsidR="00650E6F" w:rsidRPr="000E1EB0" w:rsidRDefault="00650E6F" w:rsidP="00650E6F">
      <w:pPr>
        <w:pStyle w:val="AAAATEX"/>
        <w:jc w:val="center"/>
        <w:rPr>
          <w:lang w:eastAsia="sl-SI"/>
        </w:rPr>
      </w:pPr>
      <w:r w:rsidRPr="000E1EB0">
        <w:rPr>
          <w:noProof/>
          <w:lang w:val="en-US"/>
        </w:rPr>
        <w:lastRenderedPageBreak/>
        <w:drawing>
          <wp:inline distT="0" distB="0" distL="0" distR="0" wp14:anchorId="6D6F2CE8" wp14:editId="6D6F2CE9">
            <wp:extent cx="5033139" cy="3400425"/>
            <wp:effectExtent l="0" t="0" r="0" b="0"/>
            <wp:docPr id="11" name="Picture 11" descr="http://upload.wikimedia.org/wikipedia/commons/1/12/Pan-European_corridor_VIII_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1/12/Pan-European_corridor_VIII_de.svg.pn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033293" cy="3400529"/>
                    </a:xfrm>
                    <a:prstGeom prst="rect">
                      <a:avLst/>
                    </a:prstGeom>
                    <a:noFill/>
                    <a:ln>
                      <a:noFill/>
                    </a:ln>
                  </pic:spPr>
                </pic:pic>
              </a:graphicData>
            </a:graphic>
          </wp:inline>
        </w:drawing>
      </w:r>
    </w:p>
    <w:p w14:paraId="6D6F2807" w14:textId="77777777" w:rsidR="00650E6F" w:rsidRPr="000E1EB0" w:rsidRDefault="00650E6F" w:rsidP="00650E6F">
      <w:pPr>
        <w:pStyle w:val="AAAATEX"/>
      </w:pPr>
    </w:p>
    <w:p w14:paraId="6D6F2808" w14:textId="485322B6" w:rsidR="00650E6F" w:rsidRPr="000E1EB0" w:rsidRDefault="00650E6F" w:rsidP="00650E6F">
      <w:pPr>
        <w:pStyle w:val="AAAATEX"/>
      </w:pPr>
      <w:r w:rsidRPr="000E1EB0">
        <w:rPr>
          <w:b/>
        </w:rPr>
        <w:t>Zona kufitare është e pasur me minerale, p.sh.</w:t>
      </w:r>
      <w:r w:rsidRPr="000E1EB0">
        <w:t xml:space="preserve"> krom, qymyr, hekur-nikel, bakër, gëlqere, kuarc, rërë dhe mermer</w:t>
      </w:r>
      <w:r w:rsidR="000D1E15">
        <w:t>.</w:t>
      </w:r>
    </w:p>
    <w:p w14:paraId="6D6F2809" w14:textId="45B7C802" w:rsidR="00650E6F" w:rsidRPr="000E1EB0" w:rsidRDefault="00650E6F" w:rsidP="00650E6F">
      <w:pPr>
        <w:pStyle w:val="AAAATEX"/>
      </w:pPr>
      <w:r w:rsidRPr="000E1EB0">
        <w:rPr>
          <w:b/>
        </w:rPr>
        <w:t>Rajoni ndërkufitar karakterizohet nga kushte të ndryshme klimatike:</w:t>
      </w:r>
      <w:r w:rsidRPr="000E1EB0">
        <w:t xml:space="preserve"> nga transkontinentale në veri, në transmesdhetare në jug dhe në pjesët qendrore. Megjithatë, në zonat më malore të këtyre rajoneve dimri është i ftohtë dhe i lagësht, ndërsa vera është e nxehtë dhe e thatë. Temperaturat në zonat malore përgjatë kufirit variojnë prej -16 deri në +36 gradë (minimumi dhe maksimumi). Mesatarja vjetore e reshjeve në anën e Republikës së Shqipërisë (+1.400 mm) është më e lartë se sa në anën e kufirit të ish</w:t>
      </w:r>
      <w:r w:rsidR="00782818">
        <w:t>-</w:t>
      </w:r>
      <w:r w:rsidRPr="000E1EB0">
        <w:t>Republikës Jugosllave të Maqedonisë (600 mm).</w:t>
      </w:r>
      <w:r w:rsidRPr="000E1EB0">
        <w:rPr>
          <w:rStyle w:val="FootnoteReference"/>
        </w:rPr>
        <w:footnoteReference w:id="17"/>
      </w:r>
    </w:p>
    <w:p w14:paraId="6D6F280A" w14:textId="12FD06B8" w:rsidR="00650E6F" w:rsidRPr="000E1EB0" w:rsidRDefault="00650E6F" w:rsidP="00650E6F">
      <w:pPr>
        <w:pStyle w:val="AAAATEX"/>
        <w:rPr>
          <w:b/>
          <w:color w:val="5B9BD5" w:themeColor="accent1"/>
        </w:rPr>
      </w:pPr>
      <w:r w:rsidRPr="000E1EB0">
        <w:rPr>
          <w:b/>
        </w:rPr>
        <w:t xml:space="preserve">Aspektet </w:t>
      </w:r>
      <w:r w:rsidR="00782818" w:rsidRPr="000E1EB0">
        <w:rPr>
          <w:b/>
        </w:rPr>
        <w:t>politike</w:t>
      </w:r>
    </w:p>
    <w:p w14:paraId="6D6F280B" w14:textId="26F09487" w:rsidR="00650E6F" w:rsidRPr="000E1EB0" w:rsidRDefault="00650E6F" w:rsidP="00650E6F">
      <w:pPr>
        <w:pStyle w:val="AAAATEX"/>
      </w:pPr>
      <w:r w:rsidRPr="000E1EB0">
        <w:t>Ish</w:t>
      </w:r>
      <w:r w:rsidR="00782818">
        <w:t>-</w:t>
      </w:r>
      <w:r w:rsidRPr="000E1EB0">
        <w:t xml:space="preserve">Republika Jugosllave e Maqedonisë ka qenë identifikuar si një kandidat potencial për anëtarësim në BE që në vitin 2003. Vendi ka aplikuar për anëtarësim në BE në mars të vitit 2004 dhe i është dhënë statusi i kandidatit në vitin 2005. </w:t>
      </w:r>
    </w:p>
    <w:p w14:paraId="6D6F280C" w14:textId="61ED80B3" w:rsidR="00650E6F" w:rsidRPr="000E1EB0" w:rsidRDefault="00650E6F" w:rsidP="00650E6F">
      <w:pPr>
        <w:pStyle w:val="AAAATEX"/>
      </w:pPr>
      <w:r w:rsidRPr="000E1EB0">
        <w:t>Në mënyrë të ngjashme me ish</w:t>
      </w:r>
      <w:r w:rsidR="00782818">
        <w:t>-</w:t>
      </w:r>
      <w:r w:rsidRPr="000E1EB0">
        <w:t>Republikën Jugosllave të Maqedonisë, Republika e Shqipërisë u identifikua si një kandidat potencial për anëtarësim në BE në vitin 2003. Në vitin 2009</w:t>
      </w:r>
      <w:r w:rsidR="00ED2A5C">
        <w:t>,</w:t>
      </w:r>
      <w:r w:rsidRPr="000E1EB0">
        <w:t xml:space="preserve"> Republika e Shqipërisë paraqiti kërkesën zyrtare të saj për anëtarësimin në BE. Në vitin 2010, Komisioni vlerësoi se përpara se negociatat e pranimit të mund të hapen formalisht, Republika e Shqipërisë duhet të punonte akoma për të arritur një shkallë të nevojshme të përputhshmërisë me kriteret e anëtarësimit dhe</w:t>
      </w:r>
      <w:r w:rsidR="00160F70">
        <w:t>,</w:t>
      </w:r>
      <w:r w:rsidRPr="000E1EB0">
        <w:t xml:space="preserve"> në veçanti</w:t>
      </w:r>
      <w:r w:rsidR="00160F70">
        <w:t>,</w:t>
      </w:r>
      <w:r w:rsidRPr="000E1EB0">
        <w:t xml:space="preserve"> për të përmbushur 12 prioritetet kyçe të identifikuara nga Opinioni. Më vonë në vitin 2012, Komisioni rekomandoi që Republikës së Shqipërisë t'i jepet statusi i kandidatit të BE-së, duke i lënë si detyrë plotësimin e masave kyçe në fushat e reformës gjyqësore dhe të administratës publike, si dhe rishikimin e rregullave të procedurave parlamentare.</w:t>
      </w:r>
    </w:p>
    <w:p w14:paraId="6D6F280D" w14:textId="08672C7F" w:rsidR="00650E6F" w:rsidRPr="000E1EB0" w:rsidRDefault="00650E6F" w:rsidP="00650E6F">
      <w:pPr>
        <w:pStyle w:val="AAAATEX"/>
      </w:pPr>
      <w:r w:rsidRPr="000E1EB0">
        <w:t xml:space="preserve">Për ish-Republikën Jugosllave të Maqedonisë kuadri udhëzues i referencës politike është informuar nga Plani Kombëtar për Miratimin e </w:t>
      </w:r>
      <w:r w:rsidRPr="000E1EB0">
        <w:rPr>
          <w:i/>
        </w:rPr>
        <w:t>Acquis</w:t>
      </w:r>
      <w:r w:rsidRPr="000E1EB0">
        <w:t xml:space="preserve">, i cili informon politikat kombëtare dhe </w:t>
      </w:r>
      <w:r w:rsidRPr="000E1EB0">
        <w:lastRenderedPageBreak/>
        <w:t>veprimet e qeverisë. Objektivat kryesor</w:t>
      </w:r>
      <w:r w:rsidR="00077CDF" w:rsidRPr="000E1EB0">
        <w:t>ë</w:t>
      </w:r>
      <w:r w:rsidRPr="000E1EB0">
        <w:t xml:space="preserve"> strategjik</w:t>
      </w:r>
      <w:r w:rsidR="0072513B" w:rsidRPr="000E1EB0">
        <w:t>ë</w:t>
      </w:r>
      <w:r w:rsidRPr="000E1EB0">
        <w:t xml:space="preserve"> të Programit të Punës së Qeverisë së ish-Republikës Jugosllave të Maqedonisë që kanë të bëjnë me periudhën 2011-2015</w:t>
      </w:r>
      <w:r w:rsidR="00ED2A5C">
        <w:t>,</w:t>
      </w:r>
      <w:r w:rsidRPr="000E1EB0">
        <w:t xml:space="preserve"> përfshijnë:</w:t>
      </w:r>
    </w:p>
    <w:p w14:paraId="6D6F280E" w14:textId="77777777" w:rsidR="00650E6F" w:rsidRPr="000E1EB0" w:rsidRDefault="00650E6F" w:rsidP="00650E6F">
      <w:pPr>
        <w:pStyle w:val="AAAATEX"/>
      </w:pPr>
      <w:r w:rsidRPr="000E1EB0">
        <w:rPr>
          <w:b/>
        </w:rPr>
        <w:t>1. Përshpejtimi i rritjes ekonomike, punësimit</w:t>
      </w:r>
      <w:r w:rsidRPr="000E1EB0">
        <w:t xml:space="preserve"> dhe standardit të jetesës së qytetarëve, duke përfshirë cilësinë e jetesës;</w:t>
      </w:r>
    </w:p>
    <w:p w14:paraId="6D6F280F" w14:textId="40140365" w:rsidR="00650E6F" w:rsidRPr="000E1EB0" w:rsidRDefault="00650E6F" w:rsidP="00650E6F">
      <w:pPr>
        <w:pStyle w:val="AAAATEX"/>
      </w:pPr>
      <w:r w:rsidRPr="000E1EB0">
        <w:rPr>
          <w:b/>
        </w:rPr>
        <w:t>2. Integrimi i ish</w:t>
      </w:r>
      <w:r w:rsidR="00727053">
        <w:rPr>
          <w:b/>
        </w:rPr>
        <w:t>-</w:t>
      </w:r>
      <w:r w:rsidRPr="000E1EB0">
        <w:rPr>
          <w:b/>
        </w:rPr>
        <w:t xml:space="preserve">Republikës Jugosllave të Maqedonisë në BE </w:t>
      </w:r>
      <w:r w:rsidRPr="000E1EB0">
        <w:t>dhe NATO</w:t>
      </w:r>
      <w:r w:rsidR="00727053">
        <w:t>-s</w:t>
      </w:r>
      <w:r w:rsidRPr="000E1EB0">
        <w:t>;</w:t>
      </w:r>
    </w:p>
    <w:p w14:paraId="6D6F2810" w14:textId="77777777" w:rsidR="00650E6F" w:rsidRPr="000E1EB0" w:rsidRDefault="00650E6F" w:rsidP="00650E6F">
      <w:pPr>
        <w:pStyle w:val="AAAATEX"/>
      </w:pPr>
      <w:r w:rsidRPr="000E1EB0">
        <w:rPr>
          <w:b/>
        </w:rPr>
        <w:t xml:space="preserve">3. Lufta kundër korrupsionit dhe krimit </w:t>
      </w:r>
      <w:r w:rsidRPr="000E1EB0">
        <w:t>dhe zbatimi efikas i ligjit duke ndërmarrë reforma të thella në gjyqësor dhe në administratën publike;</w:t>
      </w:r>
    </w:p>
    <w:p w14:paraId="6D6F2811" w14:textId="08EE3B0C" w:rsidR="00650E6F" w:rsidRPr="000E1EB0" w:rsidRDefault="00650E6F" w:rsidP="00650E6F">
      <w:pPr>
        <w:pStyle w:val="AAAATEX"/>
      </w:pPr>
      <w:r w:rsidRPr="000E1EB0">
        <w:rPr>
          <w:b/>
        </w:rPr>
        <w:t xml:space="preserve">4. Mirëmbajtja e marrëdhënieve të mira </w:t>
      </w:r>
      <w:r w:rsidR="001E1489">
        <w:rPr>
          <w:b/>
        </w:rPr>
        <w:t>ndër</w:t>
      </w:r>
      <w:r w:rsidRPr="000E1EB0">
        <w:rPr>
          <w:b/>
        </w:rPr>
        <w:t xml:space="preserve">etnike </w:t>
      </w:r>
      <w:r w:rsidRPr="000E1EB0">
        <w:t>bazuar në parimet e tolerancës dhe respektit reciprok dhe zbatimi i Marrëveshjes Kuadër të Ohrit; dhe</w:t>
      </w:r>
    </w:p>
    <w:p w14:paraId="6D6F2812" w14:textId="5F8F422F" w:rsidR="00650E6F" w:rsidRPr="000E1EB0" w:rsidRDefault="00650E6F" w:rsidP="00650E6F">
      <w:pPr>
        <w:pStyle w:val="AAAATEX"/>
      </w:pPr>
      <w:r w:rsidRPr="000E1EB0">
        <w:rPr>
          <w:b/>
        </w:rPr>
        <w:t xml:space="preserve">5. Mbështetja e investimeve në arsim, shkencë dhe teknologji informacioni, </w:t>
      </w:r>
      <w:r w:rsidRPr="000E1EB0">
        <w:t>si element</w:t>
      </w:r>
      <w:r w:rsidR="003F22D6">
        <w:t>e</w:t>
      </w:r>
      <w:r w:rsidRPr="000E1EB0">
        <w:t xml:space="preserve"> kryesor</w:t>
      </w:r>
      <w:r w:rsidR="003F22D6">
        <w:t>e</w:t>
      </w:r>
      <w:r w:rsidRPr="000E1EB0">
        <w:t xml:space="preserve"> të një shoqërie të bazuar në dije.</w:t>
      </w:r>
    </w:p>
    <w:p w14:paraId="6D6F2813" w14:textId="5134DD4D" w:rsidR="00650E6F" w:rsidRPr="000E1EB0" w:rsidRDefault="00650E6F" w:rsidP="00650E6F">
      <w:pPr>
        <w:pStyle w:val="AAAATEX"/>
      </w:pPr>
      <w:r w:rsidRPr="003F22D6">
        <w:t>Strategjia për Zhvillimin Rajonal 2009-2019 e ish</w:t>
      </w:r>
      <w:r w:rsidR="00A8615F" w:rsidRPr="003F22D6">
        <w:t>-</w:t>
      </w:r>
      <w:r w:rsidRPr="003F22D6">
        <w:t>Republikës Jugosllave të Maqedonisë</w:t>
      </w:r>
      <w:r w:rsidRPr="000E1EB0">
        <w:t xml:space="preserve"> </w:t>
      </w:r>
      <w:r w:rsidRPr="009134FD">
        <w:t>identifikon</w:t>
      </w:r>
      <w:r w:rsidRPr="000E1EB0">
        <w:t xml:space="preserve"> bashkëpunim </w:t>
      </w:r>
      <w:r w:rsidR="001E1489">
        <w:t>ndër</w:t>
      </w:r>
      <w:r w:rsidRPr="000E1EB0">
        <w:t>komunal dhe ndërkufitar, si një nga shtyllat dhe objektivat kryesor</w:t>
      </w:r>
      <w:r w:rsidR="0072513B" w:rsidRPr="000E1EB0">
        <w:t>ë</w:t>
      </w:r>
      <w:r w:rsidRPr="000E1EB0">
        <w:t xml:space="preserve"> të zhvillimit të balancuar social-ekonomik rajonal. Rajonet kufitare, së bashku me zonat rurale dhe malore janë përcaktuar si zona me nevoja të veçanta zhvillimi, duke u bërë kështu një prioritet për ndërhyrje social-ekonomike.</w:t>
      </w:r>
    </w:p>
    <w:p w14:paraId="6D6F2814" w14:textId="781A5C43" w:rsidR="00650E6F" w:rsidRPr="000E1EB0" w:rsidRDefault="00650E6F" w:rsidP="00650E6F">
      <w:pPr>
        <w:pStyle w:val="AAAATEX"/>
        <w:rPr>
          <w:rFonts w:eastAsia="Cambria"/>
          <w:color w:val="000000"/>
        </w:rPr>
      </w:pPr>
      <w:r w:rsidRPr="000E1EB0">
        <w:rPr>
          <w:rFonts w:eastAsia="Cambria"/>
          <w:color w:val="000000"/>
        </w:rPr>
        <w:t xml:space="preserve">Strategjia Kombëtare për Zhvillim dhe Integrim e Republikës së Shqipërisë </w:t>
      </w:r>
      <w:r w:rsidR="00BE160D">
        <w:rPr>
          <w:rFonts w:eastAsia="Cambria"/>
          <w:color w:val="000000"/>
        </w:rPr>
        <w:t>2014–2020</w:t>
      </w:r>
      <w:r w:rsidRPr="000E1EB0">
        <w:rPr>
          <w:rFonts w:eastAsia="Cambria"/>
          <w:color w:val="000000"/>
        </w:rPr>
        <w:t xml:space="preserve"> (NSDI) konsiderohet si kuadri i politikave gjithëpërfshirëse për vendin në kontekstin e integrimit në BE. Ajo përcakton katër shtyllat e politikës strategjike që përcaktojnë themelet për ndërhyrjet sektoriale dhe të bazuara në vend:</w:t>
      </w:r>
    </w:p>
    <w:p w14:paraId="6D6F2815" w14:textId="7D02147A" w:rsidR="00650E6F" w:rsidRPr="000E1EB0" w:rsidRDefault="00650E6F" w:rsidP="00650E6F">
      <w:pPr>
        <w:pStyle w:val="AAAATEX"/>
        <w:rPr>
          <w:rFonts w:eastAsia="Cambria"/>
          <w:b/>
          <w:color w:val="000000"/>
        </w:rPr>
      </w:pPr>
      <w:r w:rsidRPr="000E1EB0">
        <w:rPr>
          <w:rFonts w:eastAsia="Cambria"/>
          <w:b/>
          <w:color w:val="000000"/>
        </w:rPr>
        <w:t>1. Forcimi i demokracisë dhe shtetit të së drejtës</w:t>
      </w:r>
      <w:r w:rsidRPr="000E1EB0">
        <w:rPr>
          <w:rFonts w:eastAsia="Cambria"/>
          <w:color w:val="000000"/>
        </w:rPr>
        <w:t xml:space="preserve"> që trajton aspekte</w:t>
      </w:r>
      <w:r w:rsidR="003F22D6">
        <w:rPr>
          <w:rFonts w:eastAsia="Cambria"/>
          <w:color w:val="000000"/>
        </w:rPr>
        <w:t>,</w:t>
      </w:r>
      <w:r w:rsidRPr="000E1EB0">
        <w:rPr>
          <w:rFonts w:eastAsia="Cambria"/>
          <w:color w:val="000000"/>
        </w:rPr>
        <w:t xml:space="preserve"> si: sistemi zgjedhor, drejtësia dhe punët e brendshme, të drejtat e njeriut dhe media, qeverisja efektive dhe politikat e jashtme dhe të mbrojtjes;</w:t>
      </w:r>
    </w:p>
    <w:p w14:paraId="6D6F2816" w14:textId="77777777" w:rsidR="00650E6F" w:rsidRPr="000E1EB0" w:rsidRDefault="00650E6F" w:rsidP="00650E6F">
      <w:pPr>
        <w:pStyle w:val="AAAATEX"/>
        <w:rPr>
          <w:rFonts w:eastAsia="Cambria"/>
          <w:b/>
          <w:color w:val="000000"/>
        </w:rPr>
      </w:pPr>
      <w:r w:rsidRPr="000E1EB0">
        <w:rPr>
          <w:rFonts w:eastAsia="Cambria"/>
          <w:b/>
          <w:color w:val="000000"/>
        </w:rPr>
        <w:t>2. Krijimi i kushteve për zhvillim ekonomik konkurrues dhe të qëndrueshëm nëpërmjet përdorimit efikas të burimeve</w:t>
      </w:r>
      <w:r w:rsidRPr="000E1EB0">
        <w:rPr>
          <w:rFonts w:eastAsia="Cambria"/>
          <w:color w:val="000000"/>
        </w:rPr>
        <w:t xml:space="preserve"> që mbulojnë: stabilitetin dhe qëndrueshmërinë makroekonomike, ekonominë konkurruese të tregut, përdorimin efikas të burimeve, zhvillimin e integruar rajonal dhe zhvillimin e qëndrueshëm;</w:t>
      </w:r>
    </w:p>
    <w:p w14:paraId="6D6F2817" w14:textId="77777777" w:rsidR="00650E6F" w:rsidRPr="000E1EB0" w:rsidRDefault="00650E6F" w:rsidP="00650E6F">
      <w:pPr>
        <w:pStyle w:val="AAAATEX"/>
        <w:rPr>
          <w:rFonts w:eastAsia="Cambria"/>
          <w:b/>
          <w:color w:val="000000"/>
        </w:rPr>
      </w:pPr>
      <w:r w:rsidRPr="000E1EB0">
        <w:rPr>
          <w:rFonts w:eastAsia="Cambria"/>
          <w:b/>
          <w:color w:val="000000"/>
        </w:rPr>
        <w:t>3. Nxitja e përfshirjes sociale, mirëqenies dhe zhvillimit të tregut të punës</w:t>
      </w:r>
      <w:r w:rsidRPr="000E1EB0">
        <w:rPr>
          <w:rFonts w:eastAsia="Cambria"/>
          <w:color w:val="000000"/>
        </w:rPr>
        <w:t>, të cilat synojnë të promovojnë: politikat e punësimit dhe përfshirjes sociale, politikat sociale;</w:t>
      </w:r>
    </w:p>
    <w:p w14:paraId="6D6F2818" w14:textId="1FFA44E6" w:rsidR="00650E6F" w:rsidRPr="000E1EB0" w:rsidRDefault="00650E6F" w:rsidP="00650E6F">
      <w:pPr>
        <w:pStyle w:val="AAAATEX"/>
        <w:rPr>
          <w:rFonts w:eastAsia="Cambria"/>
          <w:b/>
          <w:color w:val="000000"/>
        </w:rPr>
      </w:pPr>
      <w:r w:rsidRPr="000E1EB0">
        <w:rPr>
          <w:rFonts w:eastAsia="Cambria"/>
          <w:b/>
          <w:color w:val="000000"/>
        </w:rPr>
        <w:t>4. Zhvillimi i një shoqërie të bazuar në dituri, inovacion dhe teknologji di</w:t>
      </w:r>
      <w:r w:rsidR="00A8615F">
        <w:rPr>
          <w:rFonts w:eastAsia="Cambria"/>
          <w:b/>
          <w:color w:val="000000"/>
        </w:rPr>
        <w:t>gj</w:t>
      </w:r>
      <w:r w:rsidRPr="000E1EB0">
        <w:rPr>
          <w:rFonts w:eastAsia="Cambria"/>
          <w:b/>
          <w:color w:val="000000"/>
        </w:rPr>
        <w:t>itale</w:t>
      </w:r>
      <w:r w:rsidRPr="000E1EB0">
        <w:rPr>
          <w:rFonts w:eastAsia="Cambria"/>
          <w:color w:val="000000"/>
        </w:rPr>
        <w:t>, që përfshin ndërhyrjet në fushat në vijim: arsimin e lartë, kërkimin dhe inovacionin, teknologjinë e informacionit dhe komunikimit.</w:t>
      </w:r>
    </w:p>
    <w:p w14:paraId="6D6F2819" w14:textId="77777777" w:rsidR="00650E6F" w:rsidRPr="000E1EB0" w:rsidRDefault="00650E6F" w:rsidP="00650E6F">
      <w:pPr>
        <w:pStyle w:val="AAAATEX"/>
        <w:rPr>
          <w:rFonts w:eastAsia="Cambria"/>
          <w:color w:val="000000"/>
        </w:rPr>
      </w:pPr>
      <w:r w:rsidRPr="000E1EB0">
        <w:rPr>
          <w:rFonts w:eastAsia="Cambria"/>
          <w:color w:val="000000"/>
        </w:rPr>
        <w:t xml:space="preserve">Strategjia Ndërsektoriale e Zhvillimit Rajonal të Republikës së Shqipërisë dallon </w:t>
      </w:r>
      <w:r w:rsidRPr="000E1EB0">
        <w:rPr>
          <w:rFonts w:eastAsia="Cambria"/>
          <w:b/>
          <w:color w:val="000000"/>
        </w:rPr>
        <w:t xml:space="preserve">zonat kufitare si subjekt të planifikimit të politikave ndërsektoriale </w:t>
      </w:r>
      <w:r w:rsidRPr="000E1EB0">
        <w:rPr>
          <w:rFonts w:eastAsia="Cambria"/>
          <w:color w:val="000000"/>
        </w:rPr>
        <w:t>dhe i bën çështjet ndërkufitare pjesë të planifikimit të politikave të zhvillimit në nivel qarku.</w:t>
      </w:r>
    </w:p>
    <w:p w14:paraId="6D6F281A" w14:textId="77777777" w:rsidR="00650E6F" w:rsidRPr="000E1EB0" w:rsidRDefault="00650E6F" w:rsidP="00650E6F">
      <w:pPr>
        <w:pStyle w:val="AAAATEX"/>
      </w:pPr>
      <w:r w:rsidRPr="000E1EB0">
        <w:t>Raportet e vitit 2012 nga Komisioni për Parlamentin dhe Këshillin Evropian mbi zbatimin e reformave në kuadër të anëtarësimit në BE për ish-Republikën Jugosllave të Maqedonisë dhe Republikën e Shqipërisë theksojnë se marrëdhëniet midis dy vendeve vazhdojnë të përmirësohen dhe ato tregojnë baza të shëndosha për shfrytëzimin e mundësive ekonomike në të dyja anët e kufirit.</w:t>
      </w:r>
    </w:p>
    <w:p w14:paraId="6D6F281B" w14:textId="77777777" w:rsidR="00650E6F" w:rsidRPr="000E1EB0" w:rsidRDefault="00650E6F" w:rsidP="00650E6F">
      <w:pPr>
        <w:pStyle w:val="AAAATEX"/>
        <w:rPr>
          <w:b/>
        </w:rPr>
      </w:pPr>
      <w:r w:rsidRPr="000E1EB0">
        <w:rPr>
          <w:b/>
        </w:rPr>
        <w:t>Demografia</w:t>
      </w:r>
    </w:p>
    <w:p w14:paraId="6D6F281C" w14:textId="1062B5C1" w:rsidR="00650E6F" w:rsidRPr="000E1EB0" w:rsidRDefault="00650E6F" w:rsidP="00650E6F">
      <w:pPr>
        <w:pStyle w:val="AAAATEX"/>
      </w:pPr>
      <w:r w:rsidRPr="000E1EB0">
        <w:t>Dinamikat në demografi janë të ndryshme në të dy</w:t>
      </w:r>
      <w:r w:rsidR="007A7B2B">
        <w:t>ja</w:t>
      </w:r>
      <w:r w:rsidRPr="000E1EB0">
        <w:t xml:space="preserve"> vendet. Ndërsa norma e popullsisë së përgjithshme të Republikës së Shqipërisë ka pësuar rritje të ndjeshme dhe është dyfishuar</w:t>
      </w:r>
      <w:r w:rsidR="009A5DA1">
        <w:t xml:space="preserve"> </w:t>
      </w:r>
      <w:r w:rsidRPr="000E1EB0">
        <w:t xml:space="preserve">në 50 </w:t>
      </w:r>
      <w:r w:rsidR="005E491A">
        <w:t>vjetët</w:t>
      </w:r>
      <w:r w:rsidRPr="000E1EB0">
        <w:t xml:space="preserve"> e fundit, popullsia e </w:t>
      </w:r>
      <w:r w:rsidR="00EB5DEB">
        <w:t>ish-Repu</w:t>
      </w:r>
      <w:r w:rsidRPr="000E1EB0">
        <w:t xml:space="preserve">blikës Jugosllave të Maqedonisë është rritur me mesatarisht 29%. </w:t>
      </w:r>
    </w:p>
    <w:p w14:paraId="6D6F281D" w14:textId="6F299E33" w:rsidR="00650E6F" w:rsidRPr="000E1EB0" w:rsidRDefault="00650E6F" w:rsidP="00650E6F">
      <w:pPr>
        <w:pStyle w:val="AAAATEX"/>
      </w:pPr>
      <w:r w:rsidRPr="000E1EB0">
        <w:t>Në fund të vitit 2012, ish</w:t>
      </w:r>
      <w:r w:rsidR="00677381">
        <w:t>-</w:t>
      </w:r>
      <w:r w:rsidRPr="000E1EB0">
        <w:t>Republika Jugosllave e Maqedonisë dhe Republika e Shqipërisë kishin një popullsi prej përkatësisht 2,061,044 dhe 2,815,749 banorë. Zona e programit përfshin 770,802 banorë në ish</w:t>
      </w:r>
      <w:r w:rsidR="00677381">
        <w:t>-</w:t>
      </w:r>
      <w:r w:rsidRPr="000E1EB0">
        <w:t xml:space="preserve">Republikën Jugosllave të Maqedonisë (37.4% e popullsisë së përgjithshme të saj) dhe 656,873 banorë në Republikën e Shqipërisë (23.3% e popullsisë së përgjithshme të saj). Një ndarje </w:t>
      </w:r>
      <w:r w:rsidRPr="000E1EB0">
        <w:lastRenderedPageBreak/>
        <w:t>më e detajuar e nivelit të popullsisë sipas NUTS-3 dhe dendësisë së popullsisë (persona/km</w:t>
      </w:r>
      <w:r w:rsidRPr="00677381">
        <w:rPr>
          <w:vertAlign w:val="superscript"/>
        </w:rPr>
        <w:t>2</w:t>
      </w:r>
      <w:r w:rsidRPr="000E1EB0">
        <w:t>) është dhënë më poshtë.</w:t>
      </w:r>
    </w:p>
    <w:p w14:paraId="6D6F281E"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4338"/>
        <w:gridCol w:w="2430"/>
        <w:gridCol w:w="2519"/>
      </w:tblGrid>
      <w:tr w:rsidR="00650E6F" w:rsidRPr="000E1EB0" w14:paraId="6D6F2822" w14:textId="77777777" w:rsidTr="00E06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D6F281F"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2430" w:type="dxa"/>
          </w:tcPr>
          <w:p w14:paraId="6D6F282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Numri i banorëve</w:t>
            </w:r>
          </w:p>
        </w:tc>
        <w:tc>
          <w:tcPr>
            <w:tcW w:w="2519" w:type="dxa"/>
          </w:tcPr>
          <w:p w14:paraId="6D6F282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Dendësia e popullsisë</w:t>
            </w:r>
          </w:p>
        </w:tc>
      </w:tr>
      <w:tr w:rsidR="00650E6F" w:rsidRPr="000E1EB0" w14:paraId="6D6F2826" w14:textId="77777777" w:rsidTr="00E0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D6F282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2430" w:type="dxa"/>
          </w:tcPr>
          <w:p w14:paraId="6D6F282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232,959</w:t>
            </w:r>
          </w:p>
        </w:tc>
        <w:tc>
          <w:tcPr>
            <w:tcW w:w="2519" w:type="dxa"/>
          </w:tcPr>
          <w:p w14:paraId="6D6F282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49.4</w:t>
            </w:r>
          </w:p>
        </w:tc>
      </w:tr>
      <w:tr w:rsidR="00650E6F" w:rsidRPr="000E1EB0" w14:paraId="6D6F282A" w14:textId="77777777" w:rsidTr="00E06CFE">
        <w:tc>
          <w:tcPr>
            <w:cnfStyle w:val="001000000000" w:firstRow="0" w:lastRow="0" w:firstColumn="1" w:lastColumn="0" w:oddVBand="0" w:evenVBand="0" w:oddHBand="0" w:evenHBand="0" w:firstRowFirstColumn="0" w:firstRowLastColumn="0" w:lastRowFirstColumn="0" w:lastRowLastColumn="0"/>
            <w:tcW w:w="4338" w:type="dxa"/>
          </w:tcPr>
          <w:p w14:paraId="6D6F282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Pollogu</w:t>
            </w:r>
          </w:p>
        </w:tc>
        <w:tc>
          <w:tcPr>
            <w:tcW w:w="2430" w:type="dxa"/>
          </w:tcPr>
          <w:p w14:paraId="6D6F282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317,003</w:t>
            </w:r>
          </w:p>
        </w:tc>
        <w:tc>
          <w:tcPr>
            <w:tcW w:w="2519" w:type="dxa"/>
          </w:tcPr>
          <w:p w14:paraId="6D6F282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131.2</w:t>
            </w:r>
          </w:p>
        </w:tc>
      </w:tr>
      <w:tr w:rsidR="00650E6F" w:rsidRPr="000E1EB0" w14:paraId="6D6F282E" w14:textId="77777777" w:rsidTr="00E0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D6F282B" w14:textId="69545311" w:rsidR="00650E6F" w:rsidRPr="000E1EB0" w:rsidRDefault="00650E6F" w:rsidP="00677381">
            <w:pPr>
              <w:jc w:val="both"/>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2430" w:type="dxa"/>
          </w:tcPr>
          <w:p w14:paraId="6D6F282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220,840</w:t>
            </w:r>
          </w:p>
        </w:tc>
        <w:tc>
          <w:tcPr>
            <w:tcW w:w="2519" w:type="dxa"/>
          </w:tcPr>
          <w:p w14:paraId="6D6F282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66.1</w:t>
            </w:r>
          </w:p>
        </w:tc>
      </w:tr>
      <w:tr w:rsidR="00650E6F" w:rsidRPr="000E1EB0" w14:paraId="6D6F2832" w14:textId="77777777" w:rsidTr="00E06CFE">
        <w:tc>
          <w:tcPr>
            <w:cnfStyle w:val="001000000000" w:firstRow="0" w:lastRow="0" w:firstColumn="1" w:lastColumn="0" w:oddVBand="0" w:evenVBand="0" w:oddHBand="0" w:evenHBand="0" w:firstRowFirstColumn="0" w:firstRowLastColumn="0" w:lastRowFirstColumn="0" w:lastRowLastColumn="0"/>
            <w:tcW w:w="4338" w:type="dxa"/>
          </w:tcPr>
          <w:p w14:paraId="6D6F282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Gjithsej në zonën e ish-Republikës Jugosllave të Maqedonisë</w:t>
            </w:r>
          </w:p>
        </w:tc>
        <w:tc>
          <w:tcPr>
            <w:tcW w:w="2430" w:type="dxa"/>
          </w:tcPr>
          <w:p w14:paraId="6D6F283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770,802</w:t>
            </w:r>
          </w:p>
        </w:tc>
        <w:tc>
          <w:tcPr>
            <w:tcW w:w="2519" w:type="dxa"/>
          </w:tcPr>
          <w:p w14:paraId="6D6F283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73.6</w:t>
            </w:r>
          </w:p>
        </w:tc>
      </w:tr>
      <w:tr w:rsidR="00650E6F" w:rsidRPr="000E1EB0" w14:paraId="6D6F2836" w14:textId="77777777" w:rsidTr="00E0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D6F283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Dibra</w:t>
            </w:r>
          </w:p>
        </w:tc>
        <w:tc>
          <w:tcPr>
            <w:tcW w:w="2430" w:type="dxa"/>
          </w:tcPr>
          <w:p w14:paraId="6D6F283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137,811</w:t>
            </w:r>
          </w:p>
        </w:tc>
        <w:tc>
          <w:tcPr>
            <w:tcW w:w="2519" w:type="dxa"/>
          </w:tcPr>
          <w:p w14:paraId="6D6F283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37.1</w:t>
            </w:r>
          </w:p>
        </w:tc>
      </w:tr>
      <w:tr w:rsidR="00650E6F" w:rsidRPr="000E1EB0" w14:paraId="6D6F283A" w14:textId="77777777" w:rsidTr="00E06CFE">
        <w:tc>
          <w:tcPr>
            <w:cnfStyle w:val="001000000000" w:firstRow="0" w:lastRow="0" w:firstColumn="1" w:lastColumn="0" w:oddVBand="0" w:evenVBand="0" w:oddHBand="0" w:evenHBand="0" w:firstRowFirstColumn="0" w:firstRowLastColumn="0" w:lastRowFirstColumn="0" w:lastRowLastColumn="0"/>
            <w:tcW w:w="4338" w:type="dxa"/>
          </w:tcPr>
          <w:p w14:paraId="6D6F283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Elbasani</w:t>
            </w:r>
          </w:p>
        </w:tc>
        <w:tc>
          <w:tcPr>
            <w:tcW w:w="2430" w:type="dxa"/>
          </w:tcPr>
          <w:p w14:paraId="6D6F283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297,476</w:t>
            </w:r>
          </w:p>
        </w:tc>
        <w:tc>
          <w:tcPr>
            <w:tcW w:w="2519" w:type="dxa"/>
          </w:tcPr>
          <w:p w14:paraId="6D6F283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115.0</w:t>
            </w:r>
          </w:p>
        </w:tc>
      </w:tr>
      <w:tr w:rsidR="00650E6F" w:rsidRPr="000E1EB0" w14:paraId="6D6F283E" w14:textId="77777777" w:rsidTr="00E0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D6F283B"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Korça</w:t>
            </w:r>
          </w:p>
        </w:tc>
        <w:tc>
          <w:tcPr>
            <w:tcW w:w="2430" w:type="dxa"/>
          </w:tcPr>
          <w:p w14:paraId="6D6F283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221,586</w:t>
            </w:r>
          </w:p>
        </w:tc>
        <w:tc>
          <w:tcPr>
            <w:tcW w:w="2519" w:type="dxa"/>
          </w:tcPr>
          <w:p w14:paraId="6D6F283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23.3</w:t>
            </w:r>
          </w:p>
        </w:tc>
      </w:tr>
      <w:tr w:rsidR="00650E6F" w:rsidRPr="000E1EB0" w14:paraId="6D6F2842" w14:textId="77777777" w:rsidTr="00E06CFE">
        <w:tc>
          <w:tcPr>
            <w:cnfStyle w:val="001000000000" w:firstRow="0" w:lastRow="0" w:firstColumn="1" w:lastColumn="0" w:oddVBand="0" w:evenVBand="0" w:oddHBand="0" w:evenHBand="0" w:firstRowFirstColumn="0" w:firstRowLastColumn="0" w:lastRowFirstColumn="0" w:lastRowLastColumn="0"/>
            <w:tcW w:w="4338" w:type="dxa"/>
          </w:tcPr>
          <w:p w14:paraId="6D6F283F"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Gjithsej në zonën e Republikës së Shqipërisë</w:t>
            </w:r>
          </w:p>
        </w:tc>
        <w:tc>
          <w:tcPr>
            <w:tcW w:w="2430" w:type="dxa"/>
          </w:tcPr>
          <w:p w14:paraId="6D6F284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656,873</w:t>
            </w:r>
          </w:p>
        </w:tc>
        <w:tc>
          <w:tcPr>
            <w:tcW w:w="2519" w:type="dxa"/>
          </w:tcPr>
          <w:p w14:paraId="6D6F284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69.2</w:t>
            </w:r>
          </w:p>
        </w:tc>
      </w:tr>
    </w:tbl>
    <w:p w14:paraId="6D6F2843" w14:textId="32ADC250" w:rsidR="00650E6F" w:rsidRPr="000E1EB0" w:rsidRDefault="00650E6F" w:rsidP="00650E6F">
      <w:pPr>
        <w:pStyle w:val="AAAATEX"/>
        <w:rPr>
          <w:i/>
        </w:rPr>
      </w:pPr>
      <w:r w:rsidRPr="000E1EB0">
        <w:rPr>
          <w:i/>
        </w:rPr>
        <w:t xml:space="preserve">Burimi: Zyra e Statistikave e </w:t>
      </w:r>
      <w:r w:rsidR="00EB5DEB">
        <w:rPr>
          <w:i/>
        </w:rPr>
        <w:t>ish-Repu</w:t>
      </w:r>
      <w:r w:rsidRPr="000E1EB0">
        <w:rPr>
          <w:i/>
        </w:rPr>
        <w:t>blikës Jugosllave të Maqedonisë, INSTAT</w:t>
      </w:r>
    </w:p>
    <w:p w14:paraId="63039B8D" w14:textId="77777777" w:rsidR="00677381" w:rsidRDefault="00677381" w:rsidP="00650E6F">
      <w:pPr>
        <w:pStyle w:val="AAAATEX"/>
      </w:pPr>
    </w:p>
    <w:p w14:paraId="6D6F2844" w14:textId="77777777" w:rsidR="00650E6F" w:rsidRPr="000E1EB0" w:rsidRDefault="00650E6F" w:rsidP="00650E6F">
      <w:pPr>
        <w:pStyle w:val="AAAATEX"/>
      </w:pPr>
      <w:r w:rsidRPr="000E1EB0">
        <w:t>Rajoni i Pollogut me kryeqytetin e tij në Tetovë dhe Elbasani me qytetin kryesor të Elbasanit janë njësitë statistikore më të mëdha në zonën e programit në aspektin e popullsisë. Roli i shquar policentrik i qendrave të tyre kryesore urbane është reflektuar në dendësinë e popullsisë së dy rajoneve.</w:t>
      </w:r>
    </w:p>
    <w:p w14:paraId="6D6F2845" w14:textId="1C778A21" w:rsidR="00650E6F" w:rsidRPr="000E1EB0" w:rsidRDefault="00650E6F" w:rsidP="00650E6F">
      <w:pPr>
        <w:pStyle w:val="AAAATEX"/>
      </w:pPr>
      <w:r w:rsidRPr="000E1EB0">
        <w:t>Femrat përbëjnë 49.9% të popullsisë në tr</w:t>
      </w:r>
      <w:r w:rsidR="00212FD8">
        <w:t>i</w:t>
      </w:r>
      <w:r w:rsidRPr="000E1EB0">
        <w:t xml:space="preserve"> rajonet e pranueshme në territorin e ish</w:t>
      </w:r>
      <w:r w:rsidR="00E12238">
        <w:t>-</w:t>
      </w:r>
      <w:r w:rsidRPr="000E1EB0">
        <w:t>Republikës Jugosllave të Maqedonisë, e cila pasqyron strukturën e popullsisë sipas gjinisë në të gjithë vendin. Në zonën e programit në Republikën e Shqipërisë femrat përbëjnë 49.5% të popullsisë së saj, që është pak nën mesataren e vendit (49,9%).</w:t>
      </w:r>
    </w:p>
    <w:p w14:paraId="6D6F2846" w14:textId="357BA3ED" w:rsidR="00650E6F" w:rsidRPr="000E1EB0" w:rsidRDefault="00650E6F" w:rsidP="00650E6F">
      <w:pPr>
        <w:pStyle w:val="AAAATEX"/>
      </w:pPr>
      <w:r w:rsidRPr="000E1EB0">
        <w:t>Për</w:t>
      </w:r>
      <w:r w:rsidR="00BE57F0">
        <w:t xml:space="preserve"> </w:t>
      </w:r>
      <w:r w:rsidRPr="000E1EB0">
        <w:t>sa i përket rritjes natyrore të popullsisë, zonat e programit në ish</w:t>
      </w:r>
      <w:r w:rsidR="00E12238">
        <w:t>-</w:t>
      </w:r>
      <w:r w:rsidRPr="000E1EB0">
        <w:t>Republikën Jugosllave të Maqedonisë karakterizohen nga rritje pozitive natyrore në rajonin e Pollogut dhe atë jugperëndimor, ndërsa të gjitha zonat përfituese në Republikën e Shqipërisë dhe në Pellagonia në ish</w:t>
      </w:r>
      <w:r w:rsidR="00E12238">
        <w:t>-</w:t>
      </w:r>
      <w:r w:rsidRPr="000E1EB0">
        <w:t xml:space="preserve">Republikën Jugosllave të Maqedonisë, po përjetojnë tendenca negative. </w:t>
      </w:r>
    </w:p>
    <w:p w14:paraId="6D6F2847" w14:textId="2AE04309" w:rsidR="00650E6F" w:rsidRPr="000E1EB0" w:rsidRDefault="00650E6F" w:rsidP="00650E6F">
      <w:pPr>
        <w:pStyle w:val="AAAATEX"/>
      </w:pPr>
      <w:r w:rsidRPr="000E1EB0">
        <w:t>Megjithatë, vetëm normat e rritjes natyrore të bashkuara me bilancin e migrimit të kohëve të fundit ilustrojnë tendencat aktuale demografike. Brenda zonës së programit, vetëm rajonet e ish-Republikës Jugosllave të Maqedonisë gëzojnë bilanc pozitiv të migrimit, ndërsa të gjithë rajonet në Republikën e Shqipërisë vuajnë nga tendencat negative të migrimit, të cilat kontribuojnë në shpopullimin e zonave të tyre. Bilanci negativ i migrimit në rajonet përkatëse të Republikës së Shqipërisë është shkaktuar nga zhvendosja e kontingjentit të punës të grup</w:t>
      </w:r>
      <w:r w:rsidR="00E12238">
        <w:t>-</w:t>
      </w:r>
      <w:r w:rsidRPr="000E1EB0">
        <w:t>moshës 25-40</w:t>
      </w:r>
      <w:r w:rsidR="00E12238">
        <w:t>-</w:t>
      </w:r>
      <w:r w:rsidRPr="000E1EB0">
        <w:t>vjeçare për të kërkuar për mundësi punësimi në rajone të tjera. Ndërsa largimi i meshkujve është më i përhapur në Dibër dhe Elbasan, Korça paraqet migrimin më të shpejtë të femrave drejt zonave të tjera.</w:t>
      </w:r>
    </w:p>
    <w:p w14:paraId="6D6F2848" w14:textId="202C7C9A" w:rsidR="00650E6F" w:rsidRPr="000E1EB0" w:rsidRDefault="00650E6F" w:rsidP="00650E6F">
      <w:pPr>
        <w:pStyle w:val="AAAATEX"/>
      </w:pPr>
      <w:r w:rsidRPr="000E1EB0">
        <w:t>Asnjëri nga të dy</w:t>
      </w:r>
      <w:r w:rsidR="003E0357">
        <w:t>ja</w:t>
      </w:r>
      <w:r w:rsidRPr="000E1EB0">
        <w:t xml:space="preserve"> vendet nuk përjeton plakjen e popullsisë. Përkundrazi, mosha mesatare në </w:t>
      </w:r>
      <w:r w:rsidR="00EB5DEB">
        <w:t>ish-Repu</w:t>
      </w:r>
      <w:r w:rsidRPr="000E1EB0">
        <w:t>blikën Jugosllave të Maqedonisë mbetet e njëjtë për dy vitet e fundit (38 vjeç) dhe popullsia në Republikën e Shqipërisë bëhet më e re (me një mesatare prej 36 dhe 35 vjeç përkatësisht).</w:t>
      </w:r>
      <w:r w:rsidRPr="000E1EB0">
        <w:rPr>
          <w:rStyle w:val="FootnoteReference"/>
        </w:rPr>
        <w:footnoteReference w:id="18"/>
      </w:r>
      <w:r w:rsidRPr="000E1EB0">
        <w:t xml:space="preserve"> Brenda zonës së programit, mosha më e lartë mesatare e popullsisë është në Pellagoni (40 vjeç) dhe mbetet e qëndrueshme gjatë viteve të fundit, ndërsa rajoni më i ri është ai i Pollogut (35 vjeç), me tendenca të ngjashme me ato të vëzhguara në Republikën e Shqipërisë.</w:t>
      </w:r>
    </w:p>
    <w:p w14:paraId="6D6F2849" w14:textId="288C58C7" w:rsidR="00650E6F" w:rsidRPr="000E1EB0" w:rsidRDefault="00650E6F" w:rsidP="00650E6F">
      <w:pPr>
        <w:pStyle w:val="AAAATEX"/>
      </w:pPr>
      <w:r w:rsidRPr="000E1EB0">
        <w:t>Popullsia e re (grup</w:t>
      </w:r>
      <w:r w:rsidR="007925D9">
        <w:t>-</w:t>
      </w:r>
      <w:r w:rsidRPr="000E1EB0">
        <w:t xml:space="preserve">mosha 0-14 vjeç) përbën 17.1%, ndërsa popullsia e moshuar (65+ vjeç) përbën 11.9% të popullsisë së përgjithshme të ish-Republikës Jugosllave të Maqedonisë. Në Republikën e Shqipërisë, shifrat përkatëse janë: 20.3% dhe 11.6%, dhe nuk ka mospërputhje të </w:t>
      </w:r>
      <w:r w:rsidRPr="000E1EB0">
        <w:lastRenderedPageBreak/>
        <w:t>mëdha midis rajoneve të vendit. Përkundrazi, Pollogu dhe Pellagonia regjistrojë diferencën më të lartë në lidhje me pjesën e popullsisë së tyre të moshuar: përkatësisht 8.5% dhe 15.0%.</w:t>
      </w:r>
      <w:r w:rsidRPr="000E1EB0">
        <w:rPr>
          <w:rStyle w:val="FootnoteReference"/>
        </w:rPr>
        <w:footnoteReference w:id="19"/>
      </w:r>
    </w:p>
    <w:p w14:paraId="6D6F284A" w14:textId="55B0C6A2" w:rsidR="00650E6F" w:rsidRPr="000E1EB0" w:rsidRDefault="00650E6F" w:rsidP="00650E6F">
      <w:pPr>
        <w:pStyle w:val="AAAATEX"/>
      </w:pPr>
      <w:r w:rsidRPr="000E1EB0">
        <w:t>Raporti i moshës së të punësuarve është një çështje shqetësuese në Republikën e Shqipërisë. Edhe pse indeksi pësoi një rënie të ngadaltë dhe arriti në 47 në vitin 2012 ndërsa për ish-Republikën Jugosllave të Maqedonisë është përcaktuar në 41, rritja natyrore e bashkuar me rritjen e parashikuar të jetëgjatësisë mund të ndikojë negativisht në ekonomi. Në zonën e programit, Pellagonia është rajoni më i prekur nga plakja e popullsisë (shkalla e moshës së të punësuarve</w:t>
      </w:r>
      <w:r w:rsidR="009A5DA1">
        <w:t xml:space="preserve"> </w:t>
      </w:r>
      <w:r w:rsidRPr="000E1EB0">
        <w:t>është 43)</w:t>
      </w:r>
      <w:r w:rsidR="00DD184F">
        <w:t>,</w:t>
      </w:r>
      <w:r w:rsidRPr="000E1EB0">
        <w:t xml:space="preserve"> ndërsa në Republikën e Shqipërisë është Korça (mesatarisht 50%).</w:t>
      </w:r>
      <w:r w:rsidRPr="000E1EB0">
        <w:rPr>
          <w:rStyle w:val="FootnoteReference"/>
        </w:rPr>
        <w:footnoteReference w:id="20"/>
      </w:r>
    </w:p>
    <w:p w14:paraId="6D6F284B" w14:textId="455E6D97" w:rsidR="00650E6F" w:rsidRPr="000E1EB0" w:rsidRDefault="00650E6F" w:rsidP="00650E6F">
      <w:pPr>
        <w:pStyle w:val="AAAATEX"/>
        <w:rPr>
          <w:b/>
        </w:rPr>
      </w:pPr>
      <w:r w:rsidRPr="000E1EB0">
        <w:rPr>
          <w:b/>
        </w:rPr>
        <w:t xml:space="preserve">Kohezioni </w:t>
      </w:r>
      <w:r w:rsidR="00891A85" w:rsidRPr="000E1EB0">
        <w:rPr>
          <w:b/>
        </w:rPr>
        <w:t>ekonomik</w:t>
      </w:r>
    </w:p>
    <w:p w14:paraId="6D6F284C" w14:textId="1601BE2A" w:rsidR="00650E6F" w:rsidRPr="000E1EB0" w:rsidRDefault="00650E6F" w:rsidP="00650E6F">
      <w:pPr>
        <w:pStyle w:val="AAAATEX"/>
      </w:pPr>
      <w:r w:rsidRPr="000E1EB0">
        <w:t>Të dy</w:t>
      </w:r>
      <w:r w:rsidR="003E0357">
        <w:t>ja</w:t>
      </w:r>
      <w:r w:rsidRPr="000E1EB0">
        <w:t xml:space="preserve"> vendet shfaqin nivel të ngjashëm të zhvillimit dhe janë klasifikuar si ekonomi me të ardhura mbi mesataren nga Banka Botërore. Megjithatë niveli i </w:t>
      </w:r>
      <w:r w:rsidR="003E0357" w:rsidRPr="000E1EB0">
        <w:t xml:space="preserve">brendshëm i të ardhurave bruto </w:t>
      </w:r>
      <w:r w:rsidRPr="000E1EB0">
        <w:t>i tyre thjesht e kalon vijën ndarëse midis ekonomive të tyre dhe të vendeve me të ardhura të ulëta – të mesme.</w:t>
      </w:r>
    </w:p>
    <w:p w14:paraId="6D6F284D" w14:textId="3E0DCAF4" w:rsidR="00650E6F" w:rsidRPr="000E1EB0" w:rsidRDefault="00650E6F" w:rsidP="00650E6F">
      <w:pPr>
        <w:pStyle w:val="AAAATEX"/>
        <w:rPr>
          <w:b/>
        </w:rPr>
      </w:pPr>
      <w:r w:rsidRPr="000E1EB0">
        <w:rPr>
          <w:b/>
        </w:rPr>
        <w:t xml:space="preserve">Prodhimi i </w:t>
      </w:r>
      <w:r w:rsidR="00891A85" w:rsidRPr="000E1EB0">
        <w:rPr>
          <w:b/>
        </w:rPr>
        <w:t>brendshëm bruto</w:t>
      </w:r>
    </w:p>
    <w:p w14:paraId="6D6F284E" w14:textId="25F57CB2" w:rsidR="00650E6F" w:rsidRDefault="00650E6F" w:rsidP="00650E6F">
      <w:pPr>
        <w:pStyle w:val="AAAATEX"/>
      </w:pPr>
      <w:r w:rsidRPr="000E1EB0">
        <w:t>Duke pasur parasysh faktin se analizat janë kryer mbi nivelin NUTS-3 dhe GDP-ja për frymë tregon pozitë të shquar të kryeqyteteve të të dy</w:t>
      </w:r>
      <w:r w:rsidR="0025395A">
        <w:t>ja</w:t>
      </w:r>
      <w:r w:rsidRPr="000E1EB0">
        <w:t xml:space="preserve"> shteteve, si të ish</w:t>
      </w:r>
      <w:r w:rsidR="0025395A">
        <w:t>-</w:t>
      </w:r>
      <w:r w:rsidRPr="000E1EB0">
        <w:t>Republikës Jugosllave të Maqedonisë dhe të Republikës së Shqipërisë, në vendet e tjera pasuria është e shpërndarë në mënyrë të moderuar në të dy</w:t>
      </w:r>
      <w:r w:rsidR="0025395A">
        <w:t>ja</w:t>
      </w:r>
      <w:r w:rsidRPr="000E1EB0">
        <w:t xml:space="preserve"> shtetet, me pabarazi më të larta të vërejtura në ish</w:t>
      </w:r>
      <w:r w:rsidR="0025395A">
        <w:t>-</w:t>
      </w:r>
      <w:r w:rsidRPr="000E1EB0">
        <w:t>Republikën Jugosllave të Maqedonisë, në krahasim me Republikën e Shqipërisë. Në vitin 2011, GDP për frymë arriti në 3,631 € në ish</w:t>
      </w:r>
      <w:r w:rsidR="00015CDD">
        <w:t>-</w:t>
      </w:r>
      <w:r w:rsidRPr="000E1EB0">
        <w:t>Republikën Jugosllave të Maqedonisë dhe 3,214 € në Republikën e Shqipërisë. Tabela e mëposhtme ilustron pabarazitë ndërmjet rajoneve të zonës së programit dhe treguesit e performancës së dy vendeve.</w:t>
      </w:r>
    </w:p>
    <w:p w14:paraId="71320228" w14:textId="77777777" w:rsidR="00D25FAE" w:rsidRPr="000E1EB0" w:rsidRDefault="00D25FAE" w:rsidP="00650E6F">
      <w:pPr>
        <w:pStyle w:val="AAAATEX"/>
      </w:pPr>
    </w:p>
    <w:tbl>
      <w:tblPr>
        <w:tblStyle w:val="MediumGrid3-Accent1"/>
        <w:tblW w:w="0" w:type="auto"/>
        <w:tblLook w:val="04A0" w:firstRow="1" w:lastRow="0" w:firstColumn="1" w:lastColumn="0" w:noHBand="0" w:noVBand="1"/>
      </w:tblPr>
      <w:tblGrid>
        <w:gridCol w:w="3095"/>
        <w:gridCol w:w="3096"/>
        <w:gridCol w:w="3096"/>
      </w:tblGrid>
      <w:tr w:rsidR="00650E6F" w:rsidRPr="000E1EB0" w14:paraId="6D6F2852"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4F"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3096" w:type="dxa"/>
          </w:tcPr>
          <w:p w14:paraId="6D6F285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GDP për frymë (EURO)</w:t>
            </w:r>
          </w:p>
        </w:tc>
        <w:tc>
          <w:tcPr>
            <w:tcW w:w="3096" w:type="dxa"/>
          </w:tcPr>
          <w:p w14:paraId="6D6F285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Indeksi (për vend = 100)</w:t>
            </w:r>
          </w:p>
        </w:tc>
      </w:tr>
      <w:tr w:rsidR="00650E6F" w:rsidRPr="000E1EB0" w14:paraId="6D6F285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5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3096" w:type="dxa"/>
          </w:tcPr>
          <w:p w14:paraId="6D6F285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3,702</w:t>
            </w:r>
          </w:p>
        </w:tc>
        <w:tc>
          <w:tcPr>
            <w:tcW w:w="3096" w:type="dxa"/>
          </w:tcPr>
          <w:p w14:paraId="6D6F285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102</w:t>
            </w:r>
          </w:p>
        </w:tc>
      </w:tr>
      <w:tr w:rsidR="00650E6F" w:rsidRPr="000E1EB0" w14:paraId="6D6F285A"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5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Pollogu</w:t>
            </w:r>
          </w:p>
        </w:tc>
        <w:tc>
          <w:tcPr>
            <w:tcW w:w="3096" w:type="dxa"/>
          </w:tcPr>
          <w:p w14:paraId="6D6F285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1,719</w:t>
            </w:r>
          </w:p>
        </w:tc>
        <w:tc>
          <w:tcPr>
            <w:tcW w:w="3096" w:type="dxa"/>
          </w:tcPr>
          <w:p w14:paraId="6D6F285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47</w:t>
            </w:r>
          </w:p>
        </w:tc>
      </w:tr>
      <w:tr w:rsidR="00650E6F" w:rsidRPr="000E1EB0" w14:paraId="6D6F285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5B"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3096" w:type="dxa"/>
          </w:tcPr>
          <w:p w14:paraId="6D6F285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2,638</w:t>
            </w:r>
          </w:p>
        </w:tc>
        <w:tc>
          <w:tcPr>
            <w:tcW w:w="3096" w:type="dxa"/>
          </w:tcPr>
          <w:p w14:paraId="6D6F285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73</w:t>
            </w:r>
          </w:p>
        </w:tc>
      </w:tr>
      <w:tr w:rsidR="00650E6F" w:rsidRPr="000E1EB0" w14:paraId="6D6F2862"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5F"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Ish-Republika Jugosllave e Maqedonisë</w:t>
            </w:r>
          </w:p>
        </w:tc>
        <w:tc>
          <w:tcPr>
            <w:tcW w:w="3096" w:type="dxa"/>
          </w:tcPr>
          <w:p w14:paraId="6D6F286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3,631</w:t>
            </w:r>
          </w:p>
        </w:tc>
        <w:tc>
          <w:tcPr>
            <w:tcW w:w="3096" w:type="dxa"/>
          </w:tcPr>
          <w:p w14:paraId="6D6F286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r w:rsidR="00650E6F" w:rsidRPr="000E1EB0" w14:paraId="6D6F286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6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Dibra</w:t>
            </w:r>
          </w:p>
        </w:tc>
        <w:tc>
          <w:tcPr>
            <w:tcW w:w="3096" w:type="dxa"/>
          </w:tcPr>
          <w:p w14:paraId="6D6F286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1,999</w:t>
            </w:r>
          </w:p>
        </w:tc>
        <w:tc>
          <w:tcPr>
            <w:tcW w:w="3096" w:type="dxa"/>
          </w:tcPr>
          <w:p w14:paraId="6D6F286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62</w:t>
            </w:r>
          </w:p>
        </w:tc>
      </w:tr>
      <w:tr w:rsidR="00650E6F" w:rsidRPr="000E1EB0" w14:paraId="6D6F286A"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6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Elbasani</w:t>
            </w:r>
          </w:p>
        </w:tc>
        <w:tc>
          <w:tcPr>
            <w:tcW w:w="3096" w:type="dxa"/>
          </w:tcPr>
          <w:p w14:paraId="6D6F286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2,796</w:t>
            </w:r>
          </w:p>
        </w:tc>
        <w:tc>
          <w:tcPr>
            <w:tcW w:w="3096" w:type="dxa"/>
          </w:tcPr>
          <w:p w14:paraId="6D6F286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87</w:t>
            </w:r>
          </w:p>
        </w:tc>
      </w:tr>
      <w:tr w:rsidR="00650E6F" w:rsidRPr="000E1EB0" w14:paraId="6D6F286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6B"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Korça</w:t>
            </w:r>
          </w:p>
        </w:tc>
        <w:tc>
          <w:tcPr>
            <w:tcW w:w="3096" w:type="dxa"/>
          </w:tcPr>
          <w:p w14:paraId="6D6F286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2,526</w:t>
            </w:r>
          </w:p>
        </w:tc>
        <w:tc>
          <w:tcPr>
            <w:tcW w:w="3096" w:type="dxa"/>
          </w:tcPr>
          <w:p w14:paraId="6D6F286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79</w:t>
            </w:r>
          </w:p>
        </w:tc>
      </w:tr>
      <w:tr w:rsidR="00650E6F" w:rsidRPr="000E1EB0" w14:paraId="6D6F2872"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6F"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Republika e Shqipërisë</w:t>
            </w:r>
          </w:p>
        </w:tc>
        <w:tc>
          <w:tcPr>
            <w:tcW w:w="3096" w:type="dxa"/>
          </w:tcPr>
          <w:p w14:paraId="6D6F287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3,214</w:t>
            </w:r>
          </w:p>
        </w:tc>
        <w:tc>
          <w:tcPr>
            <w:tcW w:w="3096" w:type="dxa"/>
          </w:tcPr>
          <w:p w14:paraId="6D6F287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bl>
    <w:p w14:paraId="6D6F2873" w14:textId="77777777" w:rsidR="00650E6F" w:rsidRPr="00015CDD" w:rsidRDefault="00650E6F" w:rsidP="00650E6F">
      <w:pPr>
        <w:pStyle w:val="AAAATEX"/>
        <w:rPr>
          <w:i/>
        </w:rPr>
      </w:pPr>
      <w:r w:rsidRPr="00015CDD">
        <w:rPr>
          <w:i/>
        </w:rPr>
        <w:t>Burimi: Zyra Shtetërore e Statistikave, INSTAT</w:t>
      </w:r>
    </w:p>
    <w:p w14:paraId="3B785D37" w14:textId="77777777" w:rsidR="009134FD" w:rsidRDefault="009134FD" w:rsidP="00650E6F">
      <w:pPr>
        <w:pStyle w:val="AAAATEX"/>
      </w:pPr>
    </w:p>
    <w:p w14:paraId="6D6F2874" w14:textId="5CA4426E" w:rsidR="00650E6F" w:rsidRPr="000E1EB0" w:rsidRDefault="00650E6F" w:rsidP="00650E6F">
      <w:pPr>
        <w:pStyle w:val="AAAATEX"/>
      </w:pPr>
      <w:r w:rsidRPr="000E1EB0">
        <w:t>Rajoni i Pollogut është më i pazhvilluari në të gjithë zonën e programit dhe Dibra mbetet prapa në zonën e Republikës së Shqipërisë. Në të vërtetë, rajoni i Dibrës është më i varfri në aspektin e performancës ekonomike në të gjithë Republikën e Shqipërisë. Të dy</w:t>
      </w:r>
      <w:r w:rsidR="00B15692">
        <w:t>ja</w:t>
      </w:r>
      <w:r w:rsidRPr="000E1EB0">
        <w:t xml:space="preserve"> rajonet janë në kufi me një</w:t>
      </w:r>
      <w:r w:rsidR="00856D4F">
        <w:t>ri</w:t>
      </w:r>
      <w:r w:rsidR="00015CDD">
        <w:t>-</w:t>
      </w:r>
      <w:r w:rsidRPr="000E1EB0">
        <w:t>tjetrin.</w:t>
      </w:r>
    </w:p>
    <w:p w14:paraId="6D6F2875" w14:textId="77777777" w:rsidR="00650E6F" w:rsidRPr="000E1EB0" w:rsidRDefault="00650E6F" w:rsidP="00650E6F">
      <w:pPr>
        <w:pStyle w:val="AAAATEX"/>
      </w:pPr>
      <w:r w:rsidRPr="000E1EB0">
        <w:t>Në vitin 2012, GDP-ja e ish-Republikës Jugosllave të Maqedonisë u tkurr me 0.2%, ndërsa Republika e Shqipërisë ka shënuar një rritje të ulët prej 0.7%.</w:t>
      </w:r>
    </w:p>
    <w:p w14:paraId="6D6F2876" w14:textId="3443A4F8" w:rsidR="00650E6F" w:rsidRPr="000E1EB0" w:rsidRDefault="00650E6F" w:rsidP="00650E6F">
      <w:pPr>
        <w:pStyle w:val="AAAATEX"/>
        <w:rPr>
          <w:b/>
        </w:rPr>
      </w:pPr>
      <w:r w:rsidRPr="000E1EB0">
        <w:rPr>
          <w:b/>
        </w:rPr>
        <w:t xml:space="preserve">Vlera e </w:t>
      </w:r>
      <w:r w:rsidR="00015CDD" w:rsidRPr="000E1EB0">
        <w:rPr>
          <w:b/>
        </w:rPr>
        <w:t>shtuar bruto sipas sektorëve</w:t>
      </w:r>
    </w:p>
    <w:p w14:paraId="6D6F2877" w14:textId="77777777" w:rsidR="00650E6F" w:rsidRPr="000E1EB0" w:rsidRDefault="00650E6F" w:rsidP="00650E6F">
      <w:pPr>
        <w:pStyle w:val="AAAATEX"/>
      </w:pPr>
      <w:r w:rsidRPr="000E1EB0">
        <w:t xml:space="preserve">GVA ilustron strukturën e ekonomisë së zonës së programit dhe kjo është e qartë nga të dhënat statistikore që tregojnë se struktura e ekonomisë së ish-Republikës Jugosllave të Maqedonisë është i ndryshëm nga struktura e ekonomisë së Republikës së Shqipërisë. </w:t>
      </w:r>
    </w:p>
    <w:p w14:paraId="6D6F2878" w14:textId="2986FD36" w:rsidR="00650E6F" w:rsidRPr="000E1EB0" w:rsidRDefault="00650E6F" w:rsidP="00650E6F">
      <w:pPr>
        <w:pStyle w:val="AAAATEX"/>
      </w:pPr>
      <w:r w:rsidRPr="000E1EB0">
        <w:lastRenderedPageBreak/>
        <w:t>Republika e Shqipërisë mbështetet në tregjet me shumicë dhe pakicë që përbëjnë 31% të GVA-së së vendit, por ky sektor është i një rëndësie më të vogël në prefekturat e zonave të programit në Republikën e Shqipërisë. Këto janë rajone kryesisht bujqësore me prodhimin bujqësor të Dibrës dhe Korçës që kontribuojnë në 1/3 e GVA-së në këto rajone. Bujqësia në rajonet e zonës së programit në ish-Republikën Jugosllave të Maqedonisë ka kontribut më të vogël në GVA-në rajonale, duke pasur si sektorë kryesorë për gjenerimin e vlerës së shtuar në ekonominë e vendit industrinë dhe shërbime të tjera. Miniera dhe industria e Pellagonisë është faktori më i rëndësishëm që kontribuon në pasurinë e këtij rajoni. Në të vërtetë, vlera e saj e shtuar industriale në shifra absolute pothuajse e barazon vlerën e shtuar bruto industriale të të gjitha rajoneve të tjera në zonën e programit të të dy</w:t>
      </w:r>
      <w:r w:rsidR="0002266C">
        <w:t>ja</w:t>
      </w:r>
      <w:r w:rsidRPr="000E1EB0">
        <w:t xml:space="preserve"> vendeve.</w:t>
      </w:r>
    </w:p>
    <w:p w14:paraId="6D6F2879" w14:textId="77777777" w:rsidR="00650E6F" w:rsidRPr="000E1EB0" w:rsidRDefault="00650E6F" w:rsidP="00650E6F">
      <w:pPr>
        <w:pStyle w:val="AAAATEX"/>
      </w:pPr>
      <w:r w:rsidRPr="000E1EB0">
        <w:t>Kontributi në GVA nga sektorë të ndryshëm është përshkruar në figurën më poshtë.</w:t>
      </w:r>
    </w:p>
    <w:p w14:paraId="6D6F287A" w14:textId="77777777" w:rsidR="00650E6F" w:rsidRPr="00F2105A" w:rsidRDefault="00650E6F" w:rsidP="00650E6F">
      <w:pPr>
        <w:pStyle w:val="AAAATEX"/>
        <w:rPr>
          <w:sz w:val="2"/>
        </w:rPr>
      </w:pPr>
    </w:p>
    <w:p w14:paraId="6D6F287B" w14:textId="77777777" w:rsidR="00650E6F" w:rsidRPr="000E1EB0" w:rsidRDefault="00650E6F" w:rsidP="00650E6F">
      <w:pPr>
        <w:spacing w:after="0" w:line="240" w:lineRule="auto"/>
        <w:jc w:val="center"/>
        <w:rPr>
          <w:rFonts w:ascii="Garamond" w:hAnsi="Garamond" w:cs="Tahoma"/>
          <w:sz w:val="20"/>
          <w:szCs w:val="20"/>
        </w:rPr>
      </w:pPr>
      <w:r w:rsidRPr="000E1EB0">
        <w:rPr>
          <w:rFonts w:ascii="Garamond" w:hAnsi="Garamond" w:cs="Tahoma"/>
          <w:noProof/>
          <w:sz w:val="16"/>
          <w:szCs w:val="16"/>
          <w:lang w:val="en-US"/>
        </w:rPr>
        <w:drawing>
          <wp:inline distT="0" distB="0" distL="0" distR="0" wp14:anchorId="6D6F2CEA" wp14:editId="6D6F2CEB">
            <wp:extent cx="5257800" cy="3154680"/>
            <wp:effectExtent l="0" t="0" r="0" b="762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6F287D" w14:textId="77777777" w:rsidR="00650E6F" w:rsidRPr="000E1EB0" w:rsidRDefault="00650E6F" w:rsidP="00650E6F">
      <w:pPr>
        <w:pStyle w:val="AAAATEX"/>
        <w:rPr>
          <w:i/>
        </w:rPr>
      </w:pPr>
      <w:r w:rsidRPr="000E1EB0">
        <w:rPr>
          <w:i/>
        </w:rPr>
        <w:t>Burimi: llogaritje bazuar në Zyrën Shtetërore të Statistikave; INSTAT</w:t>
      </w:r>
    </w:p>
    <w:p w14:paraId="221C8BB9" w14:textId="77777777" w:rsidR="00015CDD" w:rsidRDefault="00015CDD" w:rsidP="00650E6F">
      <w:pPr>
        <w:pStyle w:val="AAAATEX"/>
        <w:rPr>
          <w:b/>
        </w:rPr>
      </w:pPr>
    </w:p>
    <w:p w14:paraId="6D6F287E" w14:textId="77777777" w:rsidR="00650E6F" w:rsidRPr="000E1EB0" w:rsidRDefault="00650E6F" w:rsidP="00650E6F">
      <w:pPr>
        <w:pStyle w:val="AAAATEX"/>
      </w:pPr>
      <w:r w:rsidRPr="000E1EB0">
        <w:rPr>
          <w:b/>
        </w:rPr>
        <w:t>Tregtia e jashtme</w:t>
      </w:r>
    </w:p>
    <w:p w14:paraId="6D6F287F" w14:textId="77777777" w:rsidR="00650E6F" w:rsidRPr="000E1EB0" w:rsidRDefault="00650E6F" w:rsidP="00650E6F">
      <w:pPr>
        <w:pStyle w:val="AAAATEX"/>
      </w:pPr>
      <w:r w:rsidRPr="000E1EB0">
        <w:t>Të dhënat mbi tregtinë e jashtme ilustrojnë potencialin ekonomik të çdo territori dhe është e qartë se zona e programit karakterizohet nga nivele të ulëta të aktivitetit ekonomik dhe konkurrencës ndërkombëtare. Në mënyrë të qartë, Pellagonia në ish-Republikën Jugosllave të Maqedonisë dhe Elbasani në Republikën e Shqipërisë luajnë rolin më të rëndësishëm në ndërkombëtarizimin e ekonomisë në zonën e programit (tabela më poshtë).</w:t>
      </w:r>
    </w:p>
    <w:p w14:paraId="6D6F2880"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3095"/>
        <w:gridCol w:w="3096"/>
        <w:gridCol w:w="3096"/>
      </w:tblGrid>
      <w:tr w:rsidR="00650E6F" w:rsidRPr="000E1EB0" w14:paraId="6D6F2884"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81"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3096" w:type="dxa"/>
          </w:tcPr>
          <w:p w14:paraId="6D6F2882" w14:textId="1F51C2F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Aksionet në </w:t>
            </w:r>
            <w:r w:rsidR="00D25FAE" w:rsidRPr="000E1EB0">
              <w:rPr>
                <w:rFonts w:ascii="Garamond" w:hAnsi="Garamond" w:cs="Tahoma"/>
                <w:sz w:val="20"/>
                <w:szCs w:val="20"/>
                <w:lang w:val="sq-AL"/>
              </w:rPr>
              <w:t xml:space="preserve">eksport </w:t>
            </w:r>
            <w:r w:rsidRPr="000E1EB0">
              <w:rPr>
                <w:rFonts w:ascii="Garamond" w:hAnsi="Garamond" w:cs="Tahoma"/>
                <w:sz w:val="20"/>
                <w:szCs w:val="20"/>
                <w:lang w:val="sq-AL"/>
              </w:rPr>
              <w:t>(%)</w:t>
            </w:r>
          </w:p>
        </w:tc>
        <w:tc>
          <w:tcPr>
            <w:tcW w:w="3096" w:type="dxa"/>
          </w:tcPr>
          <w:p w14:paraId="6D6F2883" w14:textId="0CF0F114"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Aksionet në </w:t>
            </w:r>
            <w:r w:rsidR="00D25FAE" w:rsidRPr="000E1EB0">
              <w:rPr>
                <w:rFonts w:ascii="Garamond" w:hAnsi="Garamond" w:cs="Tahoma"/>
                <w:sz w:val="20"/>
                <w:szCs w:val="20"/>
                <w:lang w:val="sq-AL"/>
              </w:rPr>
              <w:t xml:space="preserve">import </w:t>
            </w:r>
            <w:r w:rsidRPr="000E1EB0">
              <w:rPr>
                <w:rFonts w:ascii="Garamond" w:hAnsi="Garamond" w:cs="Tahoma"/>
                <w:sz w:val="20"/>
                <w:szCs w:val="20"/>
                <w:lang w:val="sq-AL"/>
              </w:rPr>
              <w:t>(%)</w:t>
            </w:r>
          </w:p>
        </w:tc>
      </w:tr>
      <w:tr w:rsidR="00650E6F" w:rsidRPr="000E1EB0" w14:paraId="6D6F288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85"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3096" w:type="dxa"/>
          </w:tcPr>
          <w:p w14:paraId="6D6F288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6.4</w:t>
            </w:r>
          </w:p>
        </w:tc>
        <w:tc>
          <w:tcPr>
            <w:tcW w:w="3096" w:type="dxa"/>
          </w:tcPr>
          <w:p w14:paraId="6D6F288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3.9</w:t>
            </w:r>
          </w:p>
        </w:tc>
      </w:tr>
      <w:tr w:rsidR="00650E6F" w:rsidRPr="000E1EB0" w14:paraId="6D6F288C"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89"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Pollogu</w:t>
            </w:r>
          </w:p>
        </w:tc>
        <w:tc>
          <w:tcPr>
            <w:tcW w:w="3096" w:type="dxa"/>
          </w:tcPr>
          <w:p w14:paraId="6D6F288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2.7</w:t>
            </w:r>
          </w:p>
        </w:tc>
        <w:tc>
          <w:tcPr>
            <w:tcW w:w="3096" w:type="dxa"/>
          </w:tcPr>
          <w:p w14:paraId="6D6F288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2.9</w:t>
            </w:r>
          </w:p>
        </w:tc>
      </w:tr>
      <w:tr w:rsidR="00650E6F" w:rsidRPr="000E1EB0" w14:paraId="6D6F289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8D" w14:textId="6C800B5C" w:rsidR="00650E6F" w:rsidRPr="000E1EB0" w:rsidRDefault="00650E6F" w:rsidP="00310C81">
            <w:pPr>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3096" w:type="dxa"/>
          </w:tcPr>
          <w:p w14:paraId="6D6F288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1.9</w:t>
            </w:r>
          </w:p>
        </w:tc>
        <w:tc>
          <w:tcPr>
            <w:tcW w:w="3096" w:type="dxa"/>
          </w:tcPr>
          <w:p w14:paraId="6D6F288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1.8</w:t>
            </w:r>
          </w:p>
        </w:tc>
      </w:tr>
      <w:tr w:rsidR="00650E6F" w:rsidRPr="000E1EB0" w14:paraId="6D6F2894"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91"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Ish-Republika Jugosllave e Maqedonisë</w:t>
            </w:r>
          </w:p>
        </w:tc>
        <w:tc>
          <w:tcPr>
            <w:tcW w:w="3096" w:type="dxa"/>
          </w:tcPr>
          <w:p w14:paraId="6D6F289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c>
          <w:tcPr>
            <w:tcW w:w="3096" w:type="dxa"/>
          </w:tcPr>
          <w:p w14:paraId="6D6F289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r w:rsidR="00650E6F" w:rsidRPr="000E1EB0" w14:paraId="6D6F289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95"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Dibra</w:t>
            </w:r>
          </w:p>
        </w:tc>
        <w:tc>
          <w:tcPr>
            <w:tcW w:w="3096" w:type="dxa"/>
          </w:tcPr>
          <w:p w14:paraId="6D6F289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1.4</w:t>
            </w:r>
          </w:p>
        </w:tc>
        <w:tc>
          <w:tcPr>
            <w:tcW w:w="3096" w:type="dxa"/>
          </w:tcPr>
          <w:p w14:paraId="6D6F289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0.1</w:t>
            </w:r>
          </w:p>
        </w:tc>
      </w:tr>
      <w:tr w:rsidR="00650E6F" w:rsidRPr="000E1EB0" w14:paraId="6D6F289C"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99"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Elbasani</w:t>
            </w:r>
          </w:p>
        </w:tc>
        <w:tc>
          <w:tcPr>
            <w:tcW w:w="3096" w:type="dxa"/>
          </w:tcPr>
          <w:p w14:paraId="6D6F289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9.9</w:t>
            </w:r>
          </w:p>
        </w:tc>
        <w:tc>
          <w:tcPr>
            <w:tcW w:w="3096" w:type="dxa"/>
          </w:tcPr>
          <w:p w14:paraId="6D6F289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7.1</w:t>
            </w:r>
          </w:p>
        </w:tc>
      </w:tr>
      <w:tr w:rsidR="00650E6F" w:rsidRPr="000E1EB0" w14:paraId="6D6F28A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89D"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Korça</w:t>
            </w:r>
          </w:p>
        </w:tc>
        <w:tc>
          <w:tcPr>
            <w:tcW w:w="3096" w:type="dxa"/>
          </w:tcPr>
          <w:p w14:paraId="6D6F289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3.2</w:t>
            </w:r>
          </w:p>
        </w:tc>
        <w:tc>
          <w:tcPr>
            <w:tcW w:w="3096" w:type="dxa"/>
          </w:tcPr>
          <w:p w14:paraId="6D6F289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2.6</w:t>
            </w:r>
          </w:p>
        </w:tc>
      </w:tr>
      <w:tr w:rsidR="00650E6F" w:rsidRPr="000E1EB0" w14:paraId="6D6F28A4"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8A1"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Republika e Shqipërisë</w:t>
            </w:r>
          </w:p>
        </w:tc>
        <w:tc>
          <w:tcPr>
            <w:tcW w:w="3096" w:type="dxa"/>
          </w:tcPr>
          <w:p w14:paraId="6D6F28A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c>
          <w:tcPr>
            <w:tcW w:w="3096" w:type="dxa"/>
          </w:tcPr>
          <w:p w14:paraId="6D6F28A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bl>
    <w:p w14:paraId="6D6F28A5" w14:textId="77777777" w:rsidR="00650E6F" w:rsidRPr="000E1EB0" w:rsidRDefault="00650E6F" w:rsidP="00650E6F">
      <w:pPr>
        <w:pStyle w:val="AAAATEX"/>
        <w:rPr>
          <w:i/>
        </w:rPr>
      </w:pPr>
      <w:r w:rsidRPr="000E1EB0">
        <w:rPr>
          <w:i/>
        </w:rPr>
        <w:lastRenderedPageBreak/>
        <w:t>Burimi: Zyra Shtetërore e Statistikave (ish-Republika Jugosllave e Maqedonisë), Drejtoria e Përgjithshme e Doganave (Republika e Shqipërisë)</w:t>
      </w:r>
    </w:p>
    <w:p w14:paraId="6D6F28A6" w14:textId="568F2B39" w:rsidR="00650E6F" w:rsidRPr="000E1EB0" w:rsidRDefault="00650E6F" w:rsidP="00650E6F">
      <w:pPr>
        <w:pStyle w:val="AAAATEX"/>
        <w:rPr>
          <w:b/>
        </w:rPr>
      </w:pPr>
      <w:r w:rsidRPr="000E1EB0">
        <w:rPr>
          <w:b/>
        </w:rPr>
        <w:t xml:space="preserve">Minierat dhe </w:t>
      </w:r>
      <w:r w:rsidR="00310C81" w:rsidRPr="000E1EB0">
        <w:rPr>
          <w:b/>
        </w:rPr>
        <w:t>energjia</w:t>
      </w:r>
    </w:p>
    <w:p w14:paraId="6D6F28A7" w14:textId="5C6E27A0" w:rsidR="00650E6F" w:rsidRPr="000E1EB0" w:rsidRDefault="00650E6F" w:rsidP="00650E6F">
      <w:pPr>
        <w:pStyle w:val="AAAATEX"/>
      </w:pPr>
      <w:r w:rsidRPr="000E1EB0">
        <w:t xml:space="preserve">Zona kufitare ndërmjet dy vendeve është e pasur me minerale dhe burime natyrore. Ndërsa miniera e qymyrit është më e rëndësishmja për zonën kufitare të ish-Republikës Jugosllave të Maqedonisë në basenet e Kërçovës dhe Pellagonisë, zona kufitare e Republikës së Shqipërisë, përveç qymyrit, shfrytëzon hekurin, bakrin dhe kromin. Brezi ndërmjet Bilishtit dhe Librazhdit ka depozita të konsiderueshme të hekurit dhe nikelit mineral. Prefekturat e Dibrës dhe Elbasanit janë të pasura me krom, me minierën e kromit në Bulqizën </w:t>
      </w:r>
      <w:r w:rsidR="000945C1" w:rsidRPr="000E1EB0">
        <w:t xml:space="preserve">Veriore </w:t>
      </w:r>
      <w:r w:rsidRPr="000E1EB0">
        <w:t>që ka një rëndësi strategjike. Qymyri shfrytëzohet në Korçë, megjithatë depozitat e qymyrit në këtë zonë përbëjnë vetëm rreth 10% të të gjitha depozitave të qymyrit në Republikën e Shqipërisë.</w:t>
      </w:r>
    </w:p>
    <w:p w14:paraId="6D6F28A9" w14:textId="04FB88A7" w:rsidR="00650E6F" w:rsidRPr="000E1EB0" w:rsidRDefault="00650E6F" w:rsidP="00650E6F">
      <w:pPr>
        <w:pStyle w:val="AAAATEX"/>
      </w:pPr>
      <w:r w:rsidRPr="000E1EB0">
        <w:t>Depozitat e qymyrit në ish</w:t>
      </w:r>
      <w:r w:rsidR="000945C1">
        <w:t>-</w:t>
      </w:r>
      <w:r w:rsidRPr="000E1EB0">
        <w:t xml:space="preserve">Republikën Jugosllave të Maqedonisë dhe Republikën e Shqipërisë janë linjit me vlerë relativisht të ulët në kalori dhe me përmbajtje të lartë të lagështirës dhe të hirit nga epokat gjeologjike të Pliocenit dhe </w:t>
      </w:r>
      <w:r w:rsidR="00CB5A53" w:rsidRPr="000E1EB0">
        <w:t xml:space="preserve">të </w:t>
      </w:r>
      <w:r w:rsidRPr="000E1EB0">
        <w:t>Miocenit.</w:t>
      </w:r>
    </w:p>
    <w:p w14:paraId="6D6F28AA" w14:textId="6756E9BB" w:rsidR="00650E6F" w:rsidRPr="000E1EB0" w:rsidRDefault="00650E6F" w:rsidP="00650E6F">
      <w:pPr>
        <w:pStyle w:val="AAAATEX"/>
      </w:pPr>
      <w:r w:rsidRPr="000E1EB0">
        <w:t xml:space="preserve">Minerale të tjera përfshijnë: titan-magnez, talk, granit, mermer, gurë gëlqerorë, </w:t>
      </w:r>
      <w:r w:rsidR="00974090" w:rsidRPr="000E1EB0">
        <w:t>dolomitë</w:t>
      </w:r>
      <w:r w:rsidRPr="000E1EB0">
        <w:t xml:space="preserve"> dhe gurë të tjerë dekorativë karbonatikë.</w:t>
      </w:r>
    </w:p>
    <w:p w14:paraId="6D6F28AB" w14:textId="1C615AB4" w:rsidR="00650E6F" w:rsidRPr="000E1EB0" w:rsidRDefault="000945C1" w:rsidP="00650E6F">
      <w:pPr>
        <w:pStyle w:val="AAAATEX"/>
      </w:pPr>
      <w:r>
        <w:t>Rajonet Pollog dhe ai jug</w:t>
      </w:r>
      <w:r w:rsidR="00650E6F" w:rsidRPr="000E1EB0">
        <w:t>perëndimor në ish-Republikën Jugosllave të Maqedonisë përmbajnë 9 termocentrale hidroelektrike, ndërsa në Pellagoni ndodhet një impiant i energjisë diellore. Zona kufitare e Republikës së Shqipërisë përmban 41 hidrocentrale, kryesisht në lumenjtë Drin dhe Devoll. Kapaciteti i përgjithshëm i prodhimit të energjisë elektrike të instaluar ilustron avantazhin e ish</w:t>
      </w:r>
      <w:r>
        <w:t>-</w:t>
      </w:r>
      <w:r w:rsidR="00650E6F" w:rsidRPr="000E1EB0">
        <w:t>Republikës Jugosllave të Maqedonisë, edhe pse është Republika e Shqipërisë ajo që prodhon energji elektrike të gjelbër në sajë të impianteve të saj hidroelektrike.</w:t>
      </w:r>
    </w:p>
    <w:p w14:paraId="6D6F28AC" w14:textId="4E0D7538" w:rsidR="00650E6F" w:rsidRPr="000E1EB0" w:rsidRDefault="00650E6F" w:rsidP="00650E6F">
      <w:pPr>
        <w:pStyle w:val="AAAATEX"/>
      </w:pPr>
      <w:r w:rsidRPr="000E1EB0">
        <w:t>Rajonet në zonën e programit të ish</w:t>
      </w:r>
      <w:r w:rsidR="000945C1">
        <w:t>-</w:t>
      </w:r>
      <w:r w:rsidRPr="000E1EB0">
        <w:t>Republikës Jugosllave të Maqedonisë prodhojnë 60% të energjisë elektrike të përgjithshme në ish</w:t>
      </w:r>
      <w:r w:rsidR="000945C1">
        <w:t>-</w:t>
      </w:r>
      <w:r w:rsidRPr="000E1EB0">
        <w:t>Republikën Jugosllave të Maqedonisë, ndërsa rajonet në Republikën e Shqipërisë përbëjnë 47% të kapacitetit të impianteve të energjisë së vendit.</w:t>
      </w:r>
    </w:p>
    <w:p w14:paraId="6D6F28AD" w14:textId="77777777" w:rsidR="00650E6F" w:rsidRPr="001B3546" w:rsidRDefault="00650E6F" w:rsidP="00650E6F">
      <w:pPr>
        <w:pStyle w:val="AAAATEX"/>
        <w:rPr>
          <w:sz w:val="16"/>
        </w:rPr>
      </w:pPr>
    </w:p>
    <w:tbl>
      <w:tblPr>
        <w:tblStyle w:val="MediumGrid3-Accent1"/>
        <w:tblW w:w="5000" w:type="pct"/>
        <w:tblLook w:val="04A0" w:firstRow="1" w:lastRow="0" w:firstColumn="1" w:lastColumn="0" w:noHBand="0" w:noVBand="1"/>
      </w:tblPr>
      <w:tblGrid>
        <w:gridCol w:w="3327"/>
        <w:gridCol w:w="6249"/>
      </w:tblGrid>
      <w:tr w:rsidR="00650E6F" w:rsidRPr="000E1EB0" w14:paraId="6D6F28B0"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14:paraId="6D6F28AE"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3263" w:type="pct"/>
          </w:tcPr>
          <w:p w14:paraId="6D6F28A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Kapaciteti (MW)</w:t>
            </w:r>
          </w:p>
        </w:tc>
      </w:tr>
      <w:tr w:rsidR="00650E6F" w:rsidRPr="000E1EB0" w14:paraId="6D6F28B3"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14:paraId="6D6F28B1"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3263" w:type="pct"/>
          </w:tcPr>
          <w:p w14:paraId="6D6F28B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685</w:t>
            </w:r>
          </w:p>
        </w:tc>
      </w:tr>
      <w:tr w:rsidR="00650E6F" w:rsidRPr="000E1EB0" w14:paraId="6D6F28B6" w14:textId="77777777" w:rsidTr="00650E6F">
        <w:tc>
          <w:tcPr>
            <w:cnfStyle w:val="001000000000" w:firstRow="0" w:lastRow="0" w:firstColumn="1" w:lastColumn="0" w:oddVBand="0" w:evenVBand="0" w:oddHBand="0" w:evenHBand="0" w:firstRowFirstColumn="0" w:firstRowLastColumn="0" w:lastRowFirstColumn="0" w:lastRowLastColumn="0"/>
            <w:tcW w:w="1737" w:type="pct"/>
          </w:tcPr>
          <w:p w14:paraId="6D6F28B4"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Pollogu</w:t>
            </w:r>
          </w:p>
        </w:tc>
        <w:tc>
          <w:tcPr>
            <w:tcW w:w="3263" w:type="pct"/>
          </w:tcPr>
          <w:p w14:paraId="6D6F28B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190</w:t>
            </w:r>
          </w:p>
        </w:tc>
      </w:tr>
      <w:tr w:rsidR="00650E6F" w:rsidRPr="000E1EB0" w14:paraId="6D6F28B9"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14:paraId="6D6F28B7" w14:textId="5D93FC1D" w:rsidR="00650E6F" w:rsidRPr="000E1EB0" w:rsidRDefault="00650E6F" w:rsidP="002A0A7F">
            <w:pPr>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3263" w:type="pct"/>
          </w:tcPr>
          <w:p w14:paraId="6D6F28B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258</w:t>
            </w:r>
          </w:p>
        </w:tc>
      </w:tr>
      <w:tr w:rsidR="00650E6F" w:rsidRPr="000E1EB0" w14:paraId="6D6F28BC" w14:textId="77777777" w:rsidTr="00650E6F">
        <w:tc>
          <w:tcPr>
            <w:cnfStyle w:val="001000000000" w:firstRow="0" w:lastRow="0" w:firstColumn="1" w:lastColumn="0" w:oddVBand="0" w:evenVBand="0" w:oddHBand="0" w:evenHBand="0" w:firstRowFirstColumn="0" w:firstRowLastColumn="0" w:lastRowFirstColumn="0" w:lastRowLastColumn="0"/>
            <w:tcW w:w="1737" w:type="pct"/>
          </w:tcPr>
          <w:p w14:paraId="6D6F28BA"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Ish-Republika Jugosllave e Maqedonisë</w:t>
            </w:r>
          </w:p>
        </w:tc>
        <w:tc>
          <w:tcPr>
            <w:tcW w:w="3263" w:type="pct"/>
          </w:tcPr>
          <w:p w14:paraId="6D6F28B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1,889</w:t>
            </w:r>
          </w:p>
        </w:tc>
      </w:tr>
      <w:tr w:rsidR="00650E6F" w:rsidRPr="000E1EB0" w14:paraId="6D6F28BF"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14:paraId="6D6F28BD"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Dibra</w:t>
            </w:r>
          </w:p>
        </w:tc>
        <w:tc>
          <w:tcPr>
            <w:tcW w:w="3263" w:type="pct"/>
          </w:tcPr>
          <w:p w14:paraId="6D6F28B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39.7</w:t>
            </w:r>
          </w:p>
        </w:tc>
      </w:tr>
      <w:tr w:rsidR="00650E6F" w:rsidRPr="000E1EB0" w14:paraId="6D6F28C2" w14:textId="77777777" w:rsidTr="00650E6F">
        <w:tc>
          <w:tcPr>
            <w:cnfStyle w:val="001000000000" w:firstRow="0" w:lastRow="0" w:firstColumn="1" w:lastColumn="0" w:oddVBand="0" w:evenVBand="0" w:oddHBand="0" w:evenHBand="0" w:firstRowFirstColumn="0" w:firstRowLastColumn="0" w:lastRowFirstColumn="0" w:lastRowLastColumn="0"/>
            <w:tcW w:w="1737" w:type="pct"/>
          </w:tcPr>
          <w:p w14:paraId="6D6F28C0"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Elbasani</w:t>
            </w:r>
          </w:p>
        </w:tc>
        <w:tc>
          <w:tcPr>
            <w:tcW w:w="3263" w:type="pct"/>
          </w:tcPr>
          <w:p w14:paraId="6D6F28C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18.9</w:t>
            </w:r>
          </w:p>
        </w:tc>
      </w:tr>
      <w:tr w:rsidR="00650E6F" w:rsidRPr="000E1EB0" w14:paraId="6D6F28C5"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14:paraId="6D6F28C3"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Korça</w:t>
            </w:r>
          </w:p>
        </w:tc>
        <w:tc>
          <w:tcPr>
            <w:tcW w:w="3263" w:type="pct"/>
          </w:tcPr>
          <w:p w14:paraId="6D6F28C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32.0</w:t>
            </w:r>
          </w:p>
        </w:tc>
      </w:tr>
      <w:tr w:rsidR="00650E6F" w:rsidRPr="000E1EB0" w14:paraId="6D6F28C8" w14:textId="77777777" w:rsidTr="00650E6F">
        <w:tc>
          <w:tcPr>
            <w:cnfStyle w:val="001000000000" w:firstRow="0" w:lastRow="0" w:firstColumn="1" w:lastColumn="0" w:oddVBand="0" w:evenVBand="0" w:oddHBand="0" w:evenHBand="0" w:firstRowFirstColumn="0" w:firstRowLastColumn="0" w:lastRowFirstColumn="0" w:lastRowLastColumn="0"/>
            <w:tcW w:w="1737" w:type="pct"/>
          </w:tcPr>
          <w:p w14:paraId="6D6F28C6"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Republika e Shqipërisë</w:t>
            </w:r>
          </w:p>
        </w:tc>
        <w:tc>
          <w:tcPr>
            <w:tcW w:w="3263" w:type="pct"/>
          </w:tcPr>
          <w:p w14:paraId="6D6F28C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195.8</w:t>
            </w:r>
          </w:p>
        </w:tc>
      </w:tr>
    </w:tbl>
    <w:p w14:paraId="6D6F28C9" w14:textId="77777777" w:rsidR="00650E6F" w:rsidRPr="000E1EB0" w:rsidRDefault="00650E6F" w:rsidP="00650E6F">
      <w:pPr>
        <w:pStyle w:val="AAAATEX"/>
        <w:rPr>
          <w:i/>
        </w:rPr>
      </w:pPr>
      <w:r w:rsidRPr="000E1EB0">
        <w:rPr>
          <w:i/>
        </w:rPr>
        <w:t>Burimi: Zyra e Statistikave (ish-Republika Jugosllave e Maqedonisë), Enti Rregullator i Energjisë Elektrike (Republika e Shqipërisë), 2012</w:t>
      </w:r>
    </w:p>
    <w:p w14:paraId="113BC63F" w14:textId="77777777" w:rsidR="002A0A7F" w:rsidRPr="001B3546" w:rsidRDefault="002A0A7F" w:rsidP="00650E6F">
      <w:pPr>
        <w:pStyle w:val="AAAATEX"/>
        <w:rPr>
          <w:b/>
          <w:sz w:val="16"/>
        </w:rPr>
      </w:pPr>
    </w:p>
    <w:p w14:paraId="6D6F28CA" w14:textId="77777777" w:rsidR="00650E6F" w:rsidRPr="000E1EB0" w:rsidRDefault="00650E6F" w:rsidP="00650E6F">
      <w:pPr>
        <w:pStyle w:val="AAAATEX"/>
        <w:rPr>
          <w:b/>
        </w:rPr>
      </w:pPr>
      <w:r w:rsidRPr="000E1EB0">
        <w:rPr>
          <w:b/>
        </w:rPr>
        <w:t>Sipërmarrja</w:t>
      </w:r>
    </w:p>
    <w:p w14:paraId="6D6F28CB" w14:textId="3AACD6A3" w:rsidR="00650E6F" w:rsidRPr="000E1EB0" w:rsidRDefault="00650E6F" w:rsidP="00650E6F">
      <w:pPr>
        <w:pStyle w:val="AAAATEX"/>
      </w:pPr>
      <w:r w:rsidRPr="000E1EB0">
        <w:t>Zona e programit karakterizohet nga veprimtari ekonomike nga ndërmarrjet e vogla dhe të mesme. Megjithatë rëndësia e tyre në ekonominë rajonale është më e ulët sesa në rajonet e tjera të të dy</w:t>
      </w:r>
      <w:r w:rsidR="0002266C">
        <w:t>ja</w:t>
      </w:r>
      <w:r w:rsidRPr="000E1EB0">
        <w:t xml:space="preserve"> vendeve. Vetëm 32% e SME-ve të përgjithshme të ish</w:t>
      </w:r>
      <w:r w:rsidR="002A0A7F">
        <w:t>-</w:t>
      </w:r>
      <w:r w:rsidRPr="000E1EB0">
        <w:t xml:space="preserve">Republikës Jugosllave të Maqedonisë dhe 17% e SME-ve të përgjithshme të Republikës së Shqipërisë ndodhen në zonën e programit, dhe këto vlera konsiderohen shumë të ulëta në raport me numrin e popullsisë në rajonet kufitare. </w:t>
      </w:r>
    </w:p>
    <w:p w14:paraId="6D6F28CC" w14:textId="1DCB54C5" w:rsidR="00650E6F" w:rsidRPr="000E1EB0" w:rsidRDefault="00650E6F" w:rsidP="00650E6F">
      <w:pPr>
        <w:pStyle w:val="AAAATEX"/>
      </w:pPr>
      <w:r w:rsidRPr="000E1EB0">
        <w:t>Pabarazitë rajonale tashmë të theksuara ndikojnë edhe në disproporcionin e intensitetit të SME-ve në secilin rajon të pranueshëm. Nga e gjithë zona e programit, ndërmarrjet e vogla dhe të mesme janë më të përhapura në Pellagoni në ish</w:t>
      </w:r>
      <w:r w:rsidR="002A0A7F">
        <w:t>-</w:t>
      </w:r>
      <w:r w:rsidRPr="000E1EB0">
        <w:t xml:space="preserve">Republikën Jugosllave të Maqedonisë dhe në Korçë në </w:t>
      </w:r>
      <w:r w:rsidRPr="000E1EB0">
        <w:lastRenderedPageBreak/>
        <w:t>Republikën e Shqipërisë. Siç përshkruhet në grafikun e mëposhtëm, rrethet e tjera përmbajnë një numër më të ulët të SME-ve.</w:t>
      </w:r>
    </w:p>
    <w:p w14:paraId="6D6F28CD" w14:textId="77777777" w:rsidR="00650E6F" w:rsidRPr="00AE5237" w:rsidRDefault="00650E6F" w:rsidP="00650E6F">
      <w:pPr>
        <w:pStyle w:val="AAAATEX"/>
        <w:rPr>
          <w:sz w:val="16"/>
        </w:rPr>
      </w:pPr>
    </w:p>
    <w:p w14:paraId="6D6F28CE" w14:textId="77777777" w:rsidR="00650E6F" w:rsidRPr="000E1EB0" w:rsidRDefault="00650E6F" w:rsidP="00650E6F">
      <w:pPr>
        <w:spacing w:after="0" w:line="240" w:lineRule="auto"/>
        <w:jc w:val="center"/>
        <w:rPr>
          <w:rFonts w:ascii="Garamond" w:hAnsi="Garamond" w:cs="Tahoma"/>
          <w:sz w:val="20"/>
          <w:szCs w:val="20"/>
        </w:rPr>
      </w:pPr>
      <w:r w:rsidRPr="000E1EB0">
        <w:rPr>
          <w:rFonts w:ascii="Garamond" w:hAnsi="Garamond" w:cs="Tahoma"/>
          <w:noProof/>
          <w:sz w:val="16"/>
          <w:szCs w:val="16"/>
          <w:lang w:val="en-US"/>
        </w:rPr>
        <w:drawing>
          <wp:inline distT="0" distB="0" distL="0" distR="0" wp14:anchorId="6D6F2CEC" wp14:editId="7BF5D9BC">
            <wp:extent cx="2733675" cy="20097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E1EB0">
        <w:rPr>
          <w:rFonts w:ascii="Garamond" w:hAnsi="Garamond" w:cs="Tahoma"/>
          <w:noProof/>
          <w:lang w:val="en-US"/>
        </w:rPr>
        <w:drawing>
          <wp:inline distT="0" distB="0" distL="0" distR="0" wp14:anchorId="6D6F2CEE" wp14:editId="6D6F2CEF">
            <wp:extent cx="2952750" cy="200977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6F28CF" w14:textId="77777777" w:rsidR="00650E6F" w:rsidRPr="002A0A7F" w:rsidRDefault="00650E6F" w:rsidP="00DF6752">
      <w:pPr>
        <w:pStyle w:val="AAAATEX"/>
        <w:rPr>
          <w:i/>
        </w:rPr>
      </w:pPr>
      <w:r w:rsidRPr="002A0A7F">
        <w:rPr>
          <w:i/>
        </w:rPr>
        <w:t>Burimi: Llogaritje bazuar në Zyrën Shtetërore të Statistikave; INSTAT</w:t>
      </w:r>
    </w:p>
    <w:p w14:paraId="28AB250F" w14:textId="77777777" w:rsidR="002A0A7F" w:rsidRPr="00AE5237" w:rsidRDefault="002A0A7F" w:rsidP="00650E6F">
      <w:pPr>
        <w:pStyle w:val="AAAATEX"/>
        <w:rPr>
          <w:sz w:val="16"/>
        </w:rPr>
      </w:pPr>
    </w:p>
    <w:p w14:paraId="6D6F28D0" w14:textId="0D073815" w:rsidR="00650E6F" w:rsidRPr="000E1EB0" w:rsidRDefault="00650E6F" w:rsidP="00650E6F">
      <w:pPr>
        <w:pStyle w:val="AAAATEX"/>
      </w:pPr>
      <w:r w:rsidRPr="000E1EB0">
        <w:t>Ndërsa minierat dhe industritë e lidhura me to në ish</w:t>
      </w:r>
      <w:r w:rsidR="002A0A7F">
        <w:t>-</w:t>
      </w:r>
      <w:r w:rsidRPr="000E1EB0">
        <w:t xml:space="preserve">Republikën Jugosllave të Maqedonisë janë në gjendje të tërheqin bizneset e vogla dhe të krijojnë mundësi për zinxhirin e vlerave, industritë e rënda në Republikën e Shqipërisë prodhojnë pak efekt përhapje dhe shumë pak mundësi ekonomike për bizneset e vogla. </w:t>
      </w:r>
    </w:p>
    <w:p w14:paraId="6D6F28D1" w14:textId="7F084234" w:rsidR="00650E6F" w:rsidRPr="000E1EB0" w:rsidRDefault="00650E6F" w:rsidP="00650E6F">
      <w:pPr>
        <w:pStyle w:val="AAAATEX"/>
      </w:pPr>
      <w:r w:rsidRPr="000E1EB0">
        <w:t>Zakonisht, në zonat kufitare bizneset shfrytëzojnë mundësitë e tregtisë ndërkombëtare, por tregtia midis dy vendeve dhe të tretëve është e kufizuar nga pengesat administrative, kryesisht në Republikën e Shqipërisë. Ndërsa gëzojnë përparësi të lartë krahasuese të kostove të importit dhe eksportit të mallrave, SME-të në Republikën e Shqipërisë operojnë në një nga kuadr</w:t>
      </w:r>
      <w:r w:rsidR="00E16782">
        <w:t>o</w:t>
      </w:r>
      <w:r w:rsidRPr="000E1EB0">
        <w:t>t më të pafavorshme administrative në Evropë për ndërkombëtarizimin e biznesit. Aspektet kryesore të këtij problemi janë paraqitur në tabelën e mëposhtme (në bazë të të dhënave të SBA).</w:t>
      </w:r>
    </w:p>
    <w:p w14:paraId="6D6F28D2"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3936"/>
        <w:gridCol w:w="2693"/>
        <w:gridCol w:w="2658"/>
      </w:tblGrid>
      <w:tr w:rsidR="00650E6F" w:rsidRPr="000E1EB0" w14:paraId="6D6F28D6"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8D3"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Faktori</w:t>
            </w:r>
          </w:p>
        </w:tc>
        <w:tc>
          <w:tcPr>
            <w:tcW w:w="2693" w:type="dxa"/>
          </w:tcPr>
          <w:p w14:paraId="6D6F28D4" w14:textId="000F49FB" w:rsidR="00650E6F" w:rsidRPr="000E1EB0" w:rsidRDefault="009A5DA1"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Pr>
                <w:rFonts w:ascii="Garamond" w:hAnsi="Garamond" w:cs="Tahoma"/>
                <w:sz w:val="20"/>
                <w:szCs w:val="20"/>
                <w:lang w:val="sq-AL"/>
              </w:rPr>
              <w:t xml:space="preserve"> </w:t>
            </w:r>
            <w:r w:rsidR="00650E6F" w:rsidRPr="000E1EB0">
              <w:rPr>
                <w:rFonts w:ascii="Garamond" w:hAnsi="Garamond" w:cs="Tahoma"/>
                <w:sz w:val="20"/>
                <w:szCs w:val="20"/>
                <w:lang w:val="sq-AL"/>
              </w:rPr>
              <w:t>Republika e Maqedonisë</w:t>
            </w:r>
          </w:p>
        </w:tc>
        <w:tc>
          <w:tcPr>
            <w:tcW w:w="2658" w:type="dxa"/>
          </w:tcPr>
          <w:p w14:paraId="6D6F28D5"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Republika e Shqipërisë</w:t>
            </w:r>
          </w:p>
        </w:tc>
      </w:tr>
      <w:tr w:rsidR="00650E6F" w:rsidRPr="000E1EB0" w14:paraId="6D6F28D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8D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Kostot e kërkuara për të importuar (USD)</w:t>
            </w:r>
          </w:p>
        </w:tc>
        <w:tc>
          <w:tcPr>
            <w:tcW w:w="2693" w:type="dxa"/>
          </w:tcPr>
          <w:p w14:paraId="6D6F28D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1,380</w:t>
            </w:r>
          </w:p>
        </w:tc>
        <w:tc>
          <w:tcPr>
            <w:tcW w:w="2658" w:type="dxa"/>
          </w:tcPr>
          <w:p w14:paraId="6D6F28D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710</w:t>
            </w:r>
          </w:p>
        </w:tc>
      </w:tr>
      <w:tr w:rsidR="00650E6F" w:rsidRPr="000E1EB0" w14:paraId="6D6F28DE" w14:textId="77777777" w:rsidTr="00650E6F">
        <w:tc>
          <w:tcPr>
            <w:cnfStyle w:val="001000000000" w:firstRow="0" w:lastRow="0" w:firstColumn="1" w:lastColumn="0" w:oddVBand="0" w:evenVBand="0" w:oddHBand="0" w:evenHBand="0" w:firstRowFirstColumn="0" w:firstRowLastColumn="0" w:lastRowFirstColumn="0" w:lastRowLastColumn="0"/>
            <w:tcW w:w="3936" w:type="dxa"/>
          </w:tcPr>
          <w:p w14:paraId="6D6F28DB"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Koha e kërkuar për të importuar (ditë)</w:t>
            </w:r>
          </w:p>
        </w:tc>
        <w:tc>
          <w:tcPr>
            <w:tcW w:w="2693" w:type="dxa"/>
          </w:tcPr>
          <w:p w14:paraId="6D6F28D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w:t>
            </w:r>
          </w:p>
        </w:tc>
        <w:tc>
          <w:tcPr>
            <w:tcW w:w="2658" w:type="dxa"/>
          </w:tcPr>
          <w:p w14:paraId="6D6F28D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18</w:t>
            </w:r>
          </w:p>
        </w:tc>
      </w:tr>
      <w:tr w:rsidR="00650E6F" w:rsidRPr="000E1EB0" w14:paraId="6D6F28E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8DF"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Nr. i dokumenteve të kërkuar për të importuar</w:t>
            </w:r>
          </w:p>
        </w:tc>
        <w:tc>
          <w:tcPr>
            <w:tcW w:w="2693" w:type="dxa"/>
          </w:tcPr>
          <w:p w14:paraId="6D6F28E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w:t>
            </w:r>
          </w:p>
        </w:tc>
        <w:tc>
          <w:tcPr>
            <w:tcW w:w="2658" w:type="dxa"/>
          </w:tcPr>
          <w:p w14:paraId="6D6F28E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w:t>
            </w:r>
          </w:p>
        </w:tc>
      </w:tr>
      <w:tr w:rsidR="00650E6F" w:rsidRPr="000E1EB0" w14:paraId="6D6F28E6" w14:textId="77777777" w:rsidTr="00650E6F">
        <w:tc>
          <w:tcPr>
            <w:cnfStyle w:val="001000000000" w:firstRow="0" w:lastRow="0" w:firstColumn="1" w:lastColumn="0" w:oddVBand="0" w:evenVBand="0" w:oddHBand="0" w:evenHBand="0" w:firstRowFirstColumn="0" w:firstRowLastColumn="0" w:lastRowFirstColumn="0" w:lastRowLastColumn="0"/>
            <w:tcW w:w="3936" w:type="dxa"/>
          </w:tcPr>
          <w:p w14:paraId="6D6F28E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Kostot e kërkuara për të eksportuar (USD)</w:t>
            </w:r>
          </w:p>
        </w:tc>
        <w:tc>
          <w:tcPr>
            <w:tcW w:w="2693" w:type="dxa"/>
          </w:tcPr>
          <w:p w14:paraId="6D6F28E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1,376</w:t>
            </w:r>
          </w:p>
        </w:tc>
        <w:tc>
          <w:tcPr>
            <w:tcW w:w="2658" w:type="dxa"/>
          </w:tcPr>
          <w:p w14:paraId="6D6F28E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725</w:t>
            </w:r>
          </w:p>
        </w:tc>
      </w:tr>
      <w:tr w:rsidR="00650E6F" w:rsidRPr="000E1EB0" w14:paraId="6D6F28E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8E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Koha e kërkuar për të eksportuar (ditë)</w:t>
            </w:r>
          </w:p>
        </w:tc>
        <w:tc>
          <w:tcPr>
            <w:tcW w:w="2693" w:type="dxa"/>
          </w:tcPr>
          <w:p w14:paraId="6D6F28E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12</w:t>
            </w:r>
          </w:p>
        </w:tc>
        <w:tc>
          <w:tcPr>
            <w:tcW w:w="2658" w:type="dxa"/>
          </w:tcPr>
          <w:p w14:paraId="6D6F28E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19</w:t>
            </w:r>
          </w:p>
        </w:tc>
      </w:tr>
      <w:tr w:rsidR="00650E6F" w:rsidRPr="000E1EB0" w14:paraId="6D6F28EE" w14:textId="77777777" w:rsidTr="00650E6F">
        <w:tc>
          <w:tcPr>
            <w:cnfStyle w:val="001000000000" w:firstRow="0" w:lastRow="0" w:firstColumn="1" w:lastColumn="0" w:oddVBand="0" w:evenVBand="0" w:oddHBand="0" w:evenHBand="0" w:firstRowFirstColumn="0" w:firstRowLastColumn="0" w:lastRowFirstColumn="0" w:lastRowLastColumn="0"/>
            <w:tcW w:w="3936" w:type="dxa"/>
          </w:tcPr>
          <w:p w14:paraId="6D6F28EB"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Nr. i dokumenteve të kërkuar për të eksportuar</w:t>
            </w:r>
          </w:p>
        </w:tc>
        <w:tc>
          <w:tcPr>
            <w:tcW w:w="2693" w:type="dxa"/>
          </w:tcPr>
          <w:p w14:paraId="6D6F28E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w:t>
            </w:r>
          </w:p>
        </w:tc>
        <w:tc>
          <w:tcPr>
            <w:tcW w:w="2658" w:type="dxa"/>
          </w:tcPr>
          <w:p w14:paraId="6D6F28E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w:t>
            </w:r>
          </w:p>
        </w:tc>
      </w:tr>
    </w:tbl>
    <w:p w14:paraId="6D6F28EF" w14:textId="78D5C77D" w:rsidR="00650E6F" w:rsidRPr="000E1EB0" w:rsidRDefault="00DC6EDE" w:rsidP="00650E6F">
      <w:pPr>
        <w:pStyle w:val="AAAATEX"/>
        <w:rPr>
          <w:i/>
        </w:rPr>
      </w:pPr>
      <w:r>
        <w:rPr>
          <w:i/>
        </w:rPr>
        <w:t>Burimi: T</w:t>
      </w:r>
      <w:r w:rsidR="00650E6F" w:rsidRPr="000E1EB0">
        <w:rPr>
          <w:i/>
        </w:rPr>
        <w:t>ë dhënat e SBA, Ndërmarrja DG</w:t>
      </w:r>
    </w:p>
    <w:p w14:paraId="7DDC5BD3" w14:textId="77777777" w:rsidR="004E79E4" w:rsidRDefault="004E79E4" w:rsidP="00650E6F">
      <w:pPr>
        <w:pStyle w:val="AAAATEX"/>
      </w:pPr>
    </w:p>
    <w:p w14:paraId="6D6F28F0" w14:textId="77777777" w:rsidR="00650E6F" w:rsidRPr="000E1EB0" w:rsidRDefault="00650E6F" w:rsidP="00650E6F">
      <w:pPr>
        <w:pStyle w:val="AAAATEX"/>
      </w:pPr>
      <w:r w:rsidRPr="000E1EB0">
        <w:t>Barra administrative dhe konkurrenca e varfër rezultojnë në deficit të konsiderueshëm të tregtisë së jashtme midis dy vendeve, në disfavor të Republikës së Shqipërisë.</w:t>
      </w:r>
    </w:p>
    <w:p w14:paraId="6D6F28F1" w14:textId="77777777" w:rsidR="00650E6F" w:rsidRPr="000E1EB0" w:rsidRDefault="00650E6F" w:rsidP="00650E6F">
      <w:pPr>
        <w:pStyle w:val="AAAATEX"/>
        <w:rPr>
          <w:b/>
        </w:rPr>
      </w:pPr>
      <w:r w:rsidRPr="000E1EB0">
        <w:rPr>
          <w:b/>
        </w:rPr>
        <w:t>Punësimi</w:t>
      </w:r>
    </w:p>
    <w:p w14:paraId="6D6F28F2" w14:textId="13B2F2C6" w:rsidR="00650E6F" w:rsidRPr="000E1EB0" w:rsidRDefault="00650E6F" w:rsidP="00650E6F">
      <w:pPr>
        <w:pStyle w:val="AAAATEX"/>
      </w:pPr>
      <w:r w:rsidRPr="000E1EB0">
        <w:t>Bazuar në gjetjet e LFS, në fillim të vitit 2012 dhe 2013, ish</w:t>
      </w:r>
      <w:r w:rsidR="002A0A7F">
        <w:t>-</w:t>
      </w:r>
      <w:r w:rsidRPr="000E1EB0">
        <w:t>Republika Jugosllave e Maqedonisë dhe Republika e Shqipërisë kishin përkatësisht 56.5% dhe 63.2% popullsi në moshë pune (grup</w:t>
      </w:r>
      <w:r w:rsidR="004E79E4">
        <w:t>-</w:t>
      </w:r>
      <w:r w:rsidRPr="000E1EB0">
        <w:t>mosha 15-64 vjeç) ekonomikisht aktive, me pabarazi të mëdha nëpër rajonet e të dy</w:t>
      </w:r>
      <w:r w:rsidR="0002266C">
        <w:t>ja</w:t>
      </w:r>
      <w:r w:rsidRPr="000E1EB0">
        <w:t xml:space="preserve"> vendeve. Në ish-Republikën Jugosllave të Maqedonisë përqindja më e lartë (60.9%) ishte regjistruar në rajonin Juglindor, dhe më e ulëta në rajonin e Pollogut (44.3%). Edhe pse shifrat rajonale nuk janë në dispozicion për Republikën e Shqipërisë, vlerësohet se rajoni i Tiranës regjistron normat më të larta të aktivitetit, në krahasim me pjesën tjetër të vendit. Zonat e kufirit të Republikës së Shqipërisë përmbajnë norma të aktivitetit nën mesataren e vendit.</w:t>
      </w:r>
    </w:p>
    <w:p w14:paraId="6D6F28F3" w14:textId="0B239FDE" w:rsidR="00650E6F" w:rsidRPr="000E1EB0" w:rsidRDefault="00650E6F" w:rsidP="00650E6F">
      <w:pPr>
        <w:pStyle w:val="AAAATEX"/>
      </w:pPr>
      <w:r w:rsidRPr="000E1EB0">
        <w:lastRenderedPageBreak/>
        <w:t>Shkalla e punësimit prej 44% në ish</w:t>
      </w:r>
      <w:r w:rsidR="002A0A7F">
        <w:t>-</w:t>
      </w:r>
      <w:r w:rsidRPr="000E1EB0">
        <w:t>Republikën Jugosllave të Maqedonisë është më e ulët se ajo në Republikën e Shqipërisë (50.1%). Në zonën kufitare CBC Pellagonia ka normën më të lartë (46.9%) ndërsa Pollogu dhe jugperëndimi – përkatësisht 29.3% dhe 32.4%. Rajonet e bashkëpunimit ndërkufitar në Republikën e Shqipërisë kanë norma punësimi më të larta, ku të gjithë e kalojnë mesataren e vendit: Dibra 55%, Elbasani 55.7% dhe Korça 53.8%. Këto norma të larta të punësimit rezultojnë nga niveli minimal i jetesës dhe nga prodhimi bujqësor në shkallë të ulët, i cili siguron një formë të sigurimeve shoqërore për pjesën më të madhe të popullsisë rurale dhe shërben si një amortizator kundër normave të larta të papunësisë së regjistruar.</w:t>
      </w:r>
    </w:p>
    <w:p w14:paraId="6D6F28F4"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jc w:val="center"/>
        <w:tblLook w:val="04A0" w:firstRow="1" w:lastRow="0" w:firstColumn="1" w:lastColumn="0" w:noHBand="0" w:noVBand="1"/>
      </w:tblPr>
      <w:tblGrid>
        <w:gridCol w:w="3798"/>
        <w:gridCol w:w="2831"/>
        <w:gridCol w:w="2658"/>
      </w:tblGrid>
      <w:tr w:rsidR="00650E6F" w:rsidRPr="000E1EB0" w14:paraId="6D6F28F8" w14:textId="77777777" w:rsidTr="00650E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8" w:type="dxa"/>
          </w:tcPr>
          <w:p w14:paraId="6D6F28F5" w14:textId="77777777" w:rsidR="00650E6F" w:rsidRPr="000E1EB0" w:rsidRDefault="00650E6F" w:rsidP="00650E6F">
            <w:pPr>
              <w:rPr>
                <w:rFonts w:ascii="Garamond" w:hAnsi="Garamond"/>
                <w:lang w:val="sq-AL"/>
              </w:rPr>
            </w:pPr>
            <w:r w:rsidRPr="000E1EB0">
              <w:rPr>
                <w:rFonts w:ascii="Garamond" w:hAnsi="Garamond"/>
                <w:lang w:val="sq-AL"/>
              </w:rPr>
              <w:t>Norma e punësimit</w:t>
            </w:r>
          </w:p>
        </w:tc>
        <w:tc>
          <w:tcPr>
            <w:tcW w:w="2831" w:type="dxa"/>
          </w:tcPr>
          <w:p w14:paraId="6D6F28F6" w14:textId="1BE8BD97" w:rsidR="00650E6F" w:rsidRPr="000E1EB0" w:rsidRDefault="009A5DA1" w:rsidP="00650E6F">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Pr>
                <w:rFonts w:ascii="Garamond" w:hAnsi="Garamond"/>
                <w:lang w:val="sq-AL"/>
              </w:rPr>
              <w:t xml:space="preserve"> </w:t>
            </w:r>
            <w:r w:rsidR="00EB5DEB">
              <w:rPr>
                <w:rFonts w:ascii="Garamond" w:hAnsi="Garamond"/>
                <w:lang w:val="sq-AL"/>
              </w:rPr>
              <w:t>Ish-Repu</w:t>
            </w:r>
            <w:r w:rsidR="00650E6F" w:rsidRPr="000E1EB0">
              <w:rPr>
                <w:rFonts w:ascii="Garamond" w:hAnsi="Garamond"/>
                <w:lang w:val="sq-AL"/>
              </w:rPr>
              <w:t>blika Jugosllave e Maqedonisë</w:t>
            </w:r>
          </w:p>
        </w:tc>
        <w:tc>
          <w:tcPr>
            <w:tcW w:w="2658" w:type="dxa"/>
          </w:tcPr>
          <w:p w14:paraId="6D6F28F7" w14:textId="77777777" w:rsidR="00650E6F" w:rsidRPr="000E1EB0" w:rsidRDefault="00650E6F" w:rsidP="00650E6F">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0E1EB0">
              <w:rPr>
                <w:rFonts w:ascii="Garamond" w:hAnsi="Garamond"/>
                <w:lang w:val="sq-AL"/>
              </w:rPr>
              <w:t>Republika e Shqipërisë</w:t>
            </w:r>
          </w:p>
        </w:tc>
      </w:tr>
      <w:tr w:rsidR="00650E6F" w:rsidRPr="000E1EB0" w14:paraId="6D6F28FC" w14:textId="77777777" w:rsidTr="00650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8" w:type="dxa"/>
          </w:tcPr>
          <w:p w14:paraId="6D6F28F9" w14:textId="77777777" w:rsidR="00650E6F" w:rsidRPr="000E1EB0" w:rsidRDefault="00650E6F" w:rsidP="00650E6F">
            <w:pPr>
              <w:rPr>
                <w:rFonts w:ascii="Garamond" w:hAnsi="Garamond"/>
                <w:lang w:val="sq-AL"/>
              </w:rPr>
            </w:pPr>
            <w:r w:rsidRPr="000E1EB0">
              <w:rPr>
                <w:rFonts w:ascii="Garamond" w:hAnsi="Garamond"/>
                <w:lang w:val="sq-AL"/>
              </w:rPr>
              <w:t>Meshkuj</w:t>
            </w:r>
          </w:p>
        </w:tc>
        <w:tc>
          <w:tcPr>
            <w:tcW w:w="2831" w:type="dxa"/>
          </w:tcPr>
          <w:p w14:paraId="6D6F28FA"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0E1EB0">
              <w:rPr>
                <w:rFonts w:ascii="Garamond" w:hAnsi="Garamond"/>
                <w:lang w:val="sq-AL"/>
              </w:rPr>
              <w:t>52.4</w:t>
            </w:r>
          </w:p>
        </w:tc>
        <w:tc>
          <w:tcPr>
            <w:tcW w:w="2658" w:type="dxa"/>
          </w:tcPr>
          <w:p w14:paraId="6D6F28FB"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0E1EB0">
              <w:rPr>
                <w:rFonts w:ascii="Garamond" w:hAnsi="Garamond"/>
                <w:lang w:val="sq-AL"/>
              </w:rPr>
              <w:t>56.6</w:t>
            </w:r>
          </w:p>
        </w:tc>
      </w:tr>
      <w:tr w:rsidR="00650E6F" w:rsidRPr="000E1EB0" w14:paraId="6D6F2900" w14:textId="77777777" w:rsidTr="00650E6F">
        <w:trPr>
          <w:jc w:val="center"/>
        </w:trPr>
        <w:tc>
          <w:tcPr>
            <w:cnfStyle w:val="001000000000" w:firstRow="0" w:lastRow="0" w:firstColumn="1" w:lastColumn="0" w:oddVBand="0" w:evenVBand="0" w:oddHBand="0" w:evenHBand="0" w:firstRowFirstColumn="0" w:firstRowLastColumn="0" w:lastRowFirstColumn="0" w:lastRowLastColumn="0"/>
            <w:tcW w:w="3798" w:type="dxa"/>
          </w:tcPr>
          <w:p w14:paraId="6D6F28FD" w14:textId="77777777" w:rsidR="00650E6F" w:rsidRPr="000E1EB0" w:rsidRDefault="00650E6F" w:rsidP="00650E6F">
            <w:pPr>
              <w:rPr>
                <w:rFonts w:ascii="Garamond" w:hAnsi="Garamond"/>
                <w:lang w:val="sq-AL"/>
              </w:rPr>
            </w:pPr>
            <w:r w:rsidRPr="000E1EB0">
              <w:rPr>
                <w:rFonts w:ascii="Garamond" w:hAnsi="Garamond"/>
                <w:lang w:val="sq-AL"/>
              </w:rPr>
              <w:t>Femra</w:t>
            </w:r>
          </w:p>
        </w:tc>
        <w:tc>
          <w:tcPr>
            <w:tcW w:w="2831" w:type="dxa"/>
          </w:tcPr>
          <w:p w14:paraId="6D6F28FE" w14:textId="77777777" w:rsidR="00650E6F" w:rsidRPr="000E1EB0" w:rsidRDefault="00650E6F" w:rsidP="00650E6F">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0E1EB0">
              <w:rPr>
                <w:rFonts w:ascii="Garamond" w:hAnsi="Garamond"/>
                <w:lang w:val="sq-AL"/>
              </w:rPr>
              <w:t>35.3</w:t>
            </w:r>
          </w:p>
        </w:tc>
        <w:tc>
          <w:tcPr>
            <w:tcW w:w="2658" w:type="dxa"/>
          </w:tcPr>
          <w:p w14:paraId="6D6F28FF" w14:textId="77777777" w:rsidR="00650E6F" w:rsidRPr="000E1EB0" w:rsidRDefault="00650E6F" w:rsidP="00650E6F">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0E1EB0">
              <w:rPr>
                <w:rFonts w:ascii="Garamond" w:hAnsi="Garamond"/>
                <w:lang w:val="sq-AL"/>
              </w:rPr>
              <w:t>43.7</w:t>
            </w:r>
          </w:p>
        </w:tc>
      </w:tr>
    </w:tbl>
    <w:p w14:paraId="6D6F2901" w14:textId="77777777" w:rsidR="00650E6F" w:rsidRPr="000E1EB0" w:rsidRDefault="00650E6F" w:rsidP="00650E6F">
      <w:pPr>
        <w:pStyle w:val="AAAATEX"/>
        <w:rPr>
          <w:i/>
        </w:rPr>
      </w:pPr>
      <w:r w:rsidRPr="000E1EB0">
        <w:rPr>
          <w:i/>
        </w:rPr>
        <w:t>Burimi: LFS nga Zyra Shtetërore e Statistikave, INSTAT</w:t>
      </w:r>
    </w:p>
    <w:p w14:paraId="777431A3" w14:textId="77777777" w:rsidR="002A0A7F" w:rsidRDefault="002A0A7F" w:rsidP="00650E6F">
      <w:pPr>
        <w:pStyle w:val="AAAATEX"/>
      </w:pPr>
    </w:p>
    <w:p w14:paraId="6D6F2902" w14:textId="12F8C1EA" w:rsidR="00650E6F" w:rsidRPr="000E1EB0" w:rsidRDefault="00650E6F" w:rsidP="00650E6F">
      <w:pPr>
        <w:pStyle w:val="AAAATEX"/>
      </w:pPr>
      <w:r w:rsidRPr="000E1EB0">
        <w:t>Nivelet e punësimit sipas gjinisë</w:t>
      </w:r>
      <w:r w:rsidR="0005309A">
        <w:t>,</w:t>
      </w:r>
      <w:r w:rsidRPr="000E1EB0">
        <w:t xml:space="preserve"> gjithashtu</w:t>
      </w:r>
      <w:r w:rsidR="0005309A">
        <w:t>,</w:t>
      </w:r>
      <w:r w:rsidRPr="000E1EB0">
        <w:t xml:space="preserve"> përshkruajnë pabarazi të mëdha midis dy vendeve. Për Republikën e Shqipërisë, si meshkujt ashtu edhe femrat janë më aktivë në tregun e punës dhe gjejnë më shpesh mundësi për të bërë të ardhura se sa homologët e tyre në ish-Republikën Jugosllave të Maqedonisë. Megjithatë, këto pabarazi rezultojnë kryesisht nga pjesa e lartë e punësimit në sektorin e bujqësisë, ku punojnë 40% e meshkujve dhe 60% e femrave</w:t>
      </w:r>
      <w:r w:rsidR="00777621">
        <w:t>,</w:t>
      </w:r>
      <w:r w:rsidRPr="000E1EB0">
        <w:t xml:space="preserve"> ekonomikisht aktivë. </w:t>
      </w:r>
    </w:p>
    <w:p w14:paraId="6D6F2904" w14:textId="77777777" w:rsidR="00650E6F" w:rsidRPr="000E1EB0" w:rsidRDefault="00650E6F" w:rsidP="00650E6F">
      <w:pPr>
        <w:pStyle w:val="AAAATEX"/>
      </w:pPr>
      <w:r w:rsidRPr="000E1EB0">
        <w:t xml:space="preserve">Në bazë të sektorëve, pjesën më të madhe të kontributit në krijimin e punësimit në Republikën e Shqipërisë e ka bujqësia (duke përfshirë peshkimin dhe pyjet), e cila punëson rreth 48.7% të popullsisë ekonomikisht aktive, ndërsa në ish-Republikën Jugosllave të Maqedonisë kë sektor përbën 17.3% të të gjithë të punësuarve. Prodhimi industrial, industria dhe ndërtimi është punëdhënësi më i madh në ish-Republikën Jugosllave të Maqedonisë dhe përbën 29.9% të të gjithë të punësuarve. Në Republikën e Shqipërisë ky sektor kontribuon vetëm në 16% të mundësive për punësim. </w:t>
      </w:r>
    </w:p>
    <w:p w14:paraId="6D6F2905" w14:textId="23C7352D" w:rsidR="00650E6F" w:rsidRPr="000E1EB0" w:rsidRDefault="00650E6F" w:rsidP="00650E6F">
      <w:pPr>
        <w:pStyle w:val="AAAATEX"/>
      </w:pPr>
      <w:r w:rsidRPr="00A00A25">
        <w:t>Nuk ka të dhëna specifike mbi punësimin sipas sektorëve në nivel rajonal, por vlerësohet se</w:t>
      </w:r>
      <w:r w:rsidRPr="000E1EB0">
        <w:t xml:space="preserve"> sektori i shërbimeve është kontribuuesi kryesor në ish</w:t>
      </w:r>
      <w:r w:rsidR="002A0A7F">
        <w:t>-</w:t>
      </w:r>
      <w:r w:rsidRPr="000E1EB0">
        <w:t>Republikën Jugosllave të Maqedonisë dhe sektori i bujqësisë në Republikën e Shqipërisë.</w:t>
      </w:r>
    </w:p>
    <w:p w14:paraId="6D6F2906" w14:textId="77777777" w:rsidR="00650E6F" w:rsidRPr="000E1EB0" w:rsidRDefault="00650E6F" w:rsidP="00650E6F">
      <w:pPr>
        <w:pStyle w:val="AAAATEX"/>
        <w:rPr>
          <w:b/>
        </w:rPr>
      </w:pPr>
      <w:r w:rsidRPr="000E1EB0">
        <w:rPr>
          <w:b/>
        </w:rPr>
        <w:t>Turizmi</w:t>
      </w:r>
    </w:p>
    <w:p w14:paraId="6D6F2907" w14:textId="795D2DB6" w:rsidR="00650E6F" w:rsidRPr="000E1EB0" w:rsidRDefault="00650E6F" w:rsidP="00650E6F">
      <w:pPr>
        <w:pStyle w:val="AAAATEX"/>
      </w:pPr>
      <w:r w:rsidRPr="000E1EB0">
        <w:t>Natyra, trashëgimia kulturore dhe historike janë themelet kryesore të zhvillimit të turizmit në zonën kufitare. Potenciali turistik është i rëndësishëm në zonën kufitare, por ish-Republika Jugosllave e Maqedonisë e ka më të zhvilluar industrinë e turizmit dhe i shfrytëzon mundësitë e zinxhirit të vlerave në shkallë shumë më të madhe se Republika e Shqipërisë. Kjo ilustrohet nga numri i qëndrimeve me fjetje në qendra akomoduese: ndërsa ish-Republika Jugosllave e Maqedonisë ka regjistruar më shumë se 2,1 milionë në vitin 2012, Republika e Shqipërisë regjistroi vetëm 0.8 milion qëndrime turistike me fjetje. Turizmi familjar në Republikën e Shqipërisë përbën 55.6%, ndërsa në ish-Republikën Jugosllave të Maqedonisë 62.2% të të gjithë industrisë së turizmit. Me më shumë se 26.8 mijë dhoma në qendrat akomoduese, ish</w:t>
      </w:r>
      <w:r w:rsidR="002A0A7F">
        <w:t>-</w:t>
      </w:r>
      <w:r w:rsidRPr="000E1EB0">
        <w:t>Republika Jugosllave e Maqedonisë ka kapacitet më të lartë strehimi se sa Republika e Shqipërisë (me vetëm 18.9 mijë dhoma).</w:t>
      </w:r>
    </w:p>
    <w:p w14:paraId="6D6F2908" w14:textId="5BB0108F" w:rsidR="00650E6F" w:rsidRPr="000E1EB0" w:rsidRDefault="00650E6F" w:rsidP="00650E6F">
      <w:pPr>
        <w:pStyle w:val="AAAATEX"/>
      </w:pPr>
      <w:r w:rsidRPr="000E1EB0">
        <w:t>Megjithatë, ka dallime strukturale dhe rajonale midis dy vendeve: ndërsa destinacionet turistike prioritare në Republikën e Shqipërisë janë në bregdetin Adriatik dhe Jon, infrastruktura e turizmit të ish-Republikës Jugosllave të Maqedonisë përqendrohet në rajonin jugperëndimor. Në të vërtetë, trafiku i turizmit në jugperëndim është më i madhi i të gjitha rajoneve të vendit dhe përbën 45.1% të numrit të përgjithshëm të turistëve në vend, me zonat kryesore turistike rreth liqeneve të Ohrit dhe Prespës. Trafiku i turizmit në zonën e programit të Republikës së Shqipërisë është relativisht i parëndësishëm kur krahasohet me zonës ndërkufitare të ish</w:t>
      </w:r>
      <w:r w:rsidR="002A0A7F">
        <w:t>-</w:t>
      </w:r>
      <w:r w:rsidRPr="000E1EB0">
        <w:t xml:space="preserve">Republikës Jugosllave të Maqedonisë, </w:t>
      </w:r>
      <w:r w:rsidRPr="000E1EB0">
        <w:lastRenderedPageBreak/>
        <w:t>edhe pse për shkak të mungesës së të dhënave specifike rajonale mbi këtë temë nuk mund të nxirren konkluzione të mëtejshëm.</w:t>
      </w:r>
    </w:p>
    <w:p w14:paraId="6D6F2909" w14:textId="0866BC02" w:rsidR="00650E6F" w:rsidRPr="000E1EB0" w:rsidRDefault="00650E6F" w:rsidP="00650E6F">
      <w:pPr>
        <w:pStyle w:val="AAAATEX"/>
        <w:rPr>
          <w:b/>
        </w:rPr>
      </w:pPr>
      <w:r w:rsidRPr="000E1EB0">
        <w:rPr>
          <w:b/>
        </w:rPr>
        <w:t xml:space="preserve">Ekonomia </w:t>
      </w:r>
      <w:r w:rsidR="002A0A7F">
        <w:rPr>
          <w:b/>
        </w:rPr>
        <w:t>r</w:t>
      </w:r>
      <w:r w:rsidRPr="000E1EB0">
        <w:rPr>
          <w:b/>
        </w:rPr>
        <w:t>urale</w:t>
      </w:r>
    </w:p>
    <w:p w14:paraId="6D6F290A" w14:textId="3B2A9ED5" w:rsidR="00650E6F" w:rsidRPr="000E1EB0" w:rsidRDefault="00650E6F" w:rsidP="00650E6F">
      <w:pPr>
        <w:pStyle w:val="AAAATEX"/>
      </w:pPr>
      <w:r w:rsidRPr="000E1EB0">
        <w:t xml:space="preserve">Lartësia e tokës në zonën e programit krijon kushte të favorshme për pylltarinë dhe janë pikërisht zona </w:t>
      </w:r>
      <w:r w:rsidR="002A0A7F">
        <w:t>j</w:t>
      </w:r>
      <w:r w:rsidRPr="000E1EB0">
        <w:t>ugperëndimore dhe Pellagonia në ish</w:t>
      </w:r>
      <w:r w:rsidR="002A0A7F">
        <w:t>-</w:t>
      </w:r>
      <w:r w:rsidRPr="000E1EB0">
        <w:t>Republikën Jugosllave të Maqedonisë dhe të gjitha rajonet CBC në Republikën e Shqipërisë, zonat ku mbulimi i pyjeve është mbi mesataren e të dy</w:t>
      </w:r>
      <w:r w:rsidR="008F007F">
        <w:t>ja</w:t>
      </w:r>
      <w:r w:rsidRPr="000E1EB0">
        <w:t xml:space="preserve"> vendeve. Në të vërtetë, Republika e Shqipërisë përmban një ndër pjesët më të vogla të tokës së punueshme në të gjitha tokat bujqësore në Evropë. Lartësia e tokës ndikon negativisht në ekonominë rurale të komuniteteve të zonës kufitare dhe zvogëlon mundësitë bazike ekonomike dhe të të ardhurave që rrjedhin nga shfrytëzimi i tokës.</w:t>
      </w:r>
    </w:p>
    <w:p w14:paraId="6D6F290B" w14:textId="53185B50" w:rsidR="00650E6F" w:rsidRPr="000E1EB0" w:rsidRDefault="00650E6F" w:rsidP="00650E6F">
      <w:pPr>
        <w:pStyle w:val="AAAATEX"/>
      </w:pPr>
      <w:r w:rsidRPr="000E1EB0">
        <w:t>Megjithatë, ekonomia rurale dhe bujqësia është një sektor i rëndësishëm i ekonomisë në të dy</w:t>
      </w:r>
      <w:r w:rsidR="0002266C">
        <w:t>ja</w:t>
      </w:r>
      <w:r w:rsidRPr="000E1EB0">
        <w:t xml:space="preserve"> vendet, edhe pse Republika e Shqipërisë mbështetet në prodhimin e ushqimit në shkallë shumë më të madhe se sa ish-Republika Jugosllave e Maqedonisë. Tabela e mëposhtme jep faktet thelbësore të potencialit ekonomik rural lidhur me tokën bujqësore (shifrat në '000 ha nëse nuk citohet ndryshe).</w:t>
      </w:r>
    </w:p>
    <w:p w14:paraId="6D6F290C"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5000" w:type="pct"/>
        <w:tblLook w:val="04A0" w:firstRow="1" w:lastRow="0" w:firstColumn="1" w:lastColumn="0" w:noHBand="0" w:noVBand="1"/>
      </w:tblPr>
      <w:tblGrid>
        <w:gridCol w:w="2448"/>
        <w:gridCol w:w="1350"/>
        <w:gridCol w:w="1850"/>
        <w:gridCol w:w="1963"/>
        <w:gridCol w:w="1965"/>
      </w:tblGrid>
      <w:tr w:rsidR="00650E6F" w:rsidRPr="00581D69" w14:paraId="6D6F2913" w14:textId="77777777" w:rsidTr="00BD23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tcPr>
          <w:p w14:paraId="6D6F290D" w14:textId="4D8E2B4C" w:rsidR="00650E6F" w:rsidRPr="00581D69" w:rsidRDefault="00650E6F" w:rsidP="00581D69">
            <w:pPr>
              <w:jc w:val="center"/>
              <w:rPr>
                <w:rFonts w:ascii="Garamond" w:hAnsi="Garamond" w:cs="Tahoma"/>
                <w:b w:val="0"/>
                <w:bCs w:val="0"/>
                <w:color w:val="FFFFFF"/>
                <w:sz w:val="20"/>
                <w:szCs w:val="20"/>
                <w:lang w:val="sq-AL"/>
              </w:rPr>
            </w:pPr>
            <w:r w:rsidRPr="00581D69">
              <w:rPr>
                <w:rFonts w:ascii="Garamond" w:hAnsi="Garamond" w:cs="Tahoma"/>
                <w:color w:val="FFFFFF"/>
                <w:sz w:val="20"/>
                <w:szCs w:val="20"/>
                <w:lang w:val="sq-AL"/>
              </w:rPr>
              <w:t xml:space="preserve">Shteti / </w:t>
            </w:r>
            <w:r w:rsidR="00581D69" w:rsidRPr="00581D69">
              <w:rPr>
                <w:rFonts w:ascii="Garamond" w:hAnsi="Garamond" w:cs="Tahoma"/>
                <w:color w:val="FFFFFF"/>
                <w:sz w:val="20"/>
                <w:szCs w:val="20"/>
                <w:lang w:val="sq-AL"/>
              </w:rPr>
              <w:t>r</w:t>
            </w:r>
            <w:r w:rsidRPr="00581D69">
              <w:rPr>
                <w:rFonts w:ascii="Garamond" w:hAnsi="Garamond" w:cs="Tahoma"/>
                <w:color w:val="FFFFFF"/>
                <w:sz w:val="20"/>
                <w:szCs w:val="20"/>
                <w:lang w:val="sq-AL"/>
              </w:rPr>
              <w:t>ajoni</w:t>
            </w:r>
          </w:p>
        </w:tc>
        <w:tc>
          <w:tcPr>
            <w:tcW w:w="705" w:type="pct"/>
          </w:tcPr>
          <w:p w14:paraId="6D6F290E" w14:textId="77777777" w:rsidR="00650E6F" w:rsidRPr="00581D69"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color w:val="FFFFFF"/>
                <w:sz w:val="20"/>
                <w:szCs w:val="20"/>
                <w:lang w:val="sq-AL"/>
              </w:rPr>
            </w:pPr>
            <w:r w:rsidRPr="00581D69">
              <w:rPr>
                <w:rFonts w:ascii="Garamond" w:hAnsi="Garamond" w:cs="Tahoma"/>
                <w:color w:val="FFFFFF"/>
                <w:sz w:val="20"/>
                <w:szCs w:val="20"/>
                <w:lang w:val="sq-AL"/>
              </w:rPr>
              <w:t>Tokë e përgjithshme bujqësore</w:t>
            </w:r>
          </w:p>
        </w:tc>
        <w:tc>
          <w:tcPr>
            <w:tcW w:w="966" w:type="pct"/>
          </w:tcPr>
          <w:p w14:paraId="6D6F290F" w14:textId="77777777" w:rsidR="00650E6F" w:rsidRPr="00581D69"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color w:val="FFFFFF"/>
                <w:sz w:val="20"/>
                <w:szCs w:val="20"/>
                <w:lang w:val="sq-AL"/>
              </w:rPr>
            </w:pPr>
            <w:r w:rsidRPr="00581D69">
              <w:rPr>
                <w:rFonts w:ascii="Garamond" w:hAnsi="Garamond" w:cs="Tahoma"/>
                <w:color w:val="FFFFFF"/>
                <w:sz w:val="20"/>
                <w:szCs w:val="20"/>
                <w:lang w:val="sq-AL"/>
              </w:rPr>
              <w:t>Tokë e punueshme dhe kopshte</w:t>
            </w:r>
          </w:p>
        </w:tc>
        <w:tc>
          <w:tcPr>
            <w:tcW w:w="1025" w:type="pct"/>
          </w:tcPr>
          <w:p w14:paraId="6D6F2910" w14:textId="77777777" w:rsidR="00650E6F" w:rsidRPr="00581D69"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FFFFFF"/>
                <w:sz w:val="20"/>
                <w:szCs w:val="20"/>
                <w:lang w:val="sq-AL"/>
              </w:rPr>
            </w:pPr>
            <w:r w:rsidRPr="00581D69">
              <w:rPr>
                <w:rFonts w:ascii="Garamond" w:hAnsi="Garamond" w:cs="Tahoma"/>
                <w:color w:val="FFFFFF"/>
                <w:sz w:val="20"/>
                <w:szCs w:val="20"/>
                <w:lang w:val="sq-AL"/>
              </w:rPr>
              <w:t>Tokë e punueshme si % e tokës bujqësore</w:t>
            </w:r>
          </w:p>
        </w:tc>
        <w:tc>
          <w:tcPr>
            <w:tcW w:w="1026" w:type="pct"/>
          </w:tcPr>
          <w:p w14:paraId="6D6F2911" w14:textId="77777777" w:rsidR="00650E6F" w:rsidRPr="00581D69"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FFFFFF"/>
                <w:sz w:val="20"/>
                <w:szCs w:val="20"/>
                <w:lang w:val="sq-AL"/>
              </w:rPr>
            </w:pPr>
            <w:r w:rsidRPr="00581D69">
              <w:rPr>
                <w:rFonts w:ascii="Garamond" w:hAnsi="Garamond" w:cs="Tahoma"/>
                <w:color w:val="FFFFFF"/>
                <w:sz w:val="20"/>
                <w:szCs w:val="20"/>
                <w:lang w:val="sq-AL"/>
              </w:rPr>
              <w:t>Madhësia mesatare e fermës</w:t>
            </w:r>
          </w:p>
          <w:p w14:paraId="6D6F2912" w14:textId="77777777" w:rsidR="00650E6F" w:rsidRPr="00581D69"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color w:val="FFFFFF"/>
                <w:sz w:val="20"/>
                <w:szCs w:val="20"/>
                <w:lang w:val="sq-AL"/>
              </w:rPr>
            </w:pPr>
            <w:r w:rsidRPr="00581D69">
              <w:rPr>
                <w:rFonts w:ascii="Garamond" w:hAnsi="Garamond" w:cs="Tahoma"/>
                <w:color w:val="FFFFFF"/>
                <w:sz w:val="20"/>
                <w:szCs w:val="20"/>
                <w:lang w:val="sq-AL"/>
              </w:rPr>
              <w:t>(ha)</w:t>
            </w:r>
          </w:p>
        </w:tc>
      </w:tr>
      <w:tr w:rsidR="00650E6F" w:rsidRPr="00581D69" w14:paraId="6D6F2919" w14:textId="77777777" w:rsidTr="00BD2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tcPr>
          <w:p w14:paraId="6D6F2914" w14:textId="4D983E28" w:rsidR="00650E6F" w:rsidRPr="00581D69" w:rsidRDefault="00650E6F" w:rsidP="00446EBB">
            <w:pPr>
              <w:jc w:val="both"/>
              <w:rPr>
                <w:rFonts w:ascii="Garamond" w:hAnsi="Garamond" w:cs="Tahoma"/>
                <w:bCs w:val="0"/>
                <w:sz w:val="20"/>
                <w:szCs w:val="20"/>
                <w:lang w:val="sq-AL"/>
              </w:rPr>
            </w:pPr>
            <w:r w:rsidRPr="00581D69">
              <w:rPr>
                <w:rFonts w:ascii="Garamond" w:hAnsi="Garamond" w:cs="Tahoma"/>
                <w:sz w:val="20"/>
                <w:szCs w:val="20"/>
                <w:lang w:val="sq-AL"/>
              </w:rPr>
              <w:t>Ish</w:t>
            </w:r>
            <w:r w:rsidR="00446EBB" w:rsidRPr="00581D69">
              <w:rPr>
                <w:rFonts w:ascii="Garamond" w:hAnsi="Garamond" w:cs="Tahoma"/>
                <w:sz w:val="20"/>
                <w:szCs w:val="20"/>
                <w:lang w:val="sq-AL"/>
              </w:rPr>
              <w:t>-</w:t>
            </w:r>
            <w:r w:rsidRPr="00581D69">
              <w:rPr>
                <w:rFonts w:ascii="Garamond" w:hAnsi="Garamond" w:cs="Tahoma"/>
                <w:sz w:val="20"/>
                <w:szCs w:val="20"/>
                <w:lang w:val="sq-AL"/>
              </w:rPr>
              <w:t>Republika Jugosllave e Maqedonisë</w:t>
            </w:r>
          </w:p>
        </w:tc>
        <w:tc>
          <w:tcPr>
            <w:tcW w:w="705" w:type="pct"/>
          </w:tcPr>
          <w:p w14:paraId="6D6F2915"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1,268</w:t>
            </w:r>
          </w:p>
        </w:tc>
        <w:tc>
          <w:tcPr>
            <w:tcW w:w="966" w:type="pct"/>
          </w:tcPr>
          <w:p w14:paraId="6D6F2916"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510</w:t>
            </w:r>
          </w:p>
        </w:tc>
        <w:tc>
          <w:tcPr>
            <w:tcW w:w="1025" w:type="pct"/>
          </w:tcPr>
          <w:p w14:paraId="6D6F2917"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40</w:t>
            </w:r>
          </w:p>
        </w:tc>
        <w:tc>
          <w:tcPr>
            <w:tcW w:w="1026" w:type="pct"/>
          </w:tcPr>
          <w:p w14:paraId="6D6F2918"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1.60</w:t>
            </w:r>
          </w:p>
        </w:tc>
      </w:tr>
      <w:tr w:rsidR="00650E6F" w:rsidRPr="00581D69" w14:paraId="6D6F291F" w14:textId="77777777" w:rsidTr="00BD23A9">
        <w:tc>
          <w:tcPr>
            <w:cnfStyle w:val="001000000000" w:firstRow="0" w:lastRow="0" w:firstColumn="1" w:lastColumn="0" w:oddVBand="0" w:evenVBand="0" w:oddHBand="0" w:evenHBand="0" w:firstRowFirstColumn="0" w:firstRowLastColumn="0" w:lastRowFirstColumn="0" w:lastRowLastColumn="0"/>
            <w:tcW w:w="1278" w:type="pct"/>
          </w:tcPr>
          <w:p w14:paraId="6D6F291A" w14:textId="77777777" w:rsidR="00650E6F" w:rsidRPr="00581D69" w:rsidRDefault="00650E6F" w:rsidP="00650E6F">
            <w:pPr>
              <w:rPr>
                <w:rFonts w:ascii="Garamond" w:hAnsi="Garamond" w:cs="Tahoma"/>
                <w:b w:val="0"/>
                <w:bCs w:val="0"/>
                <w:sz w:val="20"/>
                <w:szCs w:val="20"/>
                <w:lang w:val="sq-AL"/>
              </w:rPr>
            </w:pPr>
            <w:r w:rsidRPr="00581D69">
              <w:rPr>
                <w:rFonts w:ascii="Garamond" w:hAnsi="Garamond" w:cs="Tahoma"/>
                <w:b w:val="0"/>
                <w:bCs w:val="0"/>
                <w:sz w:val="20"/>
                <w:szCs w:val="20"/>
                <w:lang w:val="sq-AL"/>
              </w:rPr>
              <w:t>Pellagonia</w:t>
            </w:r>
          </w:p>
        </w:tc>
        <w:tc>
          <w:tcPr>
            <w:tcW w:w="705" w:type="pct"/>
          </w:tcPr>
          <w:p w14:paraId="6D6F291B"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263</w:t>
            </w:r>
          </w:p>
        </w:tc>
        <w:tc>
          <w:tcPr>
            <w:tcW w:w="966" w:type="pct"/>
          </w:tcPr>
          <w:p w14:paraId="6D6F291C"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112</w:t>
            </w:r>
          </w:p>
        </w:tc>
        <w:tc>
          <w:tcPr>
            <w:tcW w:w="1025" w:type="pct"/>
          </w:tcPr>
          <w:p w14:paraId="6D6F291D"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43</w:t>
            </w:r>
          </w:p>
        </w:tc>
        <w:tc>
          <w:tcPr>
            <w:tcW w:w="1026" w:type="pct"/>
          </w:tcPr>
          <w:p w14:paraId="6D6F291E"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2.90</w:t>
            </w:r>
          </w:p>
        </w:tc>
      </w:tr>
      <w:tr w:rsidR="00650E6F" w:rsidRPr="00581D69" w14:paraId="6D6F2925" w14:textId="77777777" w:rsidTr="00BD2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tcPr>
          <w:p w14:paraId="6D6F2920" w14:textId="77777777" w:rsidR="00650E6F" w:rsidRPr="00581D69" w:rsidRDefault="00650E6F" w:rsidP="00650E6F">
            <w:pPr>
              <w:rPr>
                <w:rFonts w:ascii="Garamond" w:hAnsi="Garamond" w:cs="Tahoma"/>
                <w:b w:val="0"/>
                <w:bCs w:val="0"/>
                <w:sz w:val="20"/>
                <w:szCs w:val="20"/>
                <w:lang w:val="sq-AL"/>
              </w:rPr>
            </w:pPr>
            <w:r w:rsidRPr="00581D69">
              <w:rPr>
                <w:rFonts w:ascii="Garamond" w:hAnsi="Garamond" w:cs="Tahoma"/>
                <w:b w:val="0"/>
                <w:bCs w:val="0"/>
                <w:sz w:val="20"/>
                <w:szCs w:val="20"/>
                <w:lang w:val="sq-AL"/>
              </w:rPr>
              <w:t>Pollogu</w:t>
            </w:r>
          </w:p>
        </w:tc>
        <w:tc>
          <w:tcPr>
            <w:tcW w:w="705" w:type="pct"/>
          </w:tcPr>
          <w:p w14:paraId="6D6F2921"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169</w:t>
            </w:r>
          </w:p>
        </w:tc>
        <w:tc>
          <w:tcPr>
            <w:tcW w:w="966" w:type="pct"/>
          </w:tcPr>
          <w:p w14:paraId="6D6F2922"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43</w:t>
            </w:r>
          </w:p>
        </w:tc>
        <w:tc>
          <w:tcPr>
            <w:tcW w:w="1025" w:type="pct"/>
          </w:tcPr>
          <w:p w14:paraId="6D6F2923"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25</w:t>
            </w:r>
          </w:p>
        </w:tc>
        <w:tc>
          <w:tcPr>
            <w:tcW w:w="1026" w:type="pct"/>
          </w:tcPr>
          <w:p w14:paraId="6D6F2924"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4.10</w:t>
            </w:r>
          </w:p>
        </w:tc>
      </w:tr>
      <w:tr w:rsidR="00650E6F" w:rsidRPr="00581D69" w14:paraId="6D6F292B" w14:textId="77777777" w:rsidTr="00BD23A9">
        <w:tc>
          <w:tcPr>
            <w:cnfStyle w:val="001000000000" w:firstRow="0" w:lastRow="0" w:firstColumn="1" w:lastColumn="0" w:oddVBand="0" w:evenVBand="0" w:oddHBand="0" w:evenHBand="0" w:firstRowFirstColumn="0" w:firstRowLastColumn="0" w:lastRowFirstColumn="0" w:lastRowLastColumn="0"/>
            <w:tcW w:w="1278" w:type="pct"/>
          </w:tcPr>
          <w:p w14:paraId="6D6F2926" w14:textId="77777777" w:rsidR="00650E6F" w:rsidRPr="00581D69" w:rsidRDefault="00650E6F" w:rsidP="00650E6F">
            <w:pPr>
              <w:rPr>
                <w:rFonts w:ascii="Garamond" w:hAnsi="Garamond" w:cs="Tahoma"/>
                <w:b w:val="0"/>
                <w:bCs w:val="0"/>
                <w:sz w:val="20"/>
                <w:szCs w:val="20"/>
                <w:lang w:val="sq-AL"/>
              </w:rPr>
            </w:pPr>
            <w:r w:rsidRPr="00581D69">
              <w:rPr>
                <w:rFonts w:ascii="Garamond" w:hAnsi="Garamond" w:cs="Tahoma"/>
                <w:b w:val="0"/>
                <w:bCs w:val="0"/>
                <w:sz w:val="20"/>
                <w:szCs w:val="20"/>
                <w:lang w:val="sq-AL"/>
              </w:rPr>
              <w:t>Jugperëndimi</w:t>
            </w:r>
          </w:p>
        </w:tc>
        <w:tc>
          <w:tcPr>
            <w:tcW w:w="705" w:type="pct"/>
          </w:tcPr>
          <w:p w14:paraId="6D6F2927"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136</w:t>
            </w:r>
          </w:p>
        </w:tc>
        <w:tc>
          <w:tcPr>
            <w:tcW w:w="966" w:type="pct"/>
          </w:tcPr>
          <w:p w14:paraId="6D6F2928"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50</w:t>
            </w:r>
          </w:p>
        </w:tc>
        <w:tc>
          <w:tcPr>
            <w:tcW w:w="1025" w:type="pct"/>
          </w:tcPr>
          <w:p w14:paraId="6D6F2929"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37</w:t>
            </w:r>
          </w:p>
        </w:tc>
        <w:tc>
          <w:tcPr>
            <w:tcW w:w="1026" w:type="pct"/>
          </w:tcPr>
          <w:p w14:paraId="6D6F292A"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3.00</w:t>
            </w:r>
          </w:p>
        </w:tc>
      </w:tr>
      <w:tr w:rsidR="00650E6F" w:rsidRPr="00581D69" w14:paraId="6D6F2931" w14:textId="77777777" w:rsidTr="00BD2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tcPr>
          <w:p w14:paraId="6D6F292C" w14:textId="77777777" w:rsidR="00650E6F" w:rsidRPr="00581D69" w:rsidRDefault="00650E6F" w:rsidP="00650E6F">
            <w:pPr>
              <w:rPr>
                <w:rFonts w:ascii="Garamond" w:hAnsi="Garamond" w:cs="Tahoma"/>
                <w:bCs w:val="0"/>
                <w:sz w:val="20"/>
                <w:szCs w:val="20"/>
                <w:lang w:val="sq-AL"/>
              </w:rPr>
            </w:pPr>
            <w:r w:rsidRPr="00581D69">
              <w:rPr>
                <w:rFonts w:ascii="Garamond" w:hAnsi="Garamond" w:cs="Tahoma"/>
                <w:bCs w:val="0"/>
                <w:sz w:val="20"/>
                <w:szCs w:val="20"/>
                <w:lang w:val="sq-AL"/>
              </w:rPr>
              <w:t>Republika e Shqipërisë</w:t>
            </w:r>
          </w:p>
        </w:tc>
        <w:tc>
          <w:tcPr>
            <w:tcW w:w="705" w:type="pct"/>
          </w:tcPr>
          <w:p w14:paraId="6D6F292D"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2,875</w:t>
            </w:r>
          </w:p>
        </w:tc>
        <w:tc>
          <w:tcPr>
            <w:tcW w:w="966" w:type="pct"/>
          </w:tcPr>
          <w:p w14:paraId="6D6F292E"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696</w:t>
            </w:r>
          </w:p>
        </w:tc>
        <w:tc>
          <w:tcPr>
            <w:tcW w:w="1025" w:type="pct"/>
          </w:tcPr>
          <w:p w14:paraId="6D6F292F"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24</w:t>
            </w:r>
          </w:p>
        </w:tc>
        <w:tc>
          <w:tcPr>
            <w:tcW w:w="1026" w:type="pct"/>
          </w:tcPr>
          <w:p w14:paraId="6D6F2930"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581D69">
              <w:rPr>
                <w:rFonts w:ascii="Garamond" w:hAnsi="Garamond" w:cs="Tahoma"/>
                <w:b/>
                <w:sz w:val="20"/>
                <w:szCs w:val="20"/>
                <w:lang w:val="sq-AL"/>
              </w:rPr>
              <w:t>1.20</w:t>
            </w:r>
          </w:p>
        </w:tc>
      </w:tr>
      <w:tr w:rsidR="00650E6F" w:rsidRPr="00581D69" w14:paraId="6D6F2937" w14:textId="77777777" w:rsidTr="00BD23A9">
        <w:tc>
          <w:tcPr>
            <w:cnfStyle w:val="001000000000" w:firstRow="0" w:lastRow="0" w:firstColumn="1" w:lastColumn="0" w:oddVBand="0" w:evenVBand="0" w:oddHBand="0" w:evenHBand="0" w:firstRowFirstColumn="0" w:firstRowLastColumn="0" w:lastRowFirstColumn="0" w:lastRowLastColumn="0"/>
            <w:tcW w:w="1278" w:type="pct"/>
          </w:tcPr>
          <w:p w14:paraId="6D6F2932" w14:textId="77777777" w:rsidR="00650E6F" w:rsidRPr="00581D69" w:rsidRDefault="00650E6F" w:rsidP="00650E6F">
            <w:pPr>
              <w:rPr>
                <w:rFonts w:ascii="Garamond" w:hAnsi="Garamond" w:cs="Tahoma"/>
                <w:b w:val="0"/>
                <w:bCs w:val="0"/>
                <w:sz w:val="20"/>
                <w:szCs w:val="20"/>
                <w:lang w:val="sq-AL"/>
              </w:rPr>
            </w:pPr>
            <w:r w:rsidRPr="00581D69">
              <w:rPr>
                <w:rFonts w:ascii="Garamond" w:hAnsi="Garamond" w:cs="Tahoma"/>
                <w:b w:val="0"/>
                <w:bCs w:val="0"/>
                <w:sz w:val="20"/>
                <w:szCs w:val="20"/>
                <w:lang w:val="sq-AL"/>
              </w:rPr>
              <w:t>Dibra</w:t>
            </w:r>
          </w:p>
        </w:tc>
        <w:tc>
          <w:tcPr>
            <w:tcW w:w="705" w:type="pct"/>
          </w:tcPr>
          <w:p w14:paraId="6D6F2933"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249</w:t>
            </w:r>
          </w:p>
        </w:tc>
        <w:tc>
          <w:tcPr>
            <w:tcW w:w="966" w:type="pct"/>
          </w:tcPr>
          <w:p w14:paraId="6D6F2934"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41</w:t>
            </w:r>
          </w:p>
        </w:tc>
        <w:tc>
          <w:tcPr>
            <w:tcW w:w="1025" w:type="pct"/>
          </w:tcPr>
          <w:p w14:paraId="6D6F2935"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16</w:t>
            </w:r>
          </w:p>
        </w:tc>
        <w:tc>
          <w:tcPr>
            <w:tcW w:w="1026" w:type="pct"/>
          </w:tcPr>
          <w:p w14:paraId="6D6F2936"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0.72</w:t>
            </w:r>
          </w:p>
        </w:tc>
      </w:tr>
      <w:tr w:rsidR="00650E6F" w:rsidRPr="00581D69" w14:paraId="6D6F293D" w14:textId="77777777" w:rsidTr="00BD2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tcPr>
          <w:p w14:paraId="6D6F2938" w14:textId="77777777" w:rsidR="00650E6F" w:rsidRPr="00581D69" w:rsidRDefault="00650E6F" w:rsidP="00650E6F">
            <w:pPr>
              <w:rPr>
                <w:rFonts w:ascii="Garamond" w:hAnsi="Garamond" w:cs="Tahoma"/>
                <w:b w:val="0"/>
                <w:bCs w:val="0"/>
                <w:sz w:val="20"/>
                <w:szCs w:val="20"/>
                <w:lang w:val="sq-AL"/>
              </w:rPr>
            </w:pPr>
            <w:r w:rsidRPr="00581D69">
              <w:rPr>
                <w:rFonts w:ascii="Garamond" w:hAnsi="Garamond" w:cs="Tahoma"/>
                <w:b w:val="0"/>
                <w:bCs w:val="0"/>
                <w:sz w:val="20"/>
                <w:szCs w:val="20"/>
                <w:lang w:val="sq-AL"/>
              </w:rPr>
              <w:t>Elbasani</w:t>
            </w:r>
          </w:p>
        </w:tc>
        <w:tc>
          <w:tcPr>
            <w:tcW w:w="705" w:type="pct"/>
          </w:tcPr>
          <w:p w14:paraId="6D6F2939"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327</w:t>
            </w:r>
          </w:p>
        </w:tc>
        <w:tc>
          <w:tcPr>
            <w:tcW w:w="966" w:type="pct"/>
          </w:tcPr>
          <w:p w14:paraId="6D6F293A"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73</w:t>
            </w:r>
          </w:p>
        </w:tc>
        <w:tc>
          <w:tcPr>
            <w:tcW w:w="1025" w:type="pct"/>
          </w:tcPr>
          <w:p w14:paraId="6D6F293B"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22</w:t>
            </w:r>
          </w:p>
        </w:tc>
        <w:tc>
          <w:tcPr>
            <w:tcW w:w="1026" w:type="pct"/>
          </w:tcPr>
          <w:p w14:paraId="6D6F293C" w14:textId="77777777" w:rsidR="00650E6F" w:rsidRPr="00581D69" w:rsidRDefault="00650E6F" w:rsidP="00650E6F">
            <w:pPr>
              <w:jc w:val="right"/>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1.26</w:t>
            </w:r>
          </w:p>
        </w:tc>
      </w:tr>
      <w:tr w:rsidR="00650E6F" w:rsidRPr="00581D69" w14:paraId="6D6F2943" w14:textId="77777777" w:rsidTr="00BD23A9">
        <w:tc>
          <w:tcPr>
            <w:cnfStyle w:val="001000000000" w:firstRow="0" w:lastRow="0" w:firstColumn="1" w:lastColumn="0" w:oddVBand="0" w:evenVBand="0" w:oddHBand="0" w:evenHBand="0" w:firstRowFirstColumn="0" w:firstRowLastColumn="0" w:lastRowFirstColumn="0" w:lastRowLastColumn="0"/>
            <w:tcW w:w="1278" w:type="pct"/>
          </w:tcPr>
          <w:p w14:paraId="6D6F293E" w14:textId="77777777" w:rsidR="00650E6F" w:rsidRPr="00581D69" w:rsidRDefault="00650E6F" w:rsidP="00650E6F">
            <w:pPr>
              <w:rPr>
                <w:rFonts w:ascii="Garamond" w:hAnsi="Garamond" w:cs="Tahoma"/>
                <w:b w:val="0"/>
                <w:bCs w:val="0"/>
                <w:sz w:val="20"/>
                <w:szCs w:val="20"/>
                <w:lang w:val="sq-AL"/>
              </w:rPr>
            </w:pPr>
            <w:r w:rsidRPr="00581D69">
              <w:rPr>
                <w:rFonts w:ascii="Garamond" w:hAnsi="Garamond" w:cs="Tahoma"/>
                <w:b w:val="0"/>
                <w:bCs w:val="0"/>
                <w:sz w:val="20"/>
                <w:szCs w:val="20"/>
                <w:lang w:val="sq-AL"/>
              </w:rPr>
              <w:t>Korça</w:t>
            </w:r>
          </w:p>
        </w:tc>
        <w:tc>
          <w:tcPr>
            <w:tcW w:w="705" w:type="pct"/>
          </w:tcPr>
          <w:p w14:paraId="6D6F293F"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371</w:t>
            </w:r>
          </w:p>
        </w:tc>
        <w:tc>
          <w:tcPr>
            <w:tcW w:w="966" w:type="pct"/>
          </w:tcPr>
          <w:p w14:paraId="6D6F2940"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91</w:t>
            </w:r>
          </w:p>
        </w:tc>
        <w:tc>
          <w:tcPr>
            <w:tcW w:w="1025" w:type="pct"/>
          </w:tcPr>
          <w:p w14:paraId="6D6F2941"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25</w:t>
            </w:r>
          </w:p>
        </w:tc>
        <w:tc>
          <w:tcPr>
            <w:tcW w:w="1026" w:type="pct"/>
          </w:tcPr>
          <w:p w14:paraId="6D6F2942" w14:textId="77777777" w:rsidR="00650E6F" w:rsidRPr="00581D69" w:rsidRDefault="00650E6F" w:rsidP="00650E6F">
            <w:pPr>
              <w:jc w:val="righ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581D69">
              <w:rPr>
                <w:rFonts w:ascii="Garamond" w:hAnsi="Garamond" w:cs="Tahoma"/>
                <w:sz w:val="20"/>
                <w:szCs w:val="20"/>
                <w:lang w:val="sq-AL"/>
              </w:rPr>
              <w:t>1.27</w:t>
            </w:r>
          </w:p>
        </w:tc>
      </w:tr>
    </w:tbl>
    <w:p w14:paraId="6D6F2944" w14:textId="5EFB8C48" w:rsidR="00650E6F" w:rsidRPr="000E1EB0" w:rsidRDefault="00650E6F" w:rsidP="00650E6F">
      <w:pPr>
        <w:pStyle w:val="AAAATEX"/>
        <w:rPr>
          <w:i/>
        </w:rPr>
      </w:pPr>
      <w:r w:rsidRPr="000E1EB0">
        <w:rPr>
          <w:i/>
        </w:rPr>
        <w:t>Burimi: INSTAT, Ministria e Bujqësisë, Pylltarisë dhe Ekonomisë së Ujërave (ish</w:t>
      </w:r>
      <w:r w:rsidR="00123118">
        <w:rPr>
          <w:i/>
        </w:rPr>
        <w:t>-</w:t>
      </w:r>
      <w:r w:rsidRPr="000E1EB0">
        <w:rPr>
          <w:i/>
        </w:rPr>
        <w:t>Republika Jugosllave e Maqedonisë) dhe llogaritje të bazuara në të dhënat e Bankës Botërore për madhësisë së fermës në ish</w:t>
      </w:r>
      <w:r w:rsidR="00123118">
        <w:rPr>
          <w:i/>
        </w:rPr>
        <w:t>-</w:t>
      </w:r>
      <w:r w:rsidRPr="000E1EB0">
        <w:rPr>
          <w:i/>
        </w:rPr>
        <w:t>Republikën Jugosllave të Maqedonisë, 2012</w:t>
      </w:r>
    </w:p>
    <w:p w14:paraId="75260437" w14:textId="77777777" w:rsidR="00836C27" w:rsidRDefault="00836C27" w:rsidP="00650E6F">
      <w:pPr>
        <w:pStyle w:val="AAAATEX"/>
      </w:pPr>
    </w:p>
    <w:p w14:paraId="6D6F2945" w14:textId="625682DA" w:rsidR="00650E6F" w:rsidRPr="000E1EB0" w:rsidRDefault="00650E6F" w:rsidP="00650E6F">
      <w:pPr>
        <w:pStyle w:val="AAAATEX"/>
      </w:pPr>
      <w:r w:rsidRPr="000E1EB0">
        <w:t xml:space="preserve">Në </w:t>
      </w:r>
      <w:r w:rsidR="00EB5DEB">
        <w:t>ish-Repu</w:t>
      </w:r>
      <w:r w:rsidRPr="000E1EB0">
        <w:t>blikën Jugosllave të Maqedonisë toka e punueshme përbën 40% të të gjithë tokës bujqësore, ndërsa në Republikën e Shqipërisë ky raport është 24%. Mesatarisht, në zonën e programit të të dy</w:t>
      </w:r>
      <w:r w:rsidR="00324DAF">
        <w:t>ja</w:t>
      </w:r>
      <w:r w:rsidRPr="000E1EB0">
        <w:t xml:space="preserve"> vendeve pjesa e tokës së punueshme në raport me madhësinë e përgjithshme të tokës bujqësore është nën mesataren e vendit, duke sjellë kushte të pafavorshme për ekonominë rurale. Në ish</w:t>
      </w:r>
      <w:r w:rsidR="000A10A2">
        <w:t>-</w:t>
      </w:r>
      <w:r w:rsidRPr="000E1EB0">
        <w:t>Republikën Jugosllave të Maqedonisë prodhimi bujqësor ka kushte më të favorshme natyrore për kulturat bujqësore dhe prodhimin blegtoral.</w:t>
      </w:r>
    </w:p>
    <w:p w14:paraId="6D6F2946" w14:textId="4E021087" w:rsidR="00650E6F" w:rsidRPr="000E1EB0" w:rsidRDefault="00650E6F" w:rsidP="00650E6F">
      <w:pPr>
        <w:pStyle w:val="AAAATEX"/>
      </w:pPr>
      <w:r w:rsidRPr="000E1EB0">
        <w:t>Ekonomia rurale e të dy</w:t>
      </w:r>
      <w:r w:rsidR="00324DAF">
        <w:t>ja</w:t>
      </w:r>
      <w:r w:rsidRPr="000E1EB0">
        <w:t xml:space="preserve"> vendeve është e fragmentuar. Në Republikën e Shqipërisë madhësia mesatare e fermës është 1.2 ha dhe vetëm rajoni i Dibrës është nën mesataren e vendit. Në ish</w:t>
      </w:r>
      <w:r w:rsidR="000A10A2">
        <w:t>-</w:t>
      </w:r>
      <w:r w:rsidRPr="000E1EB0">
        <w:t>Republikën Jugosllave të Maqedonisë madhësia mesatare e fermës është 1.6 ha, por zona e programit përmban fermat më të mëdha bujqësore në krahasim me çdo zonë tjetër të vendit.</w:t>
      </w:r>
    </w:p>
    <w:p w14:paraId="6D6F2947" w14:textId="77777777" w:rsidR="00650E6F" w:rsidRPr="000E1EB0" w:rsidRDefault="00650E6F" w:rsidP="00650E6F">
      <w:pPr>
        <w:pStyle w:val="AAAATEX"/>
      </w:pPr>
      <w:r w:rsidRPr="000E1EB0">
        <w:t>Prodhimet bimore kryesore në zonën e programit janë paraqitur në tabelën e mëposhtme. Prodhimet bujqësore janë radhitur në bazë të prodhimit të përgjithshëm për vendin dhe rajonin.</w:t>
      </w:r>
    </w:p>
    <w:p w14:paraId="6D6F2948"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5000" w:type="pct"/>
        <w:tblLook w:val="04A0" w:firstRow="1" w:lastRow="0" w:firstColumn="1" w:lastColumn="0" w:noHBand="0" w:noVBand="1"/>
      </w:tblPr>
      <w:tblGrid>
        <w:gridCol w:w="3618"/>
        <w:gridCol w:w="5958"/>
      </w:tblGrid>
      <w:tr w:rsidR="00650E6F" w:rsidRPr="00853F3C" w14:paraId="6D6F294B" w14:textId="77777777" w:rsidTr="00342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Pr>
          <w:p w14:paraId="6D6F2949" w14:textId="59CFE757" w:rsidR="00650E6F" w:rsidRPr="00853F3C" w:rsidRDefault="00650E6F" w:rsidP="00650E6F">
            <w:pPr>
              <w:jc w:val="center"/>
              <w:rPr>
                <w:rFonts w:ascii="Garamond" w:hAnsi="Garamond" w:cs="Tahoma"/>
                <w:b w:val="0"/>
                <w:bCs w:val="0"/>
                <w:color w:val="FFFFFF"/>
                <w:sz w:val="20"/>
                <w:szCs w:val="20"/>
                <w:lang w:val="sq-AL"/>
              </w:rPr>
            </w:pPr>
            <w:r w:rsidRPr="00853F3C">
              <w:rPr>
                <w:rFonts w:ascii="Garamond" w:hAnsi="Garamond" w:cs="Tahoma"/>
                <w:color w:val="FFFFFF"/>
                <w:sz w:val="20"/>
                <w:szCs w:val="20"/>
                <w:lang w:val="sq-AL"/>
              </w:rPr>
              <w:t xml:space="preserve">Shteti / </w:t>
            </w:r>
            <w:r w:rsidR="000A10A2" w:rsidRPr="00853F3C">
              <w:rPr>
                <w:rFonts w:ascii="Garamond" w:hAnsi="Garamond" w:cs="Tahoma"/>
                <w:color w:val="FFFFFF"/>
                <w:sz w:val="20"/>
                <w:szCs w:val="20"/>
                <w:lang w:val="sq-AL"/>
              </w:rPr>
              <w:t>rajoni</w:t>
            </w:r>
          </w:p>
        </w:tc>
        <w:tc>
          <w:tcPr>
            <w:tcW w:w="3111" w:type="pct"/>
          </w:tcPr>
          <w:p w14:paraId="6D6F294A" w14:textId="77777777" w:rsidR="00650E6F" w:rsidRPr="00853F3C"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color w:val="FFFFFF"/>
                <w:sz w:val="20"/>
                <w:szCs w:val="20"/>
                <w:lang w:val="sq-AL"/>
              </w:rPr>
            </w:pPr>
            <w:r w:rsidRPr="00853F3C">
              <w:rPr>
                <w:rFonts w:ascii="Garamond" w:hAnsi="Garamond" w:cs="Tahoma"/>
                <w:color w:val="FFFFFF"/>
                <w:sz w:val="20"/>
                <w:szCs w:val="20"/>
                <w:lang w:val="sq-AL"/>
              </w:rPr>
              <w:t>Prodhimi kryesor bujqësor</w:t>
            </w:r>
          </w:p>
        </w:tc>
      </w:tr>
      <w:tr w:rsidR="00650E6F" w:rsidRPr="00853F3C" w14:paraId="6D6F294E" w14:textId="77777777" w:rsidTr="0034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Pr>
          <w:p w14:paraId="6D6F294C" w14:textId="2A8DC895" w:rsidR="00650E6F" w:rsidRPr="00853F3C" w:rsidRDefault="00650E6F" w:rsidP="000A10A2">
            <w:pPr>
              <w:rPr>
                <w:rFonts w:ascii="Garamond" w:hAnsi="Garamond" w:cs="Tahoma"/>
                <w:bCs w:val="0"/>
                <w:sz w:val="20"/>
                <w:szCs w:val="20"/>
                <w:lang w:val="sq-AL"/>
              </w:rPr>
            </w:pPr>
            <w:r w:rsidRPr="00853F3C">
              <w:rPr>
                <w:rFonts w:ascii="Garamond" w:hAnsi="Garamond" w:cs="Tahoma"/>
                <w:sz w:val="20"/>
                <w:szCs w:val="20"/>
                <w:lang w:val="sq-AL"/>
              </w:rPr>
              <w:t>Ish</w:t>
            </w:r>
            <w:r w:rsidR="000A10A2" w:rsidRPr="00853F3C">
              <w:rPr>
                <w:rFonts w:ascii="Garamond" w:hAnsi="Garamond" w:cs="Tahoma"/>
                <w:sz w:val="20"/>
                <w:szCs w:val="20"/>
                <w:lang w:val="sq-AL"/>
              </w:rPr>
              <w:t>-</w:t>
            </w:r>
            <w:r w:rsidRPr="00853F3C">
              <w:rPr>
                <w:rFonts w:ascii="Garamond" w:hAnsi="Garamond" w:cs="Tahoma"/>
                <w:sz w:val="20"/>
                <w:szCs w:val="20"/>
                <w:lang w:val="sq-AL"/>
              </w:rPr>
              <w:t>Republika Jugosllave e Maqedonisë</w:t>
            </w:r>
          </w:p>
        </w:tc>
        <w:tc>
          <w:tcPr>
            <w:tcW w:w="3111" w:type="pct"/>
          </w:tcPr>
          <w:p w14:paraId="6D6F294D" w14:textId="77777777" w:rsidR="00650E6F" w:rsidRPr="00853F3C"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853F3C">
              <w:rPr>
                <w:rFonts w:ascii="Garamond" w:hAnsi="Garamond" w:cs="Tahoma"/>
                <w:b/>
                <w:sz w:val="20"/>
                <w:szCs w:val="20"/>
                <w:lang w:val="sq-AL"/>
              </w:rPr>
              <w:t>Gruri, perimet, patatet, misri, tërfili</w:t>
            </w:r>
          </w:p>
        </w:tc>
      </w:tr>
      <w:tr w:rsidR="00650E6F" w:rsidRPr="00853F3C" w14:paraId="6D6F2951" w14:textId="77777777" w:rsidTr="0034266D">
        <w:tc>
          <w:tcPr>
            <w:cnfStyle w:val="001000000000" w:firstRow="0" w:lastRow="0" w:firstColumn="1" w:lastColumn="0" w:oddVBand="0" w:evenVBand="0" w:oddHBand="0" w:evenHBand="0" w:firstRowFirstColumn="0" w:firstRowLastColumn="0" w:lastRowFirstColumn="0" w:lastRowLastColumn="0"/>
            <w:tcW w:w="1889" w:type="pct"/>
          </w:tcPr>
          <w:p w14:paraId="6D6F294F" w14:textId="77777777" w:rsidR="00650E6F" w:rsidRPr="00853F3C" w:rsidRDefault="00650E6F" w:rsidP="00650E6F">
            <w:pPr>
              <w:rPr>
                <w:rFonts w:ascii="Garamond" w:hAnsi="Garamond" w:cs="Tahoma"/>
                <w:b w:val="0"/>
                <w:bCs w:val="0"/>
                <w:sz w:val="20"/>
                <w:szCs w:val="20"/>
                <w:lang w:val="sq-AL"/>
              </w:rPr>
            </w:pPr>
            <w:r w:rsidRPr="00853F3C">
              <w:rPr>
                <w:rFonts w:ascii="Garamond" w:hAnsi="Garamond" w:cs="Tahoma"/>
                <w:b w:val="0"/>
                <w:bCs w:val="0"/>
                <w:sz w:val="20"/>
                <w:szCs w:val="20"/>
                <w:lang w:val="sq-AL"/>
              </w:rPr>
              <w:t>Pellagonia</w:t>
            </w:r>
          </w:p>
        </w:tc>
        <w:tc>
          <w:tcPr>
            <w:tcW w:w="3111" w:type="pct"/>
          </w:tcPr>
          <w:p w14:paraId="6D6F2950" w14:textId="77777777" w:rsidR="00650E6F" w:rsidRPr="00853F3C"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853F3C">
              <w:rPr>
                <w:rFonts w:ascii="Garamond" w:hAnsi="Garamond" w:cs="Tahoma"/>
                <w:sz w:val="20"/>
                <w:szCs w:val="20"/>
                <w:lang w:val="sq-AL"/>
              </w:rPr>
              <w:t>Gruri, perimet, patatet, frutat, jonxha, duhani</w:t>
            </w:r>
          </w:p>
        </w:tc>
      </w:tr>
      <w:tr w:rsidR="00650E6F" w:rsidRPr="00853F3C" w14:paraId="6D6F2954" w14:textId="77777777" w:rsidTr="0034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Pr>
          <w:p w14:paraId="6D6F2952" w14:textId="77777777" w:rsidR="00650E6F" w:rsidRPr="00853F3C" w:rsidRDefault="00650E6F" w:rsidP="00650E6F">
            <w:pPr>
              <w:rPr>
                <w:rFonts w:ascii="Garamond" w:hAnsi="Garamond" w:cs="Tahoma"/>
                <w:b w:val="0"/>
                <w:bCs w:val="0"/>
                <w:sz w:val="20"/>
                <w:szCs w:val="20"/>
                <w:lang w:val="sq-AL"/>
              </w:rPr>
            </w:pPr>
            <w:r w:rsidRPr="00853F3C">
              <w:rPr>
                <w:rFonts w:ascii="Garamond" w:hAnsi="Garamond" w:cs="Tahoma"/>
                <w:b w:val="0"/>
                <w:bCs w:val="0"/>
                <w:sz w:val="20"/>
                <w:szCs w:val="20"/>
                <w:lang w:val="sq-AL"/>
              </w:rPr>
              <w:t>Pollogu</w:t>
            </w:r>
          </w:p>
        </w:tc>
        <w:tc>
          <w:tcPr>
            <w:tcW w:w="3111" w:type="pct"/>
          </w:tcPr>
          <w:p w14:paraId="6D6F2953" w14:textId="77777777" w:rsidR="00650E6F" w:rsidRPr="00853F3C"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853F3C">
              <w:rPr>
                <w:rFonts w:ascii="Garamond" w:hAnsi="Garamond" w:cs="Tahoma"/>
                <w:sz w:val="20"/>
                <w:szCs w:val="20"/>
                <w:lang w:val="sq-AL"/>
              </w:rPr>
              <w:t>Misri, patatet, perimet, jonxha, tërfili</w:t>
            </w:r>
          </w:p>
        </w:tc>
      </w:tr>
      <w:tr w:rsidR="00650E6F" w:rsidRPr="00853F3C" w14:paraId="6D6F2957" w14:textId="77777777" w:rsidTr="0034266D">
        <w:tc>
          <w:tcPr>
            <w:cnfStyle w:val="001000000000" w:firstRow="0" w:lastRow="0" w:firstColumn="1" w:lastColumn="0" w:oddVBand="0" w:evenVBand="0" w:oddHBand="0" w:evenHBand="0" w:firstRowFirstColumn="0" w:firstRowLastColumn="0" w:lastRowFirstColumn="0" w:lastRowLastColumn="0"/>
            <w:tcW w:w="1889" w:type="pct"/>
          </w:tcPr>
          <w:p w14:paraId="6D6F2955" w14:textId="77777777" w:rsidR="00650E6F" w:rsidRPr="00853F3C" w:rsidRDefault="00650E6F" w:rsidP="00650E6F">
            <w:pPr>
              <w:rPr>
                <w:rFonts w:ascii="Garamond" w:hAnsi="Garamond" w:cs="Tahoma"/>
                <w:b w:val="0"/>
                <w:bCs w:val="0"/>
                <w:sz w:val="20"/>
                <w:szCs w:val="20"/>
                <w:lang w:val="sq-AL"/>
              </w:rPr>
            </w:pPr>
            <w:r w:rsidRPr="00853F3C">
              <w:rPr>
                <w:rFonts w:ascii="Garamond" w:hAnsi="Garamond" w:cs="Tahoma"/>
                <w:b w:val="0"/>
                <w:bCs w:val="0"/>
                <w:sz w:val="20"/>
                <w:szCs w:val="20"/>
                <w:lang w:val="sq-AL"/>
              </w:rPr>
              <w:t>Jugperëndimi</w:t>
            </w:r>
          </w:p>
        </w:tc>
        <w:tc>
          <w:tcPr>
            <w:tcW w:w="3111" w:type="pct"/>
          </w:tcPr>
          <w:p w14:paraId="6D6F2956" w14:textId="77777777" w:rsidR="00650E6F" w:rsidRPr="00853F3C"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853F3C">
              <w:rPr>
                <w:rFonts w:ascii="Garamond" w:hAnsi="Garamond" w:cs="Tahoma"/>
                <w:sz w:val="20"/>
                <w:szCs w:val="20"/>
                <w:lang w:val="sq-AL"/>
              </w:rPr>
              <w:t>Patatet, gruri, misri, jonxha, perimet, frutat</w:t>
            </w:r>
          </w:p>
        </w:tc>
      </w:tr>
      <w:tr w:rsidR="00650E6F" w:rsidRPr="00853F3C" w14:paraId="6D6F295A" w14:textId="77777777" w:rsidTr="0034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Pr>
          <w:p w14:paraId="6D6F2958" w14:textId="77777777" w:rsidR="00650E6F" w:rsidRPr="00853F3C" w:rsidRDefault="00650E6F" w:rsidP="00650E6F">
            <w:pPr>
              <w:rPr>
                <w:rFonts w:ascii="Garamond" w:hAnsi="Garamond" w:cs="Tahoma"/>
                <w:bCs w:val="0"/>
                <w:sz w:val="20"/>
                <w:szCs w:val="20"/>
                <w:lang w:val="sq-AL"/>
              </w:rPr>
            </w:pPr>
            <w:r w:rsidRPr="00853F3C">
              <w:rPr>
                <w:rFonts w:ascii="Garamond" w:hAnsi="Garamond" w:cs="Tahoma"/>
                <w:bCs w:val="0"/>
                <w:sz w:val="20"/>
                <w:szCs w:val="20"/>
                <w:lang w:val="sq-AL"/>
              </w:rPr>
              <w:lastRenderedPageBreak/>
              <w:t>Republika e Shqipërisë</w:t>
            </w:r>
          </w:p>
        </w:tc>
        <w:tc>
          <w:tcPr>
            <w:tcW w:w="3111" w:type="pct"/>
          </w:tcPr>
          <w:p w14:paraId="6D6F2959" w14:textId="77777777" w:rsidR="00650E6F" w:rsidRPr="00853F3C"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b/>
                <w:sz w:val="20"/>
                <w:szCs w:val="20"/>
                <w:lang w:val="sq-AL"/>
              </w:rPr>
            </w:pPr>
            <w:r w:rsidRPr="00853F3C">
              <w:rPr>
                <w:rFonts w:ascii="Garamond" w:hAnsi="Garamond" w:cs="Tahoma"/>
                <w:b/>
                <w:sz w:val="20"/>
                <w:szCs w:val="20"/>
                <w:lang w:val="sq-AL"/>
              </w:rPr>
              <w:t>Gruri, misri, perimet, fasulet, patatet, tërshëra</w:t>
            </w:r>
          </w:p>
        </w:tc>
      </w:tr>
      <w:tr w:rsidR="00650E6F" w:rsidRPr="00853F3C" w14:paraId="6D6F295D" w14:textId="77777777" w:rsidTr="0034266D">
        <w:tc>
          <w:tcPr>
            <w:cnfStyle w:val="001000000000" w:firstRow="0" w:lastRow="0" w:firstColumn="1" w:lastColumn="0" w:oddVBand="0" w:evenVBand="0" w:oddHBand="0" w:evenHBand="0" w:firstRowFirstColumn="0" w:firstRowLastColumn="0" w:lastRowFirstColumn="0" w:lastRowLastColumn="0"/>
            <w:tcW w:w="1889" w:type="pct"/>
          </w:tcPr>
          <w:p w14:paraId="6D6F295B" w14:textId="77777777" w:rsidR="00650E6F" w:rsidRPr="00853F3C" w:rsidRDefault="00650E6F" w:rsidP="00650E6F">
            <w:pPr>
              <w:rPr>
                <w:rFonts w:ascii="Garamond" w:hAnsi="Garamond" w:cs="Tahoma"/>
                <w:b w:val="0"/>
                <w:bCs w:val="0"/>
                <w:sz w:val="20"/>
                <w:szCs w:val="20"/>
                <w:lang w:val="sq-AL"/>
              </w:rPr>
            </w:pPr>
            <w:r w:rsidRPr="00853F3C">
              <w:rPr>
                <w:rFonts w:ascii="Garamond" w:hAnsi="Garamond" w:cs="Tahoma"/>
                <w:b w:val="0"/>
                <w:bCs w:val="0"/>
                <w:sz w:val="20"/>
                <w:szCs w:val="20"/>
                <w:lang w:val="sq-AL"/>
              </w:rPr>
              <w:t>Dibra</w:t>
            </w:r>
          </w:p>
        </w:tc>
        <w:tc>
          <w:tcPr>
            <w:tcW w:w="3111" w:type="pct"/>
          </w:tcPr>
          <w:p w14:paraId="6D6F295C" w14:textId="77777777" w:rsidR="00650E6F" w:rsidRPr="00853F3C"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853F3C">
              <w:rPr>
                <w:rFonts w:ascii="Garamond" w:hAnsi="Garamond" w:cs="Tahoma"/>
                <w:sz w:val="20"/>
                <w:szCs w:val="20"/>
                <w:lang w:val="sq-AL"/>
              </w:rPr>
              <w:t>Misri, gruri, perimet</w:t>
            </w:r>
          </w:p>
        </w:tc>
      </w:tr>
      <w:tr w:rsidR="00650E6F" w:rsidRPr="00853F3C" w14:paraId="6D6F2960" w14:textId="77777777" w:rsidTr="0034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Pr>
          <w:p w14:paraId="6D6F295E" w14:textId="77777777" w:rsidR="00650E6F" w:rsidRPr="00853F3C" w:rsidRDefault="00650E6F" w:rsidP="00650E6F">
            <w:pPr>
              <w:rPr>
                <w:rFonts w:ascii="Garamond" w:hAnsi="Garamond" w:cs="Tahoma"/>
                <w:b w:val="0"/>
                <w:bCs w:val="0"/>
                <w:sz w:val="20"/>
                <w:szCs w:val="20"/>
                <w:lang w:val="sq-AL"/>
              </w:rPr>
            </w:pPr>
            <w:r w:rsidRPr="00853F3C">
              <w:rPr>
                <w:rFonts w:ascii="Garamond" w:hAnsi="Garamond" w:cs="Tahoma"/>
                <w:b w:val="0"/>
                <w:bCs w:val="0"/>
                <w:sz w:val="20"/>
                <w:szCs w:val="20"/>
                <w:lang w:val="sq-AL"/>
              </w:rPr>
              <w:t>Elbasani</w:t>
            </w:r>
          </w:p>
        </w:tc>
        <w:tc>
          <w:tcPr>
            <w:tcW w:w="3111" w:type="pct"/>
          </w:tcPr>
          <w:p w14:paraId="6D6F295F" w14:textId="77777777" w:rsidR="00650E6F" w:rsidRPr="00853F3C" w:rsidRDefault="00650E6F" w:rsidP="00650E6F">
            <w:pPr>
              <w:jc w:val="both"/>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853F3C">
              <w:rPr>
                <w:rFonts w:ascii="Garamond" w:hAnsi="Garamond" w:cs="Tahoma"/>
                <w:sz w:val="20"/>
                <w:szCs w:val="20"/>
                <w:lang w:val="sq-AL"/>
              </w:rPr>
              <w:t>Gruri, misri, perimet, tërshëra, fasulet, patatet, bagëtitë, frutat dhe rrushi</w:t>
            </w:r>
          </w:p>
        </w:tc>
      </w:tr>
      <w:tr w:rsidR="00650E6F" w:rsidRPr="00853F3C" w14:paraId="6D6F2963" w14:textId="77777777" w:rsidTr="0034266D">
        <w:tc>
          <w:tcPr>
            <w:cnfStyle w:val="001000000000" w:firstRow="0" w:lastRow="0" w:firstColumn="1" w:lastColumn="0" w:oddVBand="0" w:evenVBand="0" w:oddHBand="0" w:evenHBand="0" w:firstRowFirstColumn="0" w:firstRowLastColumn="0" w:lastRowFirstColumn="0" w:lastRowLastColumn="0"/>
            <w:tcW w:w="1889" w:type="pct"/>
          </w:tcPr>
          <w:p w14:paraId="6D6F2961" w14:textId="77777777" w:rsidR="00650E6F" w:rsidRPr="00853F3C" w:rsidRDefault="00650E6F" w:rsidP="00650E6F">
            <w:pPr>
              <w:rPr>
                <w:rFonts w:ascii="Garamond" w:hAnsi="Garamond" w:cs="Tahoma"/>
                <w:b w:val="0"/>
                <w:bCs w:val="0"/>
                <w:sz w:val="20"/>
                <w:szCs w:val="20"/>
                <w:lang w:val="sq-AL"/>
              </w:rPr>
            </w:pPr>
            <w:r w:rsidRPr="00853F3C">
              <w:rPr>
                <w:rFonts w:ascii="Garamond" w:hAnsi="Garamond" w:cs="Tahoma"/>
                <w:b w:val="0"/>
                <w:bCs w:val="0"/>
                <w:sz w:val="20"/>
                <w:szCs w:val="20"/>
                <w:lang w:val="sq-AL"/>
              </w:rPr>
              <w:t>Korça</w:t>
            </w:r>
          </w:p>
        </w:tc>
        <w:tc>
          <w:tcPr>
            <w:tcW w:w="3111" w:type="pct"/>
          </w:tcPr>
          <w:p w14:paraId="6D6F2962" w14:textId="77777777" w:rsidR="00650E6F" w:rsidRPr="00853F3C" w:rsidRDefault="00650E6F" w:rsidP="00650E6F">
            <w:pPr>
              <w:jc w:val="both"/>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853F3C">
              <w:rPr>
                <w:rFonts w:ascii="Garamond" w:hAnsi="Garamond" w:cs="Tahoma"/>
                <w:sz w:val="20"/>
                <w:szCs w:val="20"/>
                <w:lang w:val="sq-AL"/>
              </w:rPr>
              <w:t>Gruri, misri, perimet, fasulet, elbi</w:t>
            </w:r>
          </w:p>
        </w:tc>
      </w:tr>
    </w:tbl>
    <w:p w14:paraId="6D6F2964" w14:textId="27499824" w:rsidR="00650E6F" w:rsidRPr="000E1EB0" w:rsidRDefault="00650E6F" w:rsidP="00650E6F">
      <w:pPr>
        <w:pStyle w:val="AAAATEX"/>
        <w:rPr>
          <w:i/>
        </w:rPr>
      </w:pPr>
      <w:r w:rsidRPr="000E1EB0">
        <w:rPr>
          <w:i/>
        </w:rPr>
        <w:t>Burimi: përpunimi në bazë të INSTAT</w:t>
      </w:r>
      <w:r w:rsidR="00D722F0">
        <w:rPr>
          <w:i/>
        </w:rPr>
        <w:t>-it</w:t>
      </w:r>
      <w:r w:rsidRPr="000E1EB0">
        <w:rPr>
          <w:i/>
        </w:rPr>
        <w:t xml:space="preserve">, Ministria e Bujqësisë, Ushqimit dhe Mbrojtjes së Konsumatorit (Republika e Shqipërisë) dhe Zyra </w:t>
      </w:r>
      <w:r w:rsidR="003C31E1" w:rsidRPr="000E1EB0">
        <w:rPr>
          <w:i/>
        </w:rPr>
        <w:t xml:space="preserve">Shtetërore </w:t>
      </w:r>
      <w:r w:rsidRPr="000E1EB0">
        <w:rPr>
          <w:i/>
        </w:rPr>
        <w:t xml:space="preserve">e </w:t>
      </w:r>
      <w:r w:rsidR="003C31E1" w:rsidRPr="000E1EB0">
        <w:rPr>
          <w:i/>
        </w:rPr>
        <w:t xml:space="preserve">Statistikave </w:t>
      </w:r>
      <w:r w:rsidRPr="000E1EB0">
        <w:rPr>
          <w:i/>
        </w:rPr>
        <w:t>(ish-Republika Jugosllave e Maqedonisë), 2012</w:t>
      </w:r>
    </w:p>
    <w:p w14:paraId="249F8C7A" w14:textId="77777777" w:rsidR="00C77F30" w:rsidRDefault="00C77F30" w:rsidP="00650E6F">
      <w:pPr>
        <w:pStyle w:val="AAAATEX"/>
      </w:pPr>
    </w:p>
    <w:p w14:paraId="6D6F2965" w14:textId="4FF4F4A3" w:rsidR="00650E6F" w:rsidRPr="000E1EB0" w:rsidRDefault="00650E6F" w:rsidP="00650E6F">
      <w:pPr>
        <w:pStyle w:val="AAAATEX"/>
      </w:pPr>
      <w:r w:rsidRPr="000E1EB0">
        <w:t>Ndërsa zona CBC e Republikës së Shqipërisë është e specializuar në drithëra, perime, fasule dhe prodhimin e tërshërës, ekonomia rurale e ish-Republikës Jugosllave të Maqedonisë është më e larmishme dhe rajonet janë të specializuar</w:t>
      </w:r>
      <w:r w:rsidR="003E49F5">
        <w:t>a</w:t>
      </w:r>
      <w:r w:rsidRPr="000E1EB0">
        <w:t xml:space="preserve"> në varietete të kulturave. Rajonet e </w:t>
      </w:r>
      <w:r w:rsidR="000C7A93">
        <w:t>j</w:t>
      </w:r>
      <w:r w:rsidRPr="000E1EB0">
        <w:t>ugperëndimit dhe Elbasanit janë shembuj ku të ardhurat janë të larta dhe prodhimi është i larmishëm, ndërsa Korça dhe Pollogu kanë të ardhura më të ulëta në prodhimin bujqësor.</w:t>
      </w:r>
    </w:p>
    <w:p w14:paraId="6D6F2966" w14:textId="371F0CB8" w:rsidR="00650E6F" w:rsidRPr="000E1EB0" w:rsidRDefault="00650E6F" w:rsidP="00650E6F">
      <w:pPr>
        <w:pStyle w:val="AAAATEX"/>
      </w:pPr>
      <w:r w:rsidRPr="000E1EB0">
        <w:t>Ekonomia rurale në zonën e programit ndikohet negativisht nga erozioni i tokës. Lartësia e tokës, veçanërisht në zonat ku alternohen malet, kodrat dhe luginat me karakterin e rrëmbyeshëm të reshjeve, kontribuon në humbjet e përshpejtuara të tokave. Nuk ka të dhëna specifike rajonale mbi erozionin e tokës, por në nivel kombëtar Republika e Shqipërisë është vlerësuar të ketë n</w:t>
      </w:r>
      <w:r w:rsidR="00853F3C">
        <w:t>jë humbje prej më shumë se 16 t</w:t>
      </w:r>
      <w:r w:rsidRPr="000E1EB0">
        <w:t xml:space="preserve">/ha në vit, ndërsa për </w:t>
      </w:r>
      <w:r w:rsidR="00EB5DEB">
        <w:t>ish-Repu</w:t>
      </w:r>
      <w:r w:rsidRPr="000E1EB0">
        <w:t>blikën Jugosllave të Maqedonisë, kjo shifër është vlerësuar të kalojë 18 t/ha.</w:t>
      </w:r>
      <w:r w:rsidRPr="000E1EB0">
        <w:rPr>
          <w:rStyle w:val="FootnoteReference"/>
        </w:rPr>
        <w:footnoteReference w:id="21"/>
      </w:r>
    </w:p>
    <w:p w14:paraId="6D6F2967" w14:textId="11911948" w:rsidR="00650E6F" w:rsidRPr="000E1EB0" w:rsidRDefault="00650E6F" w:rsidP="00650E6F">
      <w:pPr>
        <w:pStyle w:val="AAAATEX"/>
        <w:rPr>
          <w:b/>
        </w:rPr>
      </w:pPr>
      <w:r w:rsidRPr="000E1EB0">
        <w:rPr>
          <w:b/>
        </w:rPr>
        <w:t xml:space="preserve">Infrastruktura e </w:t>
      </w:r>
      <w:r w:rsidR="00C77F30">
        <w:rPr>
          <w:b/>
        </w:rPr>
        <w:t>t</w:t>
      </w:r>
      <w:r w:rsidRPr="000E1EB0">
        <w:rPr>
          <w:b/>
        </w:rPr>
        <w:t>ransportit</w:t>
      </w:r>
    </w:p>
    <w:p w14:paraId="6D6F2968" w14:textId="77777777" w:rsidR="00650E6F" w:rsidRPr="000E1EB0" w:rsidRDefault="00650E6F" w:rsidP="00650E6F">
      <w:pPr>
        <w:pStyle w:val="AAAATEX"/>
      </w:pPr>
      <w:r w:rsidRPr="000E1EB0">
        <w:t>Të dhënat kryesore mbi infrastrukturën dhe transportin janë përshkruar në tabelën e mëposhtme.</w:t>
      </w:r>
    </w:p>
    <w:p w14:paraId="6D6F2969" w14:textId="77777777" w:rsidR="00650E6F" w:rsidRPr="000E1EB0" w:rsidRDefault="00650E6F" w:rsidP="00650E6F">
      <w:pPr>
        <w:pStyle w:val="AAAATEX"/>
      </w:pPr>
    </w:p>
    <w:tbl>
      <w:tblPr>
        <w:tblStyle w:val="MediumGrid3-Accent1"/>
        <w:tblW w:w="0" w:type="auto"/>
        <w:tblLook w:val="04A0" w:firstRow="1" w:lastRow="0" w:firstColumn="1" w:lastColumn="0" w:noHBand="0" w:noVBand="1"/>
      </w:tblPr>
      <w:tblGrid>
        <w:gridCol w:w="3936"/>
        <w:gridCol w:w="2693"/>
        <w:gridCol w:w="2658"/>
      </w:tblGrid>
      <w:tr w:rsidR="00650E6F" w:rsidRPr="000E1EB0" w14:paraId="6D6F296D"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96A"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Treguesi</w:t>
            </w:r>
          </w:p>
        </w:tc>
        <w:tc>
          <w:tcPr>
            <w:tcW w:w="2693" w:type="dxa"/>
          </w:tcPr>
          <w:p w14:paraId="6D6F296B" w14:textId="020F8E8F" w:rsidR="00650E6F" w:rsidRPr="000E1EB0" w:rsidRDefault="009A5DA1" w:rsidP="00E56170">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Pr>
                <w:rFonts w:ascii="Garamond" w:hAnsi="Garamond" w:cs="Tahoma"/>
                <w:sz w:val="20"/>
                <w:szCs w:val="20"/>
                <w:lang w:val="sq-AL"/>
              </w:rPr>
              <w:t xml:space="preserve"> </w:t>
            </w:r>
            <w:r w:rsidR="00650E6F" w:rsidRPr="000E1EB0">
              <w:rPr>
                <w:rFonts w:ascii="Garamond" w:hAnsi="Garamond" w:cs="Tahoma"/>
                <w:sz w:val="20"/>
                <w:szCs w:val="20"/>
                <w:lang w:val="sq-AL"/>
              </w:rPr>
              <w:t>Ish</w:t>
            </w:r>
            <w:r w:rsidR="00E56170">
              <w:rPr>
                <w:rFonts w:ascii="Garamond" w:hAnsi="Garamond" w:cs="Tahoma"/>
                <w:sz w:val="20"/>
                <w:szCs w:val="20"/>
                <w:lang w:val="sq-AL"/>
              </w:rPr>
              <w:t>-</w:t>
            </w:r>
            <w:r w:rsidR="00650E6F" w:rsidRPr="000E1EB0">
              <w:rPr>
                <w:rFonts w:ascii="Garamond" w:hAnsi="Garamond" w:cs="Tahoma"/>
                <w:sz w:val="20"/>
                <w:szCs w:val="20"/>
                <w:lang w:val="sq-AL"/>
              </w:rPr>
              <w:t>Republika Jugosllave e Maqedonisë</w:t>
            </w:r>
          </w:p>
        </w:tc>
        <w:tc>
          <w:tcPr>
            <w:tcW w:w="2658" w:type="dxa"/>
          </w:tcPr>
          <w:p w14:paraId="6D6F296C"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Republika e Shqipërisë</w:t>
            </w:r>
          </w:p>
        </w:tc>
      </w:tr>
      <w:tr w:rsidR="00650E6F" w:rsidRPr="000E1EB0" w14:paraId="6D6F2971"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96E"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Hekurudha (km)</w:t>
            </w:r>
          </w:p>
        </w:tc>
        <w:tc>
          <w:tcPr>
            <w:tcW w:w="2693" w:type="dxa"/>
          </w:tcPr>
          <w:p w14:paraId="6D6F296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696</w:t>
            </w:r>
          </w:p>
        </w:tc>
        <w:tc>
          <w:tcPr>
            <w:tcW w:w="2658" w:type="dxa"/>
          </w:tcPr>
          <w:p w14:paraId="6D6F297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399</w:t>
            </w:r>
          </w:p>
        </w:tc>
      </w:tr>
      <w:tr w:rsidR="00650E6F" w:rsidRPr="000E1EB0" w14:paraId="6D6F2975" w14:textId="77777777" w:rsidTr="00650E6F">
        <w:tc>
          <w:tcPr>
            <w:cnfStyle w:val="001000000000" w:firstRow="0" w:lastRow="0" w:firstColumn="1" w:lastColumn="0" w:oddVBand="0" w:evenVBand="0" w:oddHBand="0" w:evenHBand="0" w:firstRowFirstColumn="0" w:firstRowLastColumn="0" w:lastRowFirstColumn="0" w:lastRowLastColumn="0"/>
            <w:tcW w:w="3936" w:type="dxa"/>
          </w:tcPr>
          <w:p w14:paraId="6D6F2972"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Rrugë në total (km)</w:t>
            </w:r>
          </w:p>
        </w:tc>
        <w:tc>
          <w:tcPr>
            <w:tcW w:w="2693" w:type="dxa"/>
          </w:tcPr>
          <w:p w14:paraId="6D6F297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13,983</w:t>
            </w:r>
          </w:p>
        </w:tc>
        <w:tc>
          <w:tcPr>
            <w:tcW w:w="2658" w:type="dxa"/>
          </w:tcPr>
          <w:p w14:paraId="6D6F297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18,000</w:t>
            </w:r>
          </w:p>
        </w:tc>
      </w:tr>
      <w:tr w:rsidR="00650E6F" w:rsidRPr="000E1EB0" w14:paraId="6D6F2979"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976"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Lokomotiva</w:t>
            </w:r>
          </w:p>
        </w:tc>
        <w:tc>
          <w:tcPr>
            <w:tcW w:w="2693" w:type="dxa"/>
          </w:tcPr>
          <w:p w14:paraId="6D6F297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52</w:t>
            </w:r>
          </w:p>
        </w:tc>
        <w:tc>
          <w:tcPr>
            <w:tcW w:w="2658" w:type="dxa"/>
          </w:tcPr>
          <w:p w14:paraId="6D6F297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53</w:t>
            </w:r>
          </w:p>
        </w:tc>
      </w:tr>
      <w:tr w:rsidR="00650E6F" w:rsidRPr="000E1EB0" w14:paraId="6D6F297D" w14:textId="77777777" w:rsidTr="00650E6F">
        <w:tc>
          <w:tcPr>
            <w:cnfStyle w:val="001000000000" w:firstRow="0" w:lastRow="0" w:firstColumn="1" w:lastColumn="0" w:oddVBand="0" w:evenVBand="0" w:oddHBand="0" w:evenHBand="0" w:firstRowFirstColumn="0" w:firstRowLastColumn="0" w:lastRowFirstColumn="0" w:lastRowLastColumn="0"/>
            <w:tcW w:w="3936" w:type="dxa"/>
          </w:tcPr>
          <w:p w14:paraId="6D6F297A"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Transport hekurudhor për mallra (‘000 t-km)</w:t>
            </w:r>
          </w:p>
        </w:tc>
        <w:tc>
          <w:tcPr>
            <w:tcW w:w="2693" w:type="dxa"/>
          </w:tcPr>
          <w:p w14:paraId="6D6F297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478,925</w:t>
            </w:r>
          </w:p>
        </w:tc>
        <w:tc>
          <w:tcPr>
            <w:tcW w:w="2658" w:type="dxa"/>
          </w:tcPr>
          <w:p w14:paraId="6D6F297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8,333</w:t>
            </w:r>
          </w:p>
        </w:tc>
      </w:tr>
      <w:tr w:rsidR="00650E6F" w:rsidRPr="000E1EB0" w14:paraId="6D6F2981"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97E"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Makina të pasagjerëve</w:t>
            </w:r>
          </w:p>
        </w:tc>
        <w:tc>
          <w:tcPr>
            <w:tcW w:w="2693" w:type="dxa"/>
          </w:tcPr>
          <w:p w14:paraId="6D6F297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313,084</w:t>
            </w:r>
          </w:p>
        </w:tc>
        <w:tc>
          <w:tcPr>
            <w:tcW w:w="2658" w:type="dxa"/>
          </w:tcPr>
          <w:p w14:paraId="6D6F298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300,974</w:t>
            </w:r>
          </w:p>
        </w:tc>
      </w:tr>
      <w:tr w:rsidR="00650E6F" w:rsidRPr="000E1EB0" w14:paraId="6D6F2985" w14:textId="77777777" w:rsidTr="00650E6F">
        <w:tc>
          <w:tcPr>
            <w:cnfStyle w:val="001000000000" w:firstRow="0" w:lastRow="0" w:firstColumn="1" w:lastColumn="0" w:oddVBand="0" w:evenVBand="0" w:oddHBand="0" w:evenHBand="0" w:firstRowFirstColumn="0" w:firstRowLastColumn="0" w:lastRowFirstColumn="0" w:lastRowLastColumn="0"/>
            <w:tcW w:w="3936" w:type="dxa"/>
          </w:tcPr>
          <w:p w14:paraId="6D6F2982"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Mjete për transportin e mallrave</w:t>
            </w:r>
          </w:p>
        </w:tc>
        <w:tc>
          <w:tcPr>
            <w:tcW w:w="2693" w:type="dxa"/>
          </w:tcPr>
          <w:p w14:paraId="6D6F298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27,917</w:t>
            </w:r>
          </w:p>
        </w:tc>
        <w:tc>
          <w:tcPr>
            <w:tcW w:w="2658" w:type="dxa"/>
          </w:tcPr>
          <w:p w14:paraId="6D6F298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71,278</w:t>
            </w:r>
          </w:p>
        </w:tc>
      </w:tr>
      <w:tr w:rsidR="00650E6F" w:rsidRPr="000E1EB0" w14:paraId="6D6F2989"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6F2986" w14:textId="1436399C" w:rsidR="00650E6F" w:rsidRPr="000E1EB0" w:rsidRDefault="00650E6F" w:rsidP="00E56170">
            <w:pPr>
              <w:jc w:val="both"/>
              <w:rPr>
                <w:rFonts w:ascii="Garamond" w:hAnsi="Garamond" w:cs="Tahoma"/>
                <w:b w:val="0"/>
                <w:sz w:val="20"/>
                <w:szCs w:val="20"/>
                <w:lang w:val="sq-AL"/>
              </w:rPr>
            </w:pPr>
            <w:r w:rsidRPr="000E1EB0">
              <w:rPr>
                <w:rFonts w:ascii="Garamond" w:hAnsi="Garamond" w:cs="Tahoma"/>
                <w:b w:val="0"/>
                <w:sz w:val="20"/>
                <w:szCs w:val="20"/>
                <w:lang w:val="sq-AL"/>
              </w:rPr>
              <w:t>Autobu</w:t>
            </w:r>
            <w:r w:rsidR="00E56170">
              <w:rPr>
                <w:rFonts w:ascii="Garamond" w:hAnsi="Garamond" w:cs="Tahoma"/>
                <w:b w:val="0"/>
                <w:sz w:val="20"/>
                <w:szCs w:val="20"/>
                <w:lang w:val="sq-AL"/>
              </w:rPr>
              <w:t>s</w:t>
            </w:r>
            <w:r w:rsidRPr="000E1EB0">
              <w:rPr>
                <w:rFonts w:ascii="Garamond" w:hAnsi="Garamond" w:cs="Tahoma"/>
                <w:b w:val="0"/>
                <w:sz w:val="20"/>
                <w:szCs w:val="20"/>
                <w:lang w:val="sq-AL"/>
              </w:rPr>
              <w:t>ë</w:t>
            </w:r>
          </w:p>
        </w:tc>
        <w:tc>
          <w:tcPr>
            <w:tcW w:w="2693" w:type="dxa"/>
          </w:tcPr>
          <w:p w14:paraId="6D6F298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2,636</w:t>
            </w:r>
          </w:p>
        </w:tc>
        <w:tc>
          <w:tcPr>
            <w:tcW w:w="2658" w:type="dxa"/>
          </w:tcPr>
          <w:p w14:paraId="6D6F298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6,698</w:t>
            </w:r>
          </w:p>
        </w:tc>
      </w:tr>
    </w:tbl>
    <w:p w14:paraId="6D6F298A" w14:textId="08FC99E4" w:rsidR="00650E6F" w:rsidRPr="000E1EB0" w:rsidRDefault="00650E6F" w:rsidP="00650E6F">
      <w:pPr>
        <w:pStyle w:val="AAAATEX"/>
        <w:rPr>
          <w:i/>
        </w:rPr>
      </w:pPr>
      <w:r w:rsidRPr="000E1EB0">
        <w:rPr>
          <w:i/>
        </w:rPr>
        <w:t>Burimi: Zyra Shtetërore e Statistikave (</w:t>
      </w:r>
      <w:r w:rsidR="00EB5DEB">
        <w:rPr>
          <w:i/>
        </w:rPr>
        <w:t>ish-Repu</w:t>
      </w:r>
      <w:r w:rsidRPr="000E1EB0">
        <w:rPr>
          <w:i/>
        </w:rPr>
        <w:t>blika Jugosllave e Maqedonisë), INSTAT</w:t>
      </w:r>
      <w:r w:rsidR="00642F3A">
        <w:rPr>
          <w:i/>
        </w:rPr>
        <w:t>-i</w:t>
      </w:r>
      <w:r w:rsidRPr="000E1EB0">
        <w:rPr>
          <w:i/>
        </w:rPr>
        <w:t>, Ministria e Punëve Publike dhe Transportit (Republika e Shqipërisë), 2012</w:t>
      </w:r>
    </w:p>
    <w:p w14:paraId="7F4CD821" w14:textId="77777777" w:rsidR="00E56170" w:rsidRDefault="00E56170" w:rsidP="00650E6F">
      <w:pPr>
        <w:pStyle w:val="AAAATEX"/>
      </w:pPr>
    </w:p>
    <w:p w14:paraId="6D6F298B" w14:textId="6B217891" w:rsidR="00650E6F" w:rsidRPr="000E1EB0" w:rsidRDefault="00650E6F" w:rsidP="00650E6F">
      <w:pPr>
        <w:pStyle w:val="AAAATEX"/>
      </w:pPr>
      <w:r w:rsidRPr="000E1EB0">
        <w:t>Nuk ka të dhëna që ilustrojnë ndarjen rajonale të infrastrukturës së transportit, por për të dy</w:t>
      </w:r>
      <w:r w:rsidR="001B727D">
        <w:t>ja</w:t>
      </w:r>
      <w:r w:rsidRPr="000E1EB0">
        <w:t xml:space="preserve"> vendet rruga e interesit të përbashkët të transportit është Korridori VIII Perëndim-Lindje dhe për zonën kufitare është një seksion i rrugës Elbasan-Kafasan-Shkup. Autostrada Tiranë-Elbasan e përfunduar kohët e fundit është një përmirësim i rëndësishëm në këtë rrugë ndërkombëtare, e cila përmirëson kushtet e sigurisë së transportit rrugor dhe aksesin në të. </w:t>
      </w:r>
    </w:p>
    <w:p w14:paraId="6D6F298C" w14:textId="7480D591" w:rsidR="00650E6F" w:rsidRPr="000E1EB0" w:rsidRDefault="00650E6F" w:rsidP="00650E6F">
      <w:pPr>
        <w:pStyle w:val="AAAATEX"/>
      </w:pPr>
      <w:r w:rsidRPr="000E1EB0">
        <w:t>Transporti rrugor duket si mënyra më e rëndësishme e transportit, pasi nuk ka asnjë hekurudhë që lidh të dy</w:t>
      </w:r>
      <w:r w:rsidR="00E56170">
        <w:t>ja</w:t>
      </w:r>
      <w:r w:rsidRPr="000E1EB0">
        <w:t xml:space="preserve"> vendet </w:t>
      </w:r>
      <w:r w:rsidR="0002154D">
        <w:t>–</w:t>
      </w:r>
      <w:r w:rsidRPr="000E1EB0">
        <w:t xml:space="preserve"> linja</w:t>
      </w:r>
      <w:r w:rsidR="0002154D">
        <w:t xml:space="preserve"> </w:t>
      </w:r>
      <w:r w:rsidRPr="000E1EB0">
        <w:t>Shkup</w:t>
      </w:r>
      <w:r w:rsidR="0002154D">
        <w:t>–</w:t>
      </w:r>
      <w:r w:rsidRPr="000E1EB0">
        <w:t xml:space="preserve">Kërçovë nuk shtrihet më tej në drejtim të Ohrit dhe në kufi. </w:t>
      </w:r>
    </w:p>
    <w:p w14:paraId="6D6F298D" w14:textId="71FC43FD" w:rsidR="00650E6F" w:rsidRPr="000E1EB0" w:rsidRDefault="00650E6F" w:rsidP="00650E6F">
      <w:pPr>
        <w:pStyle w:val="AAAATEX"/>
        <w:rPr>
          <w:b/>
        </w:rPr>
      </w:pPr>
      <w:r w:rsidRPr="000E1EB0">
        <w:rPr>
          <w:b/>
        </w:rPr>
        <w:t xml:space="preserve">Kohezioni </w:t>
      </w:r>
      <w:r w:rsidR="00E56170">
        <w:rPr>
          <w:b/>
        </w:rPr>
        <w:t>s</w:t>
      </w:r>
      <w:r w:rsidRPr="000E1EB0">
        <w:rPr>
          <w:b/>
        </w:rPr>
        <w:t>ocial</w:t>
      </w:r>
    </w:p>
    <w:p w14:paraId="6D6F298E" w14:textId="77777777" w:rsidR="00650E6F" w:rsidRPr="000E1EB0" w:rsidRDefault="00650E6F" w:rsidP="00650E6F">
      <w:pPr>
        <w:pStyle w:val="AAAATEX"/>
      </w:pPr>
      <w:r w:rsidRPr="000E1EB0">
        <w:t>Ky seksion përshkruan tiparet kryesore të kapacitetit të zonës së programit për të siguruar mirëqenien e popullit të saj duke minimizuar dallimet dhe duke shmangur margjinalizimin.</w:t>
      </w:r>
    </w:p>
    <w:p w14:paraId="6D6F298F" w14:textId="77777777" w:rsidR="00650E6F" w:rsidRPr="000E1EB0" w:rsidRDefault="00650E6F" w:rsidP="00650E6F">
      <w:pPr>
        <w:pStyle w:val="AAAATEX"/>
        <w:rPr>
          <w:b/>
        </w:rPr>
      </w:pPr>
      <w:r w:rsidRPr="000E1EB0">
        <w:rPr>
          <w:b/>
        </w:rPr>
        <w:t>Papunësia</w:t>
      </w:r>
    </w:p>
    <w:p w14:paraId="6D6F2990" w14:textId="01B068EE" w:rsidR="00650E6F" w:rsidRPr="000E1EB0" w:rsidRDefault="00650E6F" w:rsidP="00650E6F">
      <w:pPr>
        <w:pStyle w:val="AAAATEX"/>
      </w:pPr>
      <w:r w:rsidRPr="000E1EB0">
        <w:t xml:space="preserve">Sipas metodologjisë LFS, shkalla e papunësisë përfaqëson pabarazi të mëdha ndërmjet dy vendeve kufitare. Në mënyrë të qartë, papunësia është një çështje shumë shqetësuese dhe </w:t>
      </w:r>
      <w:r w:rsidRPr="000E1EB0">
        <w:lastRenderedPageBreak/>
        <w:t>problematike në ish</w:t>
      </w:r>
      <w:r w:rsidR="00EA44DF">
        <w:t>-</w:t>
      </w:r>
      <w:r w:rsidRPr="000E1EB0">
        <w:t xml:space="preserve">Republikën Jugosllave të Maqedonisë, ndërsa në Republikën e Shqipërisë pjesa më e madhe e fuqisë punëtore thithet nga ekonomia e fragmentuar rurale. </w:t>
      </w:r>
    </w:p>
    <w:p w14:paraId="6D6F2991"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5000" w:type="pct"/>
        <w:tblLook w:val="04A0" w:firstRow="1" w:lastRow="0" w:firstColumn="1" w:lastColumn="0" w:noHBand="0" w:noVBand="1"/>
      </w:tblPr>
      <w:tblGrid>
        <w:gridCol w:w="3888"/>
        <w:gridCol w:w="5688"/>
      </w:tblGrid>
      <w:tr w:rsidR="00650E6F" w:rsidRPr="000E1EB0" w14:paraId="6D6F2994" w14:textId="77777777" w:rsidTr="004B3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92"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2970" w:type="pct"/>
          </w:tcPr>
          <w:p w14:paraId="6D6F299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Papunësia (%)</w:t>
            </w:r>
          </w:p>
        </w:tc>
      </w:tr>
      <w:tr w:rsidR="00650E6F" w:rsidRPr="000E1EB0" w14:paraId="6D6F2997"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95" w14:textId="77777777" w:rsidR="00650E6F" w:rsidRPr="000E1EB0" w:rsidRDefault="00650E6F" w:rsidP="004B3B7A">
            <w:pPr>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2970" w:type="pct"/>
          </w:tcPr>
          <w:p w14:paraId="6D6F299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25.3</w:t>
            </w:r>
          </w:p>
        </w:tc>
      </w:tr>
      <w:tr w:rsidR="00650E6F" w:rsidRPr="000E1EB0" w14:paraId="6D6F299A"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98" w14:textId="77777777" w:rsidR="00650E6F" w:rsidRPr="000E1EB0" w:rsidRDefault="00650E6F" w:rsidP="004B3B7A">
            <w:pPr>
              <w:rPr>
                <w:rFonts w:ascii="Garamond" w:hAnsi="Garamond" w:cs="Tahoma"/>
                <w:b w:val="0"/>
                <w:sz w:val="20"/>
                <w:szCs w:val="20"/>
                <w:lang w:val="sq-AL"/>
              </w:rPr>
            </w:pPr>
            <w:r w:rsidRPr="000E1EB0">
              <w:rPr>
                <w:rFonts w:ascii="Garamond" w:hAnsi="Garamond" w:cs="Tahoma"/>
                <w:b w:val="0"/>
                <w:sz w:val="20"/>
                <w:szCs w:val="20"/>
                <w:lang w:val="sq-AL"/>
              </w:rPr>
              <w:t>Pollogu</w:t>
            </w:r>
          </w:p>
        </w:tc>
        <w:tc>
          <w:tcPr>
            <w:tcW w:w="2970" w:type="pct"/>
          </w:tcPr>
          <w:p w14:paraId="6D6F299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34.2</w:t>
            </w:r>
          </w:p>
        </w:tc>
      </w:tr>
      <w:tr w:rsidR="00650E6F" w:rsidRPr="000E1EB0" w14:paraId="6D6F299D"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9B" w14:textId="77777777" w:rsidR="00650E6F" w:rsidRPr="000E1EB0" w:rsidRDefault="00650E6F" w:rsidP="004B3B7A">
            <w:pPr>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2970" w:type="pct"/>
          </w:tcPr>
          <w:p w14:paraId="6D6F299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42.3</w:t>
            </w:r>
          </w:p>
        </w:tc>
      </w:tr>
      <w:tr w:rsidR="00650E6F" w:rsidRPr="000E1EB0" w14:paraId="6D6F29A0"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9E" w14:textId="4EEEDB7C" w:rsidR="00650E6F" w:rsidRPr="000E1EB0" w:rsidRDefault="00650E6F" w:rsidP="004B3B7A">
            <w:pPr>
              <w:rPr>
                <w:rFonts w:ascii="Garamond" w:hAnsi="Garamond" w:cs="Tahoma"/>
                <w:sz w:val="20"/>
                <w:szCs w:val="20"/>
                <w:lang w:val="sq-AL"/>
              </w:rPr>
            </w:pPr>
            <w:r w:rsidRPr="000E1EB0">
              <w:rPr>
                <w:rFonts w:ascii="Garamond" w:hAnsi="Garamond" w:cs="Tahoma"/>
                <w:sz w:val="20"/>
                <w:szCs w:val="20"/>
                <w:lang w:val="sq-AL"/>
              </w:rPr>
              <w:t>Ish</w:t>
            </w:r>
            <w:r w:rsidR="00EA44DF">
              <w:rPr>
                <w:rFonts w:ascii="Garamond" w:hAnsi="Garamond" w:cs="Tahoma"/>
                <w:sz w:val="20"/>
                <w:szCs w:val="20"/>
                <w:lang w:val="sq-AL"/>
              </w:rPr>
              <w:t>-</w:t>
            </w:r>
            <w:r w:rsidRPr="000E1EB0">
              <w:rPr>
                <w:rFonts w:ascii="Garamond" w:hAnsi="Garamond" w:cs="Tahoma"/>
                <w:sz w:val="20"/>
                <w:szCs w:val="20"/>
                <w:lang w:val="sq-AL"/>
              </w:rPr>
              <w:t>Republika Jugosllave e Maqedonisë</w:t>
            </w:r>
          </w:p>
        </w:tc>
        <w:tc>
          <w:tcPr>
            <w:tcW w:w="2970" w:type="pct"/>
          </w:tcPr>
          <w:p w14:paraId="6D6F299F"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31.0</w:t>
            </w:r>
          </w:p>
        </w:tc>
      </w:tr>
      <w:tr w:rsidR="00650E6F" w:rsidRPr="000E1EB0" w14:paraId="6D6F29A3"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A1" w14:textId="77777777" w:rsidR="00650E6F" w:rsidRPr="000E1EB0" w:rsidRDefault="00650E6F" w:rsidP="004B3B7A">
            <w:pPr>
              <w:rPr>
                <w:rFonts w:ascii="Garamond" w:hAnsi="Garamond" w:cs="Tahoma"/>
                <w:b w:val="0"/>
                <w:sz w:val="20"/>
                <w:szCs w:val="20"/>
                <w:lang w:val="sq-AL"/>
              </w:rPr>
            </w:pPr>
            <w:r w:rsidRPr="000E1EB0">
              <w:rPr>
                <w:rFonts w:ascii="Garamond" w:hAnsi="Garamond" w:cs="Tahoma"/>
                <w:b w:val="0"/>
                <w:sz w:val="20"/>
                <w:szCs w:val="20"/>
                <w:lang w:val="sq-AL"/>
              </w:rPr>
              <w:t>Dibra</w:t>
            </w:r>
          </w:p>
        </w:tc>
        <w:tc>
          <w:tcPr>
            <w:tcW w:w="2970" w:type="pct"/>
          </w:tcPr>
          <w:p w14:paraId="6D6F29A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8.7</w:t>
            </w:r>
          </w:p>
        </w:tc>
      </w:tr>
      <w:tr w:rsidR="00650E6F" w:rsidRPr="000E1EB0" w14:paraId="6D6F29A6"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A4" w14:textId="77777777" w:rsidR="00650E6F" w:rsidRPr="000E1EB0" w:rsidRDefault="00650E6F" w:rsidP="004B3B7A">
            <w:pPr>
              <w:rPr>
                <w:rFonts w:ascii="Garamond" w:hAnsi="Garamond" w:cs="Tahoma"/>
                <w:b w:val="0"/>
                <w:sz w:val="20"/>
                <w:szCs w:val="20"/>
                <w:lang w:val="sq-AL"/>
              </w:rPr>
            </w:pPr>
            <w:r w:rsidRPr="000E1EB0">
              <w:rPr>
                <w:rFonts w:ascii="Garamond" w:hAnsi="Garamond" w:cs="Tahoma"/>
                <w:b w:val="0"/>
                <w:sz w:val="20"/>
                <w:szCs w:val="20"/>
                <w:lang w:val="sq-AL"/>
              </w:rPr>
              <w:t>Elbasani</w:t>
            </w:r>
          </w:p>
        </w:tc>
        <w:tc>
          <w:tcPr>
            <w:tcW w:w="2970" w:type="pct"/>
          </w:tcPr>
          <w:p w14:paraId="6D6F29A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6.0</w:t>
            </w:r>
          </w:p>
        </w:tc>
      </w:tr>
      <w:tr w:rsidR="00650E6F" w:rsidRPr="000E1EB0" w14:paraId="6D6F29A9"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A7" w14:textId="77777777" w:rsidR="00650E6F" w:rsidRPr="000E1EB0" w:rsidRDefault="00650E6F" w:rsidP="004B3B7A">
            <w:pPr>
              <w:rPr>
                <w:rFonts w:ascii="Garamond" w:hAnsi="Garamond" w:cs="Tahoma"/>
                <w:b w:val="0"/>
                <w:sz w:val="20"/>
                <w:szCs w:val="20"/>
                <w:lang w:val="sq-AL"/>
              </w:rPr>
            </w:pPr>
            <w:r w:rsidRPr="000E1EB0">
              <w:rPr>
                <w:rFonts w:ascii="Garamond" w:hAnsi="Garamond" w:cs="Tahoma"/>
                <w:b w:val="0"/>
                <w:sz w:val="20"/>
                <w:szCs w:val="20"/>
                <w:lang w:val="sq-AL"/>
              </w:rPr>
              <w:t>Korça</w:t>
            </w:r>
          </w:p>
        </w:tc>
        <w:tc>
          <w:tcPr>
            <w:tcW w:w="2970" w:type="pct"/>
          </w:tcPr>
          <w:p w14:paraId="6D6F29A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10.4</w:t>
            </w:r>
          </w:p>
        </w:tc>
      </w:tr>
      <w:tr w:rsidR="00650E6F" w:rsidRPr="000E1EB0" w14:paraId="6D6F29AC"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AA"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Republika e Shqipërisë</w:t>
            </w:r>
          </w:p>
        </w:tc>
        <w:tc>
          <w:tcPr>
            <w:tcW w:w="2970" w:type="pct"/>
          </w:tcPr>
          <w:p w14:paraId="6D6F29A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13.4</w:t>
            </w:r>
          </w:p>
        </w:tc>
      </w:tr>
    </w:tbl>
    <w:p w14:paraId="6D6F29AD" w14:textId="77777777" w:rsidR="00650E6F" w:rsidRPr="000E1EB0" w:rsidRDefault="00650E6F" w:rsidP="00650E6F">
      <w:pPr>
        <w:pStyle w:val="AAAATEX"/>
        <w:rPr>
          <w:i/>
        </w:rPr>
      </w:pPr>
      <w:r w:rsidRPr="000E1EB0">
        <w:rPr>
          <w:i/>
        </w:rPr>
        <w:t>Burimi: Zyra Shtetërore e Statistikave, INSTAT, LFS 2012</w:t>
      </w:r>
    </w:p>
    <w:p w14:paraId="3C6711BE" w14:textId="77777777" w:rsidR="00EA44DF" w:rsidRDefault="00EA44DF" w:rsidP="00650E6F">
      <w:pPr>
        <w:pStyle w:val="AAAATEX"/>
        <w:rPr>
          <w:b/>
        </w:rPr>
      </w:pPr>
    </w:p>
    <w:p w14:paraId="6D6F29AE" w14:textId="77777777" w:rsidR="00650E6F" w:rsidRPr="000E1EB0" w:rsidRDefault="00650E6F" w:rsidP="00650E6F">
      <w:pPr>
        <w:pStyle w:val="AAAATEX"/>
        <w:rPr>
          <w:b/>
        </w:rPr>
      </w:pPr>
      <w:r w:rsidRPr="000E1EB0">
        <w:rPr>
          <w:b/>
        </w:rPr>
        <w:t>Të ardhurat</w:t>
      </w:r>
    </w:p>
    <w:p w14:paraId="6D6F29AF" w14:textId="5E5756B8" w:rsidR="00650E6F" w:rsidRPr="000E1EB0" w:rsidRDefault="00650E6F" w:rsidP="00650E6F">
      <w:pPr>
        <w:pStyle w:val="AAAATEX"/>
      </w:pPr>
      <w:r w:rsidRPr="000E1EB0">
        <w:t>Pagesa mesatare neto për të punësuarit në ish</w:t>
      </w:r>
      <w:r w:rsidR="00EA44DF">
        <w:t>-</w:t>
      </w:r>
      <w:r w:rsidRPr="000E1EB0">
        <w:t>Republikën Jugosllave të Maqedonisë arrin në 335 € dhe në Republikën e Shqipërisë deri në</w:t>
      </w:r>
      <w:r w:rsidR="009A5DA1">
        <w:t xml:space="preserve"> </w:t>
      </w:r>
      <w:r w:rsidRPr="000E1EB0">
        <w:t>356 €. Pra, njerëzit në Republikën e Shqipërisë fitojnë 7% më shumë se sa ata që jetojnë në ish-Republikën Jugosllave të Maqedonisë. Pagat neto ndryshojnë në rajone të ndryshme në të dy</w:t>
      </w:r>
      <w:r w:rsidR="001B727D">
        <w:t>ja</w:t>
      </w:r>
      <w:r w:rsidRPr="000E1EB0">
        <w:t xml:space="preserve"> vendet, por në zonat përfituese të programit nuk ka pabarazi të konsiderueshme në nivelin e të ardhurave neto. </w:t>
      </w:r>
    </w:p>
    <w:p w14:paraId="6D6F29B0" w14:textId="77777777" w:rsidR="00650E6F" w:rsidRPr="000E1EB0" w:rsidRDefault="00650E6F" w:rsidP="00650E6F">
      <w:pPr>
        <w:pStyle w:val="AAAATEX"/>
      </w:pPr>
    </w:p>
    <w:tbl>
      <w:tblPr>
        <w:tblStyle w:val="MediumGrid3-Accent1"/>
        <w:tblW w:w="5000" w:type="pct"/>
        <w:tblLook w:val="04A0" w:firstRow="1" w:lastRow="0" w:firstColumn="1" w:lastColumn="0" w:noHBand="0" w:noVBand="1"/>
      </w:tblPr>
      <w:tblGrid>
        <w:gridCol w:w="3888"/>
        <w:gridCol w:w="5688"/>
      </w:tblGrid>
      <w:tr w:rsidR="00650E6F" w:rsidRPr="000E1EB0" w14:paraId="6D6F29B3" w14:textId="77777777" w:rsidTr="004B3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B1"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2970" w:type="pct"/>
          </w:tcPr>
          <w:p w14:paraId="6D6F29B2" w14:textId="326730CC" w:rsidR="00650E6F" w:rsidRPr="000E1EB0" w:rsidRDefault="00650E6F" w:rsidP="001B727D">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Paga neto, </w:t>
            </w:r>
            <w:r w:rsidR="001B727D">
              <w:rPr>
                <w:rFonts w:ascii="Garamond" w:hAnsi="Garamond" w:cs="Tahoma"/>
                <w:sz w:val="20"/>
                <w:szCs w:val="20"/>
                <w:lang w:val="sq-AL"/>
              </w:rPr>
              <w:t>p</w:t>
            </w:r>
            <w:r w:rsidRPr="000E1EB0">
              <w:rPr>
                <w:rFonts w:ascii="Garamond" w:hAnsi="Garamond" w:cs="Tahoma"/>
                <w:sz w:val="20"/>
                <w:szCs w:val="20"/>
                <w:lang w:val="sq-AL"/>
              </w:rPr>
              <w:t>ër vend=100</w:t>
            </w:r>
          </w:p>
        </w:tc>
      </w:tr>
      <w:tr w:rsidR="00650E6F" w:rsidRPr="000E1EB0" w14:paraId="6D6F29B6"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B4"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2970" w:type="pct"/>
          </w:tcPr>
          <w:p w14:paraId="6D6F29B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91.7</w:t>
            </w:r>
          </w:p>
        </w:tc>
      </w:tr>
      <w:tr w:rsidR="00650E6F" w:rsidRPr="000E1EB0" w14:paraId="6D6F29B9"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B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Pollogu</w:t>
            </w:r>
          </w:p>
        </w:tc>
        <w:tc>
          <w:tcPr>
            <w:tcW w:w="2970" w:type="pct"/>
          </w:tcPr>
          <w:p w14:paraId="6D6F29B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95.6</w:t>
            </w:r>
          </w:p>
        </w:tc>
      </w:tr>
      <w:tr w:rsidR="00650E6F" w:rsidRPr="000E1EB0" w14:paraId="6D6F29BC"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BA"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2970" w:type="pct"/>
          </w:tcPr>
          <w:p w14:paraId="6D6F29B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90.8</w:t>
            </w:r>
          </w:p>
        </w:tc>
      </w:tr>
      <w:tr w:rsidR="00650E6F" w:rsidRPr="000E1EB0" w14:paraId="6D6F29BF"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BD" w14:textId="32EEDACF" w:rsidR="00650E6F" w:rsidRPr="000E1EB0" w:rsidRDefault="00650E6F" w:rsidP="00EA44DF">
            <w:pPr>
              <w:jc w:val="both"/>
              <w:rPr>
                <w:rFonts w:ascii="Garamond" w:hAnsi="Garamond" w:cs="Tahoma"/>
                <w:sz w:val="20"/>
                <w:szCs w:val="20"/>
                <w:lang w:val="sq-AL"/>
              </w:rPr>
            </w:pPr>
            <w:r w:rsidRPr="000E1EB0">
              <w:rPr>
                <w:rFonts w:ascii="Garamond" w:hAnsi="Garamond" w:cs="Tahoma"/>
                <w:sz w:val="20"/>
                <w:szCs w:val="20"/>
                <w:lang w:val="sq-AL"/>
              </w:rPr>
              <w:t>Ish</w:t>
            </w:r>
            <w:r w:rsidR="00EA44DF">
              <w:rPr>
                <w:rFonts w:ascii="Garamond" w:hAnsi="Garamond" w:cs="Tahoma"/>
                <w:sz w:val="20"/>
                <w:szCs w:val="20"/>
                <w:lang w:val="sq-AL"/>
              </w:rPr>
              <w:t>-</w:t>
            </w:r>
            <w:r w:rsidRPr="000E1EB0">
              <w:rPr>
                <w:rFonts w:ascii="Garamond" w:hAnsi="Garamond" w:cs="Tahoma"/>
                <w:sz w:val="20"/>
                <w:szCs w:val="20"/>
                <w:lang w:val="sq-AL"/>
              </w:rPr>
              <w:t>Republika Jugosllave e Maqedonisë</w:t>
            </w:r>
          </w:p>
        </w:tc>
        <w:tc>
          <w:tcPr>
            <w:tcW w:w="2970" w:type="pct"/>
          </w:tcPr>
          <w:p w14:paraId="6D6F29BE"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r w:rsidR="00650E6F" w:rsidRPr="000E1EB0" w14:paraId="6D6F29C2"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C0"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Dibra</w:t>
            </w:r>
          </w:p>
        </w:tc>
        <w:tc>
          <w:tcPr>
            <w:tcW w:w="2970" w:type="pct"/>
          </w:tcPr>
          <w:p w14:paraId="6D6F29C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97.0</w:t>
            </w:r>
          </w:p>
        </w:tc>
      </w:tr>
      <w:tr w:rsidR="00650E6F" w:rsidRPr="000E1EB0" w14:paraId="6D6F29C5"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C3"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Elbasani</w:t>
            </w:r>
          </w:p>
        </w:tc>
        <w:tc>
          <w:tcPr>
            <w:tcW w:w="2970" w:type="pct"/>
          </w:tcPr>
          <w:p w14:paraId="6D6F29C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95.7</w:t>
            </w:r>
          </w:p>
        </w:tc>
      </w:tr>
      <w:tr w:rsidR="00650E6F" w:rsidRPr="000E1EB0" w14:paraId="6D6F29C8"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pct"/>
          </w:tcPr>
          <w:p w14:paraId="6D6F29C6"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Korça</w:t>
            </w:r>
          </w:p>
        </w:tc>
        <w:tc>
          <w:tcPr>
            <w:tcW w:w="2970" w:type="pct"/>
          </w:tcPr>
          <w:p w14:paraId="6D6F29C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100.3</w:t>
            </w:r>
          </w:p>
        </w:tc>
      </w:tr>
      <w:tr w:rsidR="00650E6F" w:rsidRPr="000E1EB0" w14:paraId="6D6F29CB" w14:textId="77777777" w:rsidTr="004B3B7A">
        <w:tc>
          <w:tcPr>
            <w:cnfStyle w:val="001000000000" w:firstRow="0" w:lastRow="0" w:firstColumn="1" w:lastColumn="0" w:oddVBand="0" w:evenVBand="0" w:oddHBand="0" w:evenHBand="0" w:firstRowFirstColumn="0" w:firstRowLastColumn="0" w:lastRowFirstColumn="0" w:lastRowLastColumn="0"/>
            <w:tcW w:w="2030" w:type="pct"/>
          </w:tcPr>
          <w:p w14:paraId="6D6F29C9"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Republika e Shqipërisë</w:t>
            </w:r>
          </w:p>
        </w:tc>
        <w:tc>
          <w:tcPr>
            <w:tcW w:w="2970" w:type="pct"/>
          </w:tcPr>
          <w:p w14:paraId="6D6F29C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bl>
    <w:p w14:paraId="6D6F29CC" w14:textId="4FB19E5F" w:rsidR="00650E6F" w:rsidRPr="000E1EB0" w:rsidRDefault="00650E6F" w:rsidP="00650E6F">
      <w:pPr>
        <w:pStyle w:val="AAAATEX"/>
        <w:rPr>
          <w:i/>
        </w:rPr>
      </w:pPr>
      <w:r w:rsidRPr="000E1EB0">
        <w:rPr>
          <w:i/>
        </w:rPr>
        <w:t>Burimi: Zyra Shtetërore e Statistikave, llogaritje në bazë të të dhënave të INSTAT</w:t>
      </w:r>
      <w:r w:rsidR="00EA44DF">
        <w:rPr>
          <w:i/>
        </w:rPr>
        <w:t>-it</w:t>
      </w:r>
    </w:p>
    <w:p w14:paraId="16760EA7" w14:textId="77777777" w:rsidR="00EA44DF" w:rsidRDefault="00EA44DF" w:rsidP="00650E6F">
      <w:pPr>
        <w:pStyle w:val="AAAATEX"/>
        <w:rPr>
          <w:b/>
        </w:rPr>
      </w:pPr>
    </w:p>
    <w:p w14:paraId="6D6F29CD" w14:textId="73942C58" w:rsidR="00650E6F" w:rsidRPr="000E1EB0" w:rsidRDefault="00650E6F" w:rsidP="00650E6F">
      <w:pPr>
        <w:pStyle w:val="AAAATEX"/>
        <w:rPr>
          <w:b/>
        </w:rPr>
      </w:pPr>
      <w:r w:rsidRPr="000E1EB0">
        <w:rPr>
          <w:b/>
        </w:rPr>
        <w:t xml:space="preserve">Teknologjia e </w:t>
      </w:r>
      <w:r w:rsidR="00EA44DF">
        <w:rPr>
          <w:b/>
        </w:rPr>
        <w:t>i</w:t>
      </w:r>
      <w:r w:rsidRPr="000E1EB0">
        <w:rPr>
          <w:b/>
        </w:rPr>
        <w:t>nformacionit</w:t>
      </w:r>
    </w:p>
    <w:p w14:paraId="6D6F29CE" w14:textId="29596065" w:rsidR="00650E6F" w:rsidRPr="000E1EB0" w:rsidRDefault="00650E6F" w:rsidP="00650E6F">
      <w:pPr>
        <w:pStyle w:val="AAAATEX"/>
      </w:pPr>
      <w:r w:rsidRPr="000E1EB0">
        <w:t>Zona e programit karakterizohet nga pabarazi të larta në aksesin dhe përdorimin e teknologjisë së informacionit, e cila është një nga forcat kryesore lëvizëse të zhvillimit ekonomik bashkëkohor. Pabarazitë lidhen me diferencat ndërmjet dy vendeve dhe midis rajoneve të pranueshm</w:t>
      </w:r>
      <w:r w:rsidR="003E49F5">
        <w:t>e</w:t>
      </w:r>
      <w:r w:rsidRPr="000E1EB0">
        <w:t xml:space="preserve"> të Republikës së Shqipërisë.</w:t>
      </w:r>
    </w:p>
    <w:p w14:paraId="6D6F29CF" w14:textId="77777777" w:rsidR="00650E6F" w:rsidRPr="000E1EB0" w:rsidRDefault="00650E6F" w:rsidP="00650E6F">
      <w:pPr>
        <w:pStyle w:val="AAAATEX"/>
      </w:pPr>
    </w:p>
    <w:tbl>
      <w:tblPr>
        <w:tblStyle w:val="MediumGrid3-Accent1"/>
        <w:tblW w:w="0" w:type="auto"/>
        <w:tblLook w:val="04A0" w:firstRow="1" w:lastRow="0" w:firstColumn="1" w:lastColumn="0" w:noHBand="0" w:noVBand="1"/>
      </w:tblPr>
      <w:tblGrid>
        <w:gridCol w:w="3888"/>
        <w:gridCol w:w="2610"/>
        <w:gridCol w:w="2789"/>
      </w:tblGrid>
      <w:tr w:rsidR="00650E6F" w:rsidRPr="000E1EB0" w14:paraId="6D6F29D3" w14:textId="77777777" w:rsidTr="004B3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D6F29D0"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2610" w:type="dxa"/>
          </w:tcPr>
          <w:p w14:paraId="6D6F29D1"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Përdorimi i Kompjuterave</w:t>
            </w:r>
          </w:p>
        </w:tc>
        <w:tc>
          <w:tcPr>
            <w:tcW w:w="2789" w:type="dxa"/>
          </w:tcPr>
          <w:p w14:paraId="6D6F29D2" w14:textId="75A07E03"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Përdorimi i </w:t>
            </w:r>
            <w:r w:rsidR="004B3B7A" w:rsidRPr="000E1EB0">
              <w:rPr>
                <w:rFonts w:ascii="Garamond" w:hAnsi="Garamond" w:cs="Tahoma"/>
                <w:sz w:val="20"/>
                <w:szCs w:val="20"/>
                <w:lang w:val="sq-AL"/>
              </w:rPr>
              <w:t>internetit</w:t>
            </w:r>
          </w:p>
        </w:tc>
      </w:tr>
      <w:tr w:rsidR="00650E6F" w:rsidRPr="000E1EB0" w14:paraId="6D6F29D7"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D6F29D4"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2610" w:type="dxa"/>
          </w:tcPr>
          <w:p w14:paraId="6D6F29D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61.0</w:t>
            </w:r>
          </w:p>
        </w:tc>
        <w:tc>
          <w:tcPr>
            <w:tcW w:w="2789" w:type="dxa"/>
          </w:tcPr>
          <w:p w14:paraId="6D6F29D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55.0</w:t>
            </w:r>
          </w:p>
        </w:tc>
      </w:tr>
      <w:tr w:rsidR="00650E6F" w:rsidRPr="000E1EB0" w14:paraId="6D6F29DB" w14:textId="77777777" w:rsidTr="004B3B7A">
        <w:tc>
          <w:tcPr>
            <w:cnfStyle w:val="001000000000" w:firstRow="0" w:lastRow="0" w:firstColumn="1" w:lastColumn="0" w:oddVBand="0" w:evenVBand="0" w:oddHBand="0" w:evenHBand="0" w:firstRowFirstColumn="0" w:firstRowLastColumn="0" w:lastRowFirstColumn="0" w:lastRowLastColumn="0"/>
            <w:tcW w:w="3888" w:type="dxa"/>
          </w:tcPr>
          <w:p w14:paraId="6D6F29D8"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Pollogu</w:t>
            </w:r>
          </w:p>
        </w:tc>
        <w:tc>
          <w:tcPr>
            <w:tcW w:w="2610" w:type="dxa"/>
          </w:tcPr>
          <w:p w14:paraId="6D6F29D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64.0</w:t>
            </w:r>
          </w:p>
        </w:tc>
        <w:tc>
          <w:tcPr>
            <w:tcW w:w="2789" w:type="dxa"/>
          </w:tcPr>
          <w:p w14:paraId="6D6F29D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64.0</w:t>
            </w:r>
          </w:p>
        </w:tc>
      </w:tr>
      <w:tr w:rsidR="00650E6F" w:rsidRPr="000E1EB0" w14:paraId="6D6F29DF"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D6F29DC"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2610" w:type="dxa"/>
          </w:tcPr>
          <w:p w14:paraId="6D6F29D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64.0</w:t>
            </w:r>
          </w:p>
        </w:tc>
        <w:tc>
          <w:tcPr>
            <w:tcW w:w="2789" w:type="dxa"/>
          </w:tcPr>
          <w:p w14:paraId="6D6F29D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57.0</w:t>
            </w:r>
          </w:p>
        </w:tc>
      </w:tr>
      <w:tr w:rsidR="00650E6F" w:rsidRPr="000E1EB0" w14:paraId="6D6F29E3" w14:textId="77777777" w:rsidTr="004B3B7A">
        <w:tc>
          <w:tcPr>
            <w:cnfStyle w:val="001000000000" w:firstRow="0" w:lastRow="0" w:firstColumn="1" w:lastColumn="0" w:oddVBand="0" w:evenVBand="0" w:oddHBand="0" w:evenHBand="0" w:firstRowFirstColumn="0" w:firstRowLastColumn="0" w:lastRowFirstColumn="0" w:lastRowLastColumn="0"/>
            <w:tcW w:w="3888" w:type="dxa"/>
          </w:tcPr>
          <w:p w14:paraId="6D6F29E0" w14:textId="0DD4EB71" w:rsidR="00650E6F" w:rsidRPr="000E1EB0" w:rsidRDefault="00650E6F" w:rsidP="00EA44DF">
            <w:pPr>
              <w:jc w:val="both"/>
              <w:rPr>
                <w:rFonts w:ascii="Garamond" w:hAnsi="Garamond" w:cs="Tahoma"/>
                <w:sz w:val="20"/>
                <w:szCs w:val="20"/>
                <w:lang w:val="sq-AL"/>
              </w:rPr>
            </w:pPr>
            <w:r w:rsidRPr="000E1EB0">
              <w:rPr>
                <w:rFonts w:ascii="Garamond" w:hAnsi="Garamond" w:cs="Tahoma"/>
                <w:sz w:val="20"/>
                <w:szCs w:val="20"/>
                <w:lang w:val="sq-AL"/>
              </w:rPr>
              <w:t>Ish</w:t>
            </w:r>
            <w:r w:rsidR="00EA44DF">
              <w:rPr>
                <w:rFonts w:ascii="Garamond" w:hAnsi="Garamond" w:cs="Tahoma"/>
                <w:sz w:val="20"/>
                <w:szCs w:val="20"/>
                <w:lang w:val="sq-AL"/>
              </w:rPr>
              <w:t>-</w:t>
            </w:r>
            <w:r w:rsidRPr="000E1EB0">
              <w:rPr>
                <w:rFonts w:ascii="Garamond" w:hAnsi="Garamond" w:cs="Tahoma"/>
                <w:sz w:val="20"/>
                <w:szCs w:val="20"/>
                <w:lang w:val="sq-AL"/>
              </w:rPr>
              <w:t>Republika Jugosllave e Maqedonisë</w:t>
            </w:r>
          </w:p>
        </w:tc>
        <w:tc>
          <w:tcPr>
            <w:tcW w:w="2610" w:type="dxa"/>
          </w:tcPr>
          <w:p w14:paraId="6D6F29E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64.0</w:t>
            </w:r>
          </w:p>
        </w:tc>
        <w:tc>
          <w:tcPr>
            <w:tcW w:w="2789" w:type="dxa"/>
          </w:tcPr>
          <w:p w14:paraId="6D6F29E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58.0</w:t>
            </w:r>
          </w:p>
        </w:tc>
      </w:tr>
      <w:tr w:rsidR="00650E6F" w:rsidRPr="000E1EB0" w14:paraId="6D6F29E7"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D6F29E4"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Dibra</w:t>
            </w:r>
          </w:p>
        </w:tc>
        <w:tc>
          <w:tcPr>
            <w:tcW w:w="2610" w:type="dxa"/>
          </w:tcPr>
          <w:p w14:paraId="6D6F29E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15.5</w:t>
            </w:r>
          </w:p>
        </w:tc>
        <w:tc>
          <w:tcPr>
            <w:tcW w:w="2789" w:type="dxa"/>
          </w:tcPr>
          <w:p w14:paraId="6D6F29E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6.5</w:t>
            </w:r>
          </w:p>
        </w:tc>
      </w:tr>
      <w:tr w:rsidR="00650E6F" w:rsidRPr="000E1EB0" w14:paraId="6D6F29EB" w14:textId="77777777" w:rsidTr="004B3B7A">
        <w:tc>
          <w:tcPr>
            <w:cnfStyle w:val="001000000000" w:firstRow="0" w:lastRow="0" w:firstColumn="1" w:lastColumn="0" w:oddVBand="0" w:evenVBand="0" w:oddHBand="0" w:evenHBand="0" w:firstRowFirstColumn="0" w:firstRowLastColumn="0" w:lastRowFirstColumn="0" w:lastRowLastColumn="0"/>
            <w:tcW w:w="3888" w:type="dxa"/>
          </w:tcPr>
          <w:p w14:paraId="6D6F29E8"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Elbasani</w:t>
            </w:r>
          </w:p>
        </w:tc>
        <w:tc>
          <w:tcPr>
            <w:tcW w:w="2610" w:type="dxa"/>
          </w:tcPr>
          <w:p w14:paraId="6D6F29E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16.8</w:t>
            </w:r>
          </w:p>
        </w:tc>
        <w:tc>
          <w:tcPr>
            <w:tcW w:w="2789" w:type="dxa"/>
          </w:tcPr>
          <w:p w14:paraId="6D6F29E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8.3</w:t>
            </w:r>
          </w:p>
        </w:tc>
      </w:tr>
      <w:tr w:rsidR="00650E6F" w:rsidRPr="000E1EB0" w14:paraId="6D6F29EF" w14:textId="77777777" w:rsidTr="004B3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D6F29EC"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Korça</w:t>
            </w:r>
          </w:p>
        </w:tc>
        <w:tc>
          <w:tcPr>
            <w:tcW w:w="2610" w:type="dxa"/>
          </w:tcPr>
          <w:p w14:paraId="6D6F29E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14.5</w:t>
            </w:r>
          </w:p>
        </w:tc>
        <w:tc>
          <w:tcPr>
            <w:tcW w:w="2789" w:type="dxa"/>
          </w:tcPr>
          <w:p w14:paraId="6D6F29E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11.0</w:t>
            </w:r>
          </w:p>
        </w:tc>
      </w:tr>
      <w:tr w:rsidR="00650E6F" w:rsidRPr="000E1EB0" w14:paraId="6D6F29F3" w14:textId="77777777" w:rsidTr="004B3B7A">
        <w:tc>
          <w:tcPr>
            <w:cnfStyle w:val="001000000000" w:firstRow="0" w:lastRow="0" w:firstColumn="1" w:lastColumn="0" w:oddVBand="0" w:evenVBand="0" w:oddHBand="0" w:evenHBand="0" w:firstRowFirstColumn="0" w:firstRowLastColumn="0" w:lastRowFirstColumn="0" w:lastRowLastColumn="0"/>
            <w:tcW w:w="3888" w:type="dxa"/>
          </w:tcPr>
          <w:p w14:paraId="6D6F29F0"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Republika e Shqipërisë</w:t>
            </w:r>
          </w:p>
        </w:tc>
        <w:tc>
          <w:tcPr>
            <w:tcW w:w="2610" w:type="dxa"/>
          </w:tcPr>
          <w:p w14:paraId="6D6F29F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20.2</w:t>
            </w:r>
          </w:p>
        </w:tc>
        <w:tc>
          <w:tcPr>
            <w:tcW w:w="2789" w:type="dxa"/>
          </w:tcPr>
          <w:p w14:paraId="6D6F29F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14.1</w:t>
            </w:r>
          </w:p>
        </w:tc>
      </w:tr>
    </w:tbl>
    <w:p w14:paraId="6D6F29F4" w14:textId="77777777" w:rsidR="00650E6F" w:rsidRPr="000E1EB0" w:rsidRDefault="00650E6F" w:rsidP="00650E6F">
      <w:pPr>
        <w:pStyle w:val="AAAATEX"/>
        <w:rPr>
          <w:i/>
        </w:rPr>
      </w:pPr>
      <w:r w:rsidRPr="000E1EB0">
        <w:rPr>
          <w:i/>
        </w:rPr>
        <w:t>Burimi: Zyra Shtetërore e Statistikave, INSTAT, LSMS 2012</w:t>
      </w:r>
    </w:p>
    <w:p w14:paraId="3C59081F" w14:textId="77777777" w:rsidR="00EA44DF" w:rsidRDefault="00EA44DF" w:rsidP="00650E6F">
      <w:pPr>
        <w:pStyle w:val="AAAATEX"/>
      </w:pPr>
    </w:p>
    <w:p w14:paraId="6D6F29F5" w14:textId="788172C6" w:rsidR="00650E6F" w:rsidRPr="000E1EB0" w:rsidRDefault="00650E6F" w:rsidP="00650E6F">
      <w:pPr>
        <w:pStyle w:val="AAAATEX"/>
      </w:pPr>
      <w:r w:rsidRPr="0003611D">
        <w:lastRenderedPageBreak/>
        <w:t>Të dhënat e mësipërme ilustrojnë një ndarje di</w:t>
      </w:r>
      <w:r w:rsidR="00FE38C2" w:rsidRPr="0003611D">
        <w:t>gj</w:t>
      </w:r>
      <w:r w:rsidRPr="0003611D">
        <w:t>itale ndërmjet ish-Republikës Jugosllave të Maqedonisë dhe Republikës së Shqipërisë, ku familjet dhe bizneset shqiptare janë padyshim të ekspozuar</w:t>
      </w:r>
      <w:r w:rsidR="007328EC">
        <w:t>a</w:t>
      </w:r>
      <w:r w:rsidRPr="0003611D">
        <w:t xml:space="preserve"> ndaj përjashtimit di</w:t>
      </w:r>
      <w:r w:rsidR="00FE38C2" w:rsidRPr="0003611D">
        <w:t>gj</w:t>
      </w:r>
      <w:r w:rsidRPr="0003611D">
        <w:t>ital. Kjo dukuri përbën një shqetësim kritik, pasi nuk rezulton nga paaftësia apo mosha e njerëzve. Për ish-Republikën Jugosllave të Maqedonisë normat krahasimore janë të larta, por prapë mbeten më të ulëta se në të gjith</w:t>
      </w:r>
      <w:r w:rsidR="00A11F2F">
        <w:t>a</w:t>
      </w:r>
      <w:r w:rsidRPr="0003611D">
        <w:t xml:space="preserve"> shtetet anëtare të BE-së, me afërsisht 30% nën mesataren.</w:t>
      </w:r>
      <w:r w:rsidRPr="000E1EB0">
        <w:t xml:space="preserve"> </w:t>
      </w:r>
    </w:p>
    <w:p w14:paraId="6D6F29F6" w14:textId="77777777" w:rsidR="00650E6F" w:rsidRPr="000E1EB0" w:rsidRDefault="00650E6F" w:rsidP="00650E6F">
      <w:pPr>
        <w:pStyle w:val="AAAATEX"/>
        <w:rPr>
          <w:b/>
        </w:rPr>
      </w:pPr>
      <w:r w:rsidRPr="000E1EB0">
        <w:rPr>
          <w:b/>
        </w:rPr>
        <w:t>Arsimi</w:t>
      </w:r>
    </w:p>
    <w:p w14:paraId="6D6F29F7" w14:textId="63D2B786" w:rsidR="00650E6F" w:rsidRPr="000E1EB0" w:rsidRDefault="00650E6F" w:rsidP="00650E6F">
      <w:pPr>
        <w:pStyle w:val="AAAATEX"/>
      </w:pPr>
      <w:r w:rsidRPr="007E06EC">
        <w:t>Në të dy</w:t>
      </w:r>
      <w:r w:rsidR="0007598B" w:rsidRPr="007E06EC">
        <w:t>ja</w:t>
      </w:r>
      <w:r w:rsidRPr="007E06EC">
        <w:t xml:space="preserve"> vendet shkalla e arsimimit është konsideruar e lartë: 96% për ish-Republikën</w:t>
      </w:r>
      <w:r w:rsidRPr="000E1EB0">
        <w:t xml:space="preserve"> Jugosllave të Maqedonisë dhe 97% për Republikën e Shqipërisë. Nuk ka devijime të mëdha rajonale nga mesatarja kombëtare apo pabarazi ndërmjet rajoneve që përbëjnë zonën e programit.</w:t>
      </w:r>
    </w:p>
    <w:p w14:paraId="6D6F29F8" w14:textId="1CC4D140" w:rsidR="00650E6F" w:rsidRPr="000E1EB0" w:rsidRDefault="00650E6F" w:rsidP="00650E6F">
      <w:pPr>
        <w:pStyle w:val="AAAATEX"/>
        <w:rPr>
          <w:b/>
        </w:rPr>
      </w:pPr>
      <w:r w:rsidRPr="000E1EB0">
        <w:rPr>
          <w:b/>
        </w:rPr>
        <w:t xml:space="preserve">Edukimi dhe </w:t>
      </w:r>
      <w:r w:rsidR="00EA44DF">
        <w:rPr>
          <w:b/>
        </w:rPr>
        <w:t>s</w:t>
      </w:r>
      <w:r w:rsidRPr="000E1EB0">
        <w:rPr>
          <w:b/>
        </w:rPr>
        <w:t>hkollimi</w:t>
      </w:r>
    </w:p>
    <w:p w14:paraId="6D6F29F9" w14:textId="77777777" w:rsidR="00650E6F" w:rsidRPr="000E1EB0" w:rsidRDefault="00650E6F" w:rsidP="00650E6F">
      <w:pPr>
        <w:pStyle w:val="AAAATEX"/>
      </w:pPr>
      <w:r w:rsidRPr="000E1EB0">
        <w:t xml:space="preserve">Shkollimi dhe arsimimi janë strukturat dhe instrumentet qendrore për të zhvilluar dhe për të formësuar kapitalin njerëzor, i cili ka një rol themelor në ndërtimin e një ekonomie të qëndrueshme të bazuar në dije, konkurrencës, kohezionit social dhe qëndrueshmërisë. </w:t>
      </w:r>
    </w:p>
    <w:p w14:paraId="6D6F29FA" w14:textId="77777777" w:rsidR="00650E6F" w:rsidRPr="000E1EB0" w:rsidRDefault="00650E6F" w:rsidP="00650E6F">
      <w:pPr>
        <w:pStyle w:val="AAAATEX"/>
      </w:pPr>
      <w:r w:rsidRPr="000E1EB0">
        <w:t>Ndërsa aksesi në arsimin fillor është relativisht i ekuilibruar dhe shkollat nuk janë të mbipopulluara, arsimi i mesëm është disi më i sforcuar, veçanërisht në Republikën e Shqipërisë, me qarkun e Dibrës të ekspozuar kryesisht ndaj infrastrukturës së pamjaftueshme të shkollave. Në këtë rajon, numri mesatar i nxënësve për mësues është dukshëm më i lartë se mesatarja për vendin (shih tabelën më poshtë).</w:t>
      </w:r>
    </w:p>
    <w:p w14:paraId="6D6F29FB" w14:textId="77777777" w:rsidR="00650E6F" w:rsidRPr="000E1EB0" w:rsidRDefault="00650E6F" w:rsidP="00650E6F">
      <w:pPr>
        <w:spacing w:after="0" w:line="240" w:lineRule="auto"/>
        <w:jc w:val="both"/>
        <w:rPr>
          <w:rFonts w:ascii="Garamond" w:hAnsi="Garamond" w:cs="Tahoma"/>
          <w:sz w:val="20"/>
          <w:szCs w:val="20"/>
        </w:rPr>
      </w:pPr>
    </w:p>
    <w:tbl>
      <w:tblPr>
        <w:tblStyle w:val="MediumGrid3-Accent1"/>
        <w:tblW w:w="0" w:type="auto"/>
        <w:tblLook w:val="04A0" w:firstRow="1" w:lastRow="0" w:firstColumn="1" w:lastColumn="0" w:noHBand="0" w:noVBand="1"/>
      </w:tblPr>
      <w:tblGrid>
        <w:gridCol w:w="2585"/>
        <w:gridCol w:w="2234"/>
        <w:gridCol w:w="2234"/>
        <w:gridCol w:w="2234"/>
      </w:tblGrid>
      <w:tr w:rsidR="00650E6F" w:rsidRPr="000E1EB0" w14:paraId="6D6F2A01"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9FC"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2234" w:type="dxa"/>
          </w:tcPr>
          <w:p w14:paraId="6D6F29F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nxënësve për mësues (arsimi fillor)</w:t>
            </w:r>
          </w:p>
        </w:tc>
        <w:tc>
          <w:tcPr>
            <w:tcW w:w="2234" w:type="dxa"/>
          </w:tcPr>
          <w:p w14:paraId="6D6F29FE"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nxënësve për mësues (arsimi i mesëm)</w:t>
            </w:r>
          </w:p>
        </w:tc>
        <w:tc>
          <w:tcPr>
            <w:tcW w:w="2234" w:type="dxa"/>
          </w:tcPr>
          <w:p w14:paraId="6D6F29FF"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Nr. i studentëve të diplomuar në 1,000 </w:t>
            </w:r>
          </w:p>
          <w:p w14:paraId="6D6F2A00"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banorë</w:t>
            </w:r>
          </w:p>
        </w:tc>
      </w:tr>
      <w:tr w:rsidR="00650E6F" w:rsidRPr="000E1EB0" w14:paraId="6D6F2A0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02"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2234" w:type="dxa"/>
          </w:tcPr>
          <w:p w14:paraId="6D6F2A0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w:t>
            </w:r>
          </w:p>
        </w:tc>
        <w:tc>
          <w:tcPr>
            <w:tcW w:w="2234" w:type="dxa"/>
          </w:tcPr>
          <w:p w14:paraId="6D6F2A04"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14</w:t>
            </w:r>
          </w:p>
        </w:tc>
        <w:tc>
          <w:tcPr>
            <w:tcW w:w="2234" w:type="dxa"/>
          </w:tcPr>
          <w:p w14:paraId="6D6F2A0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118</w:t>
            </w:r>
          </w:p>
        </w:tc>
      </w:tr>
      <w:tr w:rsidR="00650E6F" w:rsidRPr="000E1EB0" w14:paraId="6D6F2A0B"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07"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Pollogu</w:t>
            </w:r>
          </w:p>
        </w:tc>
        <w:tc>
          <w:tcPr>
            <w:tcW w:w="2234" w:type="dxa"/>
          </w:tcPr>
          <w:p w14:paraId="6D6F2A0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12</w:t>
            </w:r>
          </w:p>
        </w:tc>
        <w:tc>
          <w:tcPr>
            <w:tcW w:w="2234" w:type="dxa"/>
          </w:tcPr>
          <w:p w14:paraId="6D6F2A09"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w:t>
            </w:r>
          </w:p>
        </w:tc>
        <w:tc>
          <w:tcPr>
            <w:tcW w:w="2234" w:type="dxa"/>
          </w:tcPr>
          <w:p w14:paraId="6D6F2A0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71</w:t>
            </w:r>
          </w:p>
        </w:tc>
      </w:tr>
      <w:tr w:rsidR="00650E6F" w:rsidRPr="000E1EB0" w14:paraId="6D6F2A1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0C"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2234" w:type="dxa"/>
          </w:tcPr>
          <w:p w14:paraId="6D6F2A0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w:t>
            </w:r>
          </w:p>
        </w:tc>
        <w:tc>
          <w:tcPr>
            <w:tcW w:w="2234" w:type="dxa"/>
          </w:tcPr>
          <w:p w14:paraId="6D6F2A0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w:t>
            </w:r>
          </w:p>
        </w:tc>
        <w:tc>
          <w:tcPr>
            <w:tcW w:w="2234" w:type="dxa"/>
          </w:tcPr>
          <w:p w14:paraId="6D6F2A0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92</w:t>
            </w:r>
          </w:p>
        </w:tc>
      </w:tr>
      <w:tr w:rsidR="00650E6F" w:rsidRPr="000E1EB0" w14:paraId="6D6F2A15"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11" w14:textId="722A4218" w:rsidR="00650E6F" w:rsidRPr="000E1EB0" w:rsidRDefault="00650E6F" w:rsidP="00FE38C2">
            <w:pPr>
              <w:rPr>
                <w:rFonts w:ascii="Garamond" w:hAnsi="Garamond" w:cs="Tahoma"/>
                <w:sz w:val="20"/>
                <w:szCs w:val="20"/>
                <w:lang w:val="sq-AL"/>
              </w:rPr>
            </w:pPr>
            <w:r w:rsidRPr="000E1EB0">
              <w:rPr>
                <w:rFonts w:ascii="Garamond" w:hAnsi="Garamond" w:cs="Tahoma"/>
                <w:sz w:val="20"/>
                <w:szCs w:val="20"/>
                <w:lang w:val="sq-AL"/>
              </w:rPr>
              <w:t>Ish</w:t>
            </w:r>
            <w:r w:rsidR="00FE38C2">
              <w:rPr>
                <w:rFonts w:ascii="Garamond" w:hAnsi="Garamond" w:cs="Tahoma"/>
                <w:sz w:val="20"/>
                <w:szCs w:val="20"/>
                <w:lang w:val="sq-AL"/>
              </w:rPr>
              <w:t>-</w:t>
            </w:r>
            <w:r w:rsidRPr="000E1EB0">
              <w:rPr>
                <w:rFonts w:ascii="Garamond" w:hAnsi="Garamond" w:cs="Tahoma"/>
                <w:sz w:val="20"/>
                <w:szCs w:val="20"/>
                <w:lang w:val="sq-AL"/>
              </w:rPr>
              <w:t>Republika Jugosllave e Maqedonisë</w:t>
            </w:r>
          </w:p>
        </w:tc>
        <w:tc>
          <w:tcPr>
            <w:tcW w:w="2234" w:type="dxa"/>
          </w:tcPr>
          <w:p w14:paraId="6D6F2A1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12</w:t>
            </w:r>
          </w:p>
        </w:tc>
        <w:tc>
          <w:tcPr>
            <w:tcW w:w="2234" w:type="dxa"/>
          </w:tcPr>
          <w:p w14:paraId="6D6F2A1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13</w:t>
            </w:r>
          </w:p>
        </w:tc>
        <w:tc>
          <w:tcPr>
            <w:tcW w:w="2234" w:type="dxa"/>
          </w:tcPr>
          <w:p w14:paraId="6D6F2A1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103</w:t>
            </w:r>
          </w:p>
        </w:tc>
      </w:tr>
      <w:tr w:rsidR="00650E6F" w:rsidRPr="000E1EB0" w14:paraId="6D6F2A1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16"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Dibra</w:t>
            </w:r>
          </w:p>
        </w:tc>
        <w:tc>
          <w:tcPr>
            <w:tcW w:w="2234" w:type="dxa"/>
          </w:tcPr>
          <w:p w14:paraId="6D6F2A1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15</w:t>
            </w:r>
          </w:p>
        </w:tc>
        <w:tc>
          <w:tcPr>
            <w:tcW w:w="2234" w:type="dxa"/>
          </w:tcPr>
          <w:p w14:paraId="6D6F2A18"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21</w:t>
            </w:r>
          </w:p>
        </w:tc>
        <w:tc>
          <w:tcPr>
            <w:tcW w:w="2234" w:type="dxa"/>
          </w:tcPr>
          <w:p w14:paraId="6D6F2A19"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39</w:t>
            </w:r>
          </w:p>
        </w:tc>
      </w:tr>
      <w:tr w:rsidR="00650E6F" w:rsidRPr="000E1EB0" w14:paraId="6D6F2A1F"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1B"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Elbasani</w:t>
            </w:r>
          </w:p>
        </w:tc>
        <w:tc>
          <w:tcPr>
            <w:tcW w:w="2234" w:type="dxa"/>
          </w:tcPr>
          <w:p w14:paraId="6D6F2A1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14</w:t>
            </w:r>
          </w:p>
        </w:tc>
        <w:tc>
          <w:tcPr>
            <w:tcW w:w="2234" w:type="dxa"/>
          </w:tcPr>
          <w:p w14:paraId="6D6F2A1D"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16</w:t>
            </w:r>
          </w:p>
        </w:tc>
        <w:tc>
          <w:tcPr>
            <w:tcW w:w="2234" w:type="dxa"/>
          </w:tcPr>
          <w:p w14:paraId="6D6F2A1E"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63</w:t>
            </w:r>
          </w:p>
        </w:tc>
      </w:tr>
      <w:tr w:rsidR="00650E6F" w:rsidRPr="000E1EB0" w14:paraId="6D6F2A24"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20"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b w:val="0"/>
                <w:sz w:val="20"/>
                <w:szCs w:val="20"/>
                <w:lang w:val="sq-AL"/>
              </w:rPr>
              <w:t>Korça</w:t>
            </w:r>
          </w:p>
        </w:tc>
        <w:tc>
          <w:tcPr>
            <w:tcW w:w="2234" w:type="dxa"/>
          </w:tcPr>
          <w:p w14:paraId="6D6F2A2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w:t>
            </w:r>
          </w:p>
        </w:tc>
        <w:tc>
          <w:tcPr>
            <w:tcW w:w="2234" w:type="dxa"/>
          </w:tcPr>
          <w:p w14:paraId="6D6F2A2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15</w:t>
            </w:r>
          </w:p>
        </w:tc>
        <w:tc>
          <w:tcPr>
            <w:tcW w:w="2234" w:type="dxa"/>
          </w:tcPr>
          <w:p w14:paraId="6D6F2A2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77</w:t>
            </w:r>
          </w:p>
        </w:tc>
      </w:tr>
      <w:tr w:rsidR="00650E6F" w:rsidRPr="000E1EB0" w14:paraId="6D6F2A29"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25" w14:textId="77777777" w:rsidR="00650E6F" w:rsidRPr="000E1EB0" w:rsidRDefault="00650E6F" w:rsidP="00650E6F">
            <w:pPr>
              <w:jc w:val="both"/>
              <w:rPr>
                <w:rFonts w:ascii="Garamond" w:hAnsi="Garamond" w:cs="Tahoma"/>
                <w:sz w:val="20"/>
                <w:szCs w:val="20"/>
                <w:lang w:val="sq-AL"/>
              </w:rPr>
            </w:pPr>
            <w:r w:rsidRPr="000E1EB0">
              <w:rPr>
                <w:rFonts w:ascii="Garamond" w:hAnsi="Garamond" w:cs="Tahoma"/>
                <w:sz w:val="20"/>
                <w:szCs w:val="20"/>
                <w:lang w:val="sq-AL"/>
              </w:rPr>
              <w:t>Republika e Shqipërisë</w:t>
            </w:r>
          </w:p>
        </w:tc>
        <w:tc>
          <w:tcPr>
            <w:tcW w:w="2234" w:type="dxa"/>
          </w:tcPr>
          <w:p w14:paraId="6D6F2A2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16</w:t>
            </w:r>
          </w:p>
        </w:tc>
        <w:tc>
          <w:tcPr>
            <w:tcW w:w="2234" w:type="dxa"/>
          </w:tcPr>
          <w:p w14:paraId="6D6F2A2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16</w:t>
            </w:r>
          </w:p>
        </w:tc>
        <w:tc>
          <w:tcPr>
            <w:tcW w:w="2234" w:type="dxa"/>
          </w:tcPr>
          <w:p w14:paraId="6D6F2A2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94</w:t>
            </w:r>
          </w:p>
        </w:tc>
      </w:tr>
    </w:tbl>
    <w:p w14:paraId="6D6F2A2A" w14:textId="1DBD4077" w:rsidR="00650E6F" w:rsidRPr="000E1EB0" w:rsidRDefault="00650E6F" w:rsidP="00650E6F">
      <w:pPr>
        <w:pStyle w:val="AAAATEX"/>
        <w:rPr>
          <w:i/>
        </w:rPr>
      </w:pPr>
      <w:r w:rsidRPr="000E1EB0">
        <w:rPr>
          <w:i/>
        </w:rPr>
        <w:t>Burimi: llogaritja e bazuar në të dhënat e papërpunuara nga Zyra Shtetërore e Statistikave dhe INSTAT</w:t>
      </w:r>
      <w:r w:rsidR="00623A55">
        <w:rPr>
          <w:i/>
        </w:rPr>
        <w:t>-i</w:t>
      </w:r>
      <w:r w:rsidRPr="000E1EB0">
        <w:rPr>
          <w:i/>
        </w:rPr>
        <w:t>, 2011</w:t>
      </w:r>
    </w:p>
    <w:p w14:paraId="66DA5E75" w14:textId="77777777" w:rsidR="0024711E" w:rsidRDefault="0024711E" w:rsidP="00650E6F">
      <w:pPr>
        <w:pStyle w:val="AAAATEX"/>
      </w:pPr>
    </w:p>
    <w:p w14:paraId="6D6F2A2B" w14:textId="3D47EF21" w:rsidR="00650E6F" w:rsidRPr="000E1EB0" w:rsidRDefault="00650E6F" w:rsidP="00650E6F">
      <w:pPr>
        <w:pStyle w:val="AAAATEX"/>
      </w:pPr>
      <w:r w:rsidRPr="000E1EB0">
        <w:t xml:space="preserve">Shekulli </w:t>
      </w:r>
      <w:r w:rsidR="00FE38C2">
        <w:t>XXI</w:t>
      </w:r>
      <w:r w:rsidRPr="000E1EB0">
        <w:rPr>
          <w:vertAlign w:val="superscript"/>
        </w:rPr>
        <w:t xml:space="preserve"> </w:t>
      </w:r>
      <w:r w:rsidRPr="000E1EB0">
        <w:t>karakterizohet nga emigrimi i personave me arsim të lartë, e cila është një dukuri e përhapur me rritjen e rolit të qyteteve dhe qendrave urbane, duke thelluar ndarjen urbane-rurale. Ky fenomen ndikon seriozisht në zonën e programit, me përjashtim të rajonit të Pellagonisë. Në vendet e tjera problemi është i përhapur (më shumë në Republikën e Shqipërisë), me kulmin negativ në Dibër, ku përqindja e njerëzve me arsim universitar është më e ulëta në mbarë territorin e programit CBC.</w:t>
      </w:r>
    </w:p>
    <w:p w14:paraId="6D6F2A2C" w14:textId="48306E62" w:rsidR="00650E6F" w:rsidRPr="000E1EB0" w:rsidRDefault="00650E6F" w:rsidP="00650E6F">
      <w:pPr>
        <w:pStyle w:val="AAAATEX"/>
        <w:rPr>
          <w:b/>
        </w:rPr>
      </w:pPr>
      <w:r w:rsidRPr="000E1EB0">
        <w:rPr>
          <w:b/>
        </w:rPr>
        <w:t xml:space="preserve">Furnizimi me ujë dhe </w:t>
      </w:r>
      <w:r w:rsidR="00B20703">
        <w:rPr>
          <w:b/>
        </w:rPr>
        <w:t>m</w:t>
      </w:r>
      <w:r w:rsidRPr="000E1EB0">
        <w:rPr>
          <w:b/>
        </w:rPr>
        <w:t>enaxhimi i mbetjeve</w:t>
      </w:r>
    </w:p>
    <w:p w14:paraId="6D6F2A2D" w14:textId="4DACEA18" w:rsidR="00650E6F" w:rsidRPr="000E1EB0" w:rsidRDefault="00650E6F" w:rsidP="00650E6F">
      <w:pPr>
        <w:pStyle w:val="AAAATEX"/>
      </w:pPr>
      <w:r w:rsidRPr="000E1EB0">
        <w:t>Në zonën e programit, rreth 97% e familjeve nga ish-Republika Jugosllave e Maqedonisë janë të lidhura me sistemet individuale ose publike të furnizimit me ujë dhe 95% - me</w:t>
      </w:r>
      <w:r w:rsidR="00F92AA9">
        <w:t xml:space="preserve"> </w:t>
      </w:r>
      <w:r w:rsidRPr="000E1EB0">
        <w:t>sistemin e kanalizimeve të ujërave të zeza. Përkatësisht, në Republikën e Shqipërisë, këto shifra janë: 95% dhe 87%.</w:t>
      </w:r>
    </w:p>
    <w:p w14:paraId="6D6F2A2E" w14:textId="77777777" w:rsidR="00650E6F" w:rsidRPr="000E1EB0" w:rsidRDefault="00650E6F" w:rsidP="00650E6F">
      <w:pPr>
        <w:pStyle w:val="AAAATEX"/>
      </w:pPr>
      <w:r w:rsidRPr="000E1EB0">
        <w:t xml:space="preserve">Nuk ka statistika mbi vëllimin e trajtimit të ujërave të zeza, por vlerësohet se të paktën deri në 10% të mbetjeve të lëngshme trajtohen. Përveç shfrytëzimit të pakontrolluar të plehrave kimike në </w:t>
      </w:r>
      <w:r w:rsidRPr="000E1EB0">
        <w:lastRenderedPageBreak/>
        <w:t>bujqësi, mungesa e trajtimit të ujërave të zeza është arsyeja kryesore për eutrofikimin e përshpejtuar të pjesës më të madhe të ekosistemeve ujore në zonën e programit (liqene dhe lumenj).</w:t>
      </w:r>
    </w:p>
    <w:p w14:paraId="6D6F2A2F" w14:textId="2DF8C212" w:rsidR="00650E6F" w:rsidRPr="000E1EB0" w:rsidRDefault="00650E6F" w:rsidP="00650E6F">
      <w:pPr>
        <w:pStyle w:val="AAAATEX"/>
      </w:pPr>
      <w:r w:rsidRPr="000E1EB0">
        <w:t>Për</w:t>
      </w:r>
      <w:r w:rsidR="0029200C">
        <w:t xml:space="preserve"> </w:t>
      </w:r>
      <w:r w:rsidRPr="000E1EB0">
        <w:t xml:space="preserve">sa </w:t>
      </w:r>
      <w:r w:rsidR="0029200C">
        <w:t>u</w:t>
      </w:r>
      <w:r w:rsidRPr="000E1EB0">
        <w:t xml:space="preserve"> përket mbetjeve të ngurta, 70% e mbetjeve të gjeneruara në ish</w:t>
      </w:r>
      <w:r w:rsidR="0029200C">
        <w:t>-</w:t>
      </w:r>
      <w:r w:rsidRPr="000E1EB0">
        <w:t xml:space="preserve">Republikën Jugosllave të Maqedonisë është mbledhur, por për Republikën e Shqipërisë kjo pjesë është vlerësuar në nivele të konsiderueshme më të ulëta. </w:t>
      </w:r>
    </w:p>
    <w:p w14:paraId="6D6F2A30" w14:textId="77777777" w:rsidR="00650E6F" w:rsidRPr="000E1EB0" w:rsidRDefault="00650E6F" w:rsidP="00650E6F">
      <w:pPr>
        <w:pStyle w:val="AAAATEX"/>
      </w:pPr>
      <w:r w:rsidRPr="000E1EB0">
        <w:t>Tabela e mëposhtme përshkruan statistikat mbi mbetjet e ngurta të grumbulluara në zonën e programit.</w:t>
      </w:r>
    </w:p>
    <w:tbl>
      <w:tblPr>
        <w:tblStyle w:val="MediumGrid3-Accent1"/>
        <w:tblW w:w="0" w:type="auto"/>
        <w:tblLook w:val="04A0" w:firstRow="1" w:lastRow="0" w:firstColumn="1" w:lastColumn="0" w:noHBand="0" w:noVBand="1"/>
      </w:tblPr>
      <w:tblGrid>
        <w:gridCol w:w="3095"/>
        <w:gridCol w:w="3096"/>
        <w:gridCol w:w="3096"/>
      </w:tblGrid>
      <w:tr w:rsidR="00650E6F" w:rsidRPr="000E1EB0" w14:paraId="6D6F2A34"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A31"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3096" w:type="dxa"/>
          </w:tcPr>
          <w:p w14:paraId="6D6F2A32"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Ton (‘000)</w:t>
            </w:r>
          </w:p>
        </w:tc>
        <w:tc>
          <w:tcPr>
            <w:tcW w:w="3096" w:type="dxa"/>
          </w:tcPr>
          <w:p w14:paraId="6D6F2A33"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Ndarja (%), për vend=100</w:t>
            </w:r>
          </w:p>
        </w:tc>
      </w:tr>
      <w:tr w:rsidR="00650E6F" w:rsidRPr="000E1EB0" w14:paraId="6D6F2A3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A35"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3096" w:type="dxa"/>
          </w:tcPr>
          <w:p w14:paraId="6D6F2A3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72</w:t>
            </w:r>
          </w:p>
        </w:tc>
        <w:tc>
          <w:tcPr>
            <w:tcW w:w="3096" w:type="dxa"/>
          </w:tcPr>
          <w:p w14:paraId="6D6F2A3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13.0</w:t>
            </w:r>
          </w:p>
        </w:tc>
      </w:tr>
      <w:tr w:rsidR="00650E6F" w:rsidRPr="000E1EB0" w14:paraId="6D6F2A3C"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A39"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Pollogu</w:t>
            </w:r>
          </w:p>
        </w:tc>
        <w:tc>
          <w:tcPr>
            <w:tcW w:w="3096" w:type="dxa"/>
          </w:tcPr>
          <w:p w14:paraId="6D6F2A3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59</w:t>
            </w:r>
          </w:p>
        </w:tc>
        <w:tc>
          <w:tcPr>
            <w:tcW w:w="3096" w:type="dxa"/>
          </w:tcPr>
          <w:p w14:paraId="6D6F2A3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10.6</w:t>
            </w:r>
          </w:p>
        </w:tc>
      </w:tr>
      <w:tr w:rsidR="00650E6F" w:rsidRPr="000E1EB0" w14:paraId="6D6F2A4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A3D"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3096" w:type="dxa"/>
          </w:tcPr>
          <w:p w14:paraId="6D6F2A3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49</w:t>
            </w:r>
          </w:p>
        </w:tc>
        <w:tc>
          <w:tcPr>
            <w:tcW w:w="3096" w:type="dxa"/>
          </w:tcPr>
          <w:p w14:paraId="6D6F2A3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8.8</w:t>
            </w:r>
          </w:p>
        </w:tc>
      </w:tr>
      <w:tr w:rsidR="00650E6F" w:rsidRPr="000E1EB0" w14:paraId="6D6F2A44"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A41" w14:textId="34775C48" w:rsidR="00650E6F" w:rsidRPr="000E1EB0" w:rsidRDefault="00650E6F" w:rsidP="00AF1228">
            <w:pPr>
              <w:rPr>
                <w:rFonts w:ascii="Garamond" w:hAnsi="Garamond" w:cs="Tahoma"/>
                <w:lang w:val="sq-AL"/>
              </w:rPr>
            </w:pPr>
            <w:r w:rsidRPr="000E1EB0">
              <w:rPr>
                <w:rFonts w:ascii="Garamond" w:hAnsi="Garamond" w:cs="Tahoma"/>
                <w:sz w:val="20"/>
                <w:szCs w:val="20"/>
                <w:lang w:val="sq-AL"/>
              </w:rPr>
              <w:t>Ish</w:t>
            </w:r>
            <w:r w:rsidR="00AF1228">
              <w:rPr>
                <w:rFonts w:ascii="Garamond" w:hAnsi="Garamond" w:cs="Tahoma"/>
                <w:sz w:val="20"/>
                <w:szCs w:val="20"/>
                <w:lang w:val="sq-AL"/>
              </w:rPr>
              <w:t>-</w:t>
            </w:r>
            <w:r w:rsidRPr="000E1EB0">
              <w:rPr>
                <w:rFonts w:ascii="Garamond" w:hAnsi="Garamond" w:cs="Tahoma"/>
                <w:sz w:val="20"/>
                <w:szCs w:val="20"/>
                <w:lang w:val="sq-AL"/>
              </w:rPr>
              <w:t>Republika Jugosllave e Maqedonisë</w:t>
            </w:r>
          </w:p>
        </w:tc>
        <w:tc>
          <w:tcPr>
            <w:tcW w:w="3096" w:type="dxa"/>
          </w:tcPr>
          <w:p w14:paraId="6D6F2A4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555</w:t>
            </w:r>
          </w:p>
        </w:tc>
        <w:tc>
          <w:tcPr>
            <w:tcW w:w="3096" w:type="dxa"/>
          </w:tcPr>
          <w:p w14:paraId="6D6F2A4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r w:rsidR="00650E6F" w:rsidRPr="000E1EB0" w14:paraId="6D6F2A4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A45"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Dibra</w:t>
            </w:r>
          </w:p>
        </w:tc>
        <w:tc>
          <w:tcPr>
            <w:tcW w:w="3096" w:type="dxa"/>
          </w:tcPr>
          <w:p w14:paraId="6D6F2A4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33.1</w:t>
            </w:r>
          </w:p>
        </w:tc>
        <w:tc>
          <w:tcPr>
            <w:tcW w:w="3096" w:type="dxa"/>
          </w:tcPr>
          <w:p w14:paraId="6D6F2A4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2.9</w:t>
            </w:r>
          </w:p>
        </w:tc>
      </w:tr>
      <w:tr w:rsidR="00650E6F" w:rsidRPr="000E1EB0" w14:paraId="6D6F2A4C"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A49"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Elbasani</w:t>
            </w:r>
          </w:p>
        </w:tc>
        <w:tc>
          <w:tcPr>
            <w:tcW w:w="3096" w:type="dxa"/>
          </w:tcPr>
          <w:p w14:paraId="6D6F2A4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81.1</w:t>
            </w:r>
          </w:p>
        </w:tc>
        <w:tc>
          <w:tcPr>
            <w:tcW w:w="3096" w:type="dxa"/>
          </w:tcPr>
          <w:p w14:paraId="6D6F2A4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7.1</w:t>
            </w:r>
          </w:p>
        </w:tc>
      </w:tr>
      <w:tr w:rsidR="00650E6F" w:rsidRPr="000E1EB0" w14:paraId="6D6F2A5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14:paraId="6D6F2A4D"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Korça</w:t>
            </w:r>
          </w:p>
        </w:tc>
        <w:tc>
          <w:tcPr>
            <w:tcW w:w="3096" w:type="dxa"/>
          </w:tcPr>
          <w:p w14:paraId="6D6F2A4E"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62.1</w:t>
            </w:r>
          </w:p>
        </w:tc>
        <w:tc>
          <w:tcPr>
            <w:tcW w:w="3096" w:type="dxa"/>
          </w:tcPr>
          <w:p w14:paraId="6D6F2A4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5.4</w:t>
            </w:r>
          </w:p>
        </w:tc>
      </w:tr>
      <w:tr w:rsidR="00650E6F" w:rsidRPr="000E1EB0" w14:paraId="6D6F2A54" w14:textId="77777777" w:rsidTr="00650E6F">
        <w:tc>
          <w:tcPr>
            <w:cnfStyle w:val="001000000000" w:firstRow="0" w:lastRow="0" w:firstColumn="1" w:lastColumn="0" w:oddVBand="0" w:evenVBand="0" w:oddHBand="0" w:evenHBand="0" w:firstRowFirstColumn="0" w:firstRowLastColumn="0" w:lastRowFirstColumn="0" w:lastRowLastColumn="0"/>
            <w:tcW w:w="3095" w:type="dxa"/>
          </w:tcPr>
          <w:p w14:paraId="6D6F2A51" w14:textId="77777777" w:rsidR="00650E6F" w:rsidRPr="000E1EB0" w:rsidRDefault="00650E6F" w:rsidP="00650E6F">
            <w:pPr>
              <w:rPr>
                <w:rFonts w:ascii="Garamond" w:hAnsi="Garamond" w:cs="Tahoma"/>
                <w:lang w:val="sq-AL"/>
              </w:rPr>
            </w:pPr>
            <w:r w:rsidRPr="000E1EB0">
              <w:rPr>
                <w:rFonts w:ascii="Garamond" w:hAnsi="Garamond" w:cs="Tahoma"/>
                <w:sz w:val="20"/>
                <w:szCs w:val="20"/>
                <w:lang w:val="sq-AL"/>
              </w:rPr>
              <w:t>Republika e Shqipërisë</w:t>
            </w:r>
          </w:p>
        </w:tc>
        <w:tc>
          <w:tcPr>
            <w:tcW w:w="3096" w:type="dxa"/>
          </w:tcPr>
          <w:p w14:paraId="6D6F2A5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1,137</w:t>
            </w:r>
          </w:p>
        </w:tc>
        <w:tc>
          <w:tcPr>
            <w:tcW w:w="3096" w:type="dxa"/>
          </w:tcPr>
          <w:p w14:paraId="6D6F2A53"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100</w:t>
            </w:r>
          </w:p>
        </w:tc>
      </w:tr>
    </w:tbl>
    <w:p w14:paraId="6D6F2A55" w14:textId="115B9D40" w:rsidR="00650E6F" w:rsidRPr="000E1EB0" w:rsidRDefault="00650E6F" w:rsidP="00650E6F">
      <w:pPr>
        <w:pStyle w:val="AAAATEX"/>
        <w:rPr>
          <w:i/>
        </w:rPr>
      </w:pPr>
      <w:r w:rsidRPr="000E1EB0">
        <w:rPr>
          <w:i/>
        </w:rPr>
        <w:t>Burimi: Zyra Shtetërore e Statistikave (</w:t>
      </w:r>
      <w:r w:rsidR="00EB5DEB">
        <w:rPr>
          <w:i/>
        </w:rPr>
        <w:t>ish-Repu</w:t>
      </w:r>
      <w:r w:rsidRPr="000E1EB0">
        <w:rPr>
          <w:i/>
        </w:rPr>
        <w:t>blika Jugosllave e Maqedonisë), Ministria e Mjedisit (Republika e Shqipërisë), 2012</w:t>
      </w:r>
    </w:p>
    <w:p w14:paraId="621C1850" w14:textId="77777777" w:rsidR="00AF1228" w:rsidRDefault="00AF1228" w:rsidP="00650E6F">
      <w:pPr>
        <w:pStyle w:val="AAAATEX"/>
      </w:pPr>
    </w:p>
    <w:p w14:paraId="6D6F2A56" w14:textId="2669016B" w:rsidR="00650E6F" w:rsidRPr="000E1EB0" w:rsidRDefault="00650E6F" w:rsidP="00650E6F">
      <w:pPr>
        <w:pStyle w:val="AAAATEX"/>
      </w:pPr>
      <w:r w:rsidRPr="000E1EB0">
        <w:t xml:space="preserve">Në ish-Republikën Jugosllave të Maqedonisë, kapaciteti i </w:t>
      </w:r>
      <w:r w:rsidR="002B2BC5">
        <w:t>vend</w:t>
      </w:r>
      <w:r w:rsidRPr="000E1EB0">
        <w:t xml:space="preserve">grumbullimeve të mbetjeve të ngurta është i shpërndarë në mënyrë të arsyeshme nëpër rajone dhe korrespondon në mënyrë të kënaqshme me vëllimin e mbetjeve të gjeneruara. Ndërsa për Republikën e Shqipërisë nuk disponohen të dhëna lidhur me këtë aspekt. </w:t>
      </w:r>
    </w:p>
    <w:p w14:paraId="6D6F2A57" w14:textId="167E9B06" w:rsidR="00650E6F" w:rsidRPr="000E1EB0" w:rsidRDefault="00650E6F" w:rsidP="00650E6F">
      <w:pPr>
        <w:pStyle w:val="AAAATEX"/>
      </w:pPr>
      <w:r w:rsidRPr="000E1EB0">
        <w:t xml:space="preserve">Menaxhimi i mbetjeve të ngurta është një çështje shqetësuese për shkak të raportit të ulët të mbetjeve të krijuara dhe atyre të mbledhura. Përveç kësaj, ndarja gjatë depozitimit të mbetjeve është pothuajse </w:t>
      </w:r>
      <w:r w:rsidR="001E1489">
        <w:t>jo</w:t>
      </w:r>
      <w:r w:rsidRPr="000E1EB0">
        <w:t xml:space="preserve">ekzistuese, e cila rrit koston e menaxhimit të mbetjeve dhe ndikon në mjedis. </w:t>
      </w:r>
    </w:p>
    <w:p w14:paraId="6D6F2A58" w14:textId="77777777" w:rsidR="00650E6F" w:rsidRPr="000E1EB0" w:rsidRDefault="00650E6F" w:rsidP="00650E6F">
      <w:pPr>
        <w:pStyle w:val="AAAATEX"/>
        <w:rPr>
          <w:b/>
        </w:rPr>
      </w:pPr>
      <w:r w:rsidRPr="000E1EB0">
        <w:rPr>
          <w:b/>
        </w:rPr>
        <w:t>Infrastruktura e kujdesit shëndetësor</w:t>
      </w:r>
    </w:p>
    <w:p w14:paraId="6D6F2A59" w14:textId="2A877C0D" w:rsidR="00650E6F" w:rsidRPr="000E1EB0" w:rsidRDefault="00650E6F" w:rsidP="00650E6F">
      <w:pPr>
        <w:pStyle w:val="AAAATEX"/>
      </w:pPr>
      <w:r w:rsidRPr="000E1EB0">
        <w:t xml:space="preserve">Infrastruktura e kujdesit shëndetësor përmban pabarazi domethënëse përgjatë kufirit. Mesatarisht, ish-Republika Jugosllave e Maqedonisë ofron mundësi më të mira të trajtimit të specializuar mjekësor dhe Pellagonia ka infrastrukturën më konkurruese të kujdesit shëndetësor në të gjithë zonën e programit. Edhe pse territori CBC në anën e Republikës së Shqipërisë mund të ofrojë më shumë shtretër në spitale se mesatarja për të gjithë vendin, Shqipëria ka hyrë në marrëveshje strategjike me </w:t>
      </w:r>
      <w:r w:rsidR="00EB5DEB">
        <w:t>ish-Repu</w:t>
      </w:r>
      <w:r w:rsidRPr="000E1EB0">
        <w:t>blikën Jugosllave të Maqedonisë, sipas së cilës qytetarët e Republikës së Shqipërisë me sëmundje kronike mund të përdorin spitalet dhe klinikat në ish</w:t>
      </w:r>
      <w:r w:rsidR="00AF1228">
        <w:t>-</w:t>
      </w:r>
      <w:r w:rsidRPr="000E1EB0">
        <w:t xml:space="preserve">Republikën Jugosllave të Maqedonisë për një trajtim më të specializuar. Kjo ndodh për shkak të pranisë së kufizuar të pajisjeve moderne apo aksesit të vështirë fizik të infrastrukturës shëndetësore në Republikën e Shqipërisë, kryesisht në zonat më të largëta. </w:t>
      </w:r>
    </w:p>
    <w:p w14:paraId="6D6F2A5A" w14:textId="77777777" w:rsidR="00650E6F" w:rsidRPr="000E1EB0" w:rsidRDefault="00650E6F" w:rsidP="00650E6F">
      <w:pPr>
        <w:pStyle w:val="AAAATEX"/>
      </w:pPr>
    </w:p>
    <w:tbl>
      <w:tblPr>
        <w:tblStyle w:val="MediumGrid3-Accent1"/>
        <w:tblW w:w="0" w:type="auto"/>
        <w:tblLook w:val="04A0" w:firstRow="1" w:lastRow="0" w:firstColumn="1" w:lastColumn="0" w:noHBand="0" w:noVBand="1"/>
      </w:tblPr>
      <w:tblGrid>
        <w:gridCol w:w="2585"/>
        <w:gridCol w:w="2234"/>
        <w:gridCol w:w="2234"/>
        <w:gridCol w:w="2234"/>
      </w:tblGrid>
      <w:tr w:rsidR="00650E6F" w:rsidRPr="000E1EB0" w14:paraId="6D6F2A5F"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5B" w14:textId="77777777" w:rsidR="00650E6F" w:rsidRPr="000E1EB0" w:rsidRDefault="00650E6F" w:rsidP="00650E6F">
            <w:pPr>
              <w:jc w:val="center"/>
              <w:rPr>
                <w:rFonts w:ascii="Garamond" w:hAnsi="Garamond" w:cs="Tahoma"/>
                <w:sz w:val="20"/>
                <w:szCs w:val="20"/>
                <w:lang w:val="sq-AL"/>
              </w:rPr>
            </w:pPr>
            <w:r w:rsidRPr="000E1EB0">
              <w:rPr>
                <w:rFonts w:ascii="Garamond" w:hAnsi="Garamond" w:cs="Tahoma"/>
                <w:sz w:val="20"/>
                <w:szCs w:val="20"/>
                <w:lang w:val="sq-AL"/>
              </w:rPr>
              <w:t>Zona e programit</w:t>
            </w:r>
          </w:p>
        </w:tc>
        <w:tc>
          <w:tcPr>
            <w:tcW w:w="2234" w:type="dxa"/>
          </w:tcPr>
          <w:p w14:paraId="6D6F2A5C" w14:textId="034F0161" w:rsidR="00650E6F" w:rsidRPr="000E1EB0" w:rsidRDefault="00650E6F" w:rsidP="00ED27C5">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 xml:space="preserve">Nr. i </w:t>
            </w:r>
            <w:r w:rsidR="00ED27C5">
              <w:rPr>
                <w:rFonts w:ascii="Garamond" w:hAnsi="Garamond" w:cs="Tahoma"/>
                <w:sz w:val="20"/>
                <w:szCs w:val="20"/>
                <w:lang w:val="sq-AL"/>
              </w:rPr>
              <w:t>s</w:t>
            </w:r>
            <w:r w:rsidRPr="000E1EB0">
              <w:rPr>
                <w:rFonts w:ascii="Garamond" w:hAnsi="Garamond" w:cs="Tahoma"/>
                <w:sz w:val="20"/>
                <w:szCs w:val="20"/>
                <w:lang w:val="sq-AL"/>
              </w:rPr>
              <w:t>pitaleve</w:t>
            </w:r>
          </w:p>
        </w:tc>
        <w:tc>
          <w:tcPr>
            <w:tcW w:w="2234" w:type="dxa"/>
          </w:tcPr>
          <w:p w14:paraId="6D6F2A5D"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shtretërve të spitaleve</w:t>
            </w:r>
          </w:p>
        </w:tc>
        <w:tc>
          <w:tcPr>
            <w:tcW w:w="2234" w:type="dxa"/>
          </w:tcPr>
          <w:p w14:paraId="6D6F2A5E" w14:textId="77777777" w:rsidR="00650E6F" w:rsidRPr="000E1EB0" w:rsidRDefault="00650E6F" w:rsidP="00650E6F">
            <w:pPr>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Nr. i shtretërve të spitaleve për 1,000 banorë</w:t>
            </w:r>
          </w:p>
        </w:tc>
      </w:tr>
      <w:tr w:rsidR="00650E6F" w:rsidRPr="000E1EB0" w14:paraId="6D6F2A64"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60"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Pellagonia</w:t>
            </w:r>
          </w:p>
        </w:tc>
        <w:tc>
          <w:tcPr>
            <w:tcW w:w="2234" w:type="dxa"/>
          </w:tcPr>
          <w:p w14:paraId="6D6F2A6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w:t>
            </w:r>
          </w:p>
        </w:tc>
        <w:tc>
          <w:tcPr>
            <w:tcW w:w="2234" w:type="dxa"/>
          </w:tcPr>
          <w:p w14:paraId="6D6F2A62"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1,419</w:t>
            </w:r>
          </w:p>
        </w:tc>
        <w:tc>
          <w:tcPr>
            <w:tcW w:w="2234" w:type="dxa"/>
          </w:tcPr>
          <w:p w14:paraId="6D6F2A63"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6,1</w:t>
            </w:r>
          </w:p>
        </w:tc>
      </w:tr>
      <w:tr w:rsidR="00650E6F" w:rsidRPr="000E1EB0" w14:paraId="6D6F2A69"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65"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Pollogu</w:t>
            </w:r>
          </w:p>
        </w:tc>
        <w:tc>
          <w:tcPr>
            <w:tcW w:w="2234" w:type="dxa"/>
          </w:tcPr>
          <w:p w14:paraId="6D6F2A6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w:t>
            </w:r>
          </w:p>
        </w:tc>
        <w:tc>
          <w:tcPr>
            <w:tcW w:w="2234" w:type="dxa"/>
          </w:tcPr>
          <w:p w14:paraId="6D6F2A67"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646</w:t>
            </w:r>
          </w:p>
        </w:tc>
        <w:tc>
          <w:tcPr>
            <w:tcW w:w="2234" w:type="dxa"/>
          </w:tcPr>
          <w:p w14:paraId="6D6F2A68"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r>
      <w:tr w:rsidR="00650E6F" w:rsidRPr="000E1EB0" w14:paraId="6D6F2A6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6A"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Jugperëndimi</w:t>
            </w:r>
          </w:p>
        </w:tc>
        <w:tc>
          <w:tcPr>
            <w:tcW w:w="2234" w:type="dxa"/>
          </w:tcPr>
          <w:p w14:paraId="6D6F2A6B"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w:t>
            </w:r>
          </w:p>
        </w:tc>
        <w:tc>
          <w:tcPr>
            <w:tcW w:w="2234" w:type="dxa"/>
          </w:tcPr>
          <w:p w14:paraId="6D6F2A6C"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815</w:t>
            </w:r>
          </w:p>
        </w:tc>
        <w:tc>
          <w:tcPr>
            <w:tcW w:w="2234" w:type="dxa"/>
          </w:tcPr>
          <w:p w14:paraId="6D6F2A6D"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2</w:t>
            </w:r>
          </w:p>
        </w:tc>
      </w:tr>
      <w:tr w:rsidR="00650E6F" w:rsidRPr="000E1EB0" w14:paraId="6D6F2A73"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6F" w14:textId="4ACA58D7" w:rsidR="00650E6F" w:rsidRPr="000E1EB0" w:rsidRDefault="00650E6F" w:rsidP="00AF1228">
            <w:pPr>
              <w:rPr>
                <w:rFonts w:ascii="Garamond" w:hAnsi="Garamond" w:cs="Tahoma"/>
                <w:sz w:val="20"/>
                <w:szCs w:val="20"/>
                <w:lang w:val="sq-AL"/>
              </w:rPr>
            </w:pPr>
            <w:r w:rsidRPr="000E1EB0">
              <w:rPr>
                <w:rFonts w:ascii="Garamond" w:hAnsi="Garamond" w:cs="Tahoma"/>
                <w:sz w:val="20"/>
                <w:szCs w:val="20"/>
                <w:lang w:val="sq-AL"/>
              </w:rPr>
              <w:t>Ish</w:t>
            </w:r>
            <w:r w:rsidR="00AF1228">
              <w:rPr>
                <w:rFonts w:ascii="Garamond" w:hAnsi="Garamond" w:cs="Tahoma"/>
                <w:sz w:val="20"/>
                <w:szCs w:val="20"/>
                <w:lang w:val="sq-AL"/>
              </w:rPr>
              <w:t>-</w:t>
            </w:r>
            <w:r w:rsidRPr="000E1EB0">
              <w:rPr>
                <w:rFonts w:ascii="Garamond" w:hAnsi="Garamond" w:cs="Tahoma"/>
                <w:sz w:val="20"/>
                <w:szCs w:val="20"/>
                <w:lang w:val="sq-AL"/>
              </w:rPr>
              <w:t>Republika Jugosllave e Maqedonisë</w:t>
            </w:r>
          </w:p>
        </w:tc>
        <w:tc>
          <w:tcPr>
            <w:tcW w:w="2234" w:type="dxa"/>
          </w:tcPr>
          <w:p w14:paraId="6D6F2A70"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73</w:t>
            </w:r>
          </w:p>
        </w:tc>
        <w:tc>
          <w:tcPr>
            <w:tcW w:w="2234" w:type="dxa"/>
          </w:tcPr>
          <w:p w14:paraId="6D6F2A71"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9,076</w:t>
            </w:r>
          </w:p>
        </w:tc>
        <w:tc>
          <w:tcPr>
            <w:tcW w:w="2234" w:type="dxa"/>
          </w:tcPr>
          <w:p w14:paraId="6D6F2A72"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4,4</w:t>
            </w:r>
          </w:p>
        </w:tc>
      </w:tr>
      <w:tr w:rsidR="00650E6F" w:rsidRPr="000E1EB0" w14:paraId="6D6F2A7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74"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Dibra</w:t>
            </w:r>
          </w:p>
        </w:tc>
        <w:tc>
          <w:tcPr>
            <w:tcW w:w="2234" w:type="dxa"/>
          </w:tcPr>
          <w:p w14:paraId="6D6F2A75"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w:t>
            </w:r>
          </w:p>
        </w:tc>
        <w:tc>
          <w:tcPr>
            <w:tcW w:w="2234" w:type="dxa"/>
          </w:tcPr>
          <w:p w14:paraId="6D6F2A76"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508</w:t>
            </w:r>
          </w:p>
        </w:tc>
        <w:tc>
          <w:tcPr>
            <w:tcW w:w="2234" w:type="dxa"/>
          </w:tcPr>
          <w:p w14:paraId="6D6F2A77"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3,7</w:t>
            </w:r>
          </w:p>
        </w:tc>
      </w:tr>
      <w:tr w:rsidR="00650E6F" w:rsidRPr="000E1EB0" w14:paraId="6D6F2A7D"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79"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t>Elbasani</w:t>
            </w:r>
          </w:p>
        </w:tc>
        <w:tc>
          <w:tcPr>
            <w:tcW w:w="2234" w:type="dxa"/>
          </w:tcPr>
          <w:p w14:paraId="6D6F2A7A"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6</w:t>
            </w:r>
          </w:p>
        </w:tc>
        <w:tc>
          <w:tcPr>
            <w:tcW w:w="2234" w:type="dxa"/>
          </w:tcPr>
          <w:p w14:paraId="6D6F2A7B"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1,020</w:t>
            </w:r>
          </w:p>
        </w:tc>
        <w:tc>
          <w:tcPr>
            <w:tcW w:w="2234" w:type="dxa"/>
          </w:tcPr>
          <w:p w14:paraId="6D6F2A7C"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3,4</w:t>
            </w:r>
          </w:p>
        </w:tc>
      </w:tr>
      <w:tr w:rsidR="00650E6F" w:rsidRPr="000E1EB0" w14:paraId="6D6F2A8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6F2A7E" w14:textId="77777777" w:rsidR="00650E6F" w:rsidRPr="000E1EB0" w:rsidRDefault="00650E6F" w:rsidP="00650E6F">
            <w:pPr>
              <w:rPr>
                <w:rFonts w:ascii="Garamond" w:hAnsi="Garamond" w:cs="Tahoma"/>
                <w:b w:val="0"/>
                <w:sz w:val="20"/>
                <w:szCs w:val="20"/>
                <w:lang w:val="sq-AL"/>
              </w:rPr>
            </w:pPr>
            <w:r w:rsidRPr="000E1EB0">
              <w:rPr>
                <w:rFonts w:ascii="Garamond" w:hAnsi="Garamond" w:cs="Tahoma"/>
                <w:b w:val="0"/>
                <w:sz w:val="20"/>
                <w:szCs w:val="20"/>
                <w:lang w:val="sq-AL"/>
              </w:rPr>
              <w:lastRenderedPageBreak/>
              <w:t>Korça</w:t>
            </w:r>
          </w:p>
        </w:tc>
        <w:tc>
          <w:tcPr>
            <w:tcW w:w="2234" w:type="dxa"/>
          </w:tcPr>
          <w:p w14:paraId="6D6F2A7F"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4</w:t>
            </w:r>
          </w:p>
        </w:tc>
        <w:tc>
          <w:tcPr>
            <w:tcW w:w="2234" w:type="dxa"/>
          </w:tcPr>
          <w:p w14:paraId="6D6F2A80"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752</w:t>
            </w:r>
          </w:p>
        </w:tc>
        <w:tc>
          <w:tcPr>
            <w:tcW w:w="2234" w:type="dxa"/>
          </w:tcPr>
          <w:p w14:paraId="6D6F2A81" w14:textId="77777777" w:rsidR="00650E6F" w:rsidRPr="000E1EB0" w:rsidRDefault="00650E6F" w:rsidP="00650E6F">
            <w:pPr>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sz w:val="20"/>
                <w:szCs w:val="20"/>
                <w:lang w:val="sq-AL"/>
              </w:rPr>
              <w:t>3,4</w:t>
            </w:r>
          </w:p>
        </w:tc>
      </w:tr>
      <w:tr w:rsidR="00650E6F" w:rsidRPr="000E1EB0" w14:paraId="6D6F2A87" w14:textId="77777777" w:rsidTr="00650E6F">
        <w:tc>
          <w:tcPr>
            <w:cnfStyle w:val="001000000000" w:firstRow="0" w:lastRow="0" w:firstColumn="1" w:lastColumn="0" w:oddVBand="0" w:evenVBand="0" w:oddHBand="0" w:evenHBand="0" w:firstRowFirstColumn="0" w:firstRowLastColumn="0" w:lastRowFirstColumn="0" w:lastRowLastColumn="0"/>
            <w:tcW w:w="2585" w:type="dxa"/>
          </w:tcPr>
          <w:p w14:paraId="6D6F2A83"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Republika e Shqipërisë</w:t>
            </w:r>
          </w:p>
        </w:tc>
        <w:tc>
          <w:tcPr>
            <w:tcW w:w="2234" w:type="dxa"/>
          </w:tcPr>
          <w:p w14:paraId="6D6F2A84"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44</w:t>
            </w:r>
          </w:p>
        </w:tc>
        <w:tc>
          <w:tcPr>
            <w:tcW w:w="2234" w:type="dxa"/>
          </w:tcPr>
          <w:p w14:paraId="6D6F2A85"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8,410</w:t>
            </w:r>
          </w:p>
        </w:tc>
        <w:tc>
          <w:tcPr>
            <w:tcW w:w="2234" w:type="dxa"/>
          </w:tcPr>
          <w:p w14:paraId="6D6F2A86" w14:textId="77777777" w:rsidR="00650E6F" w:rsidRPr="000E1EB0" w:rsidRDefault="00650E6F" w:rsidP="00650E6F">
            <w:pPr>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3</w:t>
            </w:r>
          </w:p>
        </w:tc>
      </w:tr>
    </w:tbl>
    <w:p w14:paraId="6D6F2A88" w14:textId="0E3E9171" w:rsidR="00650E6F" w:rsidRPr="000E1EB0" w:rsidRDefault="00650E6F" w:rsidP="00650E6F">
      <w:pPr>
        <w:pStyle w:val="AAAATEX"/>
        <w:rPr>
          <w:i/>
        </w:rPr>
      </w:pPr>
      <w:r w:rsidRPr="000E1EB0">
        <w:rPr>
          <w:i/>
        </w:rPr>
        <w:t>Burimi: Ministria e Shëndetësisë (</w:t>
      </w:r>
      <w:r w:rsidR="00EB5DEB">
        <w:rPr>
          <w:i/>
        </w:rPr>
        <w:t>ish-Repu</w:t>
      </w:r>
      <w:r w:rsidRPr="000E1EB0">
        <w:rPr>
          <w:i/>
        </w:rPr>
        <w:t>blika Jugosllave e Maqedonisë, Republika e Shqipërisë)</w:t>
      </w:r>
    </w:p>
    <w:p w14:paraId="4FBF0AB1" w14:textId="77777777" w:rsidR="00AF1228" w:rsidRDefault="00AF1228" w:rsidP="00650E6F">
      <w:pPr>
        <w:pStyle w:val="AAAATEX"/>
      </w:pPr>
      <w:bookmarkStart w:id="16" w:name="_Toc437600604"/>
      <w:bookmarkStart w:id="17" w:name="_Toc390941495"/>
    </w:p>
    <w:p w14:paraId="6D6F2A89" w14:textId="77777777" w:rsidR="00650E6F" w:rsidRPr="00AF1228" w:rsidRDefault="00650E6F" w:rsidP="00650E6F">
      <w:pPr>
        <w:pStyle w:val="AAAATEX"/>
        <w:rPr>
          <w:b/>
        </w:rPr>
      </w:pPr>
      <w:r w:rsidRPr="00AF1228">
        <w:rPr>
          <w:b/>
        </w:rPr>
        <w:t>Analiza SWOT</w:t>
      </w:r>
      <w:bookmarkEnd w:id="16"/>
      <w:r w:rsidRPr="00AF1228">
        <w:rPr>
          <w:b/>
        </w:rPr>
        <w:t xml:space="preserve"> </w:t>
      </w:r>
      <w:bookmarkEnd w:id="17"/>
    </w:p>
    <w:p w14:paraId="6D6F2A8A" w14:textId="77777777" w:rsidR="00650E6F" w:rsidRPr="000E1EB0" w:rsidRDefault="00650E6F" w:rsidP="00650E6F">
      <w:pPr>
        <w:pStyle w:val="AAAATEX"/>
      </w:pPr>
      <w:r w:rsidRPr="000E1EB0">
        <w:t>Kjo analizë SWOT ndjek logjikën e prioriteteve tematike të asistencës IPA II dhe përshkruan pikat e forta, pikat e dobëta, mundësitë dhe kërcënimet duke marrë parasysh karakterin apo efektin e tyre strategjik (cilësia e nevojës ose e mundësisë). Kjo analizë SWOT mbulon vetëm ato tema që janë konsideruar për përfshirjen në ndërhyrjen strategjike dhe shton analizën e grupit të problemeve të përshkruar në seksionin 2.2 të dokumentit të programit.</w:t>
      </w:r>
      <w:r w:rsidRPr="000E1EB0">
        <w:rPr>
          <w:rStyle w:val="FootnoteReference"/>
        </w:rPr>
        <w:footnoteReference w:id="22"/>
      </w:r>
    </w:p>
    <w:p w14:paraId="6D6F2A8B" w14:textId="571844CA" w:rsidR="00650E6F" w:rsidRPr="000E1EB0" w:rsidRDefault="00650E6F" w:rsidP="00650E6F">
      <w:pPr>
        <w:pStyle w:val="AAAATEX"/>
      </w:pPr>
      <w:r w:rsidRPr="000E1EB0">
        <w:t>SWOT</w:t>
      </w:r>
      <w:r w:rsidR="00A04D93">
        <w:t>-i</w:t>
      </w:r>
      <w:r w:rsidRPr="000E1EB0">
        <w:t xml:space="preserve"> është hartuar në bazë të pyetësorëve individualë të plotësuar nga palët e interesuara të programit, reagimet </w:t>
      </w:r>
      <w:r w:rsidR="006E66CF" w:rsidRPr="000E1EB0">
        <w:t xml:space="preserve">nga strategjitë ekzistuese të zhvillimit rajonal </w:t>
      </w:r>
      <w:r w:rsidRPr="000E1EB0">
        <w:t xml:space="preserve">në rajonet e NUTS-3 në zonën kufitare, dhe konkluzionet e ekspertëve mbi profilin social-ekonomik të rajonit. </w:t>
      </w:r>
    </w:p>
    <w:p w14:paraId="6D6F2A8C" w14:textId="45B71784" w:rsidR="00650E6F" w:rsidRPr="000E1EB0" w:rsidRDefault="00650E6F" w:rsidP="00650E6F">
      <w:pPr>
        <w:pStyle w:val="AAAATEX"/>
      </w:pPr>
      <w:r w:rsidRPr="000E1EB0">
        <w:t xml:space="preserve">Analiza më poshtë ndjek rendin sipas rëndësisë së prioriteteve tematike të zgjedhura për Programin IPA II CBC </w:t>
      </w:r>
      <w:r w:rsidR="00BE160D">
        <w:t>2014–2020</w:t>
      </w:r>
      <w:r w:rsidRPr="000E1EB0">
        <w:t>.</w:t>
      </w:r>
    </w:p>
    <w:p w14:paraId="6D6F2A8D" w14:textId="77777777" w:rsidR="00650E6F" w:rsidRPr="000E1EB0" w:rsidRDefault="00650E6F" w:rsidP="00650E6F">
      <w:pPr>
        <w:pStyle w:val="AAAATEX"/>
        <w:rPr>
          <w:b/>
        </w:rPr>
      </w:pPr>
      <w:r w:rsidRPr="000E1EB0">
        <w:rPr>
          <w:b/>
        </w:rPr>
        <w:t>Turizmi dhe trashëgimia kulturore dhe natyrore (TP4)</w:t>
      </w:r>
    </w:p>
    <w:p w14:paraId="6D6F2A8E" w14:textId="275B098C" w:rsidR="00650E6F" w:rsidRPr="000E1EB0" w:rsidRDefault="00650E6F" w:rsidP="00650E6F">
      <w:pPr>
        <w:pStyle w:val="AAAATEX"/>
      </w:pPr>
      <w:r w:rsidRPr="000E1EB0">
        <w:t>Aktualisht, niveli i pabarabartë i zhvillimit të infrastrukturës turistike në rajonin ndërkufitar e bën rajonin e përgjithshëm jotërheqës për një ofertë gjithëpërfshirëse turistike, veçanërisht në anën e Republikës së Shqipërisë. Kështu, format alternative të turizmit mund të përdoren si bazë për ndërtimin e një imazhi të zonës së programit si një destinacion tërheqës turistik.</w:t>
      </w:r>
    </w:p>
    <w:p w14:paraId="6D6F2A8F" w14:textId="77777777" w:rsidR="00650E6F" w:rsidRPr="000E1EB0" w:rsidRDefault="00650E6F" w:rsidP="00650E6F">
      <w:pPr>
        <w:pStyle w:val="AAAATEX"/>
      </w:pPr>
      <w:r w:rsidRPr="000E1EB0">
        <w:t>Trashëgimia e pasur kulturore nuk është e ruajtur dhe paraqitur mirë. Kështu, iniciativat për rritjen e bashkëpunimin ndërmjet njerëzve dhe institucioneve nga rajoni CBC duhet të intensifikohen në të ardhmen.</w:t>
      </w:r>
    </w:p>
    <w:p w14:paraId="6D6F2A90" w14:textId="77777777" w:rsidR="00650E6F" w:rsidRPr="000E1EB0" w:rsidRDefault="00650E6F" w:rsidP="00650E6F">
      <w:pPr>
        <w:pStyle w:val="NoSpacing"/>
        <w:rPr>
          <w:rFonts w:ascii="Garamond" w:hAnsi="Garamond" w:cs="Tahoma"/>
          <w:b/>
          <w:sz w:val="20"/>
          <w:szCs w:val="20"/>
          <w:lang w:val="sq-AL"/>
        </w:rPr>
      </w:pPr>
    </w:p>
    <w:tbl>
      <w:tblPr>
        <w:tblStyle w:val="MediumGrid1-Accent3"/>
        <w:tblW w:w="0" w:type="auto"/>
        <w:tblBorders>
          <w:top w:val="single" w:sz="8" w:space="0" w:color="7B7B7B" w:themeColor="accent3" w:themeShade="BF"/>
          <w:left w:val="single" w:sz="8" w:space="0" w:color="7B7B7B" w:themeColor="accent3" w:themeShade="BF"/>
          <w:bottom w:val="single" w:sz="8" w:space="0" w:color="7B7B7B" w:themeColor="accent3" w:themeShade="BF"/>
          <w:right w:val="single" w:sz="8" w:space="0" w:color="7B7B7B" w:themeColor="accent3" w:themeShade="BF"/>
          <w:insideH w:val="single" w:sz="8" w:space="0" w:color="7B7B7B" w:themeColor="accent3" w:themeShade="BF"/>
          <w:insideV w:val="single" w:sz="8" w:space="0" w:color="7B7B7B" w:themeColor="accent3" w:themeShade="BF"/>
        </w:tblBorders>
        <w:tblLook w:val="04A0" w:firstRow="1" w:lastRow="0" w:firstColumn="1" w:lastColumn="0" w:noHBand="0" w:noVBand="1"/>
      </w:tblPr>
      <w:tblGrid>
        <w:gridCol w:w="4621"/>
        <w:gridCol w:w="4621"/>
      </w:tblGrid>
      <w:tr w:rsidR="00650E6F" w:rsidRPr="000E1EB0" w14:paraId="6D6F2A93" w14:textId="77777777" w:rsidTr="00714842">
        <w:trPr>
          <w:cnfStyle w:val="100000000000" w:firstRow="1" w:lastRow="0" w:firstColumn="0" w:lastColumn="0" w:oddVBand="0" w:evenVBand="0" w:oddHBand="0"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4621" w:type="dxa"/>
            <w:shd w:val="clear" w:color="auto" w:fill="002060"/>
          </w:tcPr>
          <w:p w14:paraId="6D6F2A91" w14:textId="77777777" w:rsidR="00650E6F" w:rsidRPr="000E1EB0" w:rsidRDefault="00650E6F" w:rsidP="00650E6F">
            <w:pPr>
              <w:spacing w:before="120" w:after="12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Pikat e forta</w:t>
            </w:r>
          </w:p>
        </w:tc>
        <w:tc>
          <w:tcPr>
            <w:tcW w:w="4621" w:type="dxa"/>
            <w:shd w:val="clear" w:color="auto" w:fill="002060"/>
          </w:tcPr>
          <w:p w14:paraId="6D6F2A92" w14:textId="77777777" w:rsidR="00650E6F" w:rsidRPr="000E1EB0" w:rsidRDefault="00650E6F" w:rsidP="00650E6F">
            <w:pPr>
              <w:spacing w:before="120" w:after="12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Pikat e dobëta</w:t>
            </w:r>
          </w:p>
        </w:tc>
      </w:tr>
      <w:tr w:rsidR="00650E6F" w:rsidRPr="000E1EB0" w14:paraId="6D6F2A9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shd w:val="clear" w:color="auto" w:fill="8496B0" w:themeFill="text2" w:themeFillTint="99"/>
          </w:tcPr>
          <w:p w14:paraId="6D6F2A94"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(Efekt) </w:t>
            </w:r>
            <w:r w:rsidRPr="0035047F">
              <w:rPr>
                <w:rFonts w:ascii="Garamond" w:hAnsi="Garamond" w:cs="Tahoma"/>
                <w:b w:val="0"/>
                <w:sz w:val="20"/>
                <w:szCs w:val="20"/>
                <w:lang w:val="sq-AL"/>
              </w:rPr>
              <w:t>Ofertë e pasur turistike bazuar në shfrytëzimin e burimeve natyrore, trashëgiminë kulturore, monumentet fetare, ujërat termale, sportin dhe argëtimin</w:t>
            </w:r>
          </w:p>
        </w:tc>
        <w:tc>
          <w:tcPr>
            <w:tcW w:w="4621" w:type="dxa"/>
            <w:shd w:val="clear" w:color="auto" w:fill="D5DCE4" w:themeFill="text2" w:themeFillTint="33"/>
          </w:tcPr>
          <w:p w14:paraId="6D6F2A95"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(Dobësi strategjike)</w:t>
            </w:r>
            <w:r w:rsidRPr="000E1EB0">
              <w:rPr>
                <w:rFonts w:ascii="Garamond" w:hAnsi="Garamond" w:cs="Tahoma"/>
                <w:sz w:val="20"/>
                <w:szCs w:val="20"/>
                <w:lang w:val="sq-AL"/>
              </w:rPr>
              <w:t xml:space="preserve"> Nuk ka nivel të balancuar të infrastrukturës së turizmit (akomodim, sporte, terrene) dhe mungesa e strategjisë për ofertë të qëndrueshme turistike të rajonit CBC</w:t>
            </w:r>
          </w:p>
        </w:tc>
      </w:tr>
      <w:tr w:rsidR="00650E6F" w:rsidRPr="000E1EB0" w14:paraId="6D6F2A99"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bottom w:val="single" w:sz="8" w:space="0" w:color="7B7B7B" w:themeColor="accent3" w:themeShade="BF"/>
            </w:tcBorders>
            <w:shd w:val="clear" w:color="auto" w:fill="D5DCE4" w:themeFill="text2" w:themeFillTint="33"/>
          </w:tcPr>
          <w:p w14:paraId="6D6F2A97"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(Pikë e fortë strategjike) </w:t>
            </w:r>
            <w:r w:rsidRPr="0035047F">
              <w:rPr>
                <w:rFonts w:ascii="Garamond" w:hAnsi="Garamond" w:cs="Tahoma"/>
                <w:b w:val="0"/>
                <w:sz w:val="20"/>
                <w:szCs w:val="20"/>
                <w:lang w:val="sq-AL"/>
              </w:rPr>
              <w:t>Eksperienca në pritjen e mysafirëve vendas dhe ndërkombëtarë</w:t>
            </w:r>
          </w:p>
        </w:tc>
        <w:tc>
          <w:tcPr>
            <w:tcW w:w="4621" w:type="dxa"/>
            <w:shd w:val="clear" w:color="auto" w:fill="8496B0" w:themeFill="text2" w:themeFillTint="99"/>
          </w:tcPr>
          <w:p w14:paraId="6D6F2A98" w14:textId="77777777" w:rsidR="00650E6F" w:rsidRPr="000E1EB0" w:rsidRDefault="00650E6F" w:rsidP="00650E6F">
            <w:pP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(Efekt) </w:t>
            </w:r>
            <w:r w:rsidRPr="000E1EB0">
              <w:rPr>
                <w:rFonts w:ascii="Garamond" w:hAnsi="Garamond" w:cs="Tahoma"/>
                <w:sz w:val="20"/>
                <w:szCs w:val="20"/>
                <w:lang w:val="sq-AL"/>
              </w:rPr>
              <w:t xml:space="preserve">Mungesa e njohjes ndërkombëtare </w:t>
            </w:r>
            <w:r w:rsidRPr="000E1EB0">
              <w:rPr>
                <w:rFonts w:ascii="Garamond" w:hAnsi="Garamond" w:cs="Tahoma"/>
                <w:sz w:val="20"/>
                <w:szCs w:val="20"/>
                <w:u w:val="single"/>
                <w:lang w:val="sq-AL"/>
              </w:rPr>
              <w:t>të të gjithë</w:t>
            </w:r>
            <w:r w:rsidRPr="000E1EB0">
              <w:rPr>
                <w:rFonts w:ascii="Garamond" w:hAnsi="Garamond" w:cs="Tahoma"/>
                <w:sz w:val="20"/>
                <w:szCs w:val="20"/>
                <w:lang w:val="sq-AL"/>
              </w:rPr>
              <w:t xml:space="preserve"> rajonit CBC si destinacion atraktiv turistik</w:t>
            </w:r>
          </w:p>
        </w:tc>
      </w:tr>
      <w:tr w:rsidR="00650E6F" w:rsidRPr="000E1EB0" w14:paraId="6D6F2A9C"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bottom w:val="single" w:sz="4" w:space="0" w:color="auto"/>
            </w:tcBorders>
            <w:shd w:val="clear" w:color="auto" w:fill="D5DCE4" w:themeFill="text2" w:themeFillTint="33"/>
          </w:tcPr>
          <w:p w14:paraId="6D6F2A9A"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(Pikë e fortë strategjike) </w:t>
            </w:r>
            <w:r w:rsidRPr="0035047F">
              <w:rPr>
                <w:rFonts w:ascii="Garamond" w:hAnsi="Garamond" w:cs="Tahoma"/>
                <w:b w:val="0"/>
                <w:sz w:val="20"/>
                <w:szCs w:val="20"/>
                <w:lang w:val="sq-AL"/>
              </w:rPr>
              <w:t>Një pjesë e territorit CBC rrit njohjen e tij si destinacion turistik i rëndësishëm për turizmin familjar</w:t>
            </w:r>
          </w:p>
        </w:tc>
        <w:tc>
          <w:tcPr>
            <w:tcW w:w="4621" w:type="dxa"/>
            <w:tcBorders>
              <w:bottom w:val="single" w:sz="8" w:space="0" w:color="7B7B7B" w:themeColor="accent3" w:themeShade="BF"/>
            </w:tcBorders>
            <w:shd w:val="clear" w:color="auto" w:fill="8496B0" w:themeFill="text2" w:themeFillTint="99"/>
          </w:tcPr>
          <w:p w14:paraId="6D6F2A9B"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(Efekt) </w:t>
            </w:r>
            <w:r w:rsidRPr="000E1EB0">
              <w:rPr>
                <w:rFonts w:ascii="Garamond" w:hAnsi="Garamond" w:cs="Tahoma"/>
                <w:sz w:val="20"/>
                <w:szCs w:val="20"/>
                <w:lang w:val="sq-AL"/>
              </w:rPr>
              <w:t>Mirëmbajtja e papërshtatshme e monumenteve historike dhe kulturore</w:t>
            </w:r>
          </w:p>
        </w:tc>
      </w:tr>
      <w:tr w:rsidR="00650E6F" w:rsidRPr="000E1EB0" w14:paraId="6D6F2A9F"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nil"/>
            </w:tcBorders>
            <w:shd w:val="clear" w:color="auto" w:fill="002060"/>
          </w:tcPr>
          <w:p w14:paraId="6D6F2A9D" w14:textId="77777777" w:rsidR="00650E6F" w:rsidRPr="000E1EB0" w:rsidRDefault="00650E6F" w:rsidP="00650E6F">
            <w:pPr>
              <w:spacing w:before="120" w:after="12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Mundësitë</w:t>
            </w:r>
          </w:p>
        </w:tc>
        <w:tc>
          <w:tcPr>
            <w:tcW w:w="4621" w:type="dxa"/>
            <w:shd w:val="clear" w:color="auto" w:fill="002060"/>
          </w:tcPr>
          <w:p w14:paraId="6D6F2A9E" w14:textId="77777777" w:rsidR="00650E6F" w:rsidRPr="000E1EB0" w:rsidRDefault="00650E6F" w:rsidP="00650E6F">
            <w:pPr>
              <w:spacing w:before="120" w:after="12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FFFFFF" w:themeColor="background1"/>
                <w:sz w:val="20"/>
                <w:szCs w:val="20"/>
                <w:lang w:val="sq-AL"/>
              </w:rPr>
            </w:pPr>
            <w:r w:rsidRPr="000E1EB0">
              <w:rPr>
                <w:rFonts w:ascii="Garamond" w:hAnsi="Garamond" w:cs="Tahoma"/>
                <w:b/>
                <w:color w:val="FFFFFF" w:themeColor="background1"/>
                <w:sz w:val="20"/>
                <w:szCs w:val="20"/>
                <w:lang w:val="sq-AL"/>
              </w:rPr>
              <w:t>Kërcënimet</w:t>
            </w:r>
          </w:p>
        </w:tc>
      </w:tr>
      <w:tr w:rsidR="00650E6F" w:rsidRPr="000E1EB0" w14:paraId="6D6F2AA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shd w:val="clear" w:color="auto" w:fill="8496B0" w:themeFill="text2" w:themeFillTint="99"/>
          </w:tcPr>
          <w:p w14:paraId="6D6F2AA0"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(Efekt) </w:t>
            </w:r>
            <w:r w:rsidRPr="0035047F">
              <w:rPr>
                <w:rFonts w:ascii="Garamond" w:hAnsi="Garamond" w:cs="Tahoma"/>
                <w:b w:val="0"/>
                <w:sz w:val="20"/>
                <w:szCs w:val="20"/>
                <w:lang w:val="sq-AL"/>
              </w:rPr>
              <w:t>Ofertë turistike e integruar, e bazuar në kulturë, sport, kohë të lirë, aventurë, turizmin spa (të llixhave)</w:t>
            </w:r>
          </w:p>
        </w:tc>
        <w:tc>
          <w:tcPr>
            <w:tcW w:w="4621" w:type="dxa"/>
            <w:shd w:val="clear" w:color="auto" w:fill="8496B0" w:themeFill="text2" w:themeFillTint="99"/>
          </w:tcPr>
          <w:p w14:paraId="6D6F2AA1"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(Efekt) </w:t>
            </w:r>
            <w:r w:rsidRPr="000E1EB0">
              <w:rPr>
                <w:rFonts w:ascii="Garamond" w:hAnsi="Garamond" w:cs="Tahoma"/>
                <w:sz w:val="20"/>
                <w:szCs w:val="20"/>
                <w:lang w:val="sq-AL"/>
              </w:rPr>
              <w:t>Mungesa e strategjisë së integruar të zhvillimit të turizmit dhe masave të përkushtuara për rajonin CBC</w:t>
            </w:r>
          </w:p>
        </w:tc>
      </w:tr>
      <w:tr w:rsidR="00650E6F" w:rsidRPr="000E1EB0" w14:paraId="6D6F2AA5" w14:textId="77777777" w:rsidTr="00650E6F">
        <w:tc>
          <w:tcPr>
            <w:cnfStyle w:val="001000000000" w:firstRow="0" w:lastRow="0" w:firstColumn="1" w:lastColumn="0" w:oddVBand="0" w:evenVBand="0" w:oddHBand="0" w:evenHBand="0" w:firstRowFirstColumn="0" w:firstRowLastColumn="0" w:lastRowFirstColumn="0" w:lastRowLastColumn="0"/>
            <w:tcW w:w="4621" w:type="dxa"/>
            <w:shd w:val="clear" w:color="auto" w:fill="D5DCE4" w:themeFill="text2" w:themeFillTint="33"/>
          </w:tcPr>
          <w:p w14:paraId="6D6F2AA3" w14:textId="77777777" w:rsidR="00650E6F" w:rsidRPr="000E1EB0" w:rsidRDefault="00650E6F" w:rsidP="00650E6F">
            <w:pPr>
              <w:rPr>
                <w:rFonts w:ascii="Garamond" w:hAnsi="Garamond" w:cs="Tahoma"/>
                <w:sz w:val="20"/>
                <w:szCs w:val="20"/>
                <w:lang w:val="sq-AL"/>
              </w:rPr>
            </w:pPr>
            <w:r w:rsidRPr="000E1EB0">
              <w:rPr>
                <w:rFonts w:ascii="Garamond" w:hAnsi="Garamond" w:cs="Tahoma"/>
                <w:sz w:val="20"/>
                <w:szCs w:val="20"/>
                <w:lang w:val="sq-AL"/>
              </w:rPr>
              <w:t xml:space="preserve">(Mundësi strategjike) </w:t>
            </w:r>
            <w:r w:rsidRPr="0035047F">
              <w:rPr>
                <w:rFonts w:ascii="Garamond" w:hAnsi="Garamond" w:cs="Tahoma"/>
                <w:b w:val="0"/>
                <w:sz w:val="20"/>
                <w:szCs w:val="20"/>
                <w:lang w:val="sq-AL"/>
              </w:rPr>
              <w:t>Shkëmbim më efikas dhe i integruar i përvojave ndërmjet dy vendeve dhe operatorëve</w:t>
            </w:r>
          </w:p>
        </w:tc>
        <w:tc>
          <w:tcPr>
            <w:tcW w:w="4621" w:type="dxa"/>
            <w:tcBorders>
              <w:bottom w:val="single" w:sz="8" w:space="0" w:color="7B7B7B" w:themeColor="accent3" w:themeShade="BF"/>
            </w:tcBorders>
            <w:shd w:val="clear" w:color="auto" w:fill="D5DCE4" w:themeFill="text2" w:themeFillTint="33"/>
          </w:tcPr>
          <w:p w14:paraId="6D6F2AA4" w14:textId="3A5EEC05" w:rsidR="00650E6F" w:rsidRPr="000E1EB0" w:rsidRDefault="00650E6F" w:rsidP="003355FE">
            <w:pPr>
              <w:ind w:left="57"/>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(Kërcënim strategjik) </w:t>
            </w:r>
            <w:r w:rsidRPr="000E1EB0">
              <w:rPr>
                <w:rFonts w:ascii="Garamond" w:hAnsi="Garamond" w:cs="Tahoma"/>
                <w:sz w:val="20"/>
                <w:szCs w:val="20"/>
                <w:lang w:val="sq-AL"/>
              </w:rPr>
              <w:t xml:space="preserve">Investime të pabalancuara në infrastrukturën e turizmit </w:t>
            </w:r>
          </w:p>
        </w:tc>
      </w:tr>
      <w:tr w:rsidR="00650E6F" w:rsidRPr="000E1EB0" w14:paraId="6D6F2AA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bottom w:val="single" w:sz="8" w:space="0" w:color="7B7B7B" w:themeColor="accent3" w:themeShade="BF"/>
            </w:tcBorders>
            <w:shd w:val="clear" w:color="auto" w:fill="D5DCE4" w:themeFill="text2" w:themeFillTint="33"/>
          </w:tcPr>
          <w:p w14:paraId="6D6F2AA6"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35047F">
              <w:rPr>
                <w:rFonts w:ascii="Garamond" w:hAnsi="Garamond" w:cs="Tahoma"/>
                <w:b w:val="0"/>
                <w:sz w:val="20"/>
                <w:szCs w:val="20"/>
                <w:lang w:val="sq-AL"/>
              </w:rPr>
              <w:t>Plani i përbashkët për hartëzimin, mbrojtjen dhe mirëmbajtjen e monumenteve kulturore dhe historike</w:t>
            </w:r>
          </w:p>
        </w:tc>
        <w:tc>
          <w:tcPr>
            <w:tcW w:w="4621" w:type="dxa"/>
            <w:tcBorders>
              <w:bottom w:val="single" w:sz="4" w:space="0" w:color="auto"/>
            </w:tcBorders>
            <w:shd w:val="clear" w:color="auto" w:fill="8496B0" w:themeFill="text2" w:themeFillTint="99"/>
          </w:tcPr>
          <w:p w14:paraId="6D6F2AA7"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(Efekt) </w:t>
            </w:r>
            <w:r w:rsidRPr="000E1EB0">
              <w:rPr>
                <w:rFonts w:ascii="Garamond" w:hAnsi="Garamond" w:cs="Tahoma"/>
                <w:sz w:val="20"/>
                <w:szCs w:val="20"/>
                <w:lang w:val="sq-AL"/>
              </w:rPr>
              <w:t>Imazhi i papërshtatshëm i rajonit CBC</w:t>
            </w:r>
          </w:p>
        </w:tc>
      </w:tr>
      <w:tr w:rsidR="00650E6F" w:rsidRPr="000E1EB0" w14:paraId="6D6F2AAB"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right w:val="single" w:sz="4" w:space="0" w:color="auto"/>
            </w:tcBorders>
            <w:shd w:val="clear" w:color="auto" w:fill="D5DCE4" w:themeFill="text2" w:themeFillTint="33"/>
          </w:tcPr>
          <w:p w14:paraId="6D6F2AA9"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35047F">
              <w:rPr>
                <w:rFonts w:ascii="Garamond" w:hAnsi="Garamond" w:cs="Tahoma"/>
                <w:b w:val="0"/>
                <w:sz w:val="20"/>
                <w:szCs w:val="20"/>
                <w:lang w:val="sq-AL"/>
              </w:rPr>
              <w:t xml:space="preserve">Aktivitete të përbashkëta </w:t>
            </w:r>
            <w:r w:rsidRPr="0035047F">
              <w:rPr>
                <w:rFonts w:ascii="Garamond" w:hAnsi="Garamond" w:cs="Tahoma"/>
                <w:b w:val="0"/>
                <w:sz w:val="20"/>
                <w:szCs w:val="20"/>
                <w:lang w:val="sq-AL"/>
              </w:rPr>
              <w:lastRenderedPageBreak/>
              <w:t>kulturore</w:t>
            </w:r>
          </w:p>
        </w:tc>
        <w:tc>
          <w:tcPr>
            <w:tcW w:w="4621" w:type="dxa"/>
            <w:tcBorders>
              <w:top w:val="single" w:sz="4" w:space="0" w:color="auto"/>
              <w:left w:val="single" w:sz="4" w:space="0" w:color="auto"/>
              <w:bottom w:val="nil"/>
              <w:right w:val="nil"/>
            </w:tcBorders>
            <w:shd w:val="clear" w:color="auto" w:fill="auto"/>
          </w:tcPr>
          <w:p w14:paraId="6D6F2AAA" w14:textId="77777777" w:rsidR="00650E6F" w:rsidRPr="000E1EB0" w:rsidRDefault="00650E6F" w:rsidP="00650E6F">
            <w:pPr>
              <w:ind w:left="57"/>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p>
        </w:tc>
      </w:tr>
    </w:tbl>
    <w:p w14:paraId="41D714E7" w14:textId="77777777" w:rsidR="00AF1228" w:rsidRDefault="00AF1228" w:rsidP="00650E6F">
      <w:pPr>
        <w:pStyle w:val="AAAATEX"/>
        <w:rPr>
          <w:b/>
        </w:rPr>
      </w:pPr>
    </w:p>
    <w:p w14:paraId="6D6F2AAC" w14:textId="77777777" w:rsidR="00650E6F" w:rsidRPr="000E1EB0" w:rsidRDefault="00650E6F" w:rsidP="00650E6F">
      <w:pPr>
        <w:pStyle w:val="AAAATEX"/>
        <w:rPr>
          <w:b/>
        </w:rPr>
      </w:pPr>
      <w:r w:rsidRPr="000E1EB0">
        <w:rPr>
          <w:b/>
        </w:rPr>
        <w:t>Konkurrenca, biznesi, tregtia dhe investimet (TP7)</w:t>
      </w:r>
    </w:p>
    <w:p w14:paraId="6D6F2AAD" w14:textId="77777777" w:rsidR="00650E6F" w:rsidRPr="000E1EB0" w:rsidRDefault="00650E6F" w:rsidP="00650E6F">
      <w:pPr>
        <w:pStyle w:val="AAAATEX"/>
      </w:pPr>
      <w:r w:rsidRPr="000E1EB0">
        <w:t>SME-të, sipërmarrja dhe ekonomia rurale paraqiten si një nga forcat kryesore lëvizëse të zhvillimit ekonomik në zonën e programit. Ato janë të ndjeshme ndaj ndryshimeve të politikës dhe të tregut, kryesisht për shkak të konkurrencës së kufizuar dhe orientimit të tregut të tyre. Kështu, industritë e lehta, sektorët e qëndrueshëm të bujqësisë dhe përpunimit të ushqimit janë konsideruar si një potencial për rritje më të qëndrueshme ekonomike të rajonit CBC në tërësi.</w:t>
      </w:r>
    </w:p>
    <w:p w14:paraId="6D6F2AAE" w14:textId="77777777" w:rsidR="00650E6F" w:rsidRPr="000E1EB0" w:rsidRDefault="00650E6F" w:rsidP="00650E6F">
      <w:pPr>
        <w:pStyle w:val="AAAATEX"/>
      </w:pPr>
    </w:p>
    <w:tbl>
      <w:tblPr>
        <w:tblStyle w:val="MediumGrid1-Accent3"/>
        <w:tblW w:w="0" w:type="auto"/>
        <w:tblBorders>
          <w:top w:val="single" w:sz="8" w:space="0" w:color="7B7B7B" w:themeColor="accent3" w:themeShade="BF"/>
          <w:left w:val="single" w:sz="8" w:space="0" w:color="7B7B7B" w:themeColor="accent3" w:themeShade="BF"/>
          <w:bottom w:val="single" w:sz="8" w:space="0" w:color="7B7B7B" w:themeColor="accent3" w:themeShade="BF"/>
          <w:right w:val="single" w:sz="8" w:space="0" w:color="7B7B7B" w:themeColor="accent3" w:themeShade="BF"/>
          <w:insideH w:val="single" w:sz="8" w:space="0" w:color="7B7B7B" w:themeColor="accent3" w:themeShade="BF"/>
          <w:insideV w:val="single" w:sz="8" w:space="0" w:color="7B7B7B" w:themeColor="accent3" w:themeShade="BF"/>
        </w:tblBorders>
        <w:tblLook w:val="04A0" w:firstRow="1" w:lastRow="0" w:firstColumn="1" w:lastColumn="0" w:noHBand="0" w:noVBand="1"/>
      </w:tblPr>
      <w:tblGrid>
        <w:gridCol w:w="4621"/>
        <w:gridCol w:w="4621"/>
      </w:tblGrid>
      <w:tr w:rsidR="00650E6F" w:rsidRPr="000E1EB0" w14:paraId="6D6F2AB1" w14:textId="77777777" w:rsidTr="00650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222A35" w:themeFill="text2" w:themeFillShade="80"/>
          </w:tcPr>
          <w:p w14:paraId="6D6F2AAF" w14:textId="77777777" w:rsidR="00650E6F" w:rsidRPr="000E1EB0" w:rsidRDefault="00650E6F" w:rsidP="00650E6F">
            <w:pPr>
              <w:spacing w:before="120" w:after="12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Pikat e forta</w:t>
            </w:r>
          </w:p>
        </w:tc>
        <w:tc>
          <w:tcPr>
            <w:tcW w:w="4621" w:type="dxa"/>
            <w:tcBorders>
              <w:top w:val="single" w:sz="4" w:space="0" w:color="auto"/>
              <w:left w:val="single" w:sz="4" w:space="0" w:color="auto"/>
              <w:bottom w:val="single" w:sz="4" w:space="0" w:color="auto"/>
              <w:right w:val="single" w:sz="4" w:space="0" w:color="auto"/>
            </w:tcBorders>
            <w:shd w:val="clear" w:color="auto" w:fill="222A35" w:themeFill="text2" w:themeFillShade="80"/>
          </w:tcPr>
          <w:p w14:paraId="6D6F2AB0" w14:textId="77777777" w:rsidR="00650E6F" w:rsidRPr="000E1EB0" w:rsidRDefault="00650E6F" w:rsidP="00650E6F">
            <w:pPr>
              <w:spacing w:before="120" w:after="12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Pikat e dobëta</w:t>
            </w:r>
          </w:p>
        </w:tc>
      </w:tr>
      <w:tr w:rsidR="00650E6F" w:rsidRPr="000E1EB0" w14:paraId="6D6F2AB4"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B2"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(Pikë e fortë strategjike) </w:t>
            </w:r>
            <w:r w:rsidRPr="00C176E4">
              <w:rPr>
                <w:rFonts w:ascii="Garamond" w:hAnsi="Garamond" w:cs="Tahoma"/>
                <w:b w:val="0"/>
                <w:sz w:val="20"/>
                <w:szCs w:val="20"/>
                <w:lang w:val="sq-AL"/>
              </w:rPr>
              <w:t>Baza ekzistuese e SME-ve në rajonin e përgjithshëm me aktivitete të shumëllojshme</w:t>
            </w: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B3"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(Dobësi strategjike)</w:t>
            </w:r>
            <w:r w:rsidRPr="000E1EB0">
              <w:rPr>
                <w:rFonts w:ascii="Garamond" w:hAnsi="Garamond" w:cs="Tahoma"/>
                <w:sz w:val="20"/>
                <w:szCs w:val="20"/>
                <w:lang w:val="sq-AL"/>
              </w:rPr>
              <w:t xml:space="preserve"> SME-të janë të karakterit mikro dhe jashtëzakonisht të ndjeshme ndaj ndryshimeve politike, fiskale apo të tregut</w:t>
            </w:r>
          </w:p>
        </w:tc>
      </w:tr>
      <w:tr w:rsidR="00650E6F" w:rsidRPr="000E1EB0" w14:paraId="6D6F2AB7"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B5"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(Pikë e fortë strategjike) </w:t>
            </w:r>
            <w:r w:rsidRPr="00C176E4">
              <w:rPr>
                <w:rFonts w:ascii="Garamond" w:hAnsi="Garamond" w:cs="Tahoma"/>
                <w:b w:val="0"/>
                <w:sz w:val="20"/>
                <w:szCs w:val="20"/>
                <w:lang w:val="sq-AL"/>
              </w:rPr>
              <w:t>Prodhimi i larmishëm bujqësor dhe ekonomia rurale në të gjithë rajonin</w:t>
            </w: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B6" w14:textId="77777777" w:rsidR="00650E6F" w:rsidRPr="000E1EB0" w:rsidRDefault="00650E6F" w:rsidP="00650E6F">
            <w:pPr>
              <w:ind w:left="57"/>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(Dobësi strategjike)</w:t>
            </w:r>
            <w:r w:rsidRPr="000E1EB0">
              <w:rPr>
                <w:rFonts w:ascii="Garamond" w:hAnsi="Garamond" w:cs="Tahoma"/>
                <w:sz w:val="20"/>
                <w:szCs w:val="20"/>
                <w:lang w:val="sq-AL"/>
              </w:rPr>
              <w:t xml:space="preserve"> Mungesa e specializimit, vlerës së shtuar, hulumtimit dhe orientimit të plotë të tregut</w:t>
            </w:r>
          </w:p>
        </w:tc>
      </w:tr>
      <w:tr w:rsidR="00650E6F" w:rsidRPr="000E1EB0" w14:paraId="6D6F2ABA"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8496B0" w:themeFill="text2" w:themeFillTint="99"/>
          </w:tcPr>
          <w:p w14:paraId="6D6F2AB8"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(Efekt) </w:t>
            </w:r>
            <w:r w:rsidRPr="00C176E4">
              <w:rPr>
                <w:rFonts w:ascii="Garamond" w:hAnsi="Garamond" w:cs="Tahoma"/>
                <w:b w:val="0"/>
                <w:sz w:val="20"/>
                <w:szCs w:val="20"/>
                <w:lang w:val="sq-AL"/>
              </w:rPr>
              <w:t>Bizneset e mesme të qëndrueshme dhe konkurruese, veçanërisht në rajonet e Pollogut, Elbasanit dhe Pellagonisë</w:t>
            </w:r>
          </w:p>
        </w:tc>
        <w:tc>
          <w:tcPr>
            <w:tcW w:w="4621" w:type="dxa"/>
            <w:tcBorders>
              <w:top w:val="single" w:sz="4" w:space="0" w:color="auto"/>
              <w:left w:val="single" w:sz="4" w:space="0" w:color="auto"/>
              <w:bottom w:val="single" w:sz="4" w:space="0" w:color="auto"/>
              <w:right w:val="single" w:sz="4" w:space="0" w:color="auto"/>
            </w:tcBorders>
            <w:shd w:val="clear" w:color="auto" w:fill="8496B0" w:themeFill="text2" w:themeFillTint="99"/>
          </w:tcPr>
          <w:p w14:paraId="6D6F2AB9"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(Efekt)</w:t>
            </w:r>
            <w:r w:rsidRPr="000E1EB0">
              <w:rPr>
                <w:rFonts w:ascii="Garamond" w:hAnsi="Garamond" w:cs="Tahoma"/>
                <w:sz w:val="20"/>
                <w:szCs w:val="20"/>
                <w:lang w:val="sq-AL"/>
              </w:rPr>
              <w:t xml:space="preserve"> Konkurrenca e kufizuar e produkteve në nivel rajonal dhe kombëtar, nivelet e ulëta të GVA</w:t>
            </w:r>
          </w:p>
        </w:tc>
      </w:tr>
      <w:tr w:rsidR="00650E6F" w:rsidRPr="000E1EB0" w14:paraId="6D6F2ABD"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nil"/>
              <w:bottom w:val="nil"/>
              <w:right w:val="single" w:sz="4" w:space="0" w:color="auto"/>
            </w:tcBorders>
            <w:shd w:val="clear" w:color="auto" w:fill="FFFFFF" w:themeFill="background1"/>
          </w:tcPr>
          <w:p w14:paraId="6D6F2ABB" w14:textId="77777777" w:rsidR="00650E6F" w:rsidRPr="000E1EB0" w:rsidRDefault="00650E6F" w:rsidP="00650E6F">
            <w:pPr>
              <w:rPr>
                <w:rFonts w:ascii="Garamond" w:hAnsi="Garamond" w:cs="Tahoma"/>
                <w:b w:val="0"/>
                <w:sz w:val="20"/>
                <w:szCs w:val="20"/>
                <w:lang w:val="sq-AL"/>
              </w:rPr>
            </w:pP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BC" w14:textId="77777777" w:rsidR="00650E6F" w:rsidRPr="000E1EB0" w:rsidRDefault="00650E6F" w:rsidP="00650E6F">
            <w:pPr>
              <w:ind w:left="57"/>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(Dobësi strategjike) </w:t>
            </w:r>
            <w:r w:rsidRPr="000E1EB0">
              <w:rPr>
                <w:rFonts w:ascii="Garamond" w:hAnsi="Garamond" w:cs="Tahoma"/>
                <w:sz w:val="20"/>
                <w:szCs w:val="20"/>
                <w:lang w:val="sq-AL"/>
              </w:rPr>
              <w:t>Bujqësia e karakterizuar nga fragmentim i madh, produktivitet i kufizuar dhe mungesë e orientimit në treg</w:t>
            </w:r>
          </w:p>
        </w:tc>
      </w:tr>
      <w:tr w:rsidR="00650E6F" w:rsidRPr="000E1EB0" w14:paraId="6D6F2AC0"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nil"/>
              <w:left w:val="nil"/>
              <w:bottom w:val="nil"/>
              <w:right w:val="single" w:sz="4" w:space="0" w:color="auto"/>
            </w:tcBorders>
            <w:shd w:val="clear" w:color="auto" w:fill="FFFFFF" w:themeFill="background1"/>
          </w:tcPr>
          <w:p w14:paraId="6D6F2ABE" w14:textId="77777777" w:rsidR="00650E6F" w:rsidRPr="000E1EB0" w:rsidRDefault="00650E6F" w:rsidP="00650E6F">
            <w:pPr>
              <w:rPr>
                <w:rFonts w:ascii="Garamond" w:hAnsi="Garamond" w:cs="Tahoma"/>
                <w:b w:val="0"/>
                <w:sz w:val="20"/>
                <w:szCs w:val="20"/>
                <w:lang w:val="sq-AL"/>
              </w:rPr>
            </w:pP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BF"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(Dobësi strategjike) </w:t>
            </w:r>
            <w:r w:rsidRPr="000E1EB0">
              <w:rPr>
                <w:rFonts w:ascii="Garamond" w:hAnsi="Garamond" w:cs="Tahoma"/>
                <w:sz w:val="20"/>
                <w:szCs w:val="20"/>
                <w:lang w:val="sq-AL"/>
              </w:rPr>
              <w:t>Burimet natyrore në dispozicion të bujqësisë konkurruese dhe praktikave të prodhimit të ushqimit, të pashfrytëzuara</w:t>
            </w:r>
          </w:p>
        </w:tc>
      </w:tr>
      <w:tr w:rsidR="00650E6F" w:rsidRPr="000E1EB0" w14:paraId="6D6F2AC3"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nil"/>
              <w:left w:val="nil"/>
              <w:bottom w:val="single" w:sz="4" w:space="0" w:color="auto"/>
              <w:right w:val="single" w:sz="4" w:space="0" w:color="auto"/>
            </w:tcBorders>
            <w:shd w:val="clear" w:color="auto" w:fill="FFFFFF" w:themeFill="background1"/>
          </w:tcPr>
          <w:p w14:paraId="6D6F2AC1" w14:textId="77777777" w:rsidR="00650E6F" w:rsidRPr="000E1EB0" w:rsidRDefault="00650E6F" w:rsidP="00650E6F">
            <w:pPr>
              <w:rPr>
                <w:rFonts w:ascii="Garamond" w:hAnsi="Garamond" w:cs="Tahoma"/>
                <w:b w:val="0"/>
                <w:sz w:val="20"/>
                <w:szCs w:val="20"/>
                <w:lang w:val="sq-AL"/>
              </w:rPr>
            </w:pP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C2" w14:textId="77777777" w:rsidR="00650E6F" w:rsidRPr="000E1EB0" w:rsidRDefault="00650E6F" w:rsidP="00650E6F">
            <w:pPr>
              <w:ind w:left="57"/>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 xml:space="preserve">(Kërcënim strategjik) </w:t>
            </w:r>
            <w:r w:rsidRPr="000E1EB0">
              <w:rPr>
                <w:rFonts w:ascii="Garamond" w:hAnsi="Garamond" w:cs="Tahoma"/>
                <w:sz w:val="20"/>
                <w:szCs w:val="20"/>
                <w:lang w:val="sq-AL"/>
              </w:rPr>
              <w:t>Ofertë e kufizuar e produkteve gjysmë-të gatshme me sasi të qëndrueshme</w:t>
            </w:r>
          </w:p>
        </w:tc>
      </w:tr>
      <w:tr w:rsidR="00650E6F" w:rsidRPr="000E1EB0" w14:paraId="6D6F2AC6"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222A35" w:themeFill="text2" w:themeFillShade="80"/>
          </w:tcPr>
          <w:p w14:paraId="6D6F2AC4" w14:textId="77777777" w:rsidR="00650E6F" w:rsidRPr="000E1EB0" w:rsidRDefault="00650E6F" w:rsidP="00650E6F">
            <w:pPr>
              <w:spacing w:before="120" w:after="12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Mundësitë</w:t>
            </w:r>
          </w:p>
        </w:tc>
        <w:tc>
          <w:tcPr>
            <w:tcW w:w="4621" w:type="dxa"/>
            <w:tcBorders>
              <w:top w:val="single" w:sz="4" w:space="0" w:color="auto"/>
              <w:left w:val="single" w:sz="4" w:space="0" w:color="auto"/>
              <w:bottom w:val="single" w:sz="4" w:space="0" w:color="auto"/>
              <w:right w:val="single" w:sz="4" w:space="0" w:color="auto"/>
            </w:tcBorders>
            <w:shd w:val="clear" w:color="auto" w:fill="222A35" w:themeFill="text2" w:themeFillShade="80"/>
          </w:tcPr>
          <w:p w14:paraId="6D6F2AC5" w14:textId="77777777" w:rsidR="00650E6F" w:rsidRPr="000E1EB0" w:rsidRDefault="00650E6F" w:rsidP="00650E6F">
            <w:pPr>
              <w:spacing w:before="120" w:after="120"/>
              <w:jc w:val="center"/>
              <w:cnfStyle w:val="000000100000" w:firstRow="0" w:lastRow="0" w:firstColumn="0" w:lastColumn="0" w:oddVBand="0" w:evenVBand="0" w:oddHBand="1" w:evenHBand="0" w:firstRowFirstColumn="0" w:firstRowLastColumn="0" w:lastRowFirstColumn="0" w:lastRowLastColumn="0"/>
              <w:rPr>
                <w:rFonts w:ascii="Garamond" w:hAnsi="Garamond" w:cs="Tahoma"/>
                <w:b/>
                <w:color w:val="FFFFFF" w:themeColor="background1"/>
                <w:sz w:val="20"/>
                <w:szCs w:val="20"/>
                <w:lang w:val="sq-AL"/>
              </w:rPr>
            </w:pPr>
            <w:r w:rsidRPr="000E1EB0">
              <w:rPr>
                <w:rFonts w:ascii="Garamond" w:hAnsi="Garamond" w:cs="Tahoma"/>
                <w:b/>
                <w:color w:val="FFFFFF" w:themeColor="background1"/>
                <w:sz w:val="20"/>
                <w:szCs w:val="20"/>
                <w:lang w:val="sq-AL"/>
              </w:rPr>
              <w:t>Kërcënimet</w:t>
            </w:r>
          </w:p>
        </w:tc>
      </w:tr>
      <w:tr w:rsidR="00650E6F" w:rsidRPr="000E1EB0" w14:paraId="6D6F2AC9"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8496B0" w:themeFill="text2" w:themeFillTint="99"/>
          </w:tcPr>
          <w:p w14:paraId="6D6F2AC7"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(Efekt) </w:t>
            </w:r>
            <w:r w:rsidRPr="001E4B7B">
              <w:rPr>
                <w:rFonts w:ascii="Garamond" w:hAnsi="Garamond" w:cs="Tahoma"/>
                <w:b w:val="0"/>
                <w:sz w:val="20"/>
                <w:szCs w:val="20"/>
                <w:lang w:val="sq-AL"/>
              </w:rPr>
              <w:t>Zhvillimi ekonomik i bazuar në shfrytëzimin e qëndrueshëm të burimeve të disponueshme natyrore dhe zinxhirët e vlerave</w:t>
            </w:r>
          </w:p>
        </w:tc>
        <w:tc>
          <w:tcPr>
            <w:tcW w:w="4621" w:type="dxa"/>
            <w:tcBorders>
              <w:top w:val="single" w:sz="4" w:space="0" w:color="auto"/>
              <w:left w:val="single" w:sz="4" w:space="0" w:color="auto"/>
              <w:bottom w:val="single" w:sz="4" w:space="0" w:color="auto"/>
              <w:right w:val="single" w:sz="4" w:space="0" w:color="auto"/>
            </w:tcBorders>
            <w:shd w:val="clear" w:color="auto" w:fill="8496B0" w:themeFill="text2" w:themeFillTint="99"/>
          </w:tcPr>
          <w:p w14:paraId="6D6F2AC8" w14:textId="77777777" w:rsidR="00650E6F" w:rsidRPr="000E1EB0" w:rsidRDefault="00650E6F" w:rsidP="00650E6F">
            <w:pP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(Efekt)</w:t>
            </w:r>
            <w:r w:rsidRPr="000E1EB0">
              <w:rPr>
                <w:rFonts w:ascii="Garamond" w:hAnsi="Garamond" w:cs="Tahoma"/>
                <w:sz w:val="20"/>
                <w:szCs w:val="20"/>
                <w:lang w:val="sq-AL"/>
              </w:rPr>
              <w:t xml:space="preserve"> Mospërputhje të mëdha në nivelin e zhvillimit dhe aktivitetet ekonomike midis rajoneve të ndryshme në zonën e bashkëpunimit ndërkufitar</w:t>
            </w:r>
          </w:p>
        </w:tc>
      </w:tr>
      <w:tr w:rsidR="00650E6F" w:rsidRPr="000E1EB0" w14:paraId="6D6F2ACC"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CA"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1E4B7B">
              <w:rPr>
                <w:rFonts w:ascii="Garamond" w:hAnsi="Garamond" w:cs="Tahoma"/>
                <w:b w:val="0"/>
                <w:sz w:val="20"/>
                <w:szCs w:val="20"/>
                <w:lang w:val="sq-AL"/>
              </w:rPr>
              <w:t>Specializimi i SME-ve dhe fuqizimi i tyre përmes shtimit të vlerës së produkteve të tyre</w:t>
            </w:r>
          </w:p>
        </w:tc>
        <w:tc>
          <w:tcPr>
            <w:tcW w:w="4621" w:type="dxa"/>
            <w:tcBorders>
              <w:top w:val="single" w:sz="4" w:space="0" w:color="auto"/>
              <w:left w:val="single" w:sz="4" w:space="0" w:color="auto"/>
              <w:bottom w:val="single" w:sz="4" w:space="0" w:color="auto"/>
              <w:right w:val="single" w:sz="4" w:space="0" w:color="auto"/>
            </w:tcBorders>
            <w:shd w:val="clear" w:color="auto" w:fill="8496B0" w:themeFill="text2" w:themeFillTint="99"/>
          </w:tcPr>
          <w:p w14:paraId="6D6F2ACB"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(Efekt)</w:t>
            </w:r>
            <w:r w:rsidRPr="000E1EB0">
              <w:rPr>
                <w:rFonts w:ascii="Garamond" w:hAnsi="Garamond" w:cs="Tahoma"/>
                <w:sz w:val="20"/>
                <w:szCs w:val="20"/>
                <w:lang w:val="sq-AL"/>
              </w:rPr>
              <w:t xml:space="preserve"> Aktivitete të pamjaftueshme të eksportit</w:t>
            </w:r>
          </w:p>
        </w:tc>
      </w:tr>
      <w:tr w:rsidR="00650E6F" w:rsidRPr="000E1EB0" w14:paraId="6D6F2ACF"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CD"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1E4B7B">
              <w:rPr>
                <w:rFonts w:ascii="Garamond" w:hAnsi="Garamond" w:cs="Tahoma"/>
                <w:b w:val="0"/>
                <w:sz w:val="20"/>
                <w:szCs w:val="20"/>
                <w:lang w:val="sq-AL"/>
              </w:rPr>
              <w:t>Identifikimi i produkteve që mund të njihen në nivel ndërkombëtar</w:t>
            </w:r>
          </w:p>
        </w:tc>
        <w:tc>
          <w:tcPr>
            <w:tcW w:w="4621" w:type="dxa"/>
            <w:tcBorders>
              <w:top w:val="single" w:sz="4" w:space="0" w:color="auto"/>
              <w:left w:val="single" w:sz="4" w:space="0" w:color="auto"/>
              <w:bottom w:val="single" w:sz="4" w:space="0" w:color="auto"/>
              <w:right w:val="single" w:sz="4" w:space="0" w:color="auto"/>
            </w:tcBorders>
            <w:shd w:val="clear" w:color="auto" w:fill="8496B0" w:themeFill="text2" w:themeFillTint="99"/>
          </w:tcPr>
          <w:p w14:paraId="6D6F2ACE" w14:textId="70ABDC84" w:rsidR="00650E6F" w:rsidRPr="000E1EB0" w:rsidRDefault="00650E6F" w:rsidP="00AF1228">
            <w:pPr>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(Efekt)</w:t>
            </w:r>
            <w:r w:rsidRPr="000E1EB0">
              <w:rPr>
                <w:rFonts w:ascii="Garamond" w:hAnsi="Garamond" w:cs="Tahoma"/>
                <w:sz w:val="20"/>
                <w:szCs w:val="20"/>
                <w:lang w:val="sq-AL"/>
              </w:rPr>
              <w:t xml:space="preserve"> Mikrosipërmarrjet jorezistuese ndaj ndryshimeve të tregut</w:t>
            </w:r>
          </w:p>
        </w:tc>
      </w:tr>
      <w:tr w:rsidR="00650E6F" w:rsidRPr="000E1EB0" w14:paraId="6D6F2AD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D0" w14:textId="0C379523" w:rsidR="00650E6F" w:rsidRPr="000E1EB0" w:rsidRDefault="00650E6F" w:rsidP="00AF1228">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1E4B7B">
              <w:rPr>
                <w:rFonts w:ascii="Garamond" w:hAnsi="Garamond" w:cs="Tahoma"/>
                <w:b w:val="0"/>
                <w:sz w:val="20"/>
                <w:szCs w:val="20"/>
                <w:lang w:val="sq-AL"/>
              </w:rPr>
              <w:t>Prodhimi bujqësor dhe përpunimi i ushqimit organik ose të paktën i qëndrueshëm organik</w:t>
            </w: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D1" w14:textId="77777777" w:rsidR="00650E6F" w:rsidRPr="000E1EB0" w:rsidRDefault="00650E6F" w:rsidP="00650E6F">
            <w:pPr>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(Kërcënim strategjik)</w:t>
            </w:r>
            <w:r w:rsidRPr="000E1EB0">
              <w:rPr>
                <w:rFonts w:ascii="Garamond" w:hAnsi="Garamond" w:cs="Tahoma"/>
                <w:sz w:val="20"/>
                <w:szCs w:val="20"/>
                <w:lang w:val="sq-AL"/>
              </w:rPr>
              <w:t xml:space="preserve"> Prodhimi bujqësor i gjerë me tërheqje të kufizuar të tregut</w:t>
            </w:r>
          </w:p>
        </w:tc>
      </w:tr>
      <w:tr w:rsidR="00650E6F" w:rsidRPr="000E1EB0" w14:paraId="6D6F2AD5" w14:textId="77777777" w:rsidTr="00650E6F">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D3"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1E4B7B">
              <w:rPr>
                <w:rFonts w:ascii="Garamond" w:hAnsi="Garamond" w:cs="Tahoma"/>
                <w:b w:val="0"/>
                <w:sz w:val="20"/>
                <w:szCs w:val="20"/>
                <w:lang w:val="sq-AL"/>
              </w:rPr>
              <w:t>Bashkëpunim dhe tregti më të zhvilluara midis shoqërive në rajonin e Bashkëpunimit Ndërkufitar</w:t>
            </w:r>
          </w:p>
        </w:tc>
        <w:tc>
          <w:tcPr>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D4" w14:textId="77777777" w:rsidR="00650E6F" w:rsidRPr="000E1EB0" w:rsidRDefault="00650E6F" w:rsidP="00650E6F">
            <w:pPr>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0E1EB0">
              <w:rPr>
                <w:rFonts w:ascii="Garamond" w:hAnsi="Garamond" w:cs="Tahoma"/>
                <w:b/>
                <w:sz w:val="20"/>
                <w:szCs w:val="20"/>
                <w:lang w:val="sq-AL"/>
              </w:rPr>
              <w:t>(Kërcënim strategjik)</w:t>
            </w:r>
            <w:r w:rsidRPr="000E1EB0">
              <w:rPr>
                <w:rFonts w:ascii="Garamond" w:hAnsi="Garamond" w:cs="Tahoma"/>
                <w:sz w:val="20"/>
                <w:szCs w:val="20"/>
                <w:lang w:val="sq-AL"/>
              </w:rPr>
              <w:t xml:space="preserve"> Erozioni i lartë i tokës për shkak të lartësisë së tokës</w:t>
            </w:r>
          </w:p>
        </w:tc>
      </w:tr>
      <w:tr w:rsidR="00650E6F" w:rsidRPr="000E1EB0" w14:paraId="6D6F2AD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6F2AD6" w14:textId="4B6129D2" w:rsidR="00650E6F" w:rsidRPr="000E1EB0" w:rsidRDefault="00650E6F" w:rsidP="00AF1228">
            <w:pPr>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1E4B7B">
              <w:rPr>
                <w:rFonts w:ascii="Garamond" w:hAnsi="Garamond" w:cs="Tahoma"/>
                <w:b w:val="0"/>
                <w:sz w:val="20"/>
                <w:szCs w:val="20"/>
                <w:lang w:val="sq-AL"/>
              </w:rPr>
              <w:t>Zhvillimi i infrastrukturës së biznesit dhe rrjeteve të biznesit (inkubatorët, qendrat mbështetëse të biznesit, shoqatat etj.)</w:t>
            </w:r>
          </w:p>
        </w:tc>
        <w:tc>
          <w:tcPr>
            <w:tcW w:w="4621" w:type="dxa"/>
            <w:tcBorders>
              <w:top w:val="single" w:sz="4" w:space="0" w:color="auto"/>
              <w:left w:val="single" w:sz="4" w:space="0" w:color="auto"/>
              <w:bottom w:val="nil"/>
              <w:right w:val="nil"/>
            </w:tcBorders>
            <w:shd w:val="clear" w:color="auto" w:fill="FFFFFF" w:themeFill="background1"/>
          </w:tcPr>
          <w:p w14:paraId="6D6F2AD7"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tc>
      </w:tr>
    </w:tbl>
    <w:p w14:paraId="6D6F2AD9" w14:textId="77777777" w:rsidR="00650E6F" w:rsidRPr="000E1EB0" w:rsidRDefault="00650E6F" w:rsidP="00650E6F">
      <w:pPr>
        <w:pStyle w:val="AAAATEX"/>
      </w:pPr>
    </w:p>
    <w:p w14:paraId="6D6F2ADA" w14:textId="77777777" w:rsidR="00650E6F" w:rsidRPr="000E1EB0" w:rsidRDefault="00650E6F" w:rsidP="00650E6F">
      <w:pPr>
        <w:pStyle w:val="AAAATEX"/>
        <w:rPr>
          <w:b/>
        </w:rPr>
      </w:pPr>
      <w:r w:rsidRPr="000E1EB0">
        <w:rPr>
          <w:b/>
        </w:rPr>
        <w:t>Mbrojtja e mjedisit, nxitja e përshtatjes dhe lehtësimit ndaj ndryshimeve klimatike, parandalimi dhe menaxhimi i rrezikut (TP2)</w:t>
      </w:r>
    </w:p>
    <w:p w14:paraId="6D6F2ADB" w14:textId="502B9E29" w:rsidR="00650E6F" w:rsidRPr="000E1EB0" w:rsidRDefault="00650E6F" w:rsidP="00650E6F">
      <w:pPr>
        <w:pStyle w:val="AAAATEX"/>
      </w:pPr>
      <w:r w:rsidRPr="000E1EB0">
        <w:t xml:space="preserve">Pavarësisht minierave intensive në territorin e kufizuar, rajoni i bashkëpunimit ndërkufitar është perceptuar si </w:t>
      </w:r>
      <w:r w:rsidR="00E834B7">
        <w:t>“</w:t>
      </w:r>
      <w:r w:rsidRPr="000E1EB0">
        <w:t>zonë e gjelbër</w:t>
      </w:r>
      <w:r w:rsidR="00E834B7">
        <w:t>”</w:t>
      </w:r>
      <w:r w:rsidRPr="000E1EB0">
        <w:t xml:space="preserve"> e përshtatshme për zhvillimin ekonomik të bazuar në shfrytëzimin e qëndrueshëm të burimeve natyrore, për shkak të pyjeve të bollshme, lumenjve dhe liqeneve. Megjithatë, rajoni nuk ka asnjë sistem për monitorimin e mjedisit apo për parandalimin e rrezikut. </w:t>
      </w:r>
      <w:r w:rsidRPr="000E1EB0">
        <w:lastRenderedPageBreak/>
        <w:t>Për më tepër, mungesa e infrastrukturës mjedisore minimale të kërkuar (trajtimi i mbetjeve ujore, grumbullimi dhe trajtimi i mbetjeve të ngurta</w:t>
      </w:r>
      <w:r w:rsidR="00E834B7">
        <w:t xml:space="preserve"> etj.</w:t>
      </w:r>
      <w:r w:rsidRPr="000E1EB0">
        <w:t>) mund të çojë në ndotjen e mëtejshme të pakontrolluar në rajon dhe në rënien e tërheqjes nga aktivitetet e biznesit të bazuar në shfrytëzimin e qëndrueshëm të burimeve natyrore.</w:t>
      </w:r>
    </w:p>
    <w:p w14:paraId="6D6F2ADC" w14:textId="77777777" w:rsidR="00650E6F" w:rsidRPr="000E1EB0" w:rsidRDefault="00650E6F" w:rsidP="00650E6F">
      <w:pPr>
        <w:pStyle w:val="AAAATEX"/>
        <w:rPr>
          <w:b/>
        </w:rPr>
      </w:pPr>
    </w:p>
    <w:tbl>
      <w:tblPr>
        <w:tblStyle w:val="MediumGrid1-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50E6F" w:rsidRPr="000E1EB0" w14:paraId="6D6F2ADF" w14:textId="77777777" w:rsidTr="00DB0218">
        <w:trPr>
          <w:cnfStyle w:val="100000000000" w:firstRow="1" w:lastRow="0" w:firstColumn="0" w:lastColumn="0" w:oddVBand="0" w:evenVBand="0" w:oddHBand="0"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621" w:type="dxa"/>
            <w:shd w:val="clear" w:color="auto" w:fill="002060"/>
          </w:tcPr>
          <w:p w14:paraId="6D6F2ADD" w14:textId="77777777" w:rsidR="00650E6F" w:rsidRPr="000E1EB0" w:rsidRDefault="00650E6F" w:rsidP="00650E6F">
            <w:pPr>
              <w:spacing w:before="120" w:after="12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Pikat e forta</w:t>
            </w:r>
          </w:p>
        </w:tc>
        <w:tc>
          <w:tcPr>
            <w:tcW w:w="4621" w:type="dxa"/>
            <w:shd w:val="clear" w:color="auto" w:fill="002060"/>
          </w:tcPr>
          <w:p w14:paraId="6D6F2ADE" w14:textId="77777777" w:rsidR="00650E6F" w:rsidRPr="000E1EB0" w:rsidRDefault="00650E6F" w:rsidP="00650E6F">
            <w:pPr>
              <w:spacing w:before="120" w:after="12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Pikat e dobëta</w:t>
            </w:r>
          </w:p>
        </w:tc>
      </w:tr>
      <w:tr w:rsidR="00650E6F" w:rsidRPr="000E1EB0" w14:paraId="6D6F2AE2"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shd w:val="clear" w:color="auto" w:fill="D5DCE4" w:themeFill="text2" w:themeFillTint="33"/>
          </w:tcPr>
          <w:p w14:paraId="6D6F2AE0"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(Pikë e fortë strategjike) </w:t>
            </w:r>
            <w:r w:rsidRPr="00A72F8A">
              <w:rPr>
                <w:rFonts w:ascii="Garamond" w:hAnsi="Garamond" w:cs="Tahoma"/>
                <w:b w:val="0"/>
                <w:sz w:val="20"/>
                <w:szCs w:val="20"/>
                <w:lang w:val="sq-AL"/>
              </w:rPr>
              <w:t>Prania e burimeve të shumëllojshme natyrore (uji, pyjet, flora dhe fauna, klima)</w:t>
            </w:r>
          </w:p>
        </w:tc>
        <w:tc>
          <w:tcPr>
            <w:tcW w:w="4621" w:type="dxa"/>
            <w:shd w:val="clear" w:color="auto" w:fill="D5DCE4" w:themeFill="text2" w:themeFillTint="33"/>
          </w:tcPr>
          <w:p w14:paraId="6D6F2AE1"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(Dobësi strategjike) </w:t>
            </w:r>
            <w:r w:rsidRPr="000E1EB0">
              <w:rPr>
                <w:rFonts w:ascii="Garamond" w:hAnsi="Garamond" w:cs="Tahoma"/>
                <w:sz w:val="20"/>
                <w:szCs w:val="20"/>
                <w:lang w:val="sq-AL"/>
              </w:rPr>
              <w:t>Mungesa e planeve për mbrojtjen e mjedisit, monitorimin dhe sistemet e parandalimit të rrezikut për çdo lloj të ndotjes në rajon dhe parandalimin e erozionit të tokës</w:t>
            </w:r>
          </w:p>
        </w:tc>
      </w:tr>
      <w:tr w:rsidR="00650E6F" w:rsidRPr="000E1EB0" w14:paraId="6D6F2AE5" w14:textId="77777777" w:rsidTr="00650E6F">
        <w:tc>
          <w:tcPr>
            <w:cnfStyle w:val="001000000000" w:firstRow="0" w:lastRow="0" w:firstColumn="1" w:lastColumn="0" w:oddVBand="0" w:evenVBand="0" w:oddHBand="0" w:evenHBand="0" w:firstRowFirstColumn="0" w:firstRowLastColumn="0" w:lastRowFirstColumn="0" w:lastRowLastColumn="0"/>
            <w:tcW w:w="4621" w:type="dxa"/>
            <w:shd w:val="clear" w:color="auto" w:fill="8496B0" w:themeFill="text2" w:themeFillTint="99"/>
          </w:tcPr>
          <w:p w14:paraId="6D6F2AE3" w14:textId="1C1F77BC" w:rsidR="00650E6F" w:rsidRPr="000E1EB0" w:rsidRDefault="00650E6F" w:rsidP="00A72F8A">
            <w:pPr>
              <w:rPr>
                <w:rFonts w:ascii="Garamond" w:hAnsi="Garamond" w:cs="Tahoma"/>
                <w:b w:val="0"/>
                <w:sz w:val="20"/>
                <w:szCs w:val="20"/>
                <w:lang w:val="sq-AL"/>
              </w:rPr>
            </w:pPr>
            <w:r w:rsidRPr="000E1EB0">
              <w:rPr>
                <w:rFonts w:ascii="Garamond" w:hAnsi="Garamond" w:cs="Tahoma"/>
                <w:sz w:val="20"/>
                <w:szCs w:val="20"/>
                <w:lang w:val="sq-AL"/>
              </w:rPr>
              <w:t xml:space="preserve">(Efekt) </w:t>
            </w:r>
            <w:r w:rsidR="00A72F8A" w:rsidRPr="00A72F8A">
              <w:rPr>
                <w:rFonts w:ascii="Garamond" w:hAnsi="Garamond" w:cs="Tahoma"/>
                <w:b w:val="0"/>
                <w:sz w:val="20"/>
                <w:szCs w:val="20"/>
                <w:lang w:val="sq-AL"/>
              </w:rPr>
              <w:t>“</w:t>
            </w:r>
            <w:r w:rsidRPr="00A72F8A">
              <w:rPr>
                <w:rFonts w:ascii="Garamond" w:hAnsi="Garamond" w:cs="Tahoma"/>
                <w:b w:val="0"/>
                <w:sz w:val="20"/>
                <w:szCs w:val="20"/>
                <w:lang w:val="sq-AL"/>
              </w:rPr>
              <w:t>Zonë e pastër</w:t>
            </w:r>
            <w:r w:rsidR="00A72F8A" w:rsidRPr="00A72F8A">
              <w:rPr>
                <w:rFonts w:ascii="Garamond" w:hAnsi="Garamond" w:cs="Tahoma"/>
                <w:b w:val="0"/>
                <w:sz w:val="20"/>
                <w:szCs w:val="20"/>
                <w:lang w:val="sq-AL"/>
              </w:rPr>
              <w:t>”</w:t>
            </w:r>
            <w:r w:rsidRPr="00A72F8A">
              <w:rPr>
                <w:rFonts w:ascii="Garamond" w:hAnsi="Garamond" w:cs="Tahoma"/>
                <w:b w:val="0"/>
                <w:sz w:val="20"/>
                <w:szCs w:val="20"/>
                <w:lang w:val="sq-AL"/>
              </w:rPr>
              <w:t>, pa ndotje të mëdha industriale</w:t>
            </w:r>
          </w:p>
        </w:tc>
        <w:tc>
          <w:tcPr>
            <w:tcW w:w="4621" w:type="dxa"/>
            <w:shd w:val="clear" w:color="auto" w:fill="D5DCE4" w:themeFill="text2" w:themeFillTint="33"/>
          </w:tcPr>
          <w:p w14:paraId="6D6F2AE4" w14:textId="77777777" w:rsidR="00650E6F" w:rsidRPr="000E1EB0" w:rsidRDefault="00650E6F" w:rsidP="00650E6F">
            <w:pPr>
              <w:ind w:left="57"/>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(Dobësi strategjike) </w:t>
            </w:r>
            <w:r w:rsidRPr="000E1EB0">
              <w:rPr>
                <w:rFonts w:ascii="Garamond" w:hAnsi="Garamond" w:cs="Tahoma"/>
                <w:sz w:val="20"/>
                <w:szCs w:val="20"/>
                <w:lang w:val="sq-AL"/>
              </w:rPr>
              <w:t>Mungesa e kontrollit të shfrytëzimit të burimeve natyrore (minierat, pyjet)</w:t>
            </w:r>
          </w:p>
        </w:tc>
      </w:tr>
      <w:tr w:rsidR="00650E6F" w:rsidRPr="000E1EB0" w14:paraId="6D6F2AE8"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shd w:val="clear" w:color="auto" w:fill="D5DCE4" w:themeFill="text2" w:themeFillTint="33"/>
          </w:tcPr>
          <w:p w14:paraId="6D6F2AE6"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(Pikë e fortë strategjike) </w:t>
            </w:r>
            <w:r w:rsidRPr="00A72F8A">
              <w:rPr>
                <w:rFonts w:ascii="Garamond" w:hAnsi="Garamond" w:cs="Tahoma"/>
                <w:b w:val="0"/>
                <w:sz w:val="20"/>
                <w:szCs w:val="20"/>
                <w:lang w:val="sq-AL"/>
              </w:rPr>
              <w:t>Prania e zonave të ndryshme klimatike (malore, kontinentale dhe mesdhetare) mundëson prodhimin më të specializuar të bujqësisë dhe zhvillimin e turizmit alternativ</w:t>
            </w:r>
          </w:p>
        </w:tc>
        <w:tc>
          <w:tcPr>
            <w:tcW w:w="4621" w:type="dxa"/>
            <w:shd w:val="clear" w:color="auto" w:fill="8496B0" w:themeFill="text2" w:themeFillTint="99"/>
          </w:tcPr>
          <w:p w14:paraId="6D6F2AE7"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(Efekt)</w:t>
            </w:r>
            <w:r w:rsidRPr="000E1EB0">
              <w:rPr>
                <w:rFonts w:ascii="Garamond" w:hAnsi="Garamond" w:cs="Tahoma"/>
                <w:sz w:val="20"/>
                <w:szCs w:val="20"/>
                <w:lang w:val="sq-AL"/>
              </w:rPr>
              <w:t xml:space="preserve"> Ndërgjegjësimi i ulët i popullsisë për mbrojtjen e mjedisit</w:t>
            </w:r>
          </w:p>
        </w:tc>
      </w:tr>
      <w:tr w:rsidR="00650E6F" w:rsidRPr="000E1EB0" w14:paraId="6D6F2AEB" w14:textId="77777777" w:rsidTr="00650E6F">
        <w:tc>
          <w:tcPr>
            <w:cnfStyle w:val="001000000000" w:firstRow="0" w:lastRow="0" w:firstColumn="1" w:lastColumn="0" w:oddVBand="0" w:evenVBand="0" w:oddHBand="0" w:evenHBand="0" w:firstRowFirstColumn="0" w:firstRowLastColumn="0" w:lastRowFirstColumn="0" w:lastRowLastColumn="0"/>
            <w:tcW w:w="4621" w:type="dxa"/>
            <w:shd w:val="clear" w:color="auto" w:fill="002060"/>
          </w:tcPr>
          <w:p w14:paraId="6D6F2AE9" w14:textId="77777777" w:rsidR="00650E6F" w:rsidRPr="000E1EB0" w:rsidRDefault="00650E6F" w:rsidP="00650E6F">
            <w:pPr>
              <w:spacing w:before="120" w:after="120"/>
              <w:jc w:val="center"/>
              <w:rPr>
                <w:rFonts w:ascii="Garamond" w:hAnsi="Garamond" w:cs="Tahoma"/>
                <w:color w:val="FFFFFF" w:themeColor="background1"/>
                <w:sz w:val="20"/>
                <w:szCs w:val="20"/>
                <w:lang w:val="sq-AL"/>
              </w:rPr>
            </w:pPr>
            <w:r w:rsidRPr="000E1EB0">
              <w:rPr>
                <w:rFonts w:ascii="Garamond" w:hAnsi="Garamond" w:cs="Tahoma"/>
                <w:color w:val="FFFFFF" w:themeColor="background1"/>
                <w:sz w:val="20"/>
                <w:szCs w:val="20"/>
                <w:lang w:val="sq-AL"/>
              </w:rPr>
              <w:t>Mundësitë</w:t>
            </w:r>
          </w:p>
        </w:tc>
        <w:tc>
          <w:tcPr>
            <w:tcW w:w="4621" w:type="dxa"/>
            <w:shd w:val="clear" w:color="auto" w:fill="002060"/>
          </w:tcPr>
          <w:p w14:paraId="6D6F2AEA" w14:textId="77777777" w:rsidR="00650E6F" w:rsidRPr="000E1EB0" w:rsidRDefault="00650E6F" w:rsidP="00650E6F">
            <w:pPr>
              <w:spacing w:before="120" w:after="12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FFFFFF" w:themeColor="background1"/>
                <w:sz w:val="20"/>
                <w:szCs w:val="20"/>
                <w:lang w:val="sq-AL"/>
              </w:rPr>
            </w:pPr>
            <w:r w:rsidRPr="000E1EB0">
              <w:rPr>
                <w:rFonts w:ascii="Garamond" w:hAnsi="Garamond" w:cs="Tahoma"/>
                <w:b/>
                <w:color w:val="FFFFFF" w:themeColor="background1"/>
                <w:sz w:val="20"/>
                <w:szCs w:val="20"/>
                <w:lang w:val="sq-AL"/>
              </w:rPr>
              <w:t>Kërcënimet</w:t>
            </w:r>
          </w:p>
        </w:tc>
      </w:tr>
      <w:tr w:rsidR="00650E6F" w:rsidRPr="000E1EB0" w14:paraId="6D6F2AEE" w14:textId="77777777" w:rsidTr="00650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shd w:val="clear" w:color="auto" w:fill="8496B0" w:themeFill="text2" w:themeFillTint="99"/>
          </w:tcPr>
          <w:p w14:paraId="6D6F2AEC" w14:textId="77777777" w:rsidR="00650E6F" w:rsidRPr="000E1EB0" w:rsidRDefault="00650E6F" w:rsidP="00650E6F">
            <w:pPr>
              <w:rPr>
                <w:rFonts w:ascii="Garamond" w:hAnsi="Garamond" w:cs="Tahoma"/>
                <w:b w:val="0"/>
                <w:sz w:val="20"/>
                <w:szCs w:val="20"/>
                <w:lang w:val="sq-AL"/>
              </w:rPr>
            </w:pPr>
            <w:r w:rsidRPr="000E1EB0">
              <w:rPr>
                <w:rFonts w:ascii="Garamond" w:hAnsi="Garamond" w:cs="Tahoma"/>
                <w:sz w:val="20"/>
                <w:szCs w:val="20"/>
                <w:lang w:val="sq-AL"/>
              </w:rPr>
              <w:t xml:space="preserve">(Efekt) </w:t>
            </w:r>
            <w:r w:rsidRPr="00A72F8A">
              <w:rPr>
                <w:rFonts w:ascii="Garamond" w:hAnsi="Garamond" w:cs="Tahoma"/>
                <w:b w:val="0"/>
                <w:sz w:val="20"/>
                <w:szCs w:val="20"/>
                <w:lang w:val="sq-AL"/>
              </w:rPr>
              <w:t>Zhvillimi i strategjisë së përbashkët për mbrojtjen e mjedisit të rajonit CBC, monitorimin, njohjen e hershme dhe parandalimit e rrezikut</w:t>
            </w:r>
            <w:r w:rsidRPr="000E1EB0">
              <w:rPr>
                <w:rFonts w:ascii="Garamond" w:hAnsi="Garamond" w:cs="Tahoma"/>
                <w:sz w:val="20"/>
                <w:szCs w:val="20"/>
                <w:lang w:val="sq-AL"/>
              </w:rPr>
              <w:t xml:space="preserve"> </w:t>
            </w:r>
          </w:p>
        </w:tc>
        <w:tc>
          <w:tcPr>
            <w:tcW w:w="4621" w:type="dxa"/>
            <w:shd w:val="clear" w:color="auto" w:fill="8496B0" w:themeFill="text2" w:themeFillTint="99"/>
          </w:tcPr>
          <w:p w14:paraId="6D6F2AED"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 xml:space="preserve">(Efekt) </w:t>
            </w:r>
            <w:r w:rsidRPr="000E1EB0">
              <w:rPr>
                <w:rFonts w:ascii="Garamond" w:hAnsi="Garamond" w:cs="Tahoma"/>
                <w:sz w:val="20"/>
                <w:szCs w:val="20"/>
                <w:lang w:val="sq-AL"/>
              </w:rPr>
              <w:t>Rajonet e vogla me një kërcënim për ndotje që mund të rrezikojë zhvillimin e aktiviteteve të tjera ekonomike / turistike</w:t>
            </w:r>
          </w:p>
        </w:tc>
      </w:tr>
      <w:tr w:rsidR="00650E6F" w:rsidRPr="000E1EB0" w14:paraId="6D6F2AF1" w14:textId="77777777" w:rsidTr="00650E6F">
        <w:tc>
          <w:tcPr>
            <w:cnfStyle w:val="001000000000" w:firstRow="0" w:lastRow="0" w:firstColumn="1" w:lastColumn="0" w:oddVBand="0" w:evenVBand="0" w:oddHBand="0" w:evenHBand="0" w:firstRowFirstColumn="0" w:firstRowLastColumn="0" w:lastRowFirstColumn="0" w:lastRowLastColumn="0"/>
            <w:tcW w:w="4621" w:type="dxa"/>
            <w:shd w:val="clear" w:color="auto" w:fill="D5DCE4" w:themeFill="text2" w:themeFillTint="33"/>
          </w:tcPr>
          <w:p w14:paraId="6D6F2AEF"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A72F8A">
              <w:rPr>
                <w:rFonts w:ascii="Garamond" w:hAnsi="Garamond" w:cs="Tahoma"/>
                <w:b w:val="0"/>
                <w:sz w:val="20"/>
                <w:szCs w:val="20"/>
                <w:lang w:val="sq-AL"/>
              </w:rPr>
              <w:t>Zhvillimi i programeve të përbashkëta për trajtimin e mbetjeve</w:t>
            </w:r>
          </w:p>
        </w:tc>
        <w:tc>
          <w:tcPr>
            <w:tcW w:w="4621" w:type="dxa"/>
            <w:shd w:val="clear" w:color="auto" w:fill="D5DCE4" w:themeFill="text2" w:themeFillTint="33"/>
          </w:tcPr>
          <w:p w14:paraId="6D6F2AF0" w14:textId="77777777" w:rsidR="00650E6F" w:rsidRPr="000E1EB0" w:rsidRDefault="00650E6F" w:rsidP="00650E6F">
            <w:pPr>
              <w:ind w:left="57"/>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(Kërcënim strategjik)</w:t>
            </w:r>
            <w:r w:rsidRPr="000E1EB0">
              <w:rPr>
                <w:rFonts w:ascii="Garamond" w:hAnsi="Garamond" w:cs="Tahoma"/>
                <w:sz w:val="20"/>
                <w:szCs w:val="20"/>
                <w:lang w:val="sq-AL"/>
              </w:rPr>
              <w:t xml:space="preserve"> Mungesa e stimujve dhe investimeve në mbrojtjen e mjedisit dhe / ose teknologjive më miqësore</w:t>
            </w:r>
          </w:p>
        </w:tc>
      </w:tr>
      <w:tr w:rsidR="00650E6F" w:rsidRPr="000E1EB0" w14:paraId="6D6F2AF4" w14:textId="77777777" w:rsidTr="00650E6F">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621" w:type="dxa"/>
            <w:shd w:val="clear" w:color="auto" w:fill="D5DCE4" w:themeFill="text2" w:themeFillTint="33"/>
          </w:tcPr>
          <w:p w14:paraId="6D6F2AF2" w14:textId="77777777" w:rsidR="00650E6F" w:rsidRPr="000E1EB0" w:rsidRDefault="00650E6F" w:rsidP="00650E6F">
            <w:pPr>
              <w:jc w:val="both"/>
              <w:rPr>
                <w:rFonts w:ascii="Garamond" w:hAnsi="Garamond" w:cs="Tahoma"/>
                <w:b w:val="0"/>
                <w:sz w:val="20"/>
                <w:szCs w:val="20"/>
                <w:lang w:val="sq-AL"/>
              </w:rPr>
            </w:pPr>
            <w:r w:rsidRPr="000E1EB0">
              <w:rPr>
                <w:rFonts w:ascii="Garamond" w:hAnsi="Garamond" w:cs="Tahoma"/>
                <w:sz w:val="20"/>
                <w:szCs w:val="20"/>
                <w:lang w:val="sq-AL"/>
              </w:rPr>
              <w:t xml:space="preserve">(Mundësi strategjike) </w:t>
            </w:r>
            <w:r w:rsidRPr="00A72F8A">
              <w:rPr>
                <w:rFonts w:ascii="Garamond" w:hAnsi="Garamond" w:cs="Tahoma"/>
                <w:b w:val="0"/>
                <w:sz w:val="20"/>
                <w:szCs w:val="20"/>
                <w:lang w:val="sq-AL"/>
              </w:rPr>
              <w:t>Hartimi dhe zhvillimi i projekteve, studimeve të fizibilitetit për mbrojtjen e ujërave ndërkombëtare dhe ujërave nëntokësore</w:t>
            </w:r>
          </w:p>
        </w:tc>
        <w:tc>
          <w:tcPr>
            <w:tcW w:w="4621" w:type="dxa"/>
            <w:shd w:val="clear" w:color="auto" w:fill="D5DCE4" w:themeFill="text2" w:themeFillTint="33"/>
          </w:tcPr>
          <w:p w14:paraId="6D6F2AF3" w14:textId="77777777" w:rsidR="00650E6F" w:rsidRPr="000E1EB0" w:rsidRDefault="00650E6F" w:rsidP="00650E6F">
            <w:pPr>
              <w:ind w:left="57"/>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0E1EB0">
              <w:rPr>
                <w:rFonts w:ascii="Garamond" w:hAnsi="Garamond" w:cs="Tahoma"/>
                <w:b/>
                <w:sz w:val="20"/>
                <w:szCs w:val="20"/>
                <w:lang w:val="sq-AL"/>
              </w:rPr>
              <w:t>(Kërcënim strategjik)</w:t>
            </w:r>
            <w:r w:rsidRPr="000E1EB0">
              <w:rPr>
                <w:rFonts w:ascii="Garamond" w:hAnsi="Garamond" w:cs="Tahoma"/>
                <w:sz w:val="20"/>
                <w:szCs w:val="20"/>
                <w:lang w:val="sq-AL"/>
              </w:rPr>
              <w:t xml:space="preserve"> Ujërat ndërkombëtare me rrezik të lartë të ndotjes</w:t>
            </w:r>
          </w:p>
        </w:tc>
      </w:tr>
    </w:tbl>
    <w:p w14:paraId="6D6F2AF5" w14:textId="77777777" w:rsidR="00650E6F" w:rsidRPr="000E1EB0" w:rsidRDefault="00650E6F" w:rsidP="00650E6F">
      <w:pPr>
        <w:pStyle w:val="AAAATEX"/>
      </w:pPr>
    </w:p>
    <w:p w14:paraId="6D6F2AF6" w14:textId="77777777" w:rsidR="00650E6F" w:rsidRPr="007A7288"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7A7288">
        <w:rPr>
          <w:rFonts w:ascii="Garamond" w:hAnsi="Garamond" w:cs="Arial"/>
          <w:bCs/>
          <w:color w:val="000000"/>
          <w:sz w:val="24"/>
          <w:szCs w:val="24"/>
        </w:rPr>
        <w:t>SHTOJCA II – KUSHTET E PËRGJITHSHME</w:t>
      </w:r>
    </w:p>
    <w:p w14:paraId="6D6F2AF7"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AF8" w14:textId="1EF42D8D" w:rsidR="00650E6F" w:rsidRPr="000E1EB0" w:rsidRDefault="00650E6F" w:rsidP="004535F7">
      <w:pPr>
        <w:tabs>
          <w:tab w:val="center" w:pos="4520"/>
          <w:tab w:val="left" w:pos="768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b/>
          <w:bCs/>
          <w:color w:val="000000"/>
          <w:sz w:val="24"/>
          <w:szCs w:val="24"/>
        </w:rPr>
        <w:t xml:space="preserve">Përmbajtja </w:t>
      </w:r>
    </w:p>
    <w:p w14:paraId="6D6F2AF9"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SHTOJCA II – KUSHTET E PËRGJITHSHME </w:t>
      </w:r>
    </w:p>
    <w:p w14:paraId="6D6F2AFA" w14:textId="6BF21043" w:rsidR="00650E6F" w:rsidRPr="000E1EB0" w:rsidRDefault="00D62809"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PJESA E PARË: DISPOZITA TË PËRGJITHSHME </w:t>
      </w:r>
    </w:p>
    <w:p w14:paraId="6D6F2AFB"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 – Periudha e ekzekutimit, periudha e zbatimit operacional dhe afati kontraktues </w:t>
      </w:r>
    </w:p>
    <w:p w14:paraId="6D6F2AFC"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2 – Përfituesit e IPA II dhe detyrat e tyre të përbashkëta </w:t>
      </w:r>
    </w:p>
    <w:p w14:paraId="6D6F2AFD"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3 – Kërkesat e raportimit </w:t>
      </w:r>
    </w:p>
    <w:p w14:paraId="6D6F2AFE" w14:textId="68C7BB5E"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4 – Vizibiliteti dhe </w:t>
      </w:r>
      <w:r w:rsidR="00D62809">
        <w:rPr>
          <w:rFonts w:ascii="Garamond" w:hAnsi="Garamond" w:cs="Arial"/>
          <w:color w:val="000000"/>
          <w:sz w:val="24"/>
          <w:szCs w:val="24"/>
        </w:rPr>
        <w:t>k</w:t>
      </w:r>
      <w:r w:rsidRPr="000E1EB0">
        <w:rPr>
          <w:rFonts w:ascii="Garamond" w:hAnsi="Garamond" w:cs="Arial"/>
          <w:color w:val="000000"/>
          <w:sz w:val="24"/>
          <w:szCs w:val="24"/>
        </w:rPr>
        <w:t xml:space="preserve">omunikimi </w:t>
      </w:r>
    </w:p>
    <w:p w14:paraId="6D6F2AFF"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5 – Të drejtat e pronësisë intelektuale </w:t>
      </w:r>
    </w:p>
    <w:p w14:paraId="6D6F2B00"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6 – Pranueshmëria e shpenzimeve </w:t>
      </w:r>
    </w:p>
    <w:p w14:paraId="6D6F2B01" w14:textId="073AF826" w:rsidR="00650E6F" w:rsidRPr="000E1EB0" w:rsidRDefault="00D62809"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PJESA E DYTË: DISPOZITAT E ZBATUESHME TË MENAXHIMIT TË TËRTHORTË NGA PËRFITUESI I IPA II</w:t>
      </w:r>
      <w:r>
        <w:rPr>
          <w:rFonts w:ascii="Garamond" w:hAnsi="Garamond" w:cs="Arial"/>
          <w:color w:val="000000"/>
          <w:sz w:val="24"/>
          <w:szCs w:val="24"/>
        </w:rPr>
        <w:t xml:space="preserve"> </w:t>
      </w:r>
    </w:p>
    <w:p w14:paraId="6D6F2B02"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7 – Parime të përgjithshme </w:t>
      </w:r>
    </w:p>
    <w:p w14:paraId="6D6F2B03"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Neni 8 – Procedurat e dhënies së prokurimit dhe granteve</w:t>
      </w:r>
    </w:p>
    <w:p w14:paraId="6D6F2B04"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8a – Detyrimet për informim, sanksionet administrative dhe mosveprimi </w:t>
      </w:r>
    </w:p>
    <w:p w14:paraId="6D6F2B05"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9 – Kontrollet paraprake mbi procedurat e granteve dhe prokurimeve dhe kontrollet paraprake të kontratave dhe granteve që do të kryhen nga komisioni </w:t>
      </w:r>
    </w:p>
    <w:p w14:paraId="6D6F2B06"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10 – Llogaritë bankare, sistemet e kontabilitetit dhe kostot e njohura </w:t>
      </w:r>
    </w:p>
    <w:p w14:paraId="6D6F2B07"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11 – Dispozita për pagesat e kryera nga Komisioni për përfituesit IPA II që është Autoriteti Kontraktues </w:t>
      </w:r>
    </w:p>
    <w:p w14:paraId="6D6F2B08"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12 – Ndërprerja e pagesave </w:t>
      </w:r>
    </w:p>
    <w:p w14:paraId="6D6F2B09"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lastRenderedPageBreak/>
        <w:t xml:space="preserve">Neni 13 – Mbulimi i fondeve </w:t>
      </w:r>
    </w:p>
    <w:p w14:paraId="6D6F2B0A" w14:textId="7DFEFDE3" w:rsidR="00650E6F" w:rsidRPr="000E1EB0" w:rsidRDefault="003355FE"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PJESA E TRETË: DISPOZITAT PËRFUNDIMTARE</w:t>
      </w:r>
      <w:r>
        <w:rPr>
          <w:rFonts w:ascii="Garamond" w:hAnsi="Garamond" w:cs="Arial"/>
          <w:color w:val="000000"/>
          <w:sz w:val="24"/>
          <w:szCs w:val="24"/>
        </w:rPr>
        <w:t xml:space="preserve"> </w:t>
      </w:r>
    </w:p>
    <w:p w14:paraId="6D6F2B0B"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14 – Konsultimi mes përfituesve të IPA II dhe Komisionit </w:t>
      </w:r>
    </w:p>
    <w:p w14:paraId="6D6F2B0C"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15 – Amendimi i kësaj marrëveshjeje financimi </w:t>
      </w:r>
    </w:p>
    <w:p w14:paraId="6D6F2B0D"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16 – Pezullimi i kësaj marrëveshjeje të financimit </w:t>
      </w:r>
    </w:p>
    <w:p w14:paraId="6D6F2B0E"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17 – Përfundimi i kësaj marrëveshjeje financiare </w:t>
      </w:r>
    </w:p>
    <w:p w14:paraId="6D6F2B0F"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Neni 18 – Masat për zgjidhjen e mosmarrëveshjeve </w:t>
      </w:r>
    </w:p>
    <w:p w14:paraId="6D6F2B10"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11" w14:textId="296C5FD7" w:rsidR="00650E6F" w:rsidRPr="000E1EB0" w:rsidRDefault="007A7288"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PJESA E PARË</w:t>
      </w:r>
    </w:p>
    <w:p w14:paraId="6D6F2B12" w14:textId="123EF163" w:rsidR="00650E6F" w:rsidRPr="000E1EB0" w:rsidRDefault="007A7288"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DISPOZITA TË PËRGJITHSHME</w:t>
      </w:r>
    </w:p>
    <w:p w14:paraId="6D6F2B13"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14"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w:t>
      </w:r>
    </w:p>
    <w:p w14:paraId="6D6F2B15"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Periudha e ekzekutimit, periudha e zbatimit operacional dhe afati kontraktues</w:t>
      </w:r>
    </w:p>
    <w:p w14:paraId="6D6F2B16"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17" w14:textId="5423510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7A7288">
        <w:rPr>
          <w:rFonts w:ascii="Garamond" w:hAnsi="Garamond" w:cs="Arial"/>
          <w:color w:val="000000"/>
          <w:sz w:val="24"/>
          <w:szCs w:val="24"/>
        </w:rPr>
        <w:t>.</w:t>
      </w:r>
      <w:r w:rsidRPr="000E1EB0">
        <w:rPr>
          <w:rFonts w:ascii="Garamond" w:hAnsi="Garamond" w:cs="Arial"/>
          <w:color w:val="000000"/>
          <w:sz w:val="24"/>
          <w:szCs w:val="24"/>
        </w:rPr>
        <w:t xml:space="preserve"> Periudha e ekzekutimit është periudha gjatë së cilës Marrëveshja e Financimit është zbatuar dhe përfshin periudhën operative të zbatimit, si dhe një fazë të mbylljes. Kohëzgjatja e periudhës së ekzekutimit është përcaktuar në nenin 2(1) të </w:t>
      </w:r>
      <w:r w:rsidR="007A7288" w:rsidRPr="000E1EB0">
        <w:rPr>
          <w:rFonts w:ascii="Garamond" w:hAnsi="Garamond" w:cs="Arial"/>
          <w:color w:val="000000"/>
          <w:sz w:val="24"/>
          <w:szCs w:val="24"/>
        </w:rPr>
        <w:t>kushteve të veçanta</w:t>
      </w:r>
      <w:r w:rsidRPr="000E1EB0">
        <w:rPr>
          <w:rFonts w:ascii="Garamond" w:hAnsi="Garamond" w:cs="Arial"/>
          <w:color w:val="000000"/>
          <w:sz w:val="24"/>
          <w:szCs w:val="24"/>
        </w:rPr>
        <w:t xml:space="preserve">, dhe do të fillojë me hyrjen në fuqi të kësaj Marrëveshjeje Financimi. </w:t>
      </w:r>
    </w:p>
    <w:p w14:paraId="6D6F2B18" w14:textId="69E93C2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7A7288">
        <w:rPr>
          <w:rFonts w:ascii="Garamond" w:hAnsi="Garamond" w:cs="Arial"/>
          <w:color w:val="000000"/>
          <w:sz w:val="24"/>
          <w:szCs w:val="24"/>
        </w:rPr>
        <w:t>.</w:t>
      </w:r>
      <w:r w:rsidRPr="000E1EB0">
        <w:rPr>
          <w:rFonts w:ascii="Garamond" w:hAnsi="Garamond" w:cs="Arial"/>
          <w:color w:val="000000"/>
          <w:sz w:val="24"/>
          <w:szCs w:val="24"/>
        </w:rPr>
        <w:t xml:space="preserve"> Periudha e zbatimit operacional është periudha në të cilën kanë përfunduar të gjitha aktivitetet operative të mbuluara nga prokurimi dhe kontratat e grantit të Programit të Veprimit. Kohëzgjatja e kësaj periudhe është përcaktuar në nenin 2(2) për </w:t>
      </w:r>
      <w:r w:rsidR="007A7288" w:rsidRPr="000E1EB0">
        <w:rPr>
          <w:rFonts w:ascii="Garamond" w:hAnsi="Garamond" w:cs="Arial"/>
          <w:color w:val="000000"/>
          <w:sz w:val="24"/>
          <w:szCs w:val="24"/>
        </w:rPr>
        <w:t xml:space="preserve">kushtet e veçanta </w:t>
      </w:r>
      <w:r w:rsidRPr="000E1EB0">
        <w:rPr>
          <w:rFonts w:ascii="Garamond" w:hAnsi="Garamond" w:cs="Arial"/>
          <w:color w:val="000000"/>
          <w:sz w:val="24"/>
          <w:szCs w:val="24"/>
        </w:rPr>
        <w:t xml:space="preserve">dhe do të fillojë me hyrjen në fuqi të kësaj Marrëveshjeje Financimi; </w:t>
      </w:r>
    </w:p>
    <w:p w14:paraId="6D6F2B19" w14:textId="0B0368C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7A7288">
        <w:rPr>
          <w:rFonts w:ascii="Garamond" w:hAnsi="Garamond" w:cs="Arial"/>
          <w:color w:val="000000"/>
          <w:sz w:val="24"/>
          <w:szCs w:val="24"/>
        </w:rPr>
        <w:t>.</w:t>
      </w:r>
      <w:r w:rsidRPr="000E1EB0">
        <w:rPr>
          <w:rFonts w:ascii="Garamond" w:hAnsi="Garamond" w:cs="Arial"/>
          <w:color w:val="000000"/>
          <w:sz w:val="24"/>
          <w:szCs w:val="24"/>
        </w:rPr>
        <w:t xml:space="preserve"> Periudha operacionale e zbatimit dhe ekzekutimit duhet të respektohet nga Autoriteti Kontraktues në përmbyllje dhe zbatim të prokurimit dhe kontratave të granteve, në kuadër të kësaj marrëveshjeje financiare. </w:t>
      </w:r>
    </w:p>
    <w:p w14:paraId="6D6F2B1A" w14:textId="46EF217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7A7288">
        <w:rPr>
          <w:rFonts w:ascii="Garamond" w:hAnsi="Garamond" w:cs="Arial"/>
          <w:color w:val="000000"/>
          <w:sz w:val="24"/>
          <w:szCs w:val="24"/>
        </w:rPr>
        <w:t>.</w:t>
      </w:r>
      <w:r w:rsidRPr="000E1EB0">
        <w:rPr>
          <w:rFonts w:ascii="Garamond" w:hAnsi="Garamond" w:cs="Arial"/>
          <w:color w:val="000000"/>
          <w:sz w:val="24"/>
          <w:szCs w:val="24"/>
        </w:rPr>
        <w:t xml:space="preserve"> Kostot që lidhen me operacionet e Programit të Veprimit do të jenë të pranueshme për financimin e BE-së vetëm nëse janë shkaktuar gjatë periudhës së zbatimit operativ.</w:t>
      </w:r>
    </w:p>
    <w:p w14:paraId="6D6F2B1B" w14:textId="150E4CFC"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7A7288">
        <w:rPr>
          <w:rFonts w:ascii="Garamond" w:hAnsi="Garamond" w:cs="Arial"/>
          <w:color w:val="000000"/>
          <w:sz w:val="24"/>
          <w:szCs w:val="24"/>
        </w:rPr>
        <w:t>.</w:t>
      </w:r>
      <w:r w:rsidRPr="000E1EB0">
        <w:rPr>
          <w:rFonts w:ascii="Garamond" w:hAnsi="Garamond" w:cs="Arial"/>
          <w:color w:val="000000"/>
          <w:sz w:val="24"/>
          <w:szCs w:val="24"/>
        </w:rPr>
        <w:t xml:space="preserve"> Kontratat e grantit dhe të prokurimit do të përfundojnë e shumta brenda tre vjetëve nga hyrja në fuqi e Marrëveshjes Financiare, përveç:</w:t>
      </w:r>
    </w:p>
    <w:p w14:paraId="6D6F2B1C" w14:textId="7C3675D1"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a</w:t>
      </w:r>
      <w:r w:rsidR="007A7288">
        <w:rPr>
          <w:rFonts w:ascii="Garamond" w:hAnsi="Garamond" w:cs="Arial"/>
          <w:color w:val="000000"/>
          <w:sz w:val="24"/>
          <w:szCs w:val="24"/>
        </w:rPr>
        <w:t>)</w:t>
      </w:r>
      <w:r w:rsidRPr="000E1EB0">
        <w:rPr>
          <w:rFonts w:ascii="Garamond" w:hAnsi="Garamond" w:cs="Arial"/>
          <w:color w:val="000000"/>
          <w:sz w:val="24"/>
          <w:szCs w:val="24"/>
        </w:rPr>
        <w:t xml:space="preserve"> në ndryshimet në kontratat tashmë të lidhura;</w:t>
      </w:r>
    </w:p>
    <w:p w14:paraId="6D6F2B1D" w14:textId="12B71F1E"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b</w:t>
      </w:r>
      <w:r w:rsidR="007A7288">
        <w:rPr>
          <w:rFonts w:ascii="Garamond" w:hAnsi="Garamond" w:cs="Arial"/>
          <w:color w:val="000000"/>
          <w:sz w:val="24"/>
          <w:szCs w:val="24"/>
        </w:rPr>
        <w:t>)</w:t>
      </w:r>
      <w:r w:rsidRPr="000E1EB0">
        <w:rPr>
          <w:rFonts w:ascii="Garamond" w:hAnsi="Garamond" w:cs="Arial"/>
          <w:color w:val="000000"/>
          <w:sz w:val="24"/>
          <w:szCs w:val="24"/>
        </w:rPr>
        <w:t xml:space="preserve"> kur kontratat individuale të prokurimit përfundojnë pas një ndërprerjeje të parakohshme të kontratës ekzistuese të prokurimit; </w:t>
      </w:r>
    </w:p>
    <w:p w14:paraId="6D6F2B1E" w14:textId="03AFC732"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c</w:t>
      </w:r>
      <w:r w:rsidR="007A7288">
        <w:rPr>
          <w:rFonts w:ascii="Garamond" w:hAnsi="Garamond" w:cs="Arial"/>
          <w:color w:val="000000"/>
          <w:sz w:val="24"/>
          <w:szCs w:val="24"/>
        </w:rPr>
        <w:t>)</w:t>
      </w:r>
      <w:r w:rsidRPr="000E1EB0">
        <w:rPr>
          <w:rFonts w:ascii="Garamond" w:hAnsi="Garamond" w:cs="Arial"/>
          <w:color w:val="000000"/>
          <w:sz w:val="24"/>
          <w:szCs w:val="24"/>
        </w:rPr>
        <w:t xml:space="preserve"> kontratave që lidhen me auditimin dhe vlerësimin, të cilat mund të jenë të nënshkruara pas zbatimit operacional;</w:t>
      </w:r>
    </w:p>
    <w:p w14:paraId="6D6F2B1F" w14:textId="6DCEB22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d</w:t>
      </w:r>
      <w:r w:rsidR="007A7288" w:rsidRPr="000E1EB0">
        <w:rPr>
          <w:rFonts w:ascii="Garamond" w:hAnsi="Garamond" w:cs="Arial"/>
          <w:color w:val="000000"/>
          <w:sz w:val="24"/>
          <w:szCs w:val="24"/>
        </w:rPr>
        <w:t>)</w:t>
      </w:r>
      <w:r w:rsidRPr="000E1EB0">
        <w:rPr>
          <w:rFonts w:ascii="Garamond" w:hAnsi="Garamond" w:cs="Arial"/>
          <w:color w:val="000000"/>
          <w:sz w:val="24"/>
          <w:szCs w:val="24"/>
        </w:rPr>
        <w:t xml:space="preserve"> kur ndryshimi i entitetit është i ngarkuar me detyra të besuara.</w:t>
      </w:r>
    </w:p>
    <w:p w14:paraId="6D6F2B20" w14:textId="05096C58"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6</w:t>
      </w:r>
      <w:r w:rsidR="007A7288">
        <w:rPr>
          <w:rFonts w:ascii="Garamond" w:hAnsi="Garamond" w:cs="Arial"/>
          <w:color w:val="000000"/>
          <w:sz w:val="24"/>
          <w:szCs w:val="24"/>
        </w:rPr>
        <w:t>.</w:t>
      </w:r>
      <w:r w:rsidRPr="000E1EB0">
        <w:rPr>
          <w:rFonts w:ascii="Garamond" w:hAnsi="Garamond" w:cs="Arial"/>
          <w:color w:val="000000"/>
          <w:sz w:val="24"/>
          <w:szCs w:val="24"/>
        </w:rPr>
        <w:t xml:space="preserve"> Kur një kontratë granti ose prokurimi, nuk ka sjellë asnjë pagesë brenda dy viteve të nënshkrimit të saj, do të ndërpritet automatikisht dhe fondet e saj do të bllokohen.</w:t>
      </w:r>
    </w:p>
    <w:p w14:paraId="6D6F2B21"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22"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2</w:t>
      </w:r>
    </w:p>
    <w:p w14:paraId="6D6F2B23"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Përfituesit e IPA II dhe detyrat e tyre të përbashkëta</w:t>
      </w:r>
    </w:p>
    <w:p w14:paraId="6D6F2B24"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25" w14:textId="33B6B67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1E5EAE">
        <w:rPr>
          <w:rFonts w:ascii="Garamond" w:hAnsi="Garamond" w:cs="Arial"/>
          <w:color w:val="000000"/>
          <w:sz w:val="24"/>
          <w:szCs w:val="24"/>
        </w:rPr>
        <w:t>.</w:t>
      </w:r>
      <w:r w:rsidRPr="000E1EB0">
        <w:rPr>
          <w:rFonts w:ascii="Garamond" w:hAnsi="Garamond" w:cs="Arial"/>
          <w:color w:val="000000"/>
          <w:sz w:val="24"/>
          <w:szCs w:val="24"/>
        </w:rPr>
        <w:t xml:space="preserve"> Siç parashikohet në nenin 76(3) të kuadrit të marrëveshjeve përkatëse, përfituesit e IPA II do të bashkëpunojnë ngushtë dhe duhet të përmbushin bashkërisht në veçanti funksionet e mëposhtme dhe të marrin përsipër përgjegjësitë e mëposhtme:</w:t>
      </w:r>
    </w:p>
    <w:p w14:paraId="6D6F2B26" w14:textId="4D91EA09"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1E5EAE">
        <w:rPr>
          <w:rFonts w:ascii="Garamond" w:hAnsi="Garamond" w:cs="Arial"/>
          <w:color w:val="000000"/>
          <w:sz w:val="24"/>
          <w:szCs w:val="24"/>
        </w:rPr>
        <w:t>)</w:t>
      </w:r>
      <w:r w:rsidRPr="000E1EB0">
        <w:rPr>
          <w:rFonts w:ascii="Garamond" w:hAnsi="Garamond" w:cs="Arial"/>
          <w:color w:val="000000"/>
          <w:sz w:val="24"/>
          <w:szCs w:val="24"/>
        </w:rPr>
        <w:t xml:space="preserve"> përgatisin programet e bashkëpunimit ndërkufitar në përputhje me nenin 68 të </w:t>
      </w:r>
      <w:r w:rsidR="001E5EAE" w:rsidRPr="000E1EB0">
        <w:rPr>
          <w:rFonts w:ascii="Garamond" w:hAnsi="Garamond" w:cs="Arial"/>
          <w:color w:val="000000"/>
          <w:sz w:val="24"/>
          <w:szCs w:val="24"/>
        </w:rPr>
        <w:t>marrëveshjeve kuadër p</w:t>
      </w:r>
      <w:r w:rsidRPr="000E1EB0">
        <w:rPr>
          <w:rFonts w:ascii="Garamond" w:hAnsi="Garamond" w:cs="Arial"/>
          <w:color w:val="000000"/>
          <w:sz w:val="24"/>
          <w:szCs w:val="24"/>
        </w:rPr>
        <w:t xml:space="preserve">ërkatëse ose rishikimet e tyre; </w:t>
      </w:r>
    </w:p>
    <w:p w14:paraId="6D6F2B27" w14:textId="6730458A"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1E5EAE">
        <w:rPr>
          <w:rFonts w:ascii="Garamond" w:hAnsi="Garamond" w:cs="Arial"/>
          <w:color w:val="000000"/>
          <w:sz w:val="24"/>
          <w:szCs w:val="24"/>
        </w:rPr>
        <w:t xml:space="preserve">) </w:t>
      </w:r>
      <w:r w:rsidRPr="000E1EB0">
        <w:rPr>
          <w:rFonts w:ascii="Garamond" w:hAnsi="Garamond" w:cs="Arial"/>
          <w:color w:val="000000"/>
          <w:sz w:val="24"/>
          <w:szCs w:val="24"/>
        </w:rPr>
        <w:t>sigurojnë pjesëmarrjen në Komitetin e Përbashkët të Monitorimit (KPM), mbledhje dhe takime të tjera dypalëshe;</w:t>
      </w:r>
    </w:p>
    <w:p w14:paraId="6D6F2B28" w14:textId="4B71771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lastRenderedPageBreak/>
        <w:t>c</w:t>
      </w:r>
      <w:r w:rsidR="001E5EAE">
        <w:rPr>
          <w:rFonts w:ascii="Garamond" w:hAnsi="Garamond" w:cs="Arial"/>
          <w:color w:val="000000"/>
          <w:sz w:val="24"/>
          <w:szCs w:val="24"/>
        </w:rPr>
        <w:t>)</w:t>
      </w:r>
      <w:r w:rsidRPr="000E1EB0">
        <w:rPr>
          <w:rFonts w:ascii="Garamond" w:hAnsi="Garamond" w:cs="Arial"/>
          <w:color w:val="000000"/>
          <w:sz w:val="24"/>
          <w:szCs w:val="24"/>
        </w:rPr>
        <w:t xml:space="preserve"> emërojnë përfaqësuesin e tyre në KPM;</w:t>
      </w:r>
    </w:p>
    <w:p w14:paraId="6D6F2B29" w14:textId="53736B9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d</w:t>
      </w:r>
      <w:r w:rsidR="001E5EAE">
        <w:rPr>
          <w:rFonts w:ascii="Garamond" w:hAnsi="Garamond" w:cs="Arial"/>
          <w:color w:val="000000"/>
          <w:sz w:val="24"/>
          <w:szCs w:val="24"/>
        </w:rPr>
        <w:t>)</w:t>
      </w:r>
      <w:r w:rsidRPr="000E1EB0">
        <w:rPr>
          <w:rFonts w:ascii="Garamond" w:hAnsi="Garamond" w:cs="Arial"/>
          <w:color w:val="000000"/>
          <w:sz w:val="24"/>
          <w:szCs w:val="24"/>
        </w:rPr>
        <w:t xml:space="preserve"> krijojnë Sekretariatin e Përbashkët Teknik (SPT) dhe sigurojnë që ka personel të mjaftueshëm; </w:t>
      </w:r>
    </w:p>
    <w:p w14:paraId="6D6F2B2A" w14:textId="266F1C9A"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e</w:t>
      </w:r>
      <w:r w:rsidR="001E5EAE">
        <w:rPr>
          <w:rFonts w:ascii="Garamond" w:hAnsi="Garamond" w:cs="Arial"/>
          <w:color w:val="000000"/>
          <w:sz w:val="24"/>
          <w:szCs w:val="24"/>
        </w:rPr>
        <w:t>)</w:t>
      </w:r>
      <w:r w:rsidRPr="000E1EB0">
        <w:rPr>
          <w:rFonts w:ascii="Garamond" w:hAnsi="Garamond" w:cs="Arial"/>
          <w:color w:val="000000"/>
          <w:sz w:val="24"/>
          <w:szCs w:val="24"/>
        </w:rPr>
        <w:t xml:space="preserve"> përgatisin dhe zbatojnë vendimet strategjike t</w:t>
      </w:r>
      <w:r w:rsidR="0012329C" w:rsidRPr="000E1EB0">
        <w:rPr>
          <w:rFonts w:ascii="Garamond" w:hAnsi="Garamond" w:cs="Arial"/>
          <w:color w:val="000000"/>
          <w:sz w:val="24"/>
          <w:szCs w:val="24"/>
        </w:rPr>
        <w:t>ë</w:t>
      </w:r>
      <w:r w:rsidRPr="000E1EB0">
        <w:rPr>
          <w:rFonts w:ascii="Garamond" w:hAnsi="Garamond" w:cs="Arial"/>
          <w:color w:val="000000"/>
          <w:sz w:val="24"/>
          <w:szCs w:val="24"/>
        </w:rPr>
        <w:t xml:space="preserve"> KPM</w:t>
      </w:r>
      <w:r w:rsidR="0012329C">
        <w:rPr>
          <w:rFonts w:ascii="Garamond" w:hAnsi="Garamond" w:cs="Arial"/>
          <w:color w:val="000000"/>
          <w:sz w:val="24"/>
          <w:szCs w:val="24"/>
        </w:rPr>
        <w:t>-s</w:t>
      </w:r>
      <w:r w:rsidR="0012329C" w:rsidRPr="000E1EB0">
        <w:rPr>
          <w:rFonts w:ascii="Garamond" w:hAnsi="Garamond" w:cs="Arial"/>
          <w:color w:val="000000"/>
          <w:sz w:val="24"/>
          <w:szCs w:val="24"/>
        </w:rPr>
        <w:t>ë</w:t>
      </w:r>
      <w:r w:rsidRPr="000E1EB0">
        <w:rPr>
          <w:rFonts w:ascii="Garamond" w:hAnsi="Garamond" w:cs="Arial"/>
          <w:color w:val="000000"/>
          <w:sz w:val="24"/>
          <w:szCs w:val="24"/>
        </w:rPr>
        <w:t xml:space="preserve">; </w:t>
      </w:r>
    </w:p>
    <w:p w14:paraId="6D6F2B2B" w14:textId="37E311E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f</w:t>
      </w:r>
      <w:r w:rsidR="001E5EAE">
        <w:rPr>
          <w:rFonts w:ascii="Garamond" w:hAnsi="Garamond" w:cs="Arial"/>
          <w:color w:val="000000"/>
          <w:sz w:val="24"/>
          <w:szCs w:val="24"/>
        </w:rPr>
        <w:t>)</w:t>
      </w:r>
      <w:r w:rsidRPr="000E1EB0">
        <w:rPr>
          <w:rFonts w:ascii="Garamond" w:hAnsi="Garamond" w:cs="Arial"/>
          <w:color w:val="000000"/>
          <w:sz w:val="24"/>
          <w:szCs w:val="24"/>
        </w:rPr>
        <w:t xml:space="preserve"> mbështesin punën e KPM-së dhe sigurojnë informacionin e kërkuar për të kryer detyrat e veta, në veçanti të dhënat që lidhen me ecurinë e programit operativ në arritjen e objektivave specifik</w:t>
      </w:r>
      <w:r w:rsidR="0006444B" w:rsidRPr="000E1EB0">
        <w:rPr>
          <w:rFonts w:ascii="Garamond" w:hAnsi="Garamond" w:cs="Arial"/>
          <w:color w:val="000000"/>
          <w:sz w:val="24"/>
          <w:szCs w:val="24"/>
        </w:rPr>
        <w:t>ë</w:t>
      </w:r>
      <w:r w:rsidRPr="000E1EB0">
        <w:rPr>
          <w:rFonts w:ascii="Garamond" w:hAnsi="Garamond" w:cs="Arial"/>
          <w:color w:val="000000"/>
          <w:sz w:val="24"/>
          <w:szCs w:val="24"/>
        </w:rPr>
        <w:t xml:space="preserve"> dhe synimeve për prioritet tematike, si ngritja e programit të bashkëpunimit ndërkufitar; </w:t>
      </w:r>
    </w:p>
    <w:p w14:paraId="6D6F2B2C" w14:textId="772D141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g</w:t>
      </w:r>
      <w:r w:rsidR="001E5EAE">
        <w:rPr>
          <w:rFonts w:ascii="Garamond" w:hAnsi="Garamond" w:cs="Arial"/>
          <w:color w:val="000000"/>
          <w:sz w:val="24"/>
          <w:szCs w:val="24"/>
        </w:rPr>
        <w:t>)</w:t>
      </w:r>
      <w:r w:rsidRPr="000E1EB0">
        <w:rPr>
          <w:rFonts w:ascii="Garamond" w:hAnsi="Garamond" w:cs="Arial"/>
          <w:color w:val="000000"/>
          <w:sz w:val="24"/>
          <w:szCs w:val="24"/>
        </w:rPr>
        <w:t xml:space="preserve"> krijojnë një sistem për të mbledhur informacion të besueshëm mbi zbatimin e programit të bashkëpunimit ndërkufitar; </w:t>
      </w:r>
    </w:p>
    <w:p w14:paraId="6D6F2B2D" w14:textId="6F78B55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h</w:t>
      </w:r>
      <w:r w:rsidR="001E5EAE">
        <w:rPr>
          <w:rFonts w:ascii="Garamond" w:hAnsi="Garamond" w:cs="Arial"/>
          <w:color w:val="000000"/>
          <w:sz w:val="24"/>
          <w:szCs w:val="24"/>
        </w:rPr>
        <w:t>)</w:t>
      </w:r>
      <w:r w:rsidRPr="000E1EB0">
        <w:rPr>
          <w:rFonts w:ascii="Garamond" w:hAnsi="Garamond" w:cs="Arial"/>
          <w:color w:val="000000"/>
          <w:sz w:val="24"/>
          <w:szCs w:val="24"/>
        </w:rPr>
        <w:t xml:space="preserve"> hartojnë raportet vjetore dhe finale t</w:t>
      </w:r>
      <w:r w:rsidR="00ED1CD9" w:rsidRPr="000E1EB0">
        <w:rPr>
          <w:rFonts w:ascii="Garamond" w:hAnsi="Garamond" w:cs="Arial"/>
          <w:color w:val="000000"/>
          <w:sz w:val="24"/>
          <w:szCs w:val="24"/>
        </w:rPr>
        <w:t>ë</w:t>
      </w:r>
      <w:r w:rsidRPr="000E1EB0">
        <w:rPr>
          <w:rFonts w:ascii="Garamond" w:hAnsi="Garamond" w:cs="Arial"/>
          <w:color w:val="000000"/>
          <w:sz w:val="24"/>
          <w:szCs w:val="24"/>
        </w:rPr>
        <w:t xml:space="preserve"> zbatimit siç janë përmendur në nenin 80 të Marrëveshjes Kuadër përkatëse në përputhje me nenin 3; </w:t>
      </w:r>
    </w:p>
    <w:p w14:paraId="6D6F2B2E" w14:textId="446B0A4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i</w:t>
      </w:r>
      <w:r w:rsidR="001E5EAE">
        <w:rPr>
          <w:rFonts w:ascii="Garamond" w:hAnsi="Garamond" w:cs="Arial"/>
          <w:color w:val="000000"/>
          <w:sz w:val="24"/>
          <w:szCs w:val="24"/>
        </w:rPr>
        <w:t>)</w:t>
      </w:r>
      <w:r w:rsidRPr="000E1EB0">
        <w:rPr>
          <w:rFonts w:ascii="Garamond" w:hAnsi="Garamond" w:cs="Arial"/>
          <w:color w:val="000000"/>
          <w:sz w:val="24"/>
          <w:szCs w:val="24"/>
        </w:rPr>
        <w:t xml:space="preserve"> të përgatisin dhe të zbatojnë një plan koherent për komunikim dhe vizibilitetit;</w:t>
      </w:r>
    </w:p>
    <w:p w14:paraId="6D6F2B2F" w14:textId="6EE810A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j</w:t>
      </w:r>
      <w:r w:rsidR="007A7288">
        <w:rPr>
          <w:rFonts w:ascii="Garamond" w:hAnsi="Garamond" w:cs="Arial"/>
          <w:color w:val="000000"/>
          <w:sz w:val="24"/>
          <w:szCs w:val="24"/>
        </w:rPr>
        <w:t>)</w:t>
      </w:r>
      <w:r w:rsidRPr="000E1EB0">
        <w:rPr>
          <w:rFonts w:ascii="Garamond" w:hAnsi="Garamond" w:cs="Arial"/>
          <w:color w:val="000000"/>
          <w:sz w:val="24"/>
          <w:szCs w:val="24"/>
        </w:rPr>
        <w:t xml:space="preserve"> të hartojnë një plan vjetor të punës për Sekretariatin e Përbashkët Teknik, të miratuar nga KPM</w:t>
      </w:r>
      <w:r w:rsidR="007A7288">
        <w:rPr>
          <w:rFonts w:ascii="Garamond" w:hAnsi="Garamond" w:cs="Arial"/>
          <w:color w:val="000000"/>
          <w:sz w:val="24"/>
          <w:szCs w:val="24"/>
        </w:rPr>
        <w:t>-ja</w:t>
      </w:r>
      <w:r w:rsidRPr="000E1EB0">
        <w:rPr>
          <w:rFonts w:ascii="Garamond" w:hAnsi="Garamond" w:cs="Arial"/>
          <w:color w:val="000000"/>
          <w:sz w:val="24"/>
          <w:szCs w:val="24"/>
        </w:rPr>
        <w:t>.</w:t>
      </w:r>
    </w:p>
    <w:p w14:paraId="6D6F2B30"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31" w14:textId="77777777" w:rsidR="00650E6F" w:rsidRPr="006F4E36"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6F4E36">
        <w:rPr>
          <w:rFonts w:ascii="Garamond" w:hAnsi="Garamond" w:cs="Arial"/>
          <w:bCs/>
          <w:color w:val="000000"/>
          <w:sz w:val="24"/>
          <w:szCs w:val="24"/>
        </w:rPr>
        <w:t>Neni 3</w:t>
      </w:r>
    </w:p>
    <w:p w14:paraId="6D6F2B32"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Kërkesat e raportimit</w:t>
      </w:r>
    </w:p>
    <w:p w14:paraId="6D6F2B33"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34" w14:textId="0382891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DB41EC">
        <w:rPr>
          <w:rFonts w:ascii="Garamond" w:hAnsi="Garamond" w:cs="Arial"/>
          <w:color w:val="000000"/>
          <w:sz w:val="24"/>
          <w:szCs w:val="24"/>
        </w:rPr>
        <w:t>.</w:t>
      </w:r>
      <w:r w:rsidRPr="000E1EB0">
        <w:rPr>
          <w:rFonts w:ascii="Garamond" w:hAnsi="Garamond" w:cs="Arial"/>
          <w:color w:val="000000"/>
          <w:sz w:val="24"/>
          <w:szCs w:val="24"/>
        </w:rPr>
        <w:t xml:space="preserve"> Për qëllimet e kërkesave të raportimit të përcaktuara në nenin 80(1) të marrëveshjeve përkatëse Kuadër, strukturat operuese do të përdorin modelin e parashikuar në </w:t>
      </w:r>
      <w:r w:rsidR="00DB41EC">
        <w:rPr>
          <w:rFonts w:ascii="Garamond" w:hAnsi="Garamond" w:cs="Arial"/>
          <w:color w:val="000000"/>
          <w:sz w:val="24"/>
          <w:szCs w:val="24"/>
        </w:rPr>
        <w:t>s</w:t>
      </w:r>
      <w:r w:rsidRPr="000E1EB0">
        <w:rPr>
          <w:rFonts w:ascii="Garamond" w:hAnsi="Garamond" w:cs="Arial"/>
          <w:color w:val="000000"/>
          <w:sz w:val="24"/>
          <w:szCs w:val="24"/>
        </w:rPr>
        <w:t>htojcën III të kësaj marrëveshjeje financimi.</w:t>
      </w:r>
    </w:p>
    <w:p w14:paraId="6D6F2B35" w14:textId="41D2D28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DB41EC">
        <w:rPr>
          <w:rFonts w:ascii="Garamond" w:hAnsi="Garamond" w:cs="Arial"/>
          <w:color w:val="000000"/>
          <w:sz w:val="24"/>
          <w:szCs w:val="24"/>
        </w:rPr>
        <w:t>.</w:t>
      </w:r>
      <w:r w:rsidRPr="000E1EB0">
        <w:rPr>
          <w:rFonts w:ascii="Garamond" w:hAnsi="Garamond" w:cs="Arial"/>
          <w:color w:val="000000"/>
          <w:sz w:val="24"/>
          <w:szCs w:val="24"/>
        </w:rPr>
        <w:t xml:space="preserve"> Për qëllim të kërkesave të përgjithshme të raportimit në Komision, të përcaktuar në nenin 58 të Marrëveshjes Kuadër dhe kërkesat specifike të raportimit nën menaxhimin e tërthortë, të përcaktuar në nenin 59(1) të Marrëveshjes Kuadër përkatëse në raportin vjetor për zbatimin e ndihmës IPA II, NIPAC do të përdorë modelin e dhënë në </w:t>
      </w:r>
      <w:r w:rsidR="00B8568C">
        <w:rPr>
          <w:rFonts w:ascii="Garamond" w:hAnsi="Garamond" w:cs="Arial"/>
          <w:color w:val="000000"/>
          <w:sz w:val="24"/>
          <w:szCs w:val="24"/>
        </w:rPr>
        <w:t>s</w:t>
      </w:r>
      <w:r w:rsidRPr="000E1EB0">
        <w:rPr>
          <w:rFonts w:ascii="Garamond" w:hAnsi="Garamond" w:cs="Arial"/>
          <w:color w:val="000000"/>
          <w:sz w:val="24"/>
          <w:szCs w:val="24"/>
        </w:rPr>
        <w:t xml:space="preserve">htojcën IIIA të kësaj marrëveshjeje financimi. </w:t>
      </w:r>
    </w:p>
    <w:p w14:paraId="6D6F2B36" w14:textId="3A58DBE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DB41EC">
        <w:rPr>
          <w:rFonts w:ascii="Garamond" w:hAnsi="Garamond" w:cs="Arial"/>
          <w:color w:val="000000"/>
          <w:sz w:val="24"/>
          <w:szCs w:val="24"/>
        </w:rPr>
        <w:t>.</w:t>
      </w:r>
      <w:r w:rsidRPr="000E1EB0">
        <w:rPr>
          <w:rFonts w:ascii="Garamond" w:hAnsi="Garamond" w:cs="Arial"/>
          <w:color w:val="000000"/>
          <w:sz w:val="24"/>
          <w:szCs w:val="24"/>
        </w:rPr>
        <w:t xml:space="preserve"> Për qëllim të kërkesave specifike të raportimit sipas menaxhimit të tërthortë të përcaktuar në pikën </w:t>
      </w:r>
      <w:r w:rsidR="00881777">
        <w:rPr>
          <w:rFonts w:ascii="Garamond" w:hAnsi="Garamond" w:cs="Arial"/>
          <w:color w:val="000000"/>
          <w:sz w:val="24"/>
          <w:szCs w:val="24"/>
        </w:rPr>
        <w:t>“</w:t>
      </w:r>
      <w:r w:rsidRPr="000E1EB0">
        <w:rPr>
          <w:rFonts w:ascii="Garamond" w:hAnsi="Garamond" w:cs="Arial"/>
          <w:color w:val="000000"/>
          <w:sz w:val="24"/>
          <w:szCs w:val="24"/>
        </w:rPr>
        <w:t>a</w:t>
      </w:r>
      <w:r w:rsidR="00881777">
        <w:rPr>
          <w:rFonts w:ascii="Garamond" w:hAnsi="Garamond" w:cs="Arial"/>
          <w:color w:val="000000"/>
          <w:sz w:val="24"/>
          <w:szCs w:val="24"/>
        </w:rPr>
        <w:t>”</w:t>
      </w:r>
      <w:r w:rsidRPr="000E1EB0">
        <w:rPr>
          <w:rFonts w:ascii="Garamond" w:hAnsi="Garamond" w:cs="Arial"/>
          <w:color w:val="000000"/>
          <w:sz w:val="24"/>
          <w:szCs w:val="24"/>
        </w:rPr>
        <w:t xml:space="preserve"> të nenit 59(2) të Marrëveshjes Kuadër mbi raportin vjetor financiar apo deklaratat, NAO si përfitues i IPA II që është Autoriteti Kontraktues do të përdorë modelin e parashikuar në Shtojcën IV të kësaj marrëveshjeje financimi.</w:t>
      </w:r>
    </w:p>
    <w:p w14:paraId="6D6F2B37" w14:textId="7DF87EFC"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DB41EC">
        <w:rPr>
          <w:rFonts w:ascii="Garamond" w:hAnsi="Garamond" w:cs="Arial"/>
          <w:color w:val="000000"/>
          <w:sz w:val="24"/>
          <w:szCs w:val="24"/>
        </w:rPr>
        <w:t>.</w:t>
      </w:r>
      <w:r w:rsidRPr="000E1EB0">
        <w:rPr>
          <w:rFonts w:ascii="Garamond" w:hAnsi="Garamond" w:cs="Arial"/>
          <w:color w:val="000000"/>
          <w:sz w:val="24"/>
          <w:szCs w:val="24"/>
        </w:rPr>
        <w:t xml:space="preserve"> Për qëllim të nenit 59(4) të Marrëveshjes Kuadër, NIPAC (KKIPA) si përfitues i IPA II që është Autoriteti Kontraktues, do t’i paraqesë Komisionit një raport përfundimtar mbi zbatimin e ndihmës së IPA II të Programit të Veprimit, jo më vonë se katër muaj pas disbursimit (pagesës) të fundit për kontraktuesit e saj ose përfituesit e granteve. </w:t>
      </w:r>
    </w:p>
    <w:p w14:paraId="6D6F2B38" w14:textId="53A902D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DB41EC">
        <w:rPr>
          <w:rFonts w:ascii="Garamond" w:hAnsi="Garamond" w:cs="Arial"/>
          <w:color w:val="000000"/>
          <w:sz w:val="24"/>
          <w:szCs w:val="24"/>
        </w:rPr>
        <w:t>.</w:t>
      </w:r>
      <w:r w:rsidRPr="000E1EB0">
        <w:rPr>
          <w:rFonts w:ascii="Garamond" w:hAnsi="Garamond" w:cs="Arial"/>
          <w:color w:val="000000"/>
          <w:sz w:val="24"/>
          <w:szCs w:val="24"/>
        </w:rPr>
        <w:t xml:space="preserve"> Për qëllim të nenit 59(6) të Marrëveshjes Kuadër NOA (ZKA) si përfitues i IPA II që është Autoriteti Kontraktues, do të sigurojë deri më datë 15 janar të vitit financiar vijues, në format elektronik, një kopje të të dhënave të mbajtura në sistemin e kontabilitetit, themeluar sipas nenit 10(5). Kjo duhet të mbështetet nga një raport i nënshkruar i paaudituar përmbledhës financiar, në përputhje me pikën </w:t>
      </w:r>
      <w:r w:rsidR="00881777">
        <w:rPr>
          <w:rFonts w:ascii="Garamond" w:hAnsi="Garamond" w:cs="Arial"/>
          <w:color w:val="000000"/>
          <w:sz w:val="24"/>
          <w:szCs w:val="24"/>
        </w:rPr>
        <w:t>“</w:t>
      </w:r>
      <w:r w:rsidRPr="000E1EB0">
        <w:rPr>
          <w:rFonts w:ascii="Garamond" w:hAnsi="Garamond" w:cs="Arial"/>
          <w:color w:val="000000"/>
          <w:sz w:val="24"/>
          <w:szCs w:val="24"/>
        </w:rPr>
        <w:t>c</w:t>
      </w:r>
      <w:r w:rsidR="00881777">
        <w:rPr>
          <w:rFonts w:ascii="Garamond" w:hAnsi="Garamond" w:cs="Arial"/>
          <w:color w:val="000000"/>
          <w:sz w:val="24"/>
          <w:szCs w:val="24"/>
        </w:rPr>
        <w:t>”</w:t>
      </w:r>
      <w:r w:rsidRPr="000E1EB0">
        <w:rPr>
          <w:rFonts w:ascii="Garamond" w:hAnsi="Garamond" w:cs="Arial"/>
          <w:color w:val="000000"/>
          <w:sz w:val="24"/>
          <w:szCs w:val="24"/>
        </w:rPr>
        <w:t xml:space="preserve"> të </w:t>
      </w:r>
      <w:r w:rsidR="00B61A2C">
        <w:rPr>
          <w:rFonts w:ascii="Garamond" w:hAnsi="Garamond" w:cs="Arial"/>
          <w:color w:val="000000"/>
          <w:sz w:val="24"/>
          <w:szCs w:val="24"/>
        </w:rPr>
        <w:t>s</w:t>
      </w:r>
      <w:r w:rsidRPr="000E1EB0">
        <w:rPr>
          <w:rFonts w:ascii="Garamond" w:hAnsi="Garamond" w:cs="Arial"/>
          <w:color w:val="000000"/>
          <w:sz w:val="24"/>
          <w:szCs w:val="24"/>
        </w:rPr>
        <w:t>htojcë</w:t>
      </w:r>
      <w:r w:rsidR="00370FFA">
        <w:rPr>
          <w:rFonts w:ascii="Garamond" w:hAnsi="Garamond" w:cs="Arial"/>
          <w:color w:val="000000"/>
          <w:sz w:val="24"/>
          <w:szCs w:val="24"/>
        </w:rPr>
        <w:t>s</w:t>
      </w:r>
      <w:r w:rsidRPr="000E1EB0">
        <w:rPr>
          <w:rFonts w:ascii="Garamond" w:hAnsi="Garamond" w:cs="Arial"/>
          <w:color w:val="000000"/>
          <w:sz w:val="24"/>
          <w:szCs w:val="24"/>
        </w:rPr>
        <w:t xml:space="preserve"> IV.</w:t>
      </w:r>
    </w:p>
    <w:p w14:paraId="6D6F2B39"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3A"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4</w:t>
      </w:r>
    </w:p>
    <w:p w14:paraId="6D6F2B3B" w14:textId="4EBEA7DA"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 xml:space="preserve">Vizibiliteti dhe </w:t>
      </w:r>
      <w:r w:rsidR="00C42CD9">
        <w:rPr>
          <w:rFonts w:ascii="Garamond" w:hAnsi="Garamond" w:cs="Arial"/>
          <w:b/>
          <w:bCs/>
          <w:color w:val="000000"/>
          <w:sz w:val="24"/>
          <w:szCs w:val="24"/>
        </w:rPr>
        <w:t>k</w:t>
      </w:r>
      <w:r w:rsidRPr="000E1EB0">
        <w:rPr>
          <w:rFonts w:ascii="Garamond" w:hAnsi="Garamond" w:cs="Arial"/>
          <w:b/>
          <w:bCs/>
          <w:color w:val="000000"/>
          <w:sz w:val="24"/>
          <w:szCs w:val="24"/>
        </w:rPr>
        <w:t>omunikimi</w:t>
      </w:r>
    </w:p>
    <w:p w14:paraId="6D6F2B3C"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3D" w14:textId="0507BCAC"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1. Siç parashikohet në dispozitat e nenit 24(1), 76(3)(k), dhe nenit 78(8)(f) të Marrëveshjes Kuadër përkatëse, përfituesit e IPA II duhet të përgatisin një plan koherent të aktiviteteve të vizibilitetit dhe të komunikimit, të cilat do t’i paraqiten Komisionit për një marrëveshje, brenda 6 muajve nga hyrja në fuqi e kësaj Marrëveshjeje Financimi. </w:t>
      </w:r>
    </w:p>
    <w:p w14:paraId="6D6F2B3E"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 Këto aktivitete të vizibilitetit dhe komunikimit duhet të jenë në përputhje me Manualin e Komunikimeve dhe Vizibilitetit për veprimet e jashtme të BE-së, të përcaktuara dhe të publikuara nga Komisioni, në fuqi në kohën e aktiviteteve.</w:t>
      </w:r>
    </w:p>
    <w:p w14:paraId="6D6F2B3F"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40"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w:t>
      </w:r>
      <w:r w:rsidRPr="000E1EB0">
        <w:rPr>
          <w:rFonts w:ascii="Garamond" w:hAnsi="Garamond" w:cs="Arial"/>
          <w:bCs/>
          <w:color w:val="000000"/>
          <w:spacing w:val="-15"/>
          <w:sz w:val="24"/>
          <w:szCs w:val="24"/>
        </w:rPr>
        <w:t xml:space="preserve"> </w:t>
      </w:r>
      <w:r w:rsidRPr="000E1EB0">
        <w:rPr>
          <w:rFonts w:ascii="Garamond" w:hAnsi="Garamond" w:cs="Arial"/>
          <w:bCs/>
          <w:color w:val="000000"/>
          <w:sz w:val="24"/>
          <w:szCs w:val="24"/>
        </w:rPr>
        <w:t>5</w:t>
      </w:r>
    </w:p>
    <w:p w14:paraId="6D6F2B41"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Të drejtat e pronësisë intelektuale</w:t>
      </w:r>
    </w:p>
    <w:p w14:paraId="6D6F2B42"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43" w14:textId="0152A3F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C42CD9">
        <w:rPr>
          <w:rFonts w:ascii="Garamond" w:hAnsi="Garamond" w:cs="Arial"/>
          <w:color w:val="000000"/>
          <w:sz w:val="24"/>
          <w:szCs w:val="24"/>
        </w:rPr>
        <w:t>.</w:t>
      </w:r>
      <w:r w:rsidRPr="000E1EB0">
        <w:rPr>
          <w:rFonts w:ascii="Garamond" w:hAnsi="Garamond" w:cs="Arial"/>
          <w:color w:val="000000"/>
          <w:sz w:val="24"/>
          <w:szCs w:val="24"/>
        </w:rPr>
        <w:t xml:space="preserve"> 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bërë për qëllime të planifikimit, zbatimit, monitorimit dhe vlerësimit.</w:t>
      </w:r>
    </w:p>
    <w:p w14:paraId="6D6F2B44" w14:textId="03B5B96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C42CD9">
        <w:rPr>
          <w:rFonts w:ascii="Garamond" w:hAnsi="Garamond" w:cs="Arial"/>
          <w:color w:val="000000"/>
          <w:sz w:val="24"/>
          <w:szCs w:val="24"/>
        </w:rPr>
        <w:t>.</w:t>
      </w:r>
      <w:r w:rsidRPr="000E1EB0">
        <w:rPr>
          <w:rFonts w:ascii="Garamond" w:hAnsi="Garamond" w:cs="Arial"/>
          <w:color w:val="000000"/>
          <w:sz w:val="24"/>
          <w:szCs w:val="24"/>
        </w:rPr>
        <w:t xml:space="preserve"> Përfituesi IPA II që është Autoriteti 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w:t>
      </w:r>
      <w:r w:rsidR="009A5DA1">
        <w:rPr>
          <w:rFonts w:ascii="Garamond" w:hAnsi="Garamond" w:cs="Arial"/>
          <w:color w:val="000000"/>
          <w:sz w:val="24"/>
          <w:szCs w:val="24"/>
        </w:rPr>
        <w:t xml:space="preserve"> </w:t>
      </w:r>
    </w:p>
    <w:p w14:paraId="6D6F2B45"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46"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w:t>
      </w:r>
      <w:r w:rsidRPr="000E1EB0">
        <w:rPr>
          <w:rFonts w:ascii="Garamond" w:hAnsi="Garamond" w:cs="Arial"/>
          <w:bCs/>
          <w:color w:val="000000"/>
          <w:spacing w:val="-15"/>
          <w:sz w:val="24"/>
          <w:szCs w:val="24"/>
        </w:rPr>
        <w:t xml:space="preserve"> </w:t>
      </w:r>
      <w:r w:rsidRPr="000E1EB0">
        <w:rPr>
          <w:rFonts w:ascii="Garamond" w:hAnsi="Garamond" w:cs="Arial"/>
          <w:bCs/>
          <w:color w:val="000000"/>
          <w:sz w:val="24"/>
          <w:szCs w:val="24"/>
        </w:rPr>
        <w:t>6</w:t>
      </w:r>
    </w:p>
    <w:p w14:paraId="6D6F2B47"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Pranueshmëria e shpenzimeve</w:t>
      </w:r>
    </w:p>
    <w:p w14:paraId="6D6F2B48"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49" w14:textId="77777777"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1. Shpenzimet e mëposhtme nuk do të jenë të pranueshme për financim sipas kësaj marrëveshjeje financiare:</w:t>
      </w:r>
    </w:p>
    <w:p w14:paraId="6D6F2B4A" w14:textId="74A730B5"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a</w:t>
      </w:r>
      <w:r w:rsidR="00C42CD9">
        <w:rPr>
          <w:rFonts w:ascii="Garamond" w:hAnsi="Garamond" w:cs="Arial"/>
          <w:color w:val="000000"/>
          <w:sz w:val="24"/>
          <w:szCs w:val="24"/>
        </w:rPr>
        <w:t>)</w:t>
      </w:r>
      <w:r w:rsidRPr="000E1EB0">
        <w:rPr>
          <w:rFonts w:ascii="Garamond" w:hAnsi="Garamond" w:cs="Arial"/>
          <w:color w:val="000000"/>
          <w:sz w:val="24"/>
          <w:szCs w:val="24"/>
        </w:rPr>
        <w:t xml:space="preserve"> borxhet dhe pagesat e shërbimit të borxhit (interesi); </w:t>
      </w:r>
    </w:p>
    <w:p w14:paraId="6D6F2B4B" w14:textId="0829CB55"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b</w:t>
      </w:r>
      <w:r w:rsidR="00C42CD9">
        <w:rPr>
          <w:rFonts w:ascii="Garamond" w:hAnsi="Garamond" w:cs="Arial"/>
          <w:color w:val="000000"/>
          <w:sz w:val="24"/>
          <w:szCs w:val="24"/>
        </w:rPr>
        <w:t>)</w:t>
      </w:r>
      <w:r w:rsidRPr="000E1EB0">
        <w:rPr>
          <w:rFonts w:ascii="Garamond" w:hAnsi="Garamond" w:cs="Arial"/>
          <w:color w:val="000000"/>
          <w:sz w:val="24"/>
          <w:szCs w:val="24"/>
        </w:rPr>
        <w:t xml:space="preserve"> dispozitat për humbje ose detyrime të mundshme në të ardhmen;</w:t>
      </w:r>
    </w:p>
    <w:p w14:paraId="6D6F2B4C" w14:textId="04C0EA2B"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c</w:t>
      </w:r>
      <w:r w:rsidR="00C42CD9">
        <w:rPr>
          <w:rFonts w:ascii="Garamond" w:hAnsi="Garamond" w:cs="Arial"/>
          <w:color w:val="000000"/>
          <w:sz w:val="24"/>
          <w:szCs w:val="24"/>
        </w:rPr>
        <w:t>)</w:t>
      </w:r>
      <w:r w:rsidRPr="000E1EB0">
        <w:rPr>
          <w:rFonts w:ascii="Garamond" w:hAnsi="Garamond" w:cs="Arial"/>
          <w:color w:val="000000"/>
          <w:sz w:val="24"/>
          <w:szCs w:val="24"/>
        </w:rPr>
        <w:t xml:space="preserve"> Kostoja e deklaruar nga përfituesi dhe financuar nga një veprim apo program pune, që merr një grant nga Unioni;</w:t>
      </w:r>
    </w:p>
    <w:p w14:paraId="6D6F2B4D" w14:textId="70E62438"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d</w:t>
      </w:r>
      <w:r w:rsidR="00C42CD9">
        <w:rPr>
          <w:rFonts w:ascii="Garamond" w:hAnsi="Garamond" w:cs="Arial"/>
          <w:color w:val="000000"/>
          <w:sz w:val="24"/>
          <w:szCs w:val="24"/>
        </w:rPr>
        <w:t>)</w:t>
      </w:r>
      <w:r w:rsidRPr="000E1EB0">
        <w:rPr>
          <w:rFonts w:ascii="Garamond" w:hAnsi="Garamond" w:cs="Arial"/>
          <w:color w:val="000000"/>
          <w:sz w:val="24"/>
          <w:szCs w:val="24"/>
        </w:rPr>
        <w:t xml:space="preserve"> humbjet e këmbimit të monedhës;</w:t>
      </w:r>
    </w:p>
    <w:p w14:paraId="6D6F2B4E" w14:textId="78D37D51"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e</w:t>
      </w:r>
      <w:r w:rsidR="00C42CD9">
        <w:rPr>
          <w:rFonts w:ascii="Garamond" w:hAnsi="Garamond" w:cs="Arial"/>
          <w:color w:val="000000"/>
          <w:sz w:val="24"/>
          <w:szCs w:val="24"/>
        </w:rPr>
        <w:t>)</w:t>
      </w:r>
      <w:r w:rsidRPr="000E1EB0">
        <w:rPr>
          <w:rFonts w:ascii="Garamond" w:hAnsi="Garamond" w:cs="Arial"/>
          <w:color w:val="000000"/>
          <w:sz w:val="24"/>
          <w:szCs w:val="24"/>
        </w:rPr>
        <w:t xml:space="preserve"> kreditë për palët e treta;</w:t>
      </w:r>
    </w:p>
    <w:p w14:paraId="6D6F2B4F" w14:textId="2BE773F5" w:rsidR="00650E6F" w:rsidRPr="000E1EB0" w:rsidRDefault="00650E6F" w:rsidP="004535F7">
      <w:pPr>
        <w:tabs>
          <w:tab w:val="left" w:pos="1540"/>
        </w:tabs>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f</w:t>
      </w:r>
      <w:r w:rsidR="00C42CD9">
        <w:rPr>
          <w:rFonts w:ascii="Garamond" w:hAnsi="Garamond" w:cs="Arial"/>
          <w:color w:val="000000"/>
          <w:sz w:val="24"/>
          <w:szCs w:val="24"/>
        </w:rPr>
        <w:t>)</w:t>
      </w:r>
      <w:r w:rsidRPr="000E1EB0">
        <w:rPr>
          <w:rFonts w:ascii="Garamond" w:hAnsi="Garamond" w:cs="Arial"/>
          <w:color w:val="000000"/>
          <w:sz w:val="24"/>
          <w:szCs w:val="24"/>
        </w:rPr>
        <w:t xml:space="preserve"> gjobat, sanksionet financiare dhe shpenzimet e procesit gjyqësor.</w:t>
      </w:r>
    </w:p>
    <w:p w14:paraId="6D6F2B50" w14:textId="2033B51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2. Blerja e tokës që nuk është e ndërtuar dhe e tokës me ndërtim në shumën deri në 10% të totalit të shpenzimeve të lejueshme për aktivitetin në fjalë, do të jetë e pranueshme për financim sipas ndihmës për bashkëpunim ndërkufitar IPA II, nëse ajo është e justifikuar nga natyra e veprimit dhe të dhënat në </w:t>
      </w:r>
      <w:r w:rsidR="00477B2A">
        <w:rPr>
          <w:rFonts w:ascii="Garamond" w:hAnsi="Garamond" w:cs="Arial"/>
          <w:color w:val="000000"/>
          <w:sz w:val="24"/>
          <w:szCs w:val="24"/>
        </w:rPr>
        <w:t>s</w:t>
      </w:r>
      <w:r w:rsidRPr="000E1EB0">
        <w:rPr>
          <w:rFonts w:ascii="Garamond" w:hAnsi="Garamond" w:cs="Arial"/>
          <w:color w:val="000000"/>
          <w:sz w:val="24"/>
          <w:szCs w:val="24"/>
        </w:rPr>
        <w:t>htojcën I.</w:t>
      </w:r>
    </w:p>
    <w:p w14:paraId="6D6F2B51"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52" w14:textId="30CF9DF4" w:rsidR="00650E6F" w:rsidRPr="00477B2A" w:rsidRDefault="00477B2A" w:rsidP="004535F7">
      <w:pPr>
        <w:autoSpaceDE w:val="0"/>
        <w:autoSpaceDN w:val="0"/>
        <w:adjustRightInd w:val="0"/>
        <w:spacing w:after="0" w:line="240" w:lineRule="auto"/>
        <w:ind w:firstLine="284"/>
        <w:jc w:val="center"/>
        <w:rPr>
          <w:rFonts w:ascii="Garamond" w:hAnsi="Garamond" w:cs="Arial"/>
          <w:bCs/>
          <w:color w:val="000000"/>
          <w:sz w:val="24"/>
          <w:szCs w:val="24"/>
        </w:rPr>
      </w:pPr>
      <w:r w:rsidRPr="00477B2A">
        <w:rPr>
          <w:rFonts w:ascii="Garamond" w:hAnsi="Garamond" w:cs="Arial"/>
          <w:bCs/>
          <w:color w:val="000000"/>
          <w:sz w:val="24"/>
          <w:szCs w:val="24"/>
        </w:rPr>
        <w:t>PJESA E DYTË</w:t>
      </w:r>
    </w:p>
    <w:p w14:paraId="6D6F2B53" w14:textId="0D80B575" w:rsidR="00650E6F" w:rsidRPr="00477B2A" w:rsidRDefault="00477B2A" w:rsidP="004535F7">
      <w:pPr>
        <w:autoSpaceDE w:val="0"/>
        <w:autoSpaceDN w:val="0"/>
        <w:adjustRightInd w:val="0"/>
        <w:spacing w:after="0" w:line="240" w:lineRule="auto"/>
        <w:ind w:firstLine="284"/>
        <w:jc w:val="center"/>
        <w:rPr>
          <w:rFonts w:ascii="Garamond" w:hAnsi="Garamond" w:cs="Arial"/>
          <w:bCs/>
          <w:color w:val="000000"/>
          <w:sz w:val="24"/>
          <w:szCs w:val="24"/>
        </w:rPr>
      </w:pPr>
      <w:r w:rsidRPr="00477B2A">
        <w:rPr>
          <w:rFonts w:ascii="Garamond" w:hAnsi="Garamond" w:cs="Arial"/>
          <w:bCs/>
          <w:color w:val="000000"/>
          <w:sz w:val="24"/>
          <w:szCs w:val="24"/>
        </w:rPr>
        <w:t>DISPOZITAT E ZBATUESHME TË MENAXHIMIT TË TËRTHORTË NGA PËRFITUESI IPA II</w:t>
      </w:r>
    </w:p>
    <w:p w14:paraId="6D6F2B54" w14:textId="77777777" w:rsidR="00650E6F" w:rsidRPr="000E1EB0" w:rsidRDefault="00650E6F" w:rsidP="004535F7">
      <w:pPr>
        <w:autoSpaceDE w:val="0"/>
        <w:autoSpaceDN w:val="0"/>
        <w:adjustRightInd w:val="0"/>
        <w:spacing w:after="0" w:line="240" w:lineRule="auto"/>
        <w:ind w:firstLine="284"/>
        <w:rPr>
          <w:rFonts w:ascii="Garamond" w:hAnsi="Garamond" w:cs="Arial"/>
          <w:b/>
          <w:bCs/>
          <w:color w:val="000000"/>
          <w:sz w:val="24"/>
          <w:szCs w:val="24"/>
        </w:rPr>
      </w:pPr>
    </w:p>
    <w:p w14:paraId="6D6F2B55"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7</w:t>
      </w:r>
    </w:p>
    <w:p w14:paraId="6D6F2B56"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Parime të përgjithshme</w:t>
      </w:r>
    </w:p>
    <w:p w14:paraId="6D6F2B57"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58" w14:textId="7A34418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1. Qëllimi i pjesës së dytë është të vendosë rregullat për zbatimin e Programit të Veprimit nën menaxhimin të tërthortë dhe në veçanti rregullat që lidhen me detyrat që i janë besuar zbatimit të buxhetit, siç përshkruhet në </w:t>
      </w:r>
      <w:r w:rsidR="00496285">
        <w:rPr>
          <w:rFonts w:ascii="Garamond" w:hAnsi="Garamond" w:cs="Arial"/>
          <w:color w:val="000000"/>
          <w:sz w:val="24"/>
          <w:szCs w:val="24"/>
        </w:rPr>
        <w:t>s</w:t>
      </w:r>
      <w:r w:rsidRPr="000E1EB0">
        <w:rPr>
          <w:rFonts w:ascii="Garamond" w:hAnsi="Garamond" w:cs="Arial"/>
          <w:color w:val="000000"/>
          <w:sz w:val="24"/>
          <w:szCs w:val="24"/>
        </w:rPr>
        <w:t xml:space="preserve">htojcën I dhe për të përcaktuar të drejtat dhe detyrimet e përfituesit të IPA II që është Autoriteti Kontraktues dhe Komisioni në kryerjen e këtyre detyrave. </w:t>
      </w:r>
    </w:p>
    <w:p w14:paraId="6D6F2B59" w14:textId="047845B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9A5DA1">
        <w:rPr>
          <w:rFonts w:ascii="Garamond" w:hAnsi="Garamond" w:cs="Arial"/>
          <w:color w:val="000000"/>
          <w:sz w:val="24"/>
          <w:szCs w:val="24"/>
        </w:rPr>
        <w:t xml:space="preserve"> </w:t>
      </w:r>
      <w:r w:rsidRPr="000E1EB0">
        <w:rPr>
          <w:rFonts w:ascii="Garamond" w:hAnsi="Garamond" w:cs="Arial"/>
          <w:color w:val="000000"/>
          <w:sz w:val="24"/>
          <w:szCs w:val="24"/>
        </w:rPr>
        <w:t xml:space="preserve">Siç parashikohet në pikën </w:t>
      </w:r>
      <w:r w:rsidR="00AE0329">
        <w:rPr>
          <w:rFonts w:ascii="Garamond" w:hAnsi="Garamond" w:cs="Arial"/>
          <w:color w:val="000000"/>
          <w:sz w:val="24"/>
          <w:szCs w:val="24"/>
        </w:rPr>
        <w:t>“</w:t>
      </w:r>
      <w:r w:rsidRPr="000E1EB0">
        <w:rPr>
          <w:rFonts w:ascii="Garamond" w:hAnsi="Garamond" w:cs="Arial"/>
          <w:color w:val="000000"/>
          <w:sz w:val="24"/>
          <w:szCs w:val="24"/>
        </w:rPr>
        <w:t>b</w:t>
      </w:r>
      <w:r w:rsidR="00AE0329">
        <w:rPr>
          <w:rFonts w:ascii="Garamond" w:hAnsi="Garamond" w:cs="Arial"/>
          <w:color w:val="000000"/>
          <w:sz w:val="24"/>
          <w:szCs w:val="24"/>
        </w:rPr>
        <w:t>”</w:t>
      </w:r>
      <w:r w:rsidRPr="000E1EB0">
        <w:rPr>
          <w:rFonts w:ascii="Garamond" w:hAnsi="Garamond" w:cs="Arial"/>
          <w:color w:val="000000"/>
          <w:sz w:val="24"/>
          <w:szCs w:val="24"/>
        </w:rPr>
        <w:t xml:space="preserve"> të nenit 76(3) të Marrëveshjes Kuadër përkatëse, përfituesit e IPA II, bashkërisht, duhet të përgatisin një marrëveshje dypalëshe dhe të sigurojnë zbatimin e saj. </w:t>
      </w:r>
    </w:p>
    <w:p w14:paraId="6D6F2B5A"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 Përfituesi i IPA II që nuk është Autoritet Kontraktues do të bashkëpunojë me përfituesin e IPA II që është Autoritet Kontraktues, për të siguruar se detyrat në vijim janë plotësuar:</w:t>
      </w:r>
    </w:p>
    <w:p w14:paraId="6D6F2B5B" w14:textId="1518499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FE1184">
        <w:rPr>
          <w:rFonts w:ascii="Garamond" w:hAnsi="Garamond" w:cs="Arial"/>
          <w:color w:val="000000"/>
          <w:sz w:val="24"/>
          <w:szCs w:val="24"/>
        </w:rPr>
        <w:t>)</w:t>
      </w:r>
      <w:r w:rsidRPr="000E1EB0">
        <w:rPr>
          <w:rFonts w:ascii="Garamond" w:hAnsi="Garamond" w:cs="Arial"/>
          <w:color w:val="000000"/>
          <w:sz w:val="24"/>
          <w:szCs w:val="24"/>
        </w:rPr>
        <w:t xml:space="preserve"> të kryejnë ndjekjen operative dhe menaxhimin e operacioneve, siç parashikohet në pikën (b) të nenit 76(4) të Marrëveshjes Kuadër; </w:t>
      </w:r>
    </w:p>
    <w:p w14:paraId="6D6F2B5C" w14:textId="7DE4547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FE1184">
        <w:rPr>
          <w:rFonts w:ascii="Garamond" w:hAnsi="Garamond" w:cs="Arial"/>
          <w:color w:val="000000"/>
          <w:sz w:val="24"/>
          <w:szCs w:val="24"/>
        </w:rPr>
        <w:t>)</w:t>
      </w:r>
      <w:r w:rsidR="009A5DA1">
        <w:rPr>
          <w:rFonts w:ascii="Garamond" w:hAnsi="Garamond" w:cs="Arial"/>
          <w:color w:val="000000"/>
          <w:sz w:val="24"/>
          <w:szCs w:val="24"/>
        </w:rPr>
        <w:t xml:space="preserve"> </w:t>
      </w:r>
      <w:r w:rsidRPr="000E1EB0">
        <w:rPr>
          <w:rFonts w:ascii="Garamond" w:hAnsi="Garamond" w:cs="Arial"/>
          <w:color w:val="000000"/>
          <w:sz w:val="24"/>
          <w:szCs w:val="24"/>
        </w:rPr>
        <w:t xml:space="preserve">të kryejnë verifikime në përputhje me nenin 76(5) të Marrëveshjes Kuadër; </w:t>
      </w:r>
    </w:p>
    <w:p w14:paraId="6D6F2B5D" w14:textId="08B2558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lastRenderedPageBreak/>
        <w:t>c</w:t>
      </w:r>
      <w:r w:rsidR="00FE1184">
        <w:rPr>
          <w:rFonts w:ascii="Garamond" w:hAnsi="Garamond" w:cs="Arial"/>
          <w:color w:val="000000"/>
          <w:sz w:val="24"/>
          <w:szCs w:val="24"/>
        </w:rPr>
        <w:t>)</w:t>
      </w:r>
      <w:r w:rsidRPr="000E1EB0">
        <w:rPr>
          <w:rFonts w:ascii="Garamond" w:hAnsi="Garamond" w:cs="Arial"/>
          <w:color w:val="000000"/>
          <w:sz w:val="24"/>
          <w:szCs w:val="24"/>
        </w:rPr>
        <w:t xml:space="preserve"> të mbrojnë interesin financiar të Unionit, siç parashikohet në nenin 51 të Marrëveshjes Kuadër.</w:t>
      </w:r>
    </w:p>
    <w:p w14:paraId="6D6F2B5E"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5F"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8</w:t>
      </w:r>
    </w:p>
    <w:p w14:paraId="6D6F2B60"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Procedurat e prokurimit dhe dhënies së grantit</w:t>
      </w:r>
    </w:p>
    <w:p w14:paraId="6D6F2B61"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62" w14:textId="31B1214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496285">
        <w:rPr>
          <w:rFonts w:ascii="Garamond" w:hAnsi="Garamond" w:cs="Arial"/>
          <w:color w:val="000000"/>
          <w:sz w:val="24"/>
          <w:szCs w:val="24"/>
        </w:rPr>
        <w:t>.</w:t>
      </w:r>
      <w:r w:rsidRPr="000E1EB0">
        <w:rPr>
          <w:rFonts w:ascii="Garamond" w:hAnsi="Garamond" w:cs="Arial"/>
          <w:color w:val="000000"/>
          <w:sz w:val="24"/>
          <w:szCs w:val="24"/>
        </w:rPr>
        <w:t xml:space="preserve"> Detyrat e përmendura në </w:t>
      </w:r>
      <w:r w:rsidR="00496285">
        <w:rPr>
          <w:rFonts w:ascii="Garamond" w:hAnsi="Garamond" w:cs="Arial"/>
          <w:color w:val="000000"/>
          <w:sz w:val="24"/>
          <w:szCs w:val="24"/>
        </w:rPr>
        <w:t>n</w:t>
      </w:r>
      <w:r w:rsidRPr="000E1EB0">
        <w:rPr>
          <w:rFonts w:ascii="Garamond" w:hAnsi="Garamond" w:cs="Arial"/>
          <w:color w:val="000000"/>
          <w:sz w:val="24"/>
          <w:szCs w:val="24"/>
        </w:rPr>
        <w:t>enin 7 (3) do të kryhen nga përfituesi IPA II që është Autoriteti Kontraktues në përputhje me procedurat dhe dokumentet standarde të përcaktuara dhe publikuara nga Komisioni për dhënien e kontratave të prokurimit dhe grantit. në veprimet e jashtme, në fuqi në kohën e fillimit të procedurës në fjalë (PRAG), si dhe në përputhje me standardet e kërkuara të shikimit dhe komunikimit të referuara në Nenin 4 (2).</w:t>
      </w:r>
    </w:p>
    <w:p w14:paraId="6D6F2B63" w14:textId="482629DC"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496285">
        <w:rPr>
          <w:rFonts w:ascii="Garamond" w:hAnsi="Garamond" w:cs="Arial"/>
          <w:color w:val="000000"/>
          <w:sz w:val="24"/>
          <w:szCs w:val="24"/>
        </w:rPr>
        <w:t>.</w:t>
      </w:r>
      <w:r w:rsidRPr="000E1EB0">
        <w:rPr>
          <w:rFonts w:ascii="Garamond" w:hAnsi="Garamond" w:cs="Arial"/>
          <w:color w:val="000000"/>
          <w:sz w:val="24"/>
          <w:szCs w:val="24"/>
        </w:rPr>
        <w:t xml:space="preserve"> Në përputhje me </w:t>
      </w:r>
      <w:r w:rsidR="00496285">
        <w:rPr>
          <w:rFonts w:ascii="Garamond" w:hAnsi="Garamond" w:cs="Arial"/>
          <w:color w:val="000000"/>
          <w:sz w:val="24"/>
          <w:szCs w:val="24"/>
        </w:rPr>
        <w:t>n</w:t>
      </w:r>
      <w:r w:rsidRPr="000E1EB0">
        <w:rPr>
          <w:rFonts w:ascii="Garamond" w:hAnsi="Garamond" w:cs="Arial"/>
          <w:color w:val="000000"/>
          <w:sz w:val="24"/>
          <w:szCs w:val="24"/>
        </w:rPr>
        <w:t>enin 18 (2) të Marrëveshjes Kornizë, Komisioni do t’i sigurojë përfituesit të IPA II, që është Autoriteti Kontraktues, udhëzime të mëtejshme në lidhje me përshtatjen e procedurave dhe dokumenteve standarde të përcaktuara dhe botuara nga Komisioni për dhënia e kontratave të prokurimit dhe grantit në veprimet e jashtme për rastin specifik të bashkëpunimit ndërkufitar.</w:t>
      </w:r>
    </w:p>
    <w:p w14:paraId="6D6F2B64" w14:textId="0FDB9759"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496285">
        <w:rPr>
          <w:rFonts w:ascii="Garamond" w:hAnsi="Garamond" w:cs="Arial"/>
          <w:color w:val="000000"/>
          <w:sz w:val="24"/>
          <w:szCs w:val="24"/>
        </w:rPr>
        <w:t>.</w:t>
      </w:r>
      <w:r w:rsidRPr="000E1EB0">
        <w:rPr>
          <w:rFonts w:ascii="Garamond" w:hAnsi="Garamond" w:cs="Arial"/>
          <w:color w:val="000000"/>
          <w:sz w:val="24"/>
          <w:szCs w:val="24"/>
        </w:rPr>
        <w:t xml:space="preserve"> Përfituesi i IPA II që është Autoriteti Kontraktues do të kryejë procedurat e prokurimit dhe dhënies së grantit, do të lidhë kontratat që rezultojnë dhe të sigurojë që të gjitha dokumentet përkatëse për gjurmët e auditimit janë në gjuhën e kësaj Marrëveshje Financimi. Për qëllimet e </w:t>
      </w:r>
      <w:r w:rsidR="00496285" w:rsidRPr="000E1EB0">
        <w:rPr>
          <w:rFonts w:ascii="Garamond" w:hAnsi="Garamond" w:cs="Arial"/>
          <w:color w:val="000000"/>
          <w:sz w:val="24"/>
          <w:szCs w:val="24"/>
        </w:rPr>
        <w:t xml:space="preserve">pjesës </w:t>
      </w:r>
      <w:r w:rsidR="00496285">
        <w:rPr>
          <w:rFonts w:ascii="Garamond" w:hAnsi="Garamond" w:cs="Arial"/>
          <w:color w:val="000000"/>
          <w:sz w:val="24"/>
          <w:szCs w:val="24"/>
        </w:rPr>
        <w:t xml:space="preserve">së </w:t>
      </w:r>
      <w:r w:rsidR="00496285" w:rsidRPr="000E1EB0">
        <w:rPr>
          <w:rFonts w:ascii="Garamond" w:hAnsi="Garamond" w:cs="Arial"/>
          <w:color w:val="000000"/>
          <w:sz w:val="24"/>
          <w:szCs w:val="24"/>
        </w:rPr>
        <w:t>dy</w:t>
      </w:r>
      <w:r w:rsidR="00496285">
        <w:rPr>
          <w:rFonts w:ascii="Garamond" w:hAnsi="Garamond" w:cs="Arial"/>
          <w:color w:val="000000"/>
          <w:sz w:val="24"/>
          <w:szCs w:val="24"/>
        </w:rPr>
        <w:t>të</w:t>
      </w:r>
      <w:r w:rsidR="00496285" w:rsidRPr="000E1EB0">
        <w:rPr>
          <w:rFonts w:ascii="Garamond" w:hAnsi="Garamond" w:cs="Arial"/>
          <w:color w:val="000000"/>
          <w:sz w:val="24"/>
          <w:szCs w:val="24"/>
        </w:rPr>
        <w:t xml:space="preserve"> </w:t>
      </w:r>
      <w:r w:rsidRPr="000E1EB0">
        <w:rPr>
          <w:rFonts w:ascii="Garamond" w:hAnsi="Garamond" w:cs="Arial"/>
          <w:color w:val="000000"/>
          <w:sz w:val="24"/>
          <w:szCs w:val="24"/>
        </w:rPr>
        <w:t xml:space="preserve">të kësaj </w:t>
      </w:r>
      <w:r w:rsidR="00496285" w:rsidRPr="000E1EB0">
        <w:rPr>
          <w:rFonts w:ascii="Garamond" w:hAnsi="Garamond" w:cs="Arial"/>
          <w:color w:val="000000"/>
          <w:sz w:val="24"/>
          <w:szCs w:val="24"/>
        </w:rPr>
        <w:t>marrëveshjeje financimi</w:t>
      </w:r>
      <w:r w:rsidRPr="000E1EB0">
        <w:rPr>
          <w:rFonts w:ascii="Garamond" w:hAnsi="Garamond" w:cs="Arial"/>
          <w:color w:val="000000"/>
          <w:sz w:val="24"/>
          <w:szCs w:val="24"/>
        </w:rPr>
        <w:t>, çdo referencë për kontratat e granteve do të përfshijë gjithashtu marrëveshje kontributi dhe çdo referencë për përfituesit e granteve do të përfshijë gjithashtu organizata që kanë nënshkruar marrëveshje kontributi.</w:t>
      </w:r>
    </w:p>
    <w:p w14:paraId="6D6F2B65" w14:textId="64F7FB9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496285">
        <w:rPr>
          <w:rFonts w:ascii="Garamond" w:hAnsi="Garamond" w:cs="Arial"/>
          <w:color w:val="000000"/>
          <w:sz w:val="24"/>
          <w:szCs w:val="24"/>
        </w:rPr>
        <w:t>.</w:t>
      </w:r>
      <w:r w:rsidRPr="000E1EB0">
        <w:rPr>
          <w:rFonts w:ascii="Garamond" w:hAnsi="Garamond" w:cs="Arial"/>
          <w:color w:val="000000"/>
          <w:sz w:val="24"/>
          <w:szCs w:val="24"/>
        </w:rPr>
        <w:t xml:space="preserve"> Përfituesit e IPA II do të bashkëpunojnë plotësisht në krijimin e komiteteve vlerësuese siç parashikohet në pikën (a) të nenit 76 (4) të marrëveshjeve kornizë përkatëse.</w:t>
      </w:r>
    </w:p>
    <w:p w14:paraId="6D6F2B66" w14:textId="49EFAEE9"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496285">
        <w:rPr>
          <w:rFonts w:ascii="Garamond" w:hAnsi="Garamond" w:cs="Arial"/>
          <w:color w:val="000000"/>
          <w:sz w:val="24"/>
          <w:szCs w:val="24"/>
        </w:rPr>
        <w:t>.</w:t>
      </w:r>
      <w:r w:rsidRPr="000E1EB0">
        <w:rPr>
          <w:rFonts w:ascii="Garamond" w:hAnsi="Garamond" w:cs="Arial"/>
          <w:color w:val="000000"/>
          <w:sz w:val="24"/>
          <w:szCs w:val="24"/>
        </w:rPr>
        <w:t xml:space="preserve"> Përfituesi i IPA II që është Autoriteti Kontraktues do të mbajë të gjitha dokumentet përkatëse financiare dhe kontraktuale mbështetëse nga data e hyrjes në fuqi të kësaj Marrëveshje Financimi, ose që nga një datë e hershme në rast se procedura e prokurimit, bën thirrje për propozime ose procedura e dhënies së grantit të drejtpërdrejtë ishte nisur para hyrjes në fuqi të këtij Marrëveshje Financimi:</w:t>
      </w:r>
    </w:p>
    <w:p w14:paraId="6D6F2B67"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496285">
        <w:rPr>
          <w:rFonts w:ascii="Garamond" w:hAnsi="Garamond" w:cs="Arial"/>
          <w:b/>
          <w:color w:val="000000"/>
          <w:sz w:val="24"/>
          <w:szCs w:val="24"/>
        </w:rPr>
        <w:t>(a)</w:t>
      </w:r>
      <w:r w:rsidRPr="000E1EB0">
        <w:rPr>
          <w:rFonts w:ascii="Garamond" w:hAnsi="Garamond" w:cs="Arial"/>
          <w:color w:val="000000"/>
          <w:sz w:val="24"/>
          <w:szCs w:val="24"/>
        </w:rPr>
        <w:t xml:space="preserve"> Për procedurat e prokurimit në veçanti:</w:t>
      </w:r>
    </w:p>
    <w:p w14:paraId="6D6F2B68"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 Njoftimi i parashikimit me dëshmi të publikimit të njoftimit të prokurimit dhe çdo korrigjim;</w:t>
      </w:r>
    </w:p>
    <w:p w14:paraId="6D6F2B69"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 Emërimi i panelit të listës së ngushtë;</w:t>
      </w:r>
    </w:p>
    <w:p w14:paraId="6D6F2B6A"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 Raporti i listës së ngushtë (përfshirë anekset) dhe aplikacionet;</w:t>
      </w:r>
    </w:p>
    <w:p w14:paraId="6D6F2B6B"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d) Dëshminë e publikimit të njoftimit për listën e ngushtë;</w:t>
      </w:r>
    </w:p>
    <w:p w14:paraId="6D6F2B6C"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e) Letra për kandidatët jo të përzgjedhur;</w:t>
      </w:r>
    </w:p>
    <w:p w14:paraId="6D6F2B6D"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f) Ftesë për tender ose ekuivalent;</w:t>
      </w:r>
    </w:p>
    <w:p w14:paraId="6D6F2B6E"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g) Dosja e tenderit duke përfshirë anekset, sqarimet, procesverbalet e takimeve, dëshminë e publikimit;</w:t>
      </w:r>
    </w:p>
    <w:p w14:paraId="6D6F2B6F" w14:textId="799A067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h) </w:t>
      </w:r>
      <w:r w:rsidR="00496285" w:rsidRPr="000E1EB0">
        <w:rPr>
          <w:rFonts w:ascii="Garamond" w:hAnsi="Garamond" w:cs="Arial"/>
          <w:color w:val="000000"/>
          <w:sz w:val="24"/>
          <w:szCs w:val="24"/>
        </w:rPr>
        <w:t xml:space="preserve">emërimi </w:t>
      </w:r>
      <w:r w:rsidRPr="000E1EB0">
        <w:rPr>
          <w:rFonts w:ascii="Garamond" w:hAnsi="Garamond" w:cs="Arial"/>
          <w:color w:val="000000"/>
          <w:sz w:val="24"/>
          <w:szCs w:val="24"/>
        </w:rPr>
        <w:t>i komisionit vlerësues;</w:t>
      </w:r>
    </w:p>
    <w:p w14:paraId="6D6F2B70" w14:textId="66D3BA6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i) </w:t>
      </w:r>
      <w:r w:rsidR="00496285" w:rsidRPr="000E1EB0">
        <w:rPr>
          <w:rFonts w:ascii="Garamond" w:hAnsi="Garamond" w:cs="Arial"/>
          <w:color w:val="000000"/>
          <w:sz w:val="24"/>
          <w:szCs w:val="24"/>
        </w:rPr>
        <w:t xml:space="preserve">raporti </w:t>
      </w:r>
      <w:r w:rsidRPr="000E1EB0">
        <w:rPr>
          <w:rFonts w:ascii="Garamond" w:hAnsi="Garamond" w:cs="Arial"/>
          <w:color w:val="000000"/>
          <w:sz w:val="24"/>
          <w:szCs w:val="24"/>
        </w:rPr>
        <w:t>i hapjes së tenderit, përfshirë anekset;</w:t>
      </w:r>
    </w:p>
    <w:p w14:paraId="6D6F2B71" w14:textId="461FE2E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j) </w:t>
      </w:r>
      <w:r w:rsidR="00496285" w:rsidRPr="000E1EB0">
        <w:rPr>
          <w:rFonts w:ascii="Garamond" w:hAnsi="Garamond" w:cs="Arial"/>
          <w:color w:val="000000"/>
          <w:sz w:val="24"/>
          <w:szCs w:val="24"/>
        </w:rPr>
        <w:t xml:space="preserve">raporti </w:t>
      </w:r>
      <w:r w:rsidRPr="000E1EB0">
        <w:rPr>
          <w:rFonts w:ascii="Garamond" w:hAnsi="Garamond" w:cs="Arial"/>
          <w:color w:val="000000"/>
          <w:sz w:val="24"/>
          <w:szCs w:val="24"/>
        </w:rPr>
        <w:t>i vlerësimit / negocimit, përfshirë anekset dhe ofertat e marra;</w:t>
      </w:r>
      <w:r w:rsidRPr="000E1EB0">
        <w:rPr>
          <w:rStyle w:val="FootnoteReference"/>
          <w:rFonts w:ascii="Garamond" w:hAnsi="Garamond" w:cs="Arial"/>
          <w:color w:val="000000"/>
          <w:sz w:val="24"/>
          <w:szCs w:val="24"/>
        </w:rPr>
        <w:footnoteReference w:id="23"/>
      </w:r>
    </w:p>
    <w:p w14:paraId="6D6F2B72" w14:textId="406A2D12"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k) </w:t>
      </w:r>
      <w:r w:rsidR="00496285" w:rsidRPr="000E1EB0">
        <w:rPr>
          <w:rFonts w:ascii="Garamond" w:hAnsi="Garamond" w:cs="Arial"/>
          <w:color w:val="000000"/>
          <w:sz w:val="24"/>
          <w:szCs w:val="24"/>
        </w:rPr>
        <w:t xml:space="preserve">letër </w:t>
      </w:r>
      <w:r w:rsidRPr="000E1EB0">
        <w:rPr>
          <w:rFonts w:ascii="Garamond" w:hAnsi="Garamond" w:cs="Arial"/>
          <w:color w:val="000000"/>
          <w:sz w:val="24"/>
          <w:szCs w:val="24"/>
        </w:rPr>
        <w:t>njoftimi;</w:t>
      </w:r>
    </w:p>
    <w:p w14:paraId="6D6F2B73" w14:textId="2A258C8D"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l) </w:t>
      </w:r>
      <w:r w:rsidR="00496285" w:rsidRPr="000E1EB0">
        <w:rPr>
          <w:rFonts w:ascii="Garamond" w:hAnsi="Garamond" w:cs="Arial"/>
          <w:color w:val="000000"/>
          <w:sz w:val="24"/>
          <w:szCs w:val="24"/>
        </w:rPr>
        <w:t xml:space="preserve">letër </w:t>
      </w:r>
      <w:r w:rsidRPr="000E1EB0">
        <w:rPr>
          <w:rFonts w:ascii="Garamond" w:hAnsi="Garamond" w:cs="Arial"/>
          <w:color w:val="000000"/>
          <w:sz w:val="24"/>
          <w:szCs w:val="24"/>
        </w:rPr>
        <w:t>motivuese për dorëzimin e kontratës;</w:t>
      </w:r>
    </w:p>
    <w:p w14:paraId="6D6F2B74" w14:textId="7181B833"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m) </w:t>
      </w:r>
      <w:r w:rsidR="00496285" w:rsidRPr="000E1EB0">
        <w:rPr>
          <w:rFonts w:ascii="Garamond" w:hAnsi="Garamond" w:cs="Arial"/>
          <w:color w:val="000000"/>
          <w:sz w:val="24"/>
          <w:szCs w:val="24"/>
        </w:rPr>
        <w:t xml:space="preserve">letra </w:t>
      </w:r>
      <w:r w:rsidRPr="000E1EB0">
        <w:rPr>
          <w:rFonts w:ascii="Garamond" w:hAnsi="Garamond" w:cs="Arial"/>
          <w:color w:val="000000"/>
          <w:sz w:val="24"/>
          <w:szCs w:val="24"/>
        </w:rPr>
        <w:t>për kandidatët e pasuksesshëm;</w:t>
      </w:r>
    </w:p>
    <w:p w14:paraId="6D6F2B75" w14:textId="14B6F359"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n) </w:t>
      </w:r>
      <w:r w:rsidR="00496285" w:rsidRPr="000E1EB0">
        <w:rPr>
          <w:rFonts w:ascii="Garamond" w:hAnsi="Garamond" w:cs="Arial"/>
          <w:color w:val="000000"/>
          <w:sz w:val="24"/>
          <w:szCs w:val="24"/>
        </w:rPr>
        <w:t xml:space="preserve">njoftimi </w:t>
      </w:r>
      <w:r w:rsidRPr="000E1EB0">
        <w:rPr>
          <w:rFonts w:ascii="Garamond" w:hAnsi="Garamond" w:cs="Arial"/>
          <w:color w:val="000000"/>
          <w:sz w:val="24"/>
          <w:szCs w:val="24"/>
        </w:rPr>
        <w:t>për dhënie / anulim, përfshirë provën e botimit;</w:t>
      </w:r>
    </w:p>
    <w:p w14:paraId="6D6F2B76" w14:textId="07701BF5"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lastRenderedPageBreak/>
        <w:t xml:space="preserve">o) </w:t>
      </w:r>
      <w:r w:rsidR="00496285" w:rsidRPr="000E1EB0">
        <w:rPr>
          <w:rFonts w:ascii="Garamond" w:hAnsi="Garamond" w:cs="Arial"/>
          <w:color w:val="000000"/>
          <w:sz w:val="24"/>
          <w:szCs w:val="24"/>
        </w:rPr>
        <w:t xml:space="preserve">kontratat </w:t>
      </w:r>
      <w:r w:rsidRPr="000E1EB0">
        <w:rPr>
          <w:rFonts w:ascii="Garamond" w:hAnsi="Garamond" w:cs="Arial"/>
          <w:color w:val="000000"/>
          <w:sz w:val="24"/>
          <w:szCs w:val="24"/>
        </w:rPr>
        <w:t>e nënshkruara, ndryshimet, riders, raportet e zbatimit, dhe korrespondencën përkatëse.</w:t>
      </w:r>
    </w:p>
    <w:p w14:paraId="6D6F2B77"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496285">
        <w:rPr>
          <w:rFonts w:ascii="Garamond" w:hAnsi="Garamond" w:cs="Arial"/>
          <w:b/>
          <w:color w:val="000000"/>
          <w:sz w:val="24"/>
          <w:szCs w:val="24"/>
        </w:rPr>
        <w:t>(b)</w:t>
      </w:r>
      <w:r w:rsidRPr="000E1EB0">
        <w:rPr>
          <w:rFonts w:ascii="Garamond" w:hAnsi="Garamond" w:cs="Arial"/>
          <w:color w:val="000000"/>
          <w:sz w:val="24"/>
          <w:szCs w:val="24"/>
        </w:rPr>
        <w:t xml:space="preserve"> Për thirrjet për propozime dhe dhënien e drejtpërdrejtë të granteve në veçanti:</w:t>
      </w:r>
    </w:p>
    <w:p w14:paraId="6D6F2B78" w14:textId="41020B8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a) </w:t>
      </w:r>
      <w:r w:rsidR="00496285" w:rsidRPr="000E1EB0">
        <w:rPr>
          <w:rFonts w:ascii="Garamond" w:hAnsi="Garamond" w:cs="Arial"/>
          <w:color w:val="000000"/>
          <w:sz w:val="24"/>
          <w:szCs w:val="24"/>
        </w:rPr>
        <w:t xml:space="preserve">emërimi </w:t>
      </w:r>
      <w:r w:rsidRPr="000E1EB0">
        <w:rPr>
          <w:rFonts w:ascii="Garamond" w:hAnsi="Garamond" w:cs="Arial"/>
          <w:color w:val="000000"/>
          <w:sz w:val="24"/>
          <w:szCs w:val="24"/>
        </w:rPr>
        <w:t>i komisionit vlerësues;</w:t>
      </w:r>
    </w:p>
    <w:p w14:paraId="6D6F2B79" w14:textId="596F9A89"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b) </w:t>
      </w:r>
      <w:r w:rsidR="00496285" w:rsidRPr="000E1EB0">
        <w:rPr>
          <w:rFonts w:ascii="Garamond" w:hAnsi="Garamond" w:cs="Arial"/>
          <w:color w:val="000000"/>
          <w:sz w:val="24"/>
          <w:szCs w:val="24"/>
        </w:rPr>
        <w:t xml:space="preserve">raporti </w:t>
      </w:r>
      <w:r w:rsidRPr="000E1EB0">
        <w:rPr>
          <w:rFonts w:ascii="Garamond" w:hAnsi="Garamond" w:cs="Arial"/>
          <w:color w:val="000000"/>
          <w:sz w:val="24"/>
          <w:szCs w:val="24"/>
        </w:rPr>
        <w:t>i hapjes dhe administrative duke përfshirë anekset dhe aplikacionet e marra;</w:t>
      </w:r>
      <w:r w:rsidRPr="000E1EB0">
        <w:rPr>
          <w:rStyle w:val="FootnoteReference"/>
          <w:rFonts w:ascii="Garamond" w:hAnsi="Garamond" w:cs="Arial"/>
          <w:color w:val="000000"/>
          <w:sz w:val="24"/>
          <w:szCs w:val="24"/>
        </w:rPr>
        <w:footnoteReference w:id="24"/>
      </w:r>
    </w:p>
    <w:p w14:paraId="6D6F2B7A" w14:textId="25C37AE0"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c) </w:t>
      </w:r>
      <w:r w:rsidR="00496285" w:rsidRPr="000E1EB0">
        <w:rPr>
          <w:rFonts w:ascii="Garamond" w:hAnsi="Garamond" w:cs="Arial"/>
          <w:color w:val="000000"/>
          <w:sz w:val="24"/>
          <w:szCs w:val="24"/>
        </w:rPr>
        <w:t xml:space="preserve">letra </w:t>
      </w:r>
      <w:r w:rsidRPr="000E1EB0">
        <w:rPr>
          <w:rFonts w:ascii="Garamond" w:hAnsi="Garamond" w:cs="Arial"/>
          <w:color w:val="000000"/>
          <w:sz w:val="24"/>
          <w:szCs w:val="24"/>
        </w:rPr>
        <w:t>për aplikantët e suksesshëm dhe të pasuksesshëm pas vlerësimit të konceptit;</w:t>
      </w:r>
    </w:p>
    <w:p w14:paraId="6D6F2B7B" w14:textId="05BA5D95"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d) </w:t>
      </w:r>
      <w:r w:rsidR="00496285" w:rsidRPr="000E1EB0">
        <w:rPr>
          <w:rFonts w:ascii="Garamond" w:hAnsi="Garamond" w:cs="Arial"/>
          <w:color w:val="000000"/>
          <w:sz w:val="24"/>
          <w:szCs w:val="24"/>
        </w:rPr>
        <w:t xml:space="preserve">raporti </w:t>
      </w:r>
      <w:r w:rsidRPr="000E1EB0">
        <w:rPr>
          <w:rFonts w:ascii="Garamond" w:hAnsi="Garamond" w:cs="Arial"/>
          <w:color w:val="000000"/>
          <w:sz w:val="24"/>
          <w:szCs w:val="24"/>
        </w:rPr>
        <w:t>i vlerësimit të konceptit;</w:t>
      </w:r>
    </w:p>
    <w:p w14:paraId="6D6F2B7C" w14:textId="4621B1E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e) </w:t>
      </w:r>
      <w:r w:rsidR="00496285" w:rsidRPr="000E1EB0">
        <w:rPr>
          <w:rFonts w:ascii="Garamond" w:hAnsi="Garamond" w:cs="Arial"/>
          <w:color w:val="000000"/>
          <w:sz w:val="24"/>
          <w:szCs w:val="24"/>
        </w:rPr>
        <w:t xml:space="preserve">raporti </w:t>
      </w:r>
      <w:r w:rsidRPr="000E1EB0">
        <w:rPr>
          <w:rFonts w:ascii="Garamond" w:hAnsi="Garamond" w:cs="Arial"/>
          <w:color w:val="000000"/>
          <w:sz w:val="24"/>
          <w:szCs w:val="24"/>
        </w:rPr>
        <w:t>i vlerësimit të aplikimit të plotë ose raporti i negociatave me anekset përkatëse;</w:t>
      </w:r>
    </w:p>
    <w:p w14:paraId="6D6F2B7D" w14:textId="2A406580"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f) </w:t>
      </w:r>
      <w:r w:rsidR="00496285" w:rsidRPr="000E1EB0">
        <w:rPr>
          <w:rFonts w:ascii="Garamond" w:hAnsi="Garamond" w:cs="Arial"/>
          <w:color w:val="000000"/>
          <w:sz w:val="24"/>
          <w:szCs w:val="24"/>
        </w:rPr>
        <w:t xml:space="preserve">kontrolli </w:t>
      </w:r>
      <w:r w:rsidRPr="000E1EB0">
        <w:rPr>
          <w:rFonts w:ascii="Garamond" w:hAnsi="Garamond" w:cs="Arial"/>
          <w:color w:val="000000"/>
          <w:sz w:val="24"/>
          <w:szCs w:val="24"/>
        </w:rPr>
        <w:t>i kualifikimit dhe dokumentet mbështetëse;</w:t>
      </w:r>
    </w:p>
    <w:p w14:paraId="6D6F2B7E" w14:textId="3217DE21"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g) </w:t>
      </w:r>
      <w:r w:rsidR="00496285" w:rsidRPr="000E1EB0">
        <w:rPr>
          <w:rFonts w:ascii="Garamond" w:hAnsi="Garamond" w:cs="Arial"/>
          <w:color w:val="000000"/>
          <w:sz w:val="24"/>
          <w:szCs w:val="24"/>
        </w:rPr>
        <w:t xml:space="preserve">letra </w:t>
      </w:r>
      <w:r w:rsidRPr="000E1EB0">
        <w:rPr>
          <w:rFonts w:ascii="Garamond" w:hAnsi="Garamond" w:cs="Arial"/>
          <w:color w:val="000000"/>
          <w:sz w:val="24"/>
          <w:szCs w:val="24"/>
        </w:rPr>
        <w:t>për aplikantët e suksesshëm dhe të pasuksesshëm me listë rezervë të miratuar pas vlerësimit të plotë të aplikimit;</w:t>
      </w:r>
    </w:p>
    <w:p w14:paraId="6D6F2B7F" w14:textId="61283DD8"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h) </w:t>
      </w:r>
      <w:r w:rsidR="00496285" w:rsidRPr="000E1EB0">
        <w:rPr>
          <w:rFonts w:ascii="Garamond" w:hAnsi="Garamond" w:cs="Arial"/>
          <w:color w:val="000000"/>
          <w:sz w:val="24"/>
          <w:szCs w:val="24"/>
        </w:rPr>
        <w:t xml:space="preserve">letër </w:t>
      </w:r>
      <w:r w:rsidRPr="000E1EB0">
        <w:rPr>
          <w:rFonts w:ascii="Garamond" w:hAnsi="Garamond" w:cs="Arial"/>
          <w:color w:val="000000"/>
          <w:sz w:val="24"/>
          <w:szCs w:val="24"/>
        </w:rPr>
        <w:t>motivuese për dorëzimin e kontratës së grantit;</w:t>
      </w:r>
    </w:p>
    <w:p w14:paraId="6D6F2B80" w14:textId="5CF0DDAB"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i) </w:t>
      </w:r>
      <w:r w:rsidR="00496285" w:rsidRPr="000E1EB0">
        <w:rPr>
          <w:rFonts w:ascii="Garamond" w:hAnsi="Garamond" w:cs="Arial"/>
          <w:color w:val="000000"/>
          <w:sz w:val="24"/>
          <w:szCs w:val="24"/>
        </w:rPr>
        <w:t xml:space="preserve">njoftim </w:t>
      </w:r>
      <w:r w:rsidRPr="000E1EB0">
        <w:rPr>
          <w:rFonts w:ascii="Garamond" w:hAnsi="Garamond" w:cs="Arial"/>
          <w:color w:val="000000"/>
          <w:sz w:val="24"/>
          <w:szCs w:val="24"/>
        </w:rPr>
        <w:t>për dhënie / anulim me dëshmi të publikimit;</w:t>
      </w:r>
    </w:p>
    <w:p w14:paraId="6D6F2B81" w14:textId="0EA48ACD"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 xml:space="preserve">j) </w:t>
      </w:r>
      <w:r w:rsidR="00496285" w:rsidRPr="000E1EB0">
        <w:rPr>
          <w:rFonts w:ascii="Garamond" w:hAnsi="Garamond" w:cs="Arial"/>
          <w:color w:val="000000"/>
          <w:sz w:val="24"/>
          <w:szCs w:val="24"/>
        </w:rPr>
        <w:t xml:space="preserve">kontratat </w:t>
      </w:r>
      <w:r w:rsidRPr="000E1EB0">
        <w:rPr>
          <w:rFonts w:ascii="Garamond" w:hAnsi="Garamond" w:cs="Arial"/>
          <w:color w:val="000000"/>
          <w:sz w:val="24"/>
          <w:szCs w:val="24"/>
        </w:rPr>
        <w:t>e nënshkruara, ndryshimet, riders dhe korrespondencën përkatëse.</w:t>
      </w:r>
    </w:p>
    <w:p w14:paraId="6D6F2B82"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Përveç kësaj, dokumentet financiare dhe kontraktuale të përmendura në paragrafin 5 (a) dhe (b) të këtij neni do të jenë plotësohet nga të gjitha dokumentet përkatëse mbështetëse siç kërkohet nga procedurat e përmendura në seksionin 1 të këtij neni, si dhe të gjithë dokumentacionin përkatës në lidhje me pagesat, rikuperimet dhe kostot e funksionimit, për shembull raportet e kontrolleve të projektit dhe në vend, pranimin e furnizimeve dhe punëve, garancitë, autorizimet, raportet e inxhinierëve mbikëqyrës.</w:t>
      </w:r>
    </w:p>
    <w:p w14:paraId="6D6F2B83"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Të gjitha dokumentet përkatëse financiare dhe kontraktuale do të ruhen për të njëjtën kohëzgjatje në përputhje me nenin 49 të Marrëveshjes Kornizë.</w:t>
      </w:r>
    </w:p>
    <w:p w14:paraId="6D6F2B84"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85"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 xml:space="preserve">Neni 8a </w:t>
      </w:r>
    </w:p>
    <w:p w14:paraId="6D6F2B86"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 xml:space="preserve"> Detyrimet për informim, sanksionet administrative dhe mosveprimi</w:t>
      </w:r>
    </w:p>
    <w:p w14:paraId="6D6F2B87"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88" w14:textId="7CC8784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877AE9">
        <w:rPr>
          <w:rFonts w:ascii="Garamond" w:hAnsi="Garamond" w:cs="Arial"/>
          <w:color w:val="000000"/>
          <w:sz w:val="24"/>
          <w:szCs w:val="24"/>
        </w:rPr>
        <w:t>.</w:t>
      </w:r>
      <w:r w:rsidRPr="000E1EB0">
        <w:rPr>
          <w:rFonts w:ascii="Garamond" w:hAnsi="Garamond" w:cs="Arial"/>
          <w:color w:val="000000"/>
          <w:sz w:val="24"/>
          <w:szCs w:val="24"/>
        </w:rPr>
        <w:t xml:space="preserve"> Kur zbatohen procedurat dhe dokumentet standarde të përcaktuara dhe publikuara nga Komisioni për dhënien e kontratave të prokurimit dhe granteve, përfituesi i IPA II do të sigurojë që asnjë kontratë e financuar nga BE-ja e prokurimit ose e grantit të mos i jepet një operatori ekonomik ose një aplikuesi të grantit. nëse operatori ekonomik ose aplikuesi i grantit i cili ose vetë, ose një person që ka kompetenca përfaqësimi, vendimmarrje ose kontroll mbi të është në një nga situatat e përjashtimit të parashikuara në procedurat përkatëse dhe dokumentet standarde të Komisionit.</w:t>
      </w:r>
    </w:p>
    <w:p w14:paraId="6D6F2B89" w14:textId="4CAB1EE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877AE9">
        <w:rPr>
          <w:rFonts w:ascii="Garamond" w:hAnsi="Garamond" w:cs="Arial"/>
          <w:color w:val="000000"/>
          <w:sz w:val="24"/>
          <w:szCs w:val="24"/>
        </w:rPr>
        <w:t>.</w:t>
      </w:r>
      <w:r w:rsidRPr="000E1EB0">
        <w:rPr>
          <w:rFonts w:ascii="Garamond" w:hAnsi="Garamond" w:cs="Arial"/>
          <w:color w:val="000000"/>
          <w:sz w:val="24"/>
          <w:szCs w:val="24"/>
        </w:rPr>
        <w:t xml:space="preserve"> Përfituesi i IPA II, që është Autoriteti Kontraktues, do të informojë Komisionin menjëherë kur një kandidat, tenderues ose aplikant është në një situatë të përjashtimit nga pjesëmarrja në procedurat e prokurimit dhe dhënies së grantit, ka kryer parregullsi dhe mashtrim, ose është gjetur në shkelje serioze e detyrimeve të saj kontraktuale.</w:t>
      </w:r>
    </w:p>
    <w:p w14:paraId="6D6F2B8A" w14:textId="78CD49D1"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3</w:t>
      </w:r>
      <w:r w:rsidR="00A72391">
        <w:rPr>
          <w:rFonts w:ascii="Garamond" w:hAnsi="Garamond" w:cs="Arial"/>
          <w:color w:val="000000"/>
          <w:sz w:val="24"/>
          <w:szCs w:val="24"/>
        </w:rPr>
        <w:t>.</w:t>
      </w:r>
      <w:r w:rsidRPr="000E1EB0">
        <w:rPr>
          <w:rFonts w:ascii="Garamond" w:hAnsi="Garamond" w:cs="Arial"/>
          <w:color w:val="000000"/>
          <w:sz w:val="24"/>
          <w:szCs w:val="24"/>
        </w:rPr>
        <w:t xml:space="preserve"> Përfituesi i IPA II që është Autoriteti Kontraktues do të marrë parasysh informacionin që përmbahet në ‘Sistemin e Zbulimit të Hershëm dhe Përjashtimit’ të Komisionit (EDES) gjatë dhënies së kontratave të prokurimit dhe grantit. Aksesi në informacion mund të sigurohet përmes pikave (eve) të ndërlidhjes ose përmes konsultimit duke përdorur mjetet e mëposhtme: (Komisioni Evropian, Drejtoria e Përgjithshme e Buxhetit, Zyrtari i Kontabilitetit të Komisionit, BRE2-13/505, B-1049 Bruksel, Belgjikën dhe me e</w:t>
      </w:r>
      <w:r w:rsidR="00A72391">
        <w:rPr>
          <w:rFonts w:ascii="Garamond" w:hAnsi="Garamond" w:cs="Arial"/>
          <w:color w:val="000000"/>
          <w:sz w:val="24"/>
          <w:szCs w:val="24"/>
        </w:rPr>
        <w:t>-</w:t>
      </w:r>
      <w:r w:rsidRPr="000E1EB0">
        <w:rPr>
          <w:rFonts w:ascii="Garamond" w:hAnsi="Garamond" w:cs="Arial"/>
          <w:color w:val="000000"/>
          <w:sz w:val="24"/>
          <w:szCs w:val="24"/>
        </w:rPr>
        <w:t xml:space="preserve">mail në </w:t>
      </w:r>
      <w:r w:rsidRPr="000E1EB0">
        <w:rPr>
          <w:rFonts w:ascii="Garamond" w:hAnsi="Garamond" w:cs="Arial"/>
          <w:color w:val="0000FF"/>
          <w:sz w:val="24"/>
          <w:szCs w:val="24"/>
          <w:u w:val="single"/>
        </w:rPr>
        <w:t>BUDG-COI-EXCL-DB@ec.europa.eu</w:t>
      </w:r>
      <w:r w:rsidRPr="000E1EB0">
        <w:rPr>
          <w:rFonts w:ascii="Garamond" w:hAnsi="Garamond" w:cs="Arial"/>
          <w:color w:val="000000"/>
          <w:sz w:val="24"/>
          <w:szCs w:val="24"/>
        </w:rPr>
        <w:t xml:space="preserve"> në kopje në adresën e Komisionit të përmendur</w:t>
      </w:r>
      <w:r w:rsidR="009A5DA1">
        <w:rPr>
          <w:rFonts w:ascii="Garamond" w:hAnsi="Garamond" w:cs="Arial"/>
          <w:color w:val="000000"/>
          <w:sz w:val="24"/>
          <w:szCs w:val="24"/>
        </w:rPr>
        <w:t xml:space="preserve"> </w:t>
      </w:r>
      <w:r w:rsidRPr="000E1EB0">
        <w:rPr>
          <w:rFonts w:ascii="Garamond" w:hAnsi="Garamond" w:cs="Arial"/>
          <w:color w:val="000000"/>
          <w:sz w:val="24"/>
          <w:szCs w:val="24"/>
        </w:rPr>
        <w:t xml:space="preserve">në </w:t>
      </w:r>
      <w:r w:rsidR="00A72391" w:rsidRPr="000E1EB0">
        <w:rPr>
          <w:rFonts w:ascii="Garamond" w:hAnsi="Garamond" w:cs="Arial"/>
          <w:color w:val="000000"/>
          <w:sz w:val="24"/>
          <w:szCs w:val="24"/>
        </w:rPr>
        <w:t>nenin 3 të kushteve të veçanta</w:t>
      </w:r>
      <w:r w:rsidRPr="000E1EB0">
        <w:rPr>
          <w:rFonts w:ascii="Garamond" w:hAnsi="Garamond" w:cs="Arial"/>
          <w:color w:val="000000"/>
          <w:sz w:val="24"/>
          <w:szCs w:val="24"/>
        </w:rPr>
        <w:t>).</w:t>
      </w:r>
    </w:p>
    <w:p w14:paraId="6D6F2B8B" w14:textId="69742C7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lastRenderedPageBreak/>
        <w:t>4</w:t>
      </w:r>
      <w:r w:rsidR="00A72391">
        <w:rPr>
          <w:rFonts w:ascii="Garamond" w:hAnsi="Garamond" w:cs="Arial"/>
          <w:color w:val="000000"/>
          <w:sz w:val="24"/>
          <w:szCs w:val="24"/>
        </w:rPr>
        <w:t>.</w:t>
      </w:r>
      <w:r w:rsidRPr="000E1EB0">
        <w:rPr>
          <w:rFonts w:ascii="Garamond" w:hAnsi="Garamond" w:cs="Arial"/>
          <w:color w:val="000000"/>
          <w:sz w:val="24"/>
          <w:szCs w:val="24"/>
        </w:rPr>
        <w:t xml:space="preserve"> Kur përfituesi i IPA II, që është Autoriteti Kontraktues, bëhet i vetëdijshëm për një situatë përjashtimi në zbatimin e detyrave të përshkruara në Shtojcën I, përfituesi i IPA II që është Autoriteti Kontraktues do t’i imponojë një operatori ekonomik ose një aplikanti për grante një përjashtimi nga procedurat e tij të ardhshme të prokurimit ose dhënies së grantit. Përfituesi i IPA II që është Autoriteti Kontraktues gjithashtu mund të vendosë një gjobë financiare proporcionale me vlerën e kontratës në fjalë.</w:t>
      </w:r>
    </w:p>
    <w:p w14:paraId="6D6F2B8C"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Përjashtimet dhe / ose ndëshkimet financiare do të vendosen pas një procedure kundërshtare që siguron të drejtën e mbrojtjes së personit në fjalë. Përfituesi i IPA II që është Autoriteti Kontraktues do të njoftojë Komisionin në përputhje me paragrafin I të këtij neni.</w:t>
      </w:r>
    </w:p>
    <w:p w14:paraId="6D6F2B8D" w14:textId="63B4535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A72391">
        <w:rPr>
          <w:rFonts w:ascii="Garamond" w:hAnsi="Garamond" w:cs="Arial"/>
          <w:color w:val="000000"/>
          <w:sz w:val="24"/>
          <w:szCs w:val="24"/>
        </w:rPr>
        <w:t>.</w:t>
      </w:r>
      <w:r w:rsidRPr="000E1EB0">
        <w:rPr>
          <w:rFonts w:ascii="Garamond" w:hAnsi="Garamond" w:cs="Arial"/>
          <w:color w:val="000000"/>
          <w:sz w:val="24"/>
          <w:szCs w:val="24"/>
        </w:rPr>
        <w:t xml:space="preserve"> Në lidhje me paragrafin 4 të këtij neni, përfituesi i IPA II që është Autoriteti Kontraktues kryen një dështim për të vepruar, nëse nuk vendos përjashtim dhe / ose një gjobë financiare për operatorin ekonomik ose aplikantin e grantit.</w:t>
      </w:r>
    </w:p>
    <w:p w14:paraId="6D6F2B8E" w14:textId="050A178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6</w:t>
      </w:r>
      <w:r w:rsidR="00A72391">
        <w:rPr>
          <w:rFonts w:ascii="Garamond" w:hAnsi="Garamond" w:cs="Arial"/>
          <w:color w:val="000000"/>
          <w:sz w:val="24"/>
          <w:szCs w:val="24"/>
        </w:rPr>
        <w:t>.</w:t>
      </w:r>
      <w:r w:rsidRPr="000E1EB0">
        <w:rPr>
          <w:rFonts w:ascii="Garamond" w:hAnsi="Garamond" w:cs="Arial"/>
          <w:color w:val="000000"/>
          <w:sz w:val="24"/>
          <w:szCs w:val="24"/>
        </w:rPr>
        <w:t xml:space="preserve"> Në rast të dështimit për të vepruar, përfituesi i IPA II që është Autoriteti Kontraktues do të njoftojë Komisionin duke shpjeguar arsyet e dështimit të tij për të vepruar. Komisioni rezervon të drejtën të përjashtojë një operator ekonomik ose një aplikant për grante nga procedurat e ardhshme të financimit të BE-së, dhe / ose të vendosë një gjobë financiare për operatorin ekonomik ose aplikantin e grantit ndërmjet 2% dhe 10% të vlerës totale të kontratës në fjalë.</w:t>
      </w:r>
    </w:p>
    <w:p w14:paraId="6D6F2B8F"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90"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9</w:t>
      </w:r>
    </w:p>
    <w:p w14:paraId="6D6F2B91"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Kontrollet paraprake mbi procedurat e granteve dhe prokurimeve dhe kontrollet paraprake të kontratave dhe granteve që do të kryhen nga komisioni</w:t>
      </w:r>
    </w:p>
    <w:p w14:paraId="6D6F2B92"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93" w14:textId="325F23B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A72391">
        <w:rPr>
          <w:rFonts w:ascii="Garamond" w:hAnsi="Garamond" w:cs="Arial"/>
          <w:color w:val="000000"/>
          <w:sz w:val="24"/>
          <w:szCs w:val="24"/>
        </w:rPr>
        <w:t>.</w:t>
      </w:r>
      <w:r w:rsidRPr="000E1EB0">
        <w:rPr>
          <w:rFonts w:ascii="Garamond" w:hAnsi="Garamond" w:cs="Arial"/>
          <w:color w:val="000000"/>
          <w:sz w:val="24"/>
          <w:szCs w:val="24"/>
        </w:rPr>
        <w:t xml:space="preserve"> Komisioni mund të ushtrojë kontrolle paraprake (</w:t>
      </w:r>
      <w:r w:rsidRPr="00A72391">
        <w:rPr>
          <w:rFonts w:ascii="Garamond" w:hAnsi="Garamond" w:cs="Arial"/>
          <w:i/>
          <w:color w:val="000000"/>
          <w:sz w:val="24"/>
          <w:szCs w:val="24"/>
        </w:rPr>
        <w:t>ex ante</w:t>
      </w:r>
      <w:r w:rsidRPr="000E1EB0">
        <w:rPr>
          <w:rFonts w:ascii="Garamond" w:hAnsi="Garamond" w:cs="Arial"/>
          <w:color w:val="000000"/>
          <w:sz w:val="24"/>
          <w:szCs w:val="24"/>
        </w:rPr>
        <w:t xml:space="preserve">) për tenderimin e kontratave, hapjen e thirrjeve për propozime dhe dhënien e kontratave dhe granteve për fazat e mëposhtme të prokurimit ose dhënies së granteve: </w:t>
      </w:r>
    </w:p>
    <w:p w14:paraId="6D6F2B94" w14:textId="0AF00C0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A72391">
        <w:rPr>
          <w:rFonts w:ascii="Garamond" w:hAnsi="Garamond" w:cs="Arial"/>
          <w:color w:val="000000"/>
          <w:sz w:val="24"/>
          <w:szCs w:val="24"/>
        </w:rPr>
        <w:t xml:space="preserve">) </w:t>
      </w:r>
      <w:r w:rsidRPr="000E1EB0">
        <w:rPr>
          <w:rFonts w:ascii="Garamond" w:hAnsi="Garamond" w:cs="Arial"/>
          <w:color w:val="000000"/>
          <w:sz w:val="24"/>
          <w:szCs w:val="24"/>
        </w:rPr>
        <w:t>për miratimin e njoftimeve të kontratës për prokurim, programet e punës për thirrjet për propozime dhe çdo korrigjim të tij;</w:t>
      </w:r>
    </w:p>
    <w:p w14:paraId="6D6F2B95" w14:textId="34701EB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A72391">
        <w:rPr>
          <w:rFonts w:ascii="Garamond" w:hAnsi="Garamond" w:cs="Arial"/>
          <w:color w:val="000000"/>
          <w:sz w:val="24"/>
          <w:szCs w:val="24"/>
        </w:rPr>
        <w:t>)</w:t>
      </w:r>
      <w:r w:rsidRPr="000E1EB0">
        <w:rPr>
          <w:rFonts w:ascii="Garamond" w:hAnsi="Garamond" w:cs="Arial"/>
          <w:color w:val="000000"/>
          <w:sz w:val="24"/>
          <w:szCs w:val="24"/>
        </w:rPr>
        <w:t xml:space="preserve"> për miratimin e dosjeve të tenderit dhe udhëzimeve për aplikantët për grante; </w:t>
      </w:r>
    </w:p>
    <w:p w14:paraId="6D6F2B96" w14:textId="6E37173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w:t>
      </w:r>
      <w:r w:rsidR="00A72391">
        <w:rPr>
          <w:rFonts w:ascii="Garamond" w:hAnsi="Garamond" w:cs="Arial"/>
          <w:color w:val="000000"/>
          <w:sz w:val="24"/>
          <w:szCs w:val="24"/>
        </w:rPr>
        <w:t>)</w:t>
      </w:r>
      <w:r w:rsidRPr="000E1EB0">
        <w:rPr>
          <w:rFonts w:ascii="Garamond" w:hAnsi="Garamond" w:cs="Arial"/>
          <w:color w:val="000000"/>
          <w:sz w:val="24"/>
          <w:szCs w:val="24"/>
        </w:rPr>
        <w:t xml:space="preserve"> për miratimin e përbërjes së komisioneve të vlerësimit;</w:t>
      </w:r>
    </w:p>
    <w:p w14:paraId="6D6F2B97" w14:textId="754D081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d</w:t>
      </w:r>
      <w:r w:rsidR="00A72391">
        <w:rPr>
          <w:rFonts w:ascii="Garamond" w:hAnsi="Garamond" w:cs="Arial"/>
          <w:color w:val="000000"/>
          <w:sz w:val="24"/>
          <w:szCs w:val="24"/>
        </w:rPr>
        <w:t>)</w:t>
      </w:r>
      <w:r w:rsidRPr="000E1EB0">
        <w:rPr>
          <w:rFonts w:ascii="Garamond" w:hAnsi="Garamond" w:cs="Arial"/>
          <w:color w:val="000000"/>
          <w:sz w:val="24"/>
          <w:szCs w:val="24"/>
        </w:rPr>
        <w:t xml:space="preserve"> për miratimin e raporteve të vlerësimit dhe vendimet e dhënies së kontratës</w:t>
      </w:r>
      <w:r w:rsidRPr="000E1EB0">
        <w:rPr>
          <w:rStyle w:val="FootnoteReference"/>
          <w:rFonts w:ascii="Garamond" w:hAnsi="Garamond" w:cs="Arial"/>
          <w:color w:val="000000"/>
          <w:sz w:val="24"/>
          <w:szCs w:val="24"/>
        </w:rPr>
        <w:footnoteReference w:id="25"/>
      </w:r>
      <w:r w:rsidRPr="000E1EB0">
        <w:rPr>
          <w:rFonts w:ascii="Garamond" w:hAnsi="Garamond" w:cs="Arial"/>
          <w:color w:val="000000"/>
          <w:sz w:val="24"/>
          <w:szCs w:val="24"/>
        </w:rPr>
        <w:t xml:space="preserve">; </w:t>
      </w:r>
    </w:p>
    <w:p w14:paraId="6D6F2B98" w14:textId="272478AF"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e</w:t>
      </w:r>
      <w:r w:rsidR="00A72391">
        <w:rPr>
          <w:rFonts w:ascii="Garamond" w:hAnsi="Garamond" w:cs="Arial"/>
          <w:color w:val="000000"/>
          <w:sz w:val="24"/>
          <w:szCs w:val="24"/>
        </w:rPr>
        <w:t>)</w:t>
      </w:r>
      <w:r w:rsidRPr="000E1EB0">
        <w:rPr>
          <w:rFonts w:ascii="Garamond" w:hAnsi="Garamond" w:cs="Arial"/>
          <w:color w:val="000000"/>
          <w:sz w:val="24"/>
          <w:szCs w:val="24"/>
        </w:rPr>
        <w:t xml:space="preserve"> për miratimin e dosjeve të kontratës dhe shtesa e kontratës.</w:t>
      </w:r>
    </w:p>
    <w:p w14:paraId="6D6F2B99" w14:textId="7D82F69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A72391">
        <w:rPr>
          <w:rFonts w:ascii="Garamond" w:hAnsi="Garamond" w:cs="Arial"/>
          <w:color w:val="000000"/>
          <w:sz w:val="24"/>
          <w:szCs w:val="24"/>
        </w:rPr>
        <w:t>.</w:t>
      </w:r>
      <w:r w:rsidRPr="000E1EB0">
        <w:rPr>
          <w:rFonts w:ascii="Garamond" w:hAnsi="Garamond" w:cs="Arial"/>
          <w:color w:val="000000"/>
          <w:sz w:val="24"/>
          <w:szCs w:val="24"/>
        </w:rPr>
        <w:t xml:space="preserve"> Në lidhje me kontrollin paraprak, komisioni duhet të vendosë: </w:t>
      </w:r>
    </w:p>
    <w:p w14:paraId="6D6F2B9A" w14:textId="7335909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A72391">
        <w:rPr>
          <w:rFonts w:ascii="Garamond" w:hAnsi="Garamond" w:cs="Arial"/>
          <w:color w:val="000000"/>
          <w:sz w:val="24"/>
          <w:szCs w:val="24"/>
        </w:rPr>
        <w:t>)</w:t>
      </w:r>
      <w:r w:rsidRPr="000E1EB0">
        <w:rPr>
          <w:rFonts w:ascii="Garamond" w:hAnsi="Garamond" w:cs="Arial"/>
          <w:color w:val="000000"/>
          <w:sz w:val="24"/>
          <w:szCs w:val="24"/>
        </w:rPr>
        <w:t xml:space="preserve"> të kryejë kontrolle paraprake për të gjitha dosjet, ose</w:t>
      </w:r>
    </w:p>
    <w:p w14:paraId="6D6F2B9B" w14:textId="0A457F6C"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A72391">
        <w:rPr>
          <w:rFonts w:ascii="Garamond" w:hAnsi="Garamond" w:cs="Arial"/>
          <w:color w:val="000000"/>
          <w:sz w:val="24"/>
          <w:szCs w:val="24"/>
        </w:rPr>
        <w:t>)</w:t>
      </w:r>
      <w:r w:rsidRPr="000E1EB0">
        <w:rPr>
          <w:rFonts w:ascii="Garamond" w:hAnsi="Garamond" w:cs="Arial"/>
          <w:color w:val="000000"/>
          <w:sz w:val="24"/>
          <w:szCs w:val="24"/>
        </w:rPr>
        <w:t xml:space="preserve"> të kryejë kontrolle paraprake në një përzgjedhje e këtyre dosjeve, ose</w:t>
      </w:r>
    </w:p>
    <w:p w14:paraId="6D6F2B9C" w14:textId="70141F8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w:t>
      </w:r>
      <w:r w:rsidR="009D3F42">
        <w:rPr>
          <w:rFonts w:ascii="Garamond" w:hAnsi="Garamond" w:cs="Arial"/>
          <w:color w:val="000000"/>
          <w:sz w:val="24"/>
          <w:szCs w:val="24"/>
        </w:rPr>
        <w:t>)</w:t>
      </w:r>
      <w:r w:rsidRPr="000E1EB0">
        <w:rPr>
          <w:rFonts w:ascii="Garamond" w:hAnsi="Garamond" w:cs="Arial"/>
          <w:color w:val="000000"/>
          <w:sz w:val="24"/>
          <w:szCs w:val="24"/>
        </w:rPr>
        <w:t xml:space="preserve"> të heqë dorë plotësisht nga kontrollet paraprake.</w:t>
      </w:r>
    </w:p>
    <w:p w14:paraId="6D6F2B9D" w14:textId="5DC0230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A72391">
        <w:rPr>
          <w:rFonts w:ascii="Garamond" w:hAnsi="Garamond" w:cs="Arial"/>
          <w:color w:val="000000"/>
          <w:sz w:val="24"/>
          <w:szCs w:val="24"/>
        </w:rPr>
        <w:t>.</w:t>
      </w:r>
      <w:r w:rsidRPr="000E1EB0">
        <w:rPr>
          <w:rFonts w:ascii="Garamond" w:hAnsi="Garamond" w:cs="Arial"/>
          <w:color w:val="000000"/>
          <w:sz w:val="24"/>
          <w:szCs w:val="24"/>
        </w:rPr>
        <w:t xml:space="preserve"> Nëse Komisioni vendos për të kryer kontrolle paraprake në përputhje me paragrafin 2, shkronjat (a) ose (b) të këtij neni, ai duhet të informojë përfituesin e IPA II që është Autoriteti Kontraktues i dosjeve të përzgjedhura për kontrollet paraprake. Ky përfitues i IPA II do të japë të gjithë dokumentacionin dhe informacionin e nevojshëm për Komisionin, pasi të informohet se një dosje është përzgjedhur për kontroll paraprak së fundi në kohën e dorëzimit të njoftimit të kontratës ose programit të punës për publikim.</w:t>
      </w:r>
    </w:p>
    <w:p w14:paraId="6D6F2B9E" w14:textId="748ABD7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A72391">
        <w:rPr>
          <w:rFonts w:ascii="Garamond" w:hAnsi="Garamond" w:cs="Arial"/>
          <w:color w:val="000000"/>
          <w:sz w:val="24"/>
          <w:szCs w:val="24"/>
        </w:rPr>
        <w:t>.</w:t>
      </w:r>
      <w:r w:rsidRPr="000E1EB0">
        <w:rPr>
          <w:rFonts w:ascii="Garamond" w:hAnsi="Garamond" w:cs="Arial"/>
          <w:color w:val="000000"/>
          <w:sz w:val="24"/>
          <w:szCs w:val="24"/>
        </w:rPr>
        <w:t xml:space="preserve"> Komisioni mund të vendosë për të kryer kontrolle të mëpasshme (ex-post), duke përfshirë auditimet dhe kontrollet e çastit, në çdo kohë, për ndonjë kontratë ose grantet e dhëna nga përfituesi </w:t>
      </w:r>
      <w:r w:rsidRPr="000E1EB0">
        <w:rPr>
          <w:rFonts w:ascii="Garamond" w:hAnsi="Garamond" w:cs="Arial"/>
          <w:color w:val="000000"/>
          <w:sz w:val="24"/>
          <w:szCs w:val="24"/>
        </w:rPr>
        <w:lastRenderedPageBreak/>
        <w:t>IPA II që është Autoriteti Kontraktues, që rrjedh nga kjo marrëveshje financimi. Ky përfitues i IPA II do të të vërë në dispozicion të gjithë dokumentacionin dhe informacionin e nevojshëm për Komisionin pasi të informohet se kjo dosje është përzgjedhur për kontroll të mëpasshëm (ex post). Komisioni mund të autorizojë një person ose njësi ekonomike për të kryer kontrolle ex post në emër të saj.</w:t>
      </w:r>
    </w:p>
    <w:p w14:paraId="6D6F2B9F"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A1"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10</w:t>
      </w:r>
    </w:p>
    <w:p w14:paraId="6D6F2BA2" w14:textId="3D1E85C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Llogaritë bankare, sistemet e kontabilitetit dhe kostoja e njohur</w:t>
      </w:r>
    </w:p>
    <w:p w14:paraId="6D6F2BA3"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A4" w14:textId="42DC4E7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332FAB">
        <w:rPr>
          <w:rFonts w:ascii="Garamond" w:hAnsi="Garamond" w:cs="Arial"/>
          <w:color w:val="000000"/>
          <w:sz w:val="24"/>
          <w:szCs w:val="24"/>
        </w:rPr>
        <w:t>.</w:t>
      </w:r>
      <w:r w:rsidRPr="000E1EB0">
        <w:rPr>
          <w:rFonts w:ascii="Garamond" w:hAnsi="Garamond" w:cs="Arial"/>
          <w:color w:val="000000"/>
          <w:sz w:val="24"/>
          <w:szCs w:val="24"/>
        </w:rPr>
        <w:t xml:space="preserve"> Pas hyrjes në fuqi të kësaj Marrëveshjeje Financimi, Fondi Kombëtar dhe struktura operative e përfituesit të IPA II, që është Autoriteti Kontraktues për Programin e Veprimit, duhet të hapë të paktën një llogari bankare në </w:t>
      </w:r>
      <w:r w:rsidR="00FB3D35">
        <w:rPr>
          <w:rFonts w:ascii="Garamond" w:hAnsi="Garamond" w:cs="Arial"/>
          <w:color w:val="000000"/>
          <w:sz w:val="24"/>
          <w:szCs w:val="24"/>
        </w:rPr>
        <w:t>e</w:t>
      </w:r>
      <w:r w:rsidRPr="000E1EB0">
        <w:rPr>
          <w:rFonts w:ascii="Garamond" w:hAnsi="Garamond" w:cs="Arial"/>
          <w:color w:val="000000"/>
          <w:sz w:val="24"/>
          <w:szCs w:val="24"/>
        </w:rPr>
        <w:t>uro. Bilanci i përgjithshëm bankar për Programin e Veprimit do të jetë shuma e bilanceve në të gjitha llogaritë bankare të Programit të Veprimit, të mbajtura nga Fondi Kombëtar dhe të gjitha strukturat pjesëmarrëse që operojnë te përfituesi i IPA II që është Autoriteti Kontraktues.</w:t>
      </w:r>
    </w:p>
    <w:p w14:paraId="6D6F2BA5" w14:textId="02BFEC6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332FAB">
        <w:rPr>
          <w:rFonts w:ascii="Garamond" w:hAnsi="Garamond" w:cs="Arial"/>
          <w:color w:val="000000"/>
          <w:sz w:val="24"/>
          <w:szCs w:val="24"/>
        </w:rPr>
        <w:t>.</w:t>
      </w:r>
      <w:r w:rsidRPr="000E1EB0">
        <w:rPr>
          <w:rFonts w:ascii="Garamond" w:hAnsi="Garamond" w:cs="Arial"/>
          <w:color w:val="000000"/>
          <w:sz w:val="24"/>
          <w:szCs w:val="24"/>
        </w:rPr>
        <w:t xml:space="preserve"> Përfituesi i IPA II që është Autoriteti Kontraktues, do të përgatisë dhe të dorëzojë në Komision planet e parashikimit të disbursimit për kohëzgjatjen e periudhës së zbatimit të Programit të Veprimit. Këto parashikime duhet të përditësohet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w:t>
      </w:r>
    </w:p>
    <w:p w14:paraId="6D6F2BA6" w14:textId="1715896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332FAB">
        <w:rPr>
          <w:rFonts w:ascii="Garamond" w:hAnsi="Garamond" w:cs="Arial"/>
          <w:color w:val="000000"/>
          <w:sz w:val="24"/>
          <w:szCs w:val="24"/>
        </w:rPr>
        <w:t>.</w:t>
      </w:r>
      <w:r w:rsidRPr="000E1EB0">
        <w:rPr>
          <w:rFonts w:ascii="Garamond" w:hAnsi="Garamond" w:cs="Arial"/>
          <w:color w:val="000000"/>
          <w:sz w:val="24"/>
          <w:szCs w:val="24"/>
        </w:rPr>
        <w:t xml:space="preserve"> 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disbursimit për katërmbëdhjetë muajt në vijim.</w:t>
      </w:r>
    </w:p>
    <w:p w14:paraId="6D6F2BA7" w14:textId="6B414AB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332FAB">
        <w:rPr>
          <w:rFonts w:ascii="Garamond" w:hAnsi="Garamond" w:cs="Arial"/>
          <w:color w:val="000000"/>
          <w:sz w:val="24"/>
          <w:szCs w:val="24"/>
        </w:rPr>
        <w:t>.</w:t>
      </w:r>
      <w:r w:rsidRPr="000E1EB0">
        <w:rPr>
          <w:rFonts w:ascii="Garamond" w:hAnsi="Garamond" w:cs="Arial"/>
          <w:color w:val="000000"/>
          <w:sz w:val="24"/>
          <w:szCs w:val="24"/>
        </w:rPr>
        <w:t xml:space="preserve"> Përfituesi i IPA II që është Autoriteti Kontraktues është i detyruar të krijojë dhe mirëmbajë një sistem të kontabilitetit në përputhje me pikën 2 (3) (b) të </w:t>
      </w:r>
      <w:r w:rsidR="00560A74">
        <w:rPr>
          <w:rFonts w:ascii="Garamond" w:hAnsi="Garamond" w:cs="Arial"/>
          <w:color w:val="000000"/>
          <w:sz w:val="24"/>
          <w:szCs w:val="24"/>
        </w:rPr>
        <w:t>s</w:t>
      </w:r>
      <w:r w:rsidRPr="000E1EB0">
        <w:rPr>
          <w:rFonts w:ascii="Garamond" w:hAnsi="Garamond" w:cs="Arial"/>
          <w:color w:val="000000"/>
          <w:sz w:val="24"/>
          <w:szCs w:val="24"/>
        </w:rPr>
        <w:t>htojca A të Marrëveshjes Kuadër, i cili do të mbajë të paktën informacionin për kontratat që menaxhohen nën Programin e Veprimit të përcaktuar në Shtojcën V.</w:t>
      </w:r>
    </w:p>
    <w:p w14:paraId="6D6F2BA8" w14:textId="280D8C0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332FAB">
        <w:rPr>
          <w:rFonts w:ascii="Garamond" w:hAnsi="Garamond" w:cs="Arial"/>
          <w:color w:val="000000"/>
          <w:sz w:val="24"/>
          <w:szCs w:val="24"/>
        </w:rPr>
        <w:t>.</w:t>
      </w:r>
      <w:r w:rsidRPr="000E1EB0">
        <w:rPr>
          <w:rFonts w:ascii="Garamond" w:hAnsi="Garamond" w:cs="Arial"/>
          <w:color w:val="000000"/>
          <w:sz w:val="24"/>
          <w:szCs w:val="24"/>
        </w:rPr>
        <w:t xml:space="preserve"> Kostoja e njohur në sistemin e kontabilitetit e mbajtur nën seksionin 4 të këtij neni, duhet të jetë e bëra, e paguar dhe e pranuar dhe të korrespondojë me kostot aktuale të provuara nga dokumentet mbështetëse dhe të përdoret kur është e përshtatshme për të nisur </w:t>
      </w:r>
      <w:r w:rsidR="00560A74">
        <w:rPr>
          <w:rFonts w:ascii="Garamond" w:hAnsi="Garamond" w:cs="Arial"/>
          <w:color w:val="000000"/>
          <w:sz w:val="24"/>
          <w:szCs w:val="24"/>
        </w:rPr>
        <w:t>para</w:t>
      </w:r>
      <w:r w:rsidRPr="000E1EB0">
        <w:rPr>
          <w:rFonts w:ascii="Garamond" w:hAnsi="Garamond" w:cs="Arial"/>
          <w:color w:val="000000"/>
          <w:sz w:val="24"/>
          <w:szCs w:val="24"/>
        </w:rPr>
        <w:t>financimin e paguar nga përfituesi i IPA II që është Autoriteti Kontraktues sipas kontratave lokale.</w:t>
      </w:r>
    </w:p>
    <w:p w14:paraId="6D6F2BA9" w14:textId="5B566E7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6</w:t>
      </w:r>
      <w:r w:rsidR="00560A74">
        <w:rPr>
          <w:rFonts w:ascii="Garamond" w:hAnsi="Garamond" w:cs="Arial"/>
          <w:color w:val="000000"/>
          <w:sz w:val="24"/>
          <w:szCs w:val="24"/>
        </w:rPr>
        <w:t>.</w:t>
      </w:r>
      <w:r w:rsidRPr="000E1EB0">
        <w:rPr>
          <w:rFonts w:ascii="Garamond" w:hAnsi="Garamond" w:cs="Arial"/>
          <w:color w:val="000000"/>
          <w:sz w:val="24"/>
          <w:szCs w:val="24"/>
        </w:rPr>
        <w:t xml:space="preserve"> Kostoja e njohur në sistemin e kontabilitetit do të shfrytëzohet nga Komisioni për njohjen e të përkohshme të kostos së saj, gjatë zbatimit të Programit të Veprimit (duke përfshirë autorizimin e parafinancimit që i paguhet përfituesit të IPA II, që është Autoriteti Kontraktues), për procesin e miratimit për pagesat, për autorizimin përfundimtar të procedurës së llogarive në fund të Programit të Veprimit, për praktikat vjetore të ndërprera dhe çdo zbatim tjetër të menaxhimit dhe të shqyrtimeve të performancës.</w:t>
      </w:r>
    </w:p>
    <w:p w14:paraId="6D6F2BAA" w14:textId="4F9B9BF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7</w:t>
      </w:r>
      <w:r w:rsidR="00560A74">
        <w:rPr>
          <w:rFonts w:ascii="Garamond" w:hAnsi="Garamond" w:cs="Arial"/>
          <w:color w:val="000000"/>
          <w:sz w:val="24"/>
          <w:szCs w:val="24"/>
        </w:rPr>
        <w:t>.</w:t>
      </w:r>
      <w:r w:rsidRPr="000E1EB0">
        <w:rPr>
          <w:rFonts w:ascii="Garamond" w:hAnsi="Garamond" w:cs="Arial"/>
          <w:color w:val="000000"/>
          <w:sz w:val="24"/>
          <w:szCs w:val="24"/>
        </w:rPr>
        <w:t xml:space="preserve"> Përfituesi i IPA-II që është Autoriteti Kontraktues, do t’i sigurojë Komisionit raportet në vijim:</w:t>
      </w:r>
    </w:p>
    <w:p w14:paraId="6D6F2BAB" w14:textId="129A42B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560A74">
        <w:rPr>
          <w:rFonts w:ascii="Garamond" w:hAnsi="Garamond" w:cs="Arial"/>
          <w:color w:val="000000"/>
          <w:sz w:val="24"/>
          <w:szCs w:val="24"/>
        </w:rPr>
        <w:t>)</w:t>
      </w:r>
      <w:r w:rsidRPr="000E1EB0">
        <w:rPr>
          <w:rFonts w:ascii="Garamond" w:hAnsi="Garamond" w:cs="Arial"/>
          <w:color w:val="000000"/>
          <w:sz w:val="24"/>
          <w:szCs w:val="24"/>
        </w:rPr>
        <w:t xml:space="preserve"> </w:t>
      </w:r>
      <w:r w:rsidRPr="000E1EB0">
        <w:rPr>
          <w:rFonts w:ascii="Garamond" w:hAnsi="Garamond" w:cs="Arial"/>
          <w:sz w:val="24"/>
          <w:szCs w:val="24"/>
        </w:rPr>
        <w:t xml:space="preserve">Raporti Përmbledhës - siç </w:t>
      </w:r>
      <w:r w:rsidRPr="000E1EB0">
        <w:rPr>
          <w:rFonts w:ascii="Garamond" w:hAnsi="Garamond" w:cs="Arial"/>
          <w:color w:val="000000"/>
          <w:sz w:val="24"/>
          <w:szCs w:val="24"/>
        </w:rPr>
        <w:t>është përcaktuar në nenin 3 (5);</w:t>
      </w:r>
    </w:p>
    <w:p w14:paraId="6D6F2BAC" w14:textId="17538BB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560A74">
        <w:rPr>
          <w:rFonts w:ascii="Garamond" w:hAnsi="Garamond" w:cs="Arial"/>
          <w:color w:val="000000"/>
          <w:sz w:val="24"/>
          <w:szCs w:val="24"/>
        </w:rPr>
        <w:t>)</w:t>
      </w:r>
      <w:r w:rsidRPr="000E1EB0">
        <w:rPr>
          <w:rFonts w:ascii="Garamond" w:hAnsi="Garamond" w:cs="Arial"/>
          <w:color w:val="000000"/>
          <w:sz w:val="24"/>
          <w:szCs w:val="24"/>
        </w:rPr>
        <w:t xml:space="preserve"> Raportet vjetore siç janë përcaktuar në paragrafët (2) deri (4) të nenit 3;</w:t>
      </w:r>
    </w:p>
    <w:p w14:paraId="6D6F2BAD" w14:textId="047B126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w:t>
      </w:r>
      <w:r w:rsidR="00560A74">
        <w:rPr>
          <w:rFonts w:ascii="Garamond" w:hAnsi="Garamond" w:cs="Arial"/>
          <w:color w:val="000000"/>
          <w:sz w:val="24"/>
          <w:szCs w:val="24"/>
        </w:rPr>
        <w:t>)</w:t>
      </w:r>
      <w:r w:rsidRPr="000E1EB0">
        <w:rPr>
          <w:rFonts w:ascii="Garamond" w:hAnsi="Garamond" w:cs="Arial"/>
          <w:color w:val="000000"/>
          <w:sz w:val="24"/>
          <w:szCs w:val="24"/>
        </w:rPr>
        <w:t xml:space="preserve"> Kërkesa për raportet e fondeve, siç përmenden në nenin 11.</w:t>
      </w:r>
    </w:p>
    <w:p w14:paraId="6D6F2BAE" w14:textId="77777777" w:rsidR="00650E6F" w:rsidRDefault="00650E6F" w:rsidP="004535F7">
      <w:pPr>
        <w:autoSpaceDE w:val="0"/>
        <w:autoSpaceDN w:val="0"/>
        <w:adjustRightInd w:val="0"/>
        <w:spacing w:after="0" w:line="240" w:lineRule="auto"/>
        <w:ind w:firstLine="284"/>
        <w:rPr>
          <w:rFonts w:ascii="Garamond" w:hAnsi="Garamond" w:cs="Arial"/>
          <w:b/>
          <w:bCs/>
          <w:color w:val="000000"/>
          <w:sz w:val="24"/>
          <w:szCs w:val="24"/>
        </w:rPr>
      </w:pPr>
    </w:p>
    <w:p w14:paraId="146CB42B" w14:textId="77777777" w:rsidR="002D60FA" w:rsidRDefault="002D60FA" w:rsidP="004535F7">
      <w:pPr>
        <w:autoSpaceDE w:val="0"/>
        <w:autoSpaceDN w:val="0"/>
        <w:adjustRightInd w:val="0"/>
        <w:spacing w:after="0" w:line="240" w:lineRule="auto"/>
        <w:ind w:firstLine="284"/>
        <w:rPr>
          <w:rFonts w:ascii="Garamond" w:hAnsi="Garamond" w:cs="Arial"/>
          <w:b/>
          <w:bCs/>
          <w:color w:val="000000"/>
          <w:sz w:val="24"/>
          <w:szCs w:val="24"/>
        </w:rPr>
      </w:pPr>
    </w:p>
    <w:p w14:paraId="29489C35" w14:textId="77777777" w:rsidR="002D60FA" w:rsidRPr="000E1EB0" w:rsidRDefault="002D60FA" w:rsidP="004535F7">
      <w:pPr>
        <w:autoSpaceDE w:val="0"/>
        <w:autoSpaceDN w:val="0"/>
        <w:adjustRightInd w:val="0"/>
        <w:spacing w:after="0" w:line="240" w:lineRule="auto"/>
        <w:ind w:firstLine="284"/>
        <w:rPr>
          <w:rFonts w:ascii="Garamond" w:hAnsi="Garamond" w:cs="Arial"/>
          <w:b/>
          <w:bCs/>
          <w:color w:val="000000"/>
          <w:sz w:val="24"/>
          <w:szCs w:val="24"/>
        </w:rPr>
      </w:pPr>
    </w:p>
    <w:p w14:paraId="6D6F2BAF"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lastRenderedPageBreak/>
        <w:t>Neni 11</w:t>
      </w:r>
    </w:p>
    <w:p w14:paraId="6D6F2BB0"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Dispozita për pagesat e bëra nga Komisioni për përfituesit IPA II që është Autoriteti Kontraktues</w:t>
      </w:r>
    </w:p>
    <w:p w14:paraId="6D093A7D" w14:textId="77777777" w:rsidR="007E66C9" w:rsidRPr="000E1EB0" w:rsidRDefault="007E66C9" w:rsidP="004535F7">
      <w:pPr>
        <w:autoSpaceDE w:val="0"/>
        <w:autoSpaceDN w:val="0"/>
        <w:adjustRightInd w:val="0"/>
        <w:spacing w:after="0" w:line="240" w:lineRule="auto"/>
        <w:ind w:firstLine="284"/>
        <w:jc w:val="center"/>
        <w:rPr>
          <w:rFonts w:ascii="Garamond" w:hAnsi="Garamond" w:cs="Arial"/>
          <w:b/>
          <w:bCs/>
          <w:color w:val="000000"/>
          <w:sz w:val="24"/>
          <w:szCs w:val="24"/>
        </w:rPr>
      </w:pPr>
    </w:p>
    <w:p w14:paraId="6D6F2BB1" w14:textId="3C072D29" w:rsidR="00650E6F" w:rsidRPr="000E1EB0" w:rsidRDefault="00650E6F" w:rsidP="004535F7">
      <w:pPr>
        <w:autoSpaceDE w:val="0"/>
        <w:autoSpaceDN w:val="0"/>
        <w:adjustRightInd w:val="0"/>
        <w:spacing w:after="0" w:line="240" w:lineRule="auto"/>
        <w:ind w:firstLine="284"/>
        <w:jc w:val="both"/>
        <w:rPr>
          <w:rFonts w:ascii="Garamond" w:hAnsi="Garamond" w:cs="Arial"/>
          <w:sz w:val="24"/>
          <w:szCs w:val="24"/>
        </w:rPr>
      </w:pPr>
      <w:r w:rsidRPr="000E1EB0">
        <w:rPr>
          <w:rFonts w:ascii="Garamond" w:hAnsi="Garamond" w:cs="Arial"/>
          <w:color w:val="000000"/>
          <w:sz w:val="24"/>
          <w:szCs w:val="24"/>
        </w:rPr>
        <w:t>1</w:t>
      </w:r>
      <w:r w:rsidR="00560A74">
        <w:rPr>
          <w:rFonts w:ascii="Garamond" w:hAnsi="Garamond" w:cs="Arial"/>
          <w:color w:val="000000"/>
          <w:sz w:val="24"/>
          <w:szCs w:val="24"/>
        </w:rPr>
        <w:t>.</w:t>
      </w:r>
      <w:r w:rsidRPr="000E1EB0">
        <w:rPr>
          <w:rFonts w:ascii="Garamond" w:hAnsi="Garamond" w:cs="Arial"/>
          <w:color w:val="000000"/>
          <w:sz w:val="24"/>
          <w:szCs w:val="24"/>
        </w:rPr>
        <w:t xml:space="preserve"> Përfituesi IPA II që është Autoriteti Kontraktues, duhet të paraqesë parashikimin e tij fillestarë të disbursimit (pagesës) për Programin e Veprimit, të përgatitur në përputhje me nenin 10 (2), me kërkesën e parë për pagesë të </w:t>
      </w:r>
      <w:r w:rsidR="00560A74">
        <w:rPr>
          <w:rFonts w:ascii="Garamond" w:hAnsi="Garamond" w:cs="Arial"/>
          <w:color w:val="000000"/>
          <w:sz w:val="24"/>
          <w:szCs w:val="24"/>
        </w:rPr>
        <w:t>para</w:t>
      </w:r>
      <w:r w:rsidRPr="000E1EB0">
        <w:rPr>
          <w:rFonts w:ascii="Garamond" w:hAnsi="Garamond" w:cs="Arial"/>
          <w:color w:val="000000"/>
          <w:sz w:val="24"/>
          <w:szCs w:val="24"/>
        </w:rPr>
        <w:t xml:space="preserve">financuar. Pagesa e parë e </w:t>
      </w:r>
      <w:r w:rsidR="00560A74">
        <w:rPr>
          <w:rFonts w:ascii="Garamond" w:hAnsi="Garamond" w:cs="Arial"/>
          <w:color w:val="000000"/>
          <w:sz w:val="24"/>
          <w:szCs w:val="24"/>
        </w:rPr>
        <w:t>para</w:t>
      </w:r>
      <w:r w:rsidRPr="000E1EB0">
        <w:rPr>
          <w:rFonts w:ascii="Garamond" w:hAnsi="Garamond" w:cs="Arial"/>
          <w:color w:val="000000"/>
          <w:sz w:val="24"/>
          <w:szCs w:val="24"/>
        </w:rPr>
        <w:t>financimit do të bëhet për 100% të pagesës së parashikuar për vitin e parë të planit të parashikuar për disbursim.</w:t>
      </w:r>
    </w:p>
    <w:p w14:paraId="6D6F2BB2" w14:textId="403D5FE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560A74">
        <w:rPr>
          <w:rFonts w:ascii="Garamond" w:hAnsi="Garamond" w:cs="Arial"/>
          <w:color w:val="000000"/>
          <w:sz w:val="24"/>
          <w:szCs w:val="24"/>
        </w:rPr>
        <w:t>.</w:t>
      </w:r>
      <w:r w:rsidRPr="000E1EB0">
        <w:rPr>
          <w:rFonts w:ascii="Garamond" w:hAnsi="Garamond" w:cs="Arial"/>
          <w:color w:val="000000"/>
          <w:sz w:val="24"/>
          <w:szCs w:val="24"/>
        </w:rPr>
        <w:t xml:space="preserve"> Përfituesi IPA II që është Autoriteti Kontraktues, do të paraqesë kërkesa të vazhdueshme të pagesës së </w:t>
      </w:r>
      <w:r w:rsidR="00560A74">
        <w:rPr>
          <w:rFonts w:ascii="Garamond" w:hAnsi="Garamond" w:cs="Arial"/>
          <w:color w:val="000000"/>
          <w:sz w:val="24"/>
          <w:szCs w:val="24"/>
        </w:rPr>
        <w:t>para</w:t>
      </w:r>
      <w:r w:rsidRPr="000E1EB0">
        <w:rPr>
          <w:rFonts w:ascii="Garamond" w:hAnsi="Garamond" w:cs="Arial"/>
          <w:color w:val="000000"/>
          <w:sz w:val="24"/>
          <w:szCs w:val="24"/>
        </w:rPr>
        <w:t>financimit kur bilanci i përgjithshëm bankar për Programin e Veprimit bie nën pagesën e parashikuar për pesë muajt në vazhdim të Programit të Veprimit.</w:t>
      </w:r>
    </w:p>
    <w:p w14:paraId="6D6F2BB3" w14:textId="5CA206C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560A74">
        <w:rPr>
          <w:rFonts w:ascii="Garamond" w:hAnsi="Garamond" w:cs="Arial"/>
          <w:color w:val="000000"/>
          <w:sz w:val="24"/>
          <w:szCs w:val="24"/>
        </w:rPr>
        <w:t>.</w:t>
      </w:r>
      <w:r w:rsidRPr="000E1EB0">
        <w:rPr>
          <w:rFonts w:ascii="Garamond" w:hAnsi="Garamond" w:cs="Arial"/>
          <w:color w:val="000000"/>
          <w:sz w:val="24"/>
          <w:szCs w:val="24"/>
        </w:rPr>
        <w:t xml:space="preserve"> Çdo kërkesë për </w:t>
      </w:r>
      <w:r w:rsidR="00560A74">
        <w:rPr>
          <w:rFonts w:ascii="Garamond" w:hAnsi="Garamond" w:cs="Arial"/>
          <w:color w:val="000000"/>
          <w:sz w:val="24"/>
          <w:szCs w:val="24"/>
        </w:rPr>
        <w:t>para</w:t>
      </w:r>
      <w:r w:rsidRPr="000E1EB0">
        <w:rPr>
          <w:rFonts w:ascii="Garamond" w:hAnsi="Garamond" w:cs="Arial"/>
          <w:color w:val="000000"/>
          <w:sz w:val="24"/>
          <w:szCs w:val="24"/>
        </w:rPr>
        <w:t xml:space="preserve">financim shtesë do të mbështetet nga raportet e mëposhtme, në përputhje me pikat (a), (b) dhe (d) të </w:t>
      </w:r>
      <w:r w:rsidR="00560A74">
        <w:rPr>
          <w:rFonts w:ascii="Garamond" w:hAnsi="Garamond" w:cs="Arial"/>
          <w:color w:val="000000"/>
          <w:sz w:val="24"/>
          <w:szCs w:val="24"/>
        </w:rPr>
        <w:t>s</w:t>
      </w:r>
      <w:r w:rsidRPr="000E1EB0">
        <w:rPr>
          <w:rFonts w:ascii="Garamond" w:hAnsi="Garamond" w:cs="Arial"/>
          <w:color w:val="000000"/>
          <w:sz w:val="24"/>
          <w:szCs w:val="24"/>
        </w:rPr>
        <w:t xml:space="preserve">htojcës IV: </w:t>
      </w:r>
    </w:p>
    <w:p w14:paraId="6D6F2BB4" w14:textId="4D027CD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560A74">
        <w:rPr>
          <w:rFonts w:ascii="Garamond" w:hAnsi="Garamond" w:cs="Arial"/>
          <w:color w:val="000000"/>
          <w:sz w:val="24"/>
          <w:szCs w:val="24"/>
        </w:rPr>
        <w:t>)</w:t>
      </w:r>
      <w:r w:rsidRPr="000E1EB0">
        <w:rPr>
          <w:rFonts w:ascii="Garamond" w:hAnsi="Garamond" w:cs="Arial"/>
          <w:color w:val="000000"/>
          <w:sz w:val="24"/>
          <w:szCs w:val="24"/>
        </w:rPr>
        <w:t xml:space="preserve"> Një deklaratë përmbledhëse e të gjitha pagesave të bëra për Programin e Veprimit;</w:t>
      </w:r>
    </w:p>
    <w:p w14:paraId="6D6F2BB5" w14:textId="5A843B7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560A74">
        <w:rPr>
          <w:rFonts w:ascii="Garamond" w:hAnsi="Garamond" w:cs="Arial"/>
          <w:color w:val="000000"/>
          <w:sz w:val="24"/>
          <w:szCs w:val="24"/>
        </w:rPr>
        <w:t>)</w:t>
      </w:r>
      <w:r w:rsidRPr="000E1EB0">
        <w:rPr>
          <w:rFonts w:ascii="Garamond" w:hAnsi="Garamond" w:cs="Arial"/>
          <w:color w:val="000000"/>
          <w:sz w:val="24"/>
          <w:szCs w:val="24"/>
        </w:rPr>
        <w:t xml:space="preserve"> Balancat bankare për Programin e Veprimit në datën e caktuar të kërkesës;</w:t>
      </w:r>
    </w:p>
    <w:p w14:paraId="6D6F2BB6" w14:textId="24911C0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w:t>
      </w:r>
      <w:r w:rsidR="00560A74">
        <w:rPr>
          <w:rFonts w:ascii="Garamond" w:hAnsi="Garamond" w:cs="Arial"/>
          <w:color w:val="000000"/>
          <w:sz w:val="24"/>
          <w:szCs w:val="24"/>
        </w:rPr>
        <w:t>)</w:t>
      </w:r>
      <w:r w:rsidRPr="000E1EB0">
        <w:rPr>
          <w:rFonts w:ascii="Garamond" w:hAnsi="Garamond" w:cs="Arial"/>
          <w:color w:val="000000"/>
          <w:sz w:val="24"/>
          <w:szCs w:val="24"/>
        </w:rPr>
        <w:t xml:space="preserve"> Një parashikim i pagesave për Programin e Veprimit për katërmbëdhjetë muajt në vijim në datën e përcaktuar të kërkesës.</w:t>
      </w:r>
    </w:p>
    <w:p w14:paraId="6D6F2BB7" w14:textId="638E54E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560A74">
        <w:rPr>
          <w:rFonts w:ascii="Garamond" w:hAnsi="Garamond" w:cs="Arial"/>
          <w:color w:val="000000"/>
          <w:sz w:val="24"/>
          <w:szCs w:val="24"/>
        </w:rPr>
        <w:t>.</w:t>
      </w:r>
      <w:r w:rsidRPr="000E1EB0">
        <w:rPr>
          <w:rFonts w:ascii="Garamond" w:hAnsi="Garamond" w:cs="Arial"/>
          <w:color w:val="000000"/>
          <w:sz w:val="24"/>
          <w:szCs w:val="24"/>
        </w:rPr>
        <w:t xml:space="preserve"> Përfituesi IPA II që është Autoriteti Kontraktues mund të kërkojë për çdo </w:t>
      </w:r>
      <w:r w:rsidR="00560A74">
        <w:rPr>
          <w:rFonts w:ascii="Garamond" w:hAnsi="Garamond" w:cs="Arial"/>
          <w:color w:val="000000"/>
          <w:sz w:val="24"/>
          <w:szCs w:val="24"/>
        </w:rPr>
        <w:t>para</w:t>
      </w:r>
      <w:r w:rsidRPr="000E1EB0">
        <w:rPr>
          <w:rFonts w:ascii="Garamond" w:hAnsi="Garamond" w:cs="Arial"/>
          <w:color w:val="000000"/>
          <w:sz w:val="24"/>
          <w:szCs w:val="24"/>
        </w:rPr>
        <w:t>financim pasues shumën e totalit të disbursimeve të parashikimit për katërmbëdhjetë muaj, pas datës së përcaktuar të kërkesës, pa balancat e referuara në nenin 3 (b) të këtij neni në datën e përcaktuar të kërkesës për fondet e rritura nga ndonjë shumë e financuar nga përfituesi IPA II, sipas paragrafit 5 të këtij neni, dhe që nuk është rimbursuar ende.</w:t>
      </w:r>
    </w:p>
    <w:p w14:paraId="6D6F2BB8" w14:textId="0E939508"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 xml:space="preserve">Komisioni gëzon të drejtën për të reduktuar çdo pagesë pasuese të </w:t>
      </w:r>
      <w:r w:rsidR="00560A74">
        <w:rPr>
          <w:rFonts w:ascii="Garamond" w:hAnsi="Garamond" w:cs="Arial"/>
          <w:color w:val="000000"/>
          <w:sz w:val="24"/>
          <w:szCs w:val="24"/>
        </w:rPr>
        <w:t>para</w:t>
      </w:r>
      <w:r w:rsidRPr="000E1EB0">
        <w:rPr>
          <w:rFonts w:ascii="Garamond" w:hAnsi="Garamond" w:cs="Arial"/>
          <w:color w:val="000000"/>
          <w:sz w:val="24"/>
          <w:szCs w:val="24"/>
        </w:rPr>
        <w:t>financimit, nëse tepricat totale bankare të mbajtura nga përfituesi i IPA II që është Autoriteti Kontraktues në bazë të këtij programi dhe në të gjitha programet e tjera të IPA I apo të IPA II, të cilat menaxhohen nga përfituesi i IPA II që është Autoriteti Kontraktues, tejkalon parashikimin e disbursimit për katërmbëdhjetë muajt e ardhshëm.</w:t>
      </w:r>
    </w:p>
    <w:p w14:paraId="6D6F2BB9" w14:textId="1CB19D5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60299F">
        <w:rPr>
          <w:rFonts w:ascii="Garamond" w:hAnsi="Garamond" w:cs="Arial"/>
          <w:color w:val="000000"/>
          <w:sz w:val="24"/>
          <w:szCs w:val="24"/>
        </w:rPr>
        <w:t>.</w:t>
      </w:r>
      <w:r w:rsidRPr="000E1EB0">
        <w:rPr>
          <w:rFonts w:ascii="Garamond" w:hAnsi="Garamond" w:cs="Arial"/>
          <w:color w:val="000000"/>
          <w:sz w:val="24"/>
          <w:szCs w:val="24"/>
        </w:rPr>
        <w:t xml:space="preserve"> Në rastet kur pagesa është reduktuar sipas paragrafit 4 të këtij neni, përfituesi i IPA II që është Autoriteti Kontraktues duhet ta financojë programin nga burimet e veta, deri në shumën e reduktimit. Përfituesi i IPA II që është Autoriteti kontraktues më pas mund të kërkojë rimbursimin e këtij financimi, si pjesë e kërkesës së ardhshme për fonde të përcaktuara në paragrafin 4 të këtij neni.</w:t>
      </w:r>
    </w:p>
    <w:p w14:paraId="6D6F2BBA" w14:textId="5FD2BB6C"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6</w:t>
      </w:r>
      <w:r w:rsidR="0060299F">
        <w:rPr>
          <w:rFonts w:ascii="Garamond" w:hAnsi="Garamond" w:cs="Arial"/>
          <w:color w:val="000000"/>
          <w:sz w:val="24"/>
          <w:szCs w:val="24"/>
        </w:rPr>
        <w:t>.</w:t>
      </w:r>
      <w:r w:rsidRPr="000E1EB0">
        <w:rPr>
          <w:rFonts w:ascii="Garamond" w:hAnsi="Garamond" w:cs="Arial"/>
          <w:color w:val="000000"/>
          <w:sz w:val="24"/>
          <w:szCs w:val="24"/>
        </w:rPr>
        <w:t xml:space="preserve"> Komisioni ka të drejtë për të rimarrë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14:paraId="6D6F2BBB" w14:textId="1DC3C0DB"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7</w:t>
      </w:r>
      <w:r w:rsidR="0060299F">
        <w:rPr>
          <w:rFonts w:ascii="Garamond" w:hAnsi="Garamond" w:cs="Arial"/>
          <w:color w:val="000000"/>
          <w:sz w:val="24"/>
          <w:szCs w:val="24"/>
        </w:rPr>
        <w:t>.</w:t>
      </w:r>
      <w:r w:rsidRPr="000E1EB0">
        <w:rPr>
          <w:rFonts w:ascii="Garamond" w:hAnsi="Garamond" w:cs="Arial"/>
          <w:color w:val="000000"/>
          <w:sz w:val="24"/>
          <w:szCs w:val="24"/>
        </w:rPr>
        <w:t xml:space="preserve"> Nuk duhet të jetë shkak interesi i gjeneruar nga </w:t>
      </w:r>
      <w:r w:rsidR="00560A74">
        <w:rPr>
          <w:rFonts w:ascii="Garamond" w:hAnsi="Garamond" w:cs="Arial"/>
          <w:color w:val="000000"/>
          <w:sz w:val="24"/>
          <w:szCs w:val="24"/>
        </w:rPr>
        <w:t>para</w:t>
      </w:r>
      <w:r w:rsidRPr="000E1EB0">
        <w:rPr>
          <w:rFonts w:ascii="Garamond" w:hAnsi="Garamond" w:cs="Arial"/>
          <w:color w:val="000000"/>
          <w:sz w:val="24"/>
          <w:szCs w:val="24"/>
        </w:rPr>
        <w:t>financimi bilanceve bankare të Programit të Veprimit.</w:t>
      </w:r>
    </w:p>
    <w:p w14:paraId="6D6F2BBC" w14:textId="4732E599"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8</w:t>
      </w:r>
      <w:r w:rsidR="0060299F">
        <w:rPr>
          <w:rFonts w:ascii="Garamond" w:hAnsi="Garamond" w:cs="Arial"/>
          <w:color w:val="000000"/>
          <w:sz w:val="24"/>
          <w:szCs w:val="24"/>
        </w:rPr>
        <w:t>.</w:t>
      </w:r>
      <w:r w:rsidRPr="000E1EB0">
        <w:rPr>
          <w:rFonts w:ascii="Garamond" w:hAnsi="Garamond" w:cs="Arial"/>
          <w:color w:val="000000"/>
          <w:sz w:val="24"/>
          <w:szCs w:val="24"/>
        </w:rPr>
        <w:t xml:space="preserve"> Sipas nenit 33 (4) të Marrëveshjes Kuadër, kur ndërprerja e afatit për kërkesën për pagesë tejkalon dy muaj, përfituesi i IPA II që është Autoriteti Kontraktues mund të kërkojë një vendim nga Komisioni nëse ndërprerja e afatit duhet vazhdojë.</w:t>
      </w:r>
    </w:p>
    <w:p w14:paraId="6D6F2BBD" w14:textId="6BECC57A"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9</w:t>
      </w:r>
      <w:r w:rsidR="0060299F">
        <w:rPr>
          <w:rFonts w:ascii="Garamond" w:hAnsi="Garamond" w:cs="Arial"/>
          <w:color w:val="000000"/>
          <w:sz w:val="24"/>
          <w:szCs w:val="24"/>
        </w:rPr>
        <w:t>.</w:t>
      </w:r>
      <w:r w:rsidRPr="000E1EB0">
        <w:rPr>
          <w:rFonts w:ascii="Garamond" w:hAnsi="Garamond" w:cs="Arial"/>
          <w:color w:val="000000"/>
          <w:sz w:val="24"/>
          <w:szCs w:val="24"/>
        </w:rPr>
        <w:t xml:space="preserve"> Deklarata financiare përfundimtare e përmendur në nenin 37 (2) të Marrëveshjes Kuadër do të dorëzohet nga NOA (ZKA) jo më vonë se 16 muaj pas përfundimit të periudhës së zbatimit operativ. </w:t>
      </w:r>
    </w:p>
    <w:p w14:paraId="6D6F2BBE"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BBF"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12</w:t>
      </w:r>
    </w:p>
    <w:p w14:paraId="6D6F2BC0"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color w:val="000000"/>
          <w:sz w:val="24"/>
          <w:szCs w:val="24"/>
        </w:rPr>
      </w:pPr>
      <w:r w:rsidRPr="000E1EB0">
        <w:rPr>
          <w:rFonts w:ascii="Garamond" w:hAnsi="Garamond" w:cs="Arial"/>
          <w:b/>
          <w:bCs/>
          <w:color w:val="000000"/>
          <w:sz w:val="24"/>
          <w:szCs w:val="24"/>
        </w:rPr>
        <w:t>Ndërprerja e pagesave</w:t>
      </w:r>
    </w:p>
    <w:p w14:paraId="6D6F2BC1"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C2" w14:textId="2396ADA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lastRenderedPageBreak/>
        <w:t>1</w:t>
      </w:r>
      <w:r w:rsidR="0060299F">
        <w:rPr>
          <w:rFonts w:ascii="Garamond" w:hAnsi="Garamond" w:cs="Arial"/>
          <w:color w:val="000000"/>
          <w:sz w:val="24"/>
          <w:szCs w:val="24"/>
        </w:rPr>
        <w:t>.</w:t>
      </w:r>
      <w:r w:rsidRPr="000E1EB0">
        <w:rPr>
          <w:rFonts w:ascii="Garamond" w:hAnsi="Garamond" w:cs="Arial"/>
          <w:color w:val="000000"/>
          <w:sz w:val="24"/>
          <w:szCs w:val="24"/>
        </w:rPr>
        <w:t xml:space="preserve"> Pa cenuar pezullimin ose përfundimin e kësaj Marrëveshjeje Financimi sipas neneve 16 dhe 17 përkatësisht dhe krahas nenit 39 të Marrëveshjes Kuadër, Komisioni mund të ndërpresë pagesat pjesërisht ose plotësisht, në qoftë se: </w:t>
      </w:r>
    </w:p>
    <w:p w14:paraId="6D6F2BC3" w14:textId="3ED4D12B"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60299F">
        <w:rPr>
          <w:rFonts w:ascii="Garamond" w:hAnsi="Garamond" w:cs="Arial"/>
          <w:color w:val="000000"/>
          <w:sz w:val="24"/>
          <w:szCs w:val="24"/>
        </w:rPr>
        <w:t>)</w:t>
      </w:r>
      <w:r w:rsidRPr="000E1EB0">
        <w:rPr>
          <w:rFonts w:ascii="Garamond" w:hAnsi="Garamond" w:cs="Arial"/>
          <w:color w:val="000000"/>
          <w:sz w:val="24"/>
          <w:szCs w:val="24"/>
        </w:rPr>
        <w:t xml:space="preserve"> Komisioni ka vendosur, ose paraqet shqetësime serioze, pasi përfituesi IPA II që është Autoriteti Kontraktues, ka bërë gabime të konsiderueshme, ka parregullsi apo mashtrime që vënë në dyshim ligjshmërinë ose rregullsinë e transaksioneve në fjalë, në zbatimin e Programit të Veprimit, ose ka dështuar të përmbushë detyrimet e tij sipas kësaj marrëveshjeje financiare; </w:t>
      </w:r>
    </w:p>
    <w:p w14:paraId="6D6F2BC4" w14:textId="3009BFA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60299F">
        <w:rPr>
          <w:rFonts w:ascii="Garamond" w:hAnsi="Garamond" w:cs="Arial"/>
          <w:color w:val="000000"/>
          <w:sz w:val="24"/>
          <w:szCs w:val="24"/>
        </w:rPr>
        <w:t>)</w:t>
      </w:r>
      <w:r w:rsidRPr="000E1EB0">
        <w:rPr>
          <w:rFonts w:ascii="Garamond" w:hAnsi="Garamond" w:cs="Arial"/>
          <w:color w:val="000000"/>
          <w:sz w:val="24"/>
          <w:szCs w:val="24"/>
        </w:rPr>
        <w:t xml:space="preserve"> Komisioni ka vendosur, ose paraqet shqetësime serioze, nëse përfituesi IPA II që është Autoriteti Kontraktues ka kryer gabime sistemike ose të përsëritura, ose ka parregullsi, mashtrime, apo shkelje të detyrimeve, në këtë ose në të tjera marrëveshje financimi, me kusht që ato gabime, parregullsi, mashtrime, ose shkelje të detyrimeve të kenë një ndikim material në zbatimin e kësaj marrëveshjeje financiare apo vënë në dyshim besueshmërinë e sistemit të kontrollit të brendshëm të përfituesit të IPA II, ose ligjshmërinë dhe rregullsinë e shpenzimeve bazë;</w:t>
      </w:r>
    </w:p>
    <w:p w14:paraId="6D6F2BC5"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C6"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13</w:t>
      </w:r>
    </w:p>
    <w:p w14:paraId="6D6F2BC7"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Mbulimi i fondeve</w:t>
      </w:r>
    </w:p>
    <w:p w14:paraId="6D6F2BC8"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C9" w14:textId="4E249BB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60299F">
        <w:rPr>
          <w:rFonts w:ascii="Garamond" w:hAnsi="Garamond" w:cs="Arial"/>
          <w:color w:val="000000"/>
          <w:sz w:val="24"/>
          <w:szCs w:val="24"/>
        </w:rPr>
        <w:t>.</w:t>
      </w:r>
      <w:r w:rsidRPr="000E1EB0">
        <w:rPr>
          <w:rFonts w:ascii="Garamond" w:hAnsi="Garamond" w:cs="Arial"/>
          <w:color w:val="000000"/>
          <w:sz w:val="24"/>
          <w:szCs w:val="24"/>
        </w:rPr>
        <w:t xml:space="preserve"> Përveç rasteve të përmendura në nenin 41 të Marrëveshjes Kuadër, Komisioni mund të rimarrë fondet nga përfituesi i IPA II që është Autoriteti Kontraktues, siç parashikohet në rregulloren financiare, veçanërisht në rast se:</w:t>
      </w:r>
    </w:p>
    <w:p w14:paraId="6D6F2BCA" w14:textId="60DA0399"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60299F">
        <w:rPr>
          <w:rFonts w:ascii="Garamond" w:hAnsi="Garamond" w:cs="Arial"/>
          <w:color w:val="000000"/>
          <w:sz w:val="24"/>
          <w:szCs w:val="24"/>
        </w:rPr>
        <w:t>)</w:t>
      </w:r>
      <w:r w:rsidRPr="000E1EB0">
        <w:rPr>
          <w:rFonts w:ascii="Garamond" w:hAnsi="Garamond" w:cs="Arial"/>
          <w:color w:val="000000"/>
          <w:sz w:val="24"/>
          <w:szCs w:val="24"/>
        </w:rPr>
        <w:t xml:space="preserve"> Komisioni vendos se objektivat e Programit të Veprimit të përcaktuara në </w:t>
      </w:r>
      <w:r w:rsidR="00401C7E" w:rsidRPr="000E1EB0">
        <w:rPr>
          <w:rFonts w:ascii="Garamond" w:hAnsi="Garamond" w:cs="Arial"/>
          <w:color w:val="000000"/>
          <w:sz w:val="24"/>
          <w:szCs w:val="24"/>
        </w:rPr>
        <w:t xml:space="preserve">shtojcën </w:t>
      </w:r>
      <w:r w:rsidRPr="000E1EB0">
        <w:rPr>
          <w:rFonts w:ascii="Garamond" w:hAnsi="Garamond" w:cs="Arial"/>
          <w:color w:val="000000"/>
          <w:sz w:val="24"/>
          <w:szCs w:val="24"/>
        </w:rPr>
        <w:t>I nuk janë arritur;</w:t>
      </w:r>
    </w:p>
    <w:p w14:paraId="6D6F2BCB" w14:textId="7EE2A742"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60299F">
        <w:rPr>
          <w:rFonts w:ascii="Garamond" w:hAnsi="Garamond" w:cs="Arial"/>
          <w:color w:val="000000"/>
          <w:sz w:val="24"/>
          <w:szCs w:val="24"/>
        </w:rPr>
        <w:t>)</w:t>
      </w:r>
      <w:r w:rsidRPr="000E1EB0">
        <w:rPr>
          <w:rFonts w:ascii="Garamond" w:hAnsi="Garamond" w:cs="Arial"/>
          <w:color w:val="000000"/>
          <w:sz w:val="24"/>
          <w:szCs w:val="24"/>
        </w:rPr>
        <w:t xml:space="preserve"> shpenzimet janë të papërshtatshme;</w:t>
      </w:r>
    </w:p>
    <w:p w14:paraId="6D6F2BCC" w14:textId="6676E9B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w:t>
      </w:r>
      <w:r w:rsidR="0060299F">
        <w:rPr>
          <w:rFonts w:ascii="Garamond" w:hAnsi="Garamond" w:cs="Arial"/>
          <w:color w:val="000000"/>
          <w:sz w:val="24"/>
          <w:szCs w:val="24"/>
        </w:rPr>
        <w:t>)</w:t>
      </w:r>
      <w:r w:rsidRPr="000E1EB0">
        <w:rPr>
          <w:rFonts w:ascii="Garamond" w:hAnsi="Garamond" w:cs="Arial"/>
          <w:color w:val="000000"/>
          <w:sz w:val="24"/>
          <w:szCs w:val="24"/>
        </w:rPr>
        <w:t xml:space="preserve"> shpenzimet janë shkaktuar si rezultat i gabimeve, parregullsive, mashtrimeve apo shkeljeve të detyrimeve në zbatimin e Programit të Veprimit, në veçanti në procedurën e dhënies së prokurimit dhe granteve. </w:t>
      </w:r>
    </w:p>
    <w:p w14:paraId="6D6F2BCD" w14:textId="431656CB"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60299F">
        <w:rPr>
          <w:rFonts w:ascii="Garamond" w:hAnsi="Garamond" w:cs="Arial"/>
          <w:color w:val="000000"/>
          <w:sz w:val="24"/>
          <w:szCs w:val="24"/>
        </w:rPr>
        <w:t>.</w:t>
      </w:r>
      <w:r w:rsidRPr="000E1EB0">
        <w:rPr>
          <w:rFonts w:ascii="Garamond" w:hAnsi="Garamond" w:cs="Arial"/>
          <w:color w:val="000000"/>
          <w:sz w:val="24"/>
          <w:szCs w:val="24"/>
        </w:rPr>
        <w:t xml:space="preserve"> Në përputhje me ligjin kombëtar, përfituesi i IPA II që është Autoriteti Kontraktues, do të rimarrë kontributin e Unionit që i paguhet përfituesit të IPA II që është Autoriteti Kontraktues nga marrësit të cilët janë në një prej situatave të përcaktuara në paragrafin 1 pika b) ose c)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w:t>
      </w:r>
    </w:p>
    <w:p w14:paraId="6D6F2BCE" w14:textId="6AA9380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60299F">
        <w:rPr>
          <w:rFonts w:ascii="Garamond" w:hAnsi="Garamond" w:cs="Arial"/>
          <w:color w:val="000000"/>
          <w:sz w:val="24"/>
          <w:szCs w:val="24"/>
        </w:rPr>
        <w:t>.</w:t>
      </w:r>
      <w:r w:rsidRPr="000E1EB0">
        <w:rPr>
          <w:rFonts w:ascii="Garamond" w:hAnsi="Garamond" w:cs="Arial"/>
          <w:color w:val="000000"/>
          <w:sz w:val="24"/>
          <w:szCs w:val="24"/>
        </w:rPr>
        <w:t xml:space="preserve"> Përfituesi i IPA II që nuk është Autoriteti Kontraktues, do të bëjë përpjekje maksimale për të mbështetur përfituesin e IPA-II që është Autoriteti Kontraktues, në rimëkëmbjen e saj, kur përfituesi vendoset në territorin e tij. Marrëveshja për rikuperimin do të parashikohet në një marrëveshje dypalëshe, e cila do të lidhet në përputhje me nenin 69 të </w:t>
      </w:r>
      <w:r w:rsidR="000077FE" w:rsidRPr="000E1EB0">
        <w:rPr>
          <w:rFonts w:ascii="Garamond" w:hAnsi="Garamond" w:cs="Arial"/>
          <w:color w:val="000000"/>
          <w:sz w:val="24"/>
          <w:szCs w:val="24"/>
        </w:rPr>
        <w:t xml:space="preserve">marrëveshjeve kuadër </w:t>
      </w:r>
      <w:r w:rsidRPr="000E1EB0">
        <w:rPr>
          <w:rFonts w:ascii="Garamond" w:hAnsi="Garamond" w:cs="Arial"/>
          <w:color w:val="000000"/>
          <w:sz w:val="24"/>
          <w:szCs w:val="24"/>
        </w:rPr>
        <w:t>përkatëse.</w:t>
      </w:r>
    </w:p>
    <w:p w14:paraId="6D6F2BCF" w14:textId="7E2F895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60299F">
        <w:rPr>
          <w:rFonts w:ascii="Garamond" w:hAnsi="Garamond" w:cs="Arial"/>
          <w:color w:val="000000"/>
          <w:sz w:val="24"/>
          <w:szCs w:val="24"/>
        </w:rPr>
        <w:t>.</w:t>
      </w:r>
      <w:r w:rsidRPr="000E1EB0">
        <w:rPr>
          <w:rFonts w:ascii="Garamond" w:hAnsi="Garamond" w:cs="Arial"/>
          <w:color w:val="000000"/>
          <w:sz w:val="24"/>
          <w:szCs w:val="24"/>
        </w:rPr>
        <w:t xml:space="preserve"> Shumat e paguara padrejtësisht apo të mbuluara nga përfituesi IPA II që është Autoriteti Kontraktues, shumat e garancive financiare, performancës dhe </w:t>
      </w:r>
      <w:r w:rsidR="00560A74">
        <w:rPr>
          <w:rFonts w:ascii="Garamond" w:hAnsi="Garamond" w:cs="Arial"/>
          <w:color w:val="000000"/>
          <w:sz w:val="24"/>
          <w:szCs w:val="24"/>
        </w:rPr>
        <w:t>para</w:t>
      </w:r>
      <w:r w:rsidRPr="000E1EB0">
        <w:rPr>
          <w:rFonts w:ascii="Garamond" w:hAnsi="Garamond" w:cs="Arial"/>
          <w:color w:val="000000"/>
          <w:sz w:val="24"/>
          <w:szCs w:val="24"/>
        </w:rPr>
        <w:t xml:space="preserve">financimit, të paraqitura në bazë të prokurimit dhe dhënies së procedurave të granteve, shumat nga gjobat e vendosura nga përfituesi IPA II që është Autoriteti Kontraktues për kandidatët, ofertuesit, aplikantët, kontraktuesit ose përfituesit e granteve, paguar për përfituesit e IPA II që është Autoriteti Kontraktues ose do të </w:t>
      </w:r>
      <w:r w:rsidR="00856D4F">
        <w:rPr>
          <w:rFonts w:ascii="Garamond" w:hAnsi="Garamond" w:cs="Arial"/>
          <w:color w:val="000000"/>
          <w:sz w:val="24"/>
          <w:szCs w:val="24"/>
        </w:rPr>
        <w:t>ri</w:t>
      </w:r>
      <w:r w:rsidRPr="000E1EB0">
        <w:rPr>
          <w:rFonts w:ascii="Garamond" w:hAnsi="Garamond" w:cs="Arial"/>
          <w:color w:val="000000"/>
          <w:sz w:val="24"/>
          <w:szCs w:val="24"/>
        </w:rPr>
        <w:t>përdoren për Programin e Veprimit, ose do t’i kthehen Komisionit.</w:t>
      </w:r>
    </w:p>
    <w:p w14:paraId="6D6F2BD0" w14:textId="77777777" w:rsidR="00650E6F" w:rsidRPr="000E1EB0" w:rsidRDefault="00650E6F" w:rsidP="004535F7">
      <w:pPr>
        <w:autoSpaceDE w:val="0"/>
        <w:autoSpaceDN w:val="0"/>
        <w:adjustRightInd w:val="0"/>
        <w:spacing w:after="0" w:line="240" w:lineRule="auto"/>
        <w:ind w:firstLine="284"/>
        <w:rPr>
          <w:rFonts w:ascii="Garamond" w:hAnsi="Garamond" w:cs="Arial"/>
          <w:b/>
          <w:bCs/>
          <w:color w:val="000000"/>
          <w:sz w:val="24"/>
          <w:szCs w:val="24"/>
        </w:rPr>
      </w:pPr>
    </w:p>
    <w:p w14:paraId="6D6F2BD1" w14:textId="40DDBDE7" w:rsidR="00650E6F" w:rsidRPr="00550E16" w:rsidRDefault="00550E16" w:rsidP="004535F7">
      <w:pPr>
        <w:autoSpaceDE w:val="0"/>
        <w:autoSpaceDN w:val="0"/>
        <w:adjustRightInd w:val="0"/>
        <w:spacing w:after="0" w:line="240" w:lineRule="auto"/>
        <w:ind w:firstLine="284"/>
        <w:jc w:val="center"/>
        <w:rPr>
          <w:rFonts w:ascii="Garamond" w:hAnsi="Garamond" w:cs="Arial"/>
          <w:bCs/>
          <w:color w:val="000000"/>
          <w:sz w:val="24"/>
          <w:szCs w:val="24"/>
        </w:rPr>
      </w:pPr>
      <w:r w:rsidRPr="00550E16">
        <w:rPr>
          <w:rFonts w:ascii="Garamond" w:hAnsi="Garamond" w:cs="Arial"/>
          <w:bCs/>
          <w:color w:val="000000"/>
          <w:sz w:val="24"/>
          <w:szCs w:val="24"/>
        </w:rPr>
        <w:t>PJESA E TRETË</w:t>
      </w:r>
    </w:p>
    <w:p w14:paraId="6D6F2BD2" w14:textId="2A533692" w:rsidR="00650E6F" w:rsidRPr="00550E16" w:rsidRDefault="00550E16" w:rsidP="004535F7">
      <w:pPr>
        <w:autoSpaceDE w:val="0"/>
        <w:autoSpaceDN w:val="0"/>
        <w:adjustRightInd w:val="0"/>
        <w:spacing w:after="0" w:line="240" w:lineRule="auto"/>
        <w:ind w:firstLine="284"/>
        <w:jc w:val="center"/>
        <w:rPr>
          <w:rFonts w:ascii="Garamond" w:hAnsi="Garamond" w:cs="Arial"/>
          <w:bCs/>
          <w:color w:val="000000"/>
          <w:sz w:val="24"/>
          <w:szCs w:val="24"/>
        </w:rPr>
      </w:pPr>
      <w:r w:rsidRPr="00550E16">
        <w:rPr>
          <w:rFonts w:ascii="Garamond" w:hAnsi="Garamond" w:cs="Arial"/>
          <w:bCs/>
          <w:color w:val="000000"/>
          <w:sz w:val="24"/>
          <w:szCs w:val="24"/>
        </w:rPr>
        <w:t>DISPOZITAT PËRFUNDIMTARE</w:t>
      </w:r>
    </w:p>
    <w:p w14:paraId="6D6F2BD3"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D4"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w:t>
      </w:r>
      <w:r w:rsidRPr="000E1EB0">
        <w:rPr>
          <w:rFonts w:ascii="Garamond" w:hAnsi="Garamond" w:cs="Arial"/>
          <w:bCs/>
          <w:color w:val="000000"/>
          <w:spacing w:val="-15"/>
          <w:sz w:val="24"/>
          <w:szCs w:val="24"/>
        </w:rPr>
        <w:t xml:space="preserve"> </w:t>
      </w:r>
      <w:r w:rsidRPr="000E1EB0">
        <w:rPr>
          <w:rFonts w:ascii="Garamond" w:hAnsi="Garamond" w:cs="Arial"/>
          <w:bCs/>
          <w:color w:val="000000"/>
          <w:spacing w:val="15"/>
          <w:sz w:val="24"/>
          <w:szCs w:val="24"/>
        </w:rPr>
        <w:t>1</w:t>
      </w:r>
      <w:r w:rsidRPr="000E1EB0">
        <w:rPr>
          <w:rFonts w:ascii="Garamond" w:hAnsi="Garamond" w:cs="Arial"/>
          <w:bCs/>
          <w:color w:val="000000"/>
          <w:sz w:val="24"/>
          <w:szCs w:val="24"/>
        </w:rPr>
        <w:t>4</w:t>
      </w:r>
    </w:p>
    <w:p w14:paraId="6D6F2BD5"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lastRenderedPageBreak/>
        <w:t>Konsultime ndërmjet përfituesve të IPA II dhe Komisionit</w:t>
      </w:r>
    </w:p>
    <w:p w14:paraId="6D6F2BD6"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D7" w14:textId="457B8CA4" w:rsidR="00650E6F" w:rsidRPr="000E1EB0" w:rsidRDefault="00650E6F" w:rsidP="004535F7">
      <w:pPr>
        <w:tabs>
          <w:tab w:val="left" w:pos="280"/>
          <w:tab w:val="left" w:pos="420"/>
        </w:tabs>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550E16">
        <w:rPr>
          <w:rFonts w:ascii="Garamond" w:hAnsi="Garamond" w:cs="Arial"/>
          <w:color w:val="000000"/>
          <w:sz w:val="24"/>
          <w:szCs w:val="24"/>
        </w:rPr>
        <w:t>.</w:t>
      </w:r>
      <w:r w:rsidRPr="000E1EB0">
        <w:rPr>
          <w:rFonts w:ascii="Garamond" w:hAnsi="Garamond" w:cs="Arial"/>
          <w:color w:val="000000"/>
          <w:sz w:val="24"/>
          <w:szCs w:val="24"/>
        </w:rPr>
        <w:t xml:space="preserve"> Përfituesit e IPA II dhe Komisioni do të konsultohen me njëri tjetrin para se të krijojnë mosmarrëveshje në lidhje me zbatimin ose interpretimin e mëtejshëm të kësaj Marrëveshjeje Financimi në përputhje me nenin 18 të këtyre </w:t>
      </w:r>
      <w:r w:rsidR="005158F4" w:rsidRPr="000E1EB0">
        <w:rPr>
          <w:rFonts w:ascii="Garamond" w:hAnsi="Garamond" w:cs="Arial"/>
          <w:color w:val="000000"/>
          <w:sz w:val="24"/>
          <w:szCs w:val="24"/>
        </w:rPr>
        <w:t>kushteve të përgjithshme</w:t>
      </w:r>
      <w:r w:rsidRPr="000E1EB0">
        <w:rPr>
          <w:rFonts w:ascii="Garamond" w:hAnsi="Garamond" w:cs="Arial"/>
          <w:color w:val="000000"/>
          <w:sz w:val="24"/>
          <w:szCs w:val="24"/>
        </w:rPr>
        <w:t>.</w:t>
      </w:r>
    </w:p>
    <w:p w14:paraId="6D6F2BD9" w14:textId="35343B04" w:rsidR="00650E6F" w:rsidRPr="000E1EB0" w:rsidRDefault="00650E6F" w:rsidP="004535F7">
      <w:pPr>
        <w:tabs>
          <w:tab w:val="left" w:pos="280"/>
          <w:tab w:val="left" w:pos="420"/>
        </w:tabs>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550E16">
        <w:rPr>
          <w:rFonts w:ascii="Garamond" w:hAnsi="Garamond" w:cs="Arial"/>
          <w:color w:val="000000"/>
          <w:sz w:val="24"/>
          <w:szCs w:val="24"/>
        </w:rPr>
        <w:t>.</w:t>
      </w:r>
      <w:r w:rsidRPr="000E1EB0">
        <w:rPr>
          <w:rFonts w:ascii="Garamond" w:hAnsi="Garamond" w:cs="Arial"/>
          <w:color w:val="000000"/>
          <w:sz w:val="24"/>
          <w:szCs w:val="24"/>
        </w:rPr>
        <w:t xml:space="preserve"> Kur Komisioni vihet në dijeni për problemet në kryerjen e procedurave që lidhen me zbatimin e kësaj Marrëveshjeje Financimi, ai duhet të krijojë të gjitha kontaktet e nevojshme me përfituesit e IPA II për të korrigjuar situatën dhe të ndërmarrë hapat që janë të nevojshëm.</w:t>
      </w:r>
    </w:p>
    <w:p w14:paraId="6D6F2BDA" w14:textId="1EF8C28D" w:rsidR="00650E6F" w:rsidRPr="000E1EB0" w:rsidRDefault="00650E6F" w:rsidP="004535F7">
      <w:pPr>
        <w:tabs>
          <w:tab w:val="left" w:pos="280"/>
          <w:tab w:val="left" w:pos="420"/>
        </w:tabs>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550E16">
        <w:rPr>
          <w:rFonts w:ascii="Garamond" w:hAnsi="Garamond" w:cs="Arial"/>
          <w:color w:val="000000"/>
          <w:sz w:val="24"/>
          <w:szCs w:val="24"/>
        </w:rPr>
        <w:t>.</w:t>
      </w:r>
      <w:r w:rsidRPr="000E1EB0">
        <w:rPr>
          <w:rFonts w:ascii="Garamond" w:hAnsi="Garamond" w:cs="Arial"/>
          <w:color w:val="000000"/>
          <w:sz w:val="24"/>
          <w:szCs w:val="24"/>
        </w:rPr>
        <w:t xml:space="preserve"> Konsultimi mund të çojë në një ndryshim, në pezullimin ose përfundimin e kësaj marrëveshjeje financimi.</w:t>
      </w:r>
    </w:p>
    <w:p w14:paraId="6D6F2BDB" w14:textId="2EFC5D40" w:rsidR="00650E6F" w:rsidRPr="000E1EB0" w:rsidRDefault="00650E6F" w:rsidP="004535F7">
      <w:pPr>
        <w:tabs>
          <w:tab w:val="left" w:pos="280"/>
          <w:tab w:val="left" w:pos="420"/>
        </w:tabs>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550E16">
        <w:rPr>
          <w:rFonts w:ascii="Garamond" w:hAnsi="Garamond" w:cs="Arial"/>
          <w:color w:val="000000"/>
          <w:sz w:val="24"/>
          <w:szCs w:val="24"/>
        </w:rPr>
        <w:t>.</w:t>
      </w:r>
      <w:r w:rsidRPr="000E1EB0">
        <w:rPr>
          <w:rFonts w:ascii="Garamond" w:hAnsi="Garamond" w:cs="Arial"/>
          <w:color w:val="000000"/>
          <w:sz w:val="24"/>
          <w:szCs w:val="24"/>
        </w:rPr>
        <w:t xml:space="preserve"> Komisioni do të informojë rregullisht përfituesit e IPA II për zbatimin e aktiviteteve të përshkruara në </w:t>
      </w:r>
      <w:r w:rsidR="00550E16">
        <w:rPr>
          <w:rFonts w:ascii="Garamond" w:hAnsi="Garamond" w:cs="Arial"/>
          <w:color w:val="000000"/>
          <w:sz w:val="24"/>
          <w:szCs w:val="24"/>
        </w:rPr>
        <w:t>s</w:t>
      </w:r>
      <w:r w:rsidRPr="000E1EB0">
        <w:rPr>
          <w:rFonts w:ascii="Garamond" w:hAnsi="Garamond" w:cs="Arial"/>
          <w:color w:val="000000"/>
          <w:sz w:val="24"/>
          <w:szCs w:val="24"/>
        </w:rPr>
        <w:t xml:space="preserve">htojcën I, të cilat nuk përfshihen në </w:t>
      </w:r>
      <w:r w:rsidR="00550E16" w:rsidRPr="000E1EB0">
        <w:rPr>
          <w:rFonts w:ascii="Garamond" w:hAnsi="Garamond" w:cs="Arial"/>
          <w:color w:val="000000"/>
          <w:sz w:val="24"/>
          <w:szCs w:val="24"/>
        </w:rPr>
        <w:t>pjesën e dytë të këtyre kushteve të përgjithshme.</w:t>
      </w:r>
    </w:p>
    <w:p w14:paraId="6D6F2BDC" w14:textId="77777777" w:rsidR="00650E6F" w:rsidRPr="000E1EB0" w:rsidRDefault="00650E6F" w:rsidP="004535F7">
      <w:pPr>
        <w:tabs>
          <w:tab w:val="left" w:pos="280"/>
          <w:tab w:val="left" w:pos="420"/>
        </w:tabs>
        <w:autoSpaceDE w:val="0"/>
        <w:autoSpaceDN w:val="0"/>
        <w:adjustRightInd w:val="0"/>
        <w:spacing w:after="0" w:line="240" w:lineRule="auto"/>
        <w:ind w:firstLine="284"/>
        <w:jc w:val="both"/>
        <w:rPr>
          <w:rFonts w:ascii="Garamond" w:hAnsi="Garamond" w:cs="Arial"/>
          <w:color w:val="000000"/>
          <w:sz w:val="24"/>
          <w:szCs w:val="24"/>
        </w:rPr>
      </w:pPr>
    </w:p>
    <w:p w14:paraId="6D6F2BDD"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15</w:t>
      </w:r>
    </w:p>
    <w:p w14:paraId="6D6F2BDE"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Ndryshimi i kësaj Marrëveshjeje Financimi</w:t>
      </w:r>
    </w:p>
    <w:p w14:paraId="6D6F2BDF"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E0" w14:textId="26EC81EB"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B61549">
        <w:rPr>
          <w:rFonts w:ascii="Garamond" w:hAnsi="Garamond" w:cs="Arial"/>
          <w:color w:val="000000"/>
          <w:sz w:val="24"/>
          <w:szCs w:val="24"/>
        </w:rPr>
        <w:t>.</w:t>
      </w:r>
      <w:r w:rsidRPr="000E1EB0">
        <w:rPr>
          <w:rFonts w:ascii="Garamond" w:hAnsi="Garamond" w:cs="Arial"/>
          <w:color w:val="000000"/>
          <w:sz w:val="24"/>
          <w:szCs w:val="24"/>
        </w:rPr>
        <w:t xml:space="preserve"> Çdo amendament i kësaj marrëveshjeje financiare, duhet të bëhet me shkrim.</w:t>
      </w:r>
    </w:p>
    <w:p w14:paraId="6D6F2BE1" w14:textId="035674F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B61549">
        <w:rPr>
          <w:rFonts w:ascii="Garamond" w:hAnsi="Garamond" w:cs="Arial"/>
          <w:color w:val="000000"/>
          <w:sz w:val="24"/>
          <w:szCs w:val="24"/>
        </w:rPr>
        <w:t>.</w:t>
      </w:r>
      <w:r w:rsidRPr="000E1EB0">
        <w:rPr>
          <w:rFonts w:ascii="Garamond" w:hAnsi="Garamond" w:cs="Arial"/>
          <w:color w:val="000000"/>
          <w:sz w:val="24"/>
          <w:szCs w:val="24"/>
        </w:rPr>
        <w:t xml:space="preserve"> Nëse përfituesit e IPA II kërkojnë një amendament, kërkesa duhet t’i paraqitet bashkërisht Komisionit të paktën gjashtë muaj para se ndryshimi që kërkohet të hyjë në fuqi.</w:t>
      </w:r>
    </w:p>
    <w:p w14:paraId="6D6F2BE3" w14:textId="16C4473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B61549">
        <w:rPr>
          <w:rFonts w:ascii="Garamond" w:hAnsi="Garamond" w:cs="Arial"/>
          <w:color w:val="000000"/>
          <w:sz w:val="24"/>
          <w:szCs w:val="24"/>
        </w:rPr>
        <w:t>.</w:t>
      </w:r>
      <w:r w:rsidRPr="000E1EB0">
        <w:rPr>
          <w:rFonts w:ascii="Garamond" w:hAnsi="Garamond" w:cs="Arial"/>
          <w:color w:val="000000"/>
          <w:sz w:val="24"/>
          <w:szCs w:val="24"/>
        </w:rPr>
        <w:t xml:space="preserve"> Komisioni mund të amendojë </w:t>
      </w:r>
      <w:r w:rsidR="00B61549" w:rsidRPr="000E1EB0">
        <w:rPr>
          <w:rFonts w:ascii="Garamond" w:hAnsi="Garamond" w:cs="Arial"/>
          <w:i/>
          <w:iCs/>
          <w:color w:val="000000"/>
          <w:sz w:val="24"/>
          <w:szCs w:val="24"/>
        </w:rPr>
        <w:t>dokumentet model</w:t>
      </w:r>
      <w:r w:rsidR="00B61549" w:rsidRPr="000E1EB0">
        <w:rPr>
          <w:rFonts w:ascii="Garamond" w:hAnsi="Garamond" w:cs="Arial"/>
          <w:color w:val="000000"/>
          <w:sz w:val="24"/>
          <w:szCs w:val="24"/>
        </w:rPr>
        <w:t xml:space="preserve"> </w:t>
      </w:r>
      <w:r w:rsidRPr="000E1EB0">
        <w:rPr>
          <w:rFonts w:ascii="Garamond" w:hAnsi="Garamond" w:cs="Arial"/>
          <w:color w:val="000000"/>
          <w:sz w:val="24"/>
          <w:szCs w:val="24"/>
        </w:rPr>
        <w:t xml:space="preserve">në </w:t>
      </w:r>
      <w:r w:rsidR="00B61549">
        <w:rPr>
          <w:rFonts w:ascii="Garamond" w:hAnsi="Garamond" w:cs="Arial"/>
          <w:color w:val="000000"/>
          <w:sz w:val="24"/>
          <w:szCs w:val="24"/>
        </w:rPr>
        <w:t>s</w:t>
      </w:r>
      <w:r w:rsidRPr="000E1EB0">
        <w:rPr>
          <w:rFonts w:ascii="Garamond" w:hAnsi="Garamond" w:cs="Arial"/>
          <w:color w:val="000000"/>
          <w:sz w:val="24"/>
          <w:szCs w:val="24"/>
        </w:rPr>
        <w:t>htojcën III, IIIA, IV dhe V, pa nevojën e një amendamenti të kësaj marrëveshjeje financiare. Përfituesit e IPA II do të informohen me shkrim për çdo amendament të tillë dhe për hyrjen e tij në fuqi.</w:t>
      </w:r>
    </w:p>
    <w:p w14:paraId="6D6F2BE4" w14:textId="77777777" w:rsidR="00650E6F" w:rsidRPr="000E1EB0" w:rsidRDefault="00650E6F" w:rsidP="004535F7">
      <w:pPr>
        <w:autoSpaceDE w:val="0"/>
        <w:autoSpaceDN w:val="0"/>
        <w:adjustRightInd w:val="0"/>
        <w:spacing w:after="0" w:line="240" w:lineRule="auto"/>
        <w:ind w:firstLine="284"/>
        <w:jc w:val="both"/>
        <w:rPr>
          <w:rFonts w:ascii="Garamond" w:hAnsi="Garamond" w:cs="Arial"/>
          <w:b/>
          <w:bCs/>
          <w:color w:val="000000"/>
          <w:sz w:val="24"/>
          <w:szCs w:val="24"/>
        </w:rPr>
      </w:pPr>
    </w:p>
    <w:p w14:paraId="6D6F2BE5"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16</w:t>
      </w:r>
    </w:p>
    <w:p w14:paraId="6D6F2BE6"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Pezullimi i kësaj Marrëveshjeje Financimi</w:t>
      </w:r>
    </w:p>
    <w:p w14:paraId="6D6F2BE7"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E8" w14:textId="27899B3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B61549">
        <w:rPr>
          <w:rFonts w:ascii="Garamond" w:hAnsi="Garamond" w:cs="Arial"/>
          <w:color w:val="000000"/>
          <w:sz w:val="24"/>
          <w:szCs w:val="24"/>
        </w:rPr>
        <w:t>.</w:t>
      </w:r>
      <w:r w:rsidRPr="000E1EB0">
        <w:rPr>
          <w:rFonts w:ascii="Garamond" w:hAnsi="Garamond" w:cs="Arial"/>
          <w:color w:val="000000"/>
          <w:sz w:val="24"/>
          <w:szCs w:val="24"/>
        </w:rPr>
        <w:t xml:space="preserve"> Zbatimi i kësaj marrëveshjeje financiare mund të pezullohet në rastet e mëposhtme:</w:t>
      </w:r>
    </w:p>
    <w:p w14:paraId="6D6F2BE9" w14:textId="045078F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w:t>
      </w:r>
      <w:r w:rsidR="00B61549">
        <w:rPr>
          <w:rFonts w:ascii="Garamond" w:hAnsi="Garamond" w:cs="Arial"/>
          <w:color w:val="000000"/>
          <w:sz w:val="24"/>
          <w:szCs w:val="24"/>
        </w:rPr>
        <w:t>)</w:t>
      </w:r>
      <w:r w:rsidRPr="000E1EB0">
        <w:rPr>
          <w:rFonts w:ascii="Garamond" w:hAnsi="Garamond" w:cs="Arial"/>
          <w:color w:val="000000"/>
          <w:sz w:val="24"/>
          <w:szCs w:val="24"/>
        </w:rPr>
        <w:t xml:space="preserve"> Nëse ndonjë përfitues IPA II shkel një detyrim sipas kësaj marrëveshjeje financiare.</w:t>
      </w:r>
    </w:p>
    <w:p w14:paraId="6D6F2BEA" w14:textId="0F25BCC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b</w:t>
      </w:r>
      <w:r w:rsidR="00B61549">
        <w:rPr>
          <w:rFonts w:ascii="Garamond" w:hAnsi="Garamond" w:cs="Arial"/>
          <w:color w:val="000000"/>
          <w:sz w:val="24"/>
          <w:szCs w:val="24"/>
        </w:rPr>
        <w:t>)</w:t>
      </w:r>
      <w:r w:rsidRPr="000E1EB0">
        <w:rPr>
          <w:rFonts w:ascii="Garamond" w:hAnsi="Garamond" w:cs="Arial"/>
          <w:color w:val="000000"/>
          <w:sz w:val="24"/>
          <w:szCs w:val="24"/>
        </w:rPr>
        <w:t xml:space="preserve"> Nëse përfituesi i IPA II që është Autoriteti Kontraktues shkel ndonjë detyrim të përcaktuar në bazë të procedurave dhe dokumenteve standarde të përmendura në nenin 18 (2) të Marrëveshjes Kuadër përkatëse, pa cenuar dispozitat në nenin 8 (2).</w:t>
      </w:r>
    </w:p>
    <w:p w14:paraId="6D6F2BEB" w14:textId="29156AE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c</w:t>
      </w:r>
      <w:r w:rsidR="00B61549">
        <w:rPr>
          <w:rFonts w:ascii="Garamond" w:hAnsi="Garamond" w:cs="Arial"/>
          <w:color w:val="000000"/>
          <w:sz w:val="24"/>
          <w:szCs w:val="24"/>
        </w:rPr>
        <w:t>)</w:t>
      </w:r>
      <w:r w:rsidRPr="000E1EB0">
        <w:rPr>
          <w:rFonts w:ascii="Garamond" w:hAnsi="Garamond" w:cs="Arial"/>
          <w:color w:val="000000"/>
          <w:sz w:val="24"/>
          <w:szCs w:val="24"/>
        </w:rPr>
        <w:t xml:space="preserve"> Nëse përfituesi i IPA II që është Autoriteti Kontraktues nuk i plotëson kërkesat e për zbatimin e detyrave të buxhetit të besuar.</w:t>
      </w:r>
    </w:p>
    <w:p w14:paraId="6D6F2BEC" w14:textId="062565D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d</w:t>
      </w:r>
      <w:r w:rsidR="00B61549">
        <w:rPr>
          <w:rFonts w:ascii="Garamond" w:hAnsi="Garamond" w:cs="Arial"/>
          <w:color w:val="000000"/>
          <w:sz w:val="24"/>
          <w:szCs w:val="24"/>
        </w:rPr>
        <w:t>)</w:t>
      </w:r>
      <w:r w:rsidRPr="000E1EB0">
        <w:rPr>
          <w:rFonts w:ascii="Garamond" w:hAnsi="Garamond" w:cs="Arial"/>
          <w:color w:val="000000"/>
          <w:sz w:val="24"/>
          <w:szCs w:val="24"/>
        </w:rPr>
        <w:t xml:space="preserve"> Nëse përfituesit e IPA II nuk i përmbushin bashkërisht funksionet dhe përgjegjësitë e përmendura në nenin 2 (1) dhe kur është e mundur edhe menaxhimin të tërthortë sipas nenit 7 (3).</w:t>
      </w:r>
    </w:p>
    <w:p w14:paraId="6D6F2BED" w14:textId="44DDBA23"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e</w:t>
      </w:r>
      <w:r w:rsidR="00B61549">
        <w:rPr>
          <w:rFonts w:ascii="Garamond" w:hAnsi="Garamond" w:cs="Arial"/>
          <w:color w:val="000000"/>
          <w:sz w:val="24"/>
          <w:szCs w:val="24"/>
        </w:rPr>
        <w:t>)</w:t>
      </w:r>
      <w:r w:rsidRPr="000E1EB0">
        <w:rPr>
          <w:rFonts w:ascii="Garamond" w:hAnsi="Garamond" w:cs="Arial"/>
          <w:color w:val="000000"/>
          <w:sz w:val="24"/>
          <w:szCs w:val="24"/>
        </w:rPr>
        <w:t xml:space="preserve"> Nëse ndonjë përfitues i IPA II vendos të pezullojë ose të ndërpresë procesin e pranimit të anëtarësimit në BE.</w:t>
      </w:r>
    </w:p>
    <w:p w14:paraId="6D6F2BEE" w14:textId="2874B4D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f</w:t>
      </w:r>
      <w:r w:rsidR="00B61549">
        <w:rPr>
          <w:rFonts w:ascii="Garamond" w:hAnsi="Garamond" w:cs="Arial"/>
          <w:color w:val="000000"/>
          <w:sz w:val="24"/>
          <w:szCs w:val="24"/>
        </w:rPr>
        <w:t>)</w:t>
      </w:r>
      <w:r w:rsidRPr="000E1EB0">
        <w:rPr>
          <w:rFonts w:ascii="Garamond" w:hAnsi="Garamond" w:cs="Arial"/>
          <w:color w:val="000000"/>
          <w:sz w:val="24"/>
          <w:szCs w:val="24"/>
        </w:rPr>
        <w:t xml:space="preserve"> Nëse ndonjë përfitues i IPA II shkel një detyrim në lidhje me respektimin e të drejtave të njeriut, parimet demokratike dhe shtetin ligjor, si dhe në raste të rënda të korrupsionit.</w:t>
      </w:r>
    </w:p>
    <w:p w14:paraId="6D6F2BEF" w14:textId="795862FD"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g</w:t>
      </w:r>
      <w:r w:rsidR="00B61549">
        <w:rPr>
          <w:rFonts w:ascii="Garamond" w:hAnsi="Garamond" w:cs="Arial"/>
          <w:color w:val="000000"/>
          <w:sz w:val="24"/>
          <w:szCs w:val="24"/>
        </w:rPr>
        <w:t>)</w:t>
      </w:r>
      <w:r w:rsidRPr="000E1EB0">
        <w:rPr>
          <w:rFonts w:ascii="Garamond" w:hAnsi="Garamond" w:cs="Arial"/>
          <w:color w:val="000000"/>
          <w:sz w:val="24"/>
          <w:szCs w:val="24"/>
        </w:rPr>
        <w:t xml:space="preserve"> Në rastet e forcës madhore, siç përcaktohet më poshtë. “Forcë </w:t>
      </w:r>
      <w:r w:rsidR="00B61549">
        <w:rPr>
          <w:rFonts w:ascii="Garamond" w:hAnsi="Garamond" w:cs="Arial"/>
          <w:color w:val="000000"/>
          <w:sz w:val="24"/>
          <w:szCs w:val="24"/>
        </w:rPr>
        <w:t>m</w:t>
      </w:r>
      <w:r w:rsidRPr="000E1EB0">
        <w:rPr>
          <w:rFonts w:ascii="Garamond" w:hAnsi="Garamond" w:cs="Arial"/>
          <w:color w:val="000000"/>
          <w:sz w:val="24"/>
          <w:szCs w:val="24"/>
        </w:rPr>
        <w:t xml:space="preserve">adhore” do të thotë çdo situatë e paparashikueshme dhe e jashtëzakonshme, ose ngjarje përtej kontrollit të palëve, e cila pengon secilën prej tyre në përmbushjen e ndonjë prej detyrimeve të tyre, gjë që nuk i atribuohet gabimit ose pakujdesisë nga ana e tyre (ose pjesës së kontraktuesve të tyre, agjentëve ose të punësuarve) dhe vërteton mos-rregullimin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obligimeve të saj nëse ajo është penguar nga përmbushja e tyre për shkak </w:t>
      </w:r>
      <w:r w:rsidRPr="000E1EB0">
        <w:rPr>
          <w:rFonts w:ascii="Garamond" w:hAnsi="Garamond" w:cs="Arial"/>
          <w:color w:val="000000"/>
          <w:sz w:val="24"/>
          <w:szCs w:val="24"/>
        </w:rPr>
        <w:lastRenderedPageBreak/>
        <w:t>të një force madhore, për cilën pala tjetër është informuar siç duhet. Një palë që përballet me një forcë madhore duhet ta informojë palën tjetër pa vonesë, duke deklaruar natyrën, kohëzgjatjen e mundshme dhe efektet e parashikueshme të problemit, si edhe të marrë çdo masë për të minimizuar dëmet e mundshme.</w:t>
      </w:r>
    </w:p>
    <w:p w14:paraId="6D6F2BF0"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Asnjëra prej palëve nuk do të konsiderohet përgjegjëse për shkelje të detyrimeve të veta sipas kësaj Marrëveshjeje Financiare, nëse është penguar nga përmbushja e tyre nga forca madhore, me kusht që ajo palë të marrë masa për të minimizuar dëmtimet e mundshme.</w:t>
      </w:r>
    </w:p>
    <w:p w14:paraId="6D6F2BF1" w14:textId="43FDB6D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B61549">
        <w:rPr>
          <w:rFonts w:ascii="Garamond" w:hAnsi="Garamond" w:cs="Arial"/>
          <w:color w:val="000000"/>
          <w:sz w:val="24"/>
          <w:szCs w:val="24"/>
        </w:rPr>
        <w:t>.</w:t>
      </w:r>
      <w:r w:rsidRPr="000E1EB0">
        <w:rPr>
          <w:rFonts w:ascii="Garamond" w:hAnsi="Garamond" w:cs="Arial"/>
          <w:color w:val="000000"/>
          <w:sz w:val="24"/>
          <w:szCs w:val="24"/>
        </w:rPr>
        <w:t xml:space="preserve"> Komisioni mund ta pezullojë këtë Marrëveshje Financimi pa njoftim paraprak.</w:t>
      </w:r>
    </w:p>
    <w:p w14:paraId="6D6F2BF2" w14:textId="44771F31"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B61549">
        <w:rPr>
          <w:rFonts w:ascii="Garamond" w:hAnsi="Garamond" w:cs="Arial"/>
          <w:color w:val="000000"/>
          <w:sz w:val="24"/>
          <w:szCs w:val="24"/>
        </w:rPr>
        <w:t>.</w:t>
      </w:r>
      <w:r w:rsidRPr="000E1EB0">
        <w:rPr>
          <w:rFonts w:ascii="Garamond" w:hAnsi="Garamond" w:cs="Arial"/>
          <w:color w:val="000000"/>
          <w:sz w:val="24"/>
          <w:szCs w:val="24"/>
        </w:rPr>
        <w:t xml:space="preserve"> Komisioni mund të marrë masat e duhura parandaluese para se të bëhet pezullimi.</w:t>
      </w:r>
    </w:p>
    <w:p w14:paraId="6D6F2BF3" w14:textId="775BC71E"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B61549">
        <w:rPr>
          <w:rFonts w:ascii="Garamond" w:hAnsi="Garamond" w:cs="Arial"/>
          <w:color w:val="000000"/>
          <w:sz w:val="24"/>
          <w:szCs w:val="24"/>
        </w:rPr>
        <w:t>.</w:t>
      </w:r>
      <w:r w:rsidRPr="000E1EB0">
        <w:rPr>
          <w:rFonts w:ascii="Garamond" w:hAnsi="Garamond" w:cs="Arial"/>
          <w:color w:val="000000"/>
          <w:sz w:val="24"/>
          <w:szCs w:val="24"/>
        </w:rPr>
        <w:t xml:space="preserve"> Kur pezullimi është njoftuar, duhet të tregohen pasojat e prokurimit dhe kontratave të granteve në vazhdim dhe marrëveshjet e delegacionit për këto kontrata</w:t>
      </w:r>
      <w:r w:rsidR="00B61549">
        <w:rPr>
          <w:rFonts w:ascii="Garamond" w:hAnsi="Garamond" w:cs="Arial"/>
          <w:color w:val="000000"/>
          <w:sz w:val="24"/>
          <w:szCs w:val="24"/>
        </w:rPr>
        <w:t>,</w:t>
      </w:r>
      <w:r w:rsidRPr="000E1EB0">
        <w:rPr>
          <w:rFonts w:ascii="Garamond" w:hAnsi="Garamond" w:cs="Arial"/>
          <w:color w:val="000000"/>
          <w:sz w:val="24"/>
          <w:szCs w:val="24"/>
        </w:rPr>
        <w:t xml:space="preserve"> si dhe marrëveshjet që duhen nënshkruar për këto kontrata.</w:t>
      </w:r>
    </w:p>
    <w:p w14:paraId="6D6F2BF4" w14:textId="071661BA"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5</w:t>
      </w:r>
      <w:r w:rsidR="00B61549">
        <w:rPr>
          <w:rFonts w:ascii="Garamond" w:hAnsi="Garamond" w:cs="Arial"/>
          <w:color w:val="000000"/>
          <w:sz w:val="24"/>
          <w:szCs w:val="24"/>
        </w:rPr>
        <w:t>.</w:t>
      </w:r>
      <w:r w:rsidRPr="000E1EB0">
        <w:rPr>
          <w:rFonts w:ascii="Garamond" w:hAnsi="Garamond" w:cs="Arial"/>
          <w:color w:val="000000"/>
          <w:sz w:val="24"/>
          <w:szCs w:val="24"/>
        </w:rPr>
        <w:t xml:space="preserve"> Pezullimi i kësaj marrëveshjeje të financimit nuk e cenon ndërprerjen e kësaj marrëveshjeje financimi nga Komisioni, në përputhje me nenin 17. </w:t>
      </w:r>
    </w:p>
    <w:p w14:paraId="6D6F2BF5" w14:textId="35DE9BAE" w:rsidR="00650E6F" w:rsidRPr="000E1EB0" w:rsidRDefault="00650E6F" w:rsidP="004535F7">
      <w:pPr>
        <w:autoSpaceDE w:val="0"/>
        <w:autoSpaceDN w:val="0"/>
        <w:adjustRightInd w:val="0"/>
        <w:spacing w:after="0" w:line="240" w:lineRule="auto"/>
        <w:ind w:firstLine="284"/>
        <w:jc w:val="both"/>
        <w:rPr>
          <w:rFonts w:ascii="Garamond" w:hAnsi="Garamond" w:cs="Arial"/>
          <w:b/>
          <w:bCs/>
          <w:color w:val="000000"/>
          <w:sz w:val="24"/>
          <w:szCs w:val="24"/>
        </w:rPr>
      </w:pPr>
      <w:r w:rsidRPr="000E1EB0">
        <w:rPr>
          <w:rFonts w:ascii="Garamond" w:hAnsi="Garamond" w:cs="Arial"/>
          <w:color w:val="000000"/>
          <w:sz w:val="24"/>
          <w:szCs w:val="24"/>
        </w:rPr>
        <w:t>6</w:t>
      </w:r>
      <w:r w:rsidR="00B61549">
        <w:rPr>
          <w:rFonts w:ascii="Garamond" w:hAnsi="Garamond" w:cs="Arial"/>
          <w:color w:val="000000"/>
          <w:sz w:val="24"/>
          <w:szCs w:val="24"/>
        </w:rPr>
        <w:t>.</w:t>
      </w:r>
      <w:r w:rsidRPr="000E1EB0">
        <w:rPr>
          <w:rFonts w:ascii="Garamond" w:hAnsi="Garamond" w:cs="Arial"/>
          <w:color w:val="000000"/>
          <w:sz w:val="24"/>
          <w:szCs w:val="24"/>
        </w:rPr>
        <w:t xml:space="preserve"> Palët do të rifillojnë zbatimin e Marrëveshjes Financiare sapo kushtet ta lejojnë, me miratimin paraprak me shkrim të Komisionit. Kjo nuk cenon asnjë amendim të kësaj marrëveshjeje financiare që mund të jenë të nevojshme për të përshtatur Programin e Veprimit për kushtet e reja zbatuese, duke përfshirë, nëse është e mundur, zgjatjen e periudhës së zbatimit, ose përfundimin e kësaj marrëveshjeje financiare në përputhje me nenin 17.</w:t>
      </w:r>
    </w:p>
    <w:p w14:paraId="6D6F2BF6" w14:textId="77777777" w:rsidR="00650E6F" w:rsidRPr="000E1EB0" w:rsidRDefault="00650E6F" w:rsidP="004535F7">
      <w:pPr>
        <w:autoSpaceDE w:val="0"/>
        <w:autoSpaceDN w:val="0"/>
        <w:adjustRightInd w:val="0"/>
        <w:spacing w:after="0" w:line="240" w:lineRule="auto"/>
        <w:ind w:firstLine="284"/>
        <w:jc w:val="both"/>
        <w:rPr>
          <w:rFonts w:ascii="Garamond" w:hAnsi="Garamond" w:cs="Arial"/>
          <w:b/>
          <w:bCs/>
          <w:color w:val="000000"/>
          <w:sz w:val="24"/>
          <w:szCs w:val="24"/>
        </w:rPr>
      </w:pPr>
    </w:p>
    <w:p w14:paraId="6D6F2BF7"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17</w:t>
      </w:r>
    </w:p>
    <w:p w14:paraId="6D6F2BF8"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Përfundimi i kësaj marrëveshjeje financiare</w:t>
      </w:r>
    </w:p>
    <w:p w14:paraId="6D6F2BF9"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BFA" w14:textId="06DDCF88"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B61549">
        <w:rPr>
          <w:rFonts w:ascii="Garamond" w:hAnsi="Garamond" w:cs="Arial"/>
          <w:color w:val="000000"/>
          <w:sz w:val="24"/>
          <w:szCs w:val="24"/>
        </w:rPr>
        <w:t>.</w:t>
      </w:r>
      <w:r w:rsidRPr="000E1EB0">
        <w:rPr>
          <w:rFonts w:ascii="Garamond" w:hAnsi="Garamond" w:cs="Arial"/>
          <w:color w:val="000000"/>
          <w:sz w:val="24"/>
          <w:szCs w:val="24"/>
        </w:rPr>
        <w:t xml:space="preserve"> Nëse çështjet të cilat çuan në pezullimin e Marrëveshjes së Financimit nuk janë zgjidhur brenda një periudhe maksimale prej 180 ditëve, secila palë mund ta përfundojë Marrëveshjen Financiare në njoftimin prej 30 ditësh.</w:t>
      </w:r>
    </w:p>
    <w:p w14:paraId="6D6F2BFB" w14:textId="39F6210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2</w:t>
      </w:r>
      <w:r w:rsidR="00B61549">
        <w:rPr>
          <w:rFonts w:ascii="Garamond" w:hAnsi="Garamond" w:cs="Arial"/>
          <w:color w:val="000000"/>
          <w:sz w:val="24"/>
          <w:szCs w:val="24"/>
        </w:rPr>
        <w:t>.</w:t>
      </w:r>
      <w:r w:rsidRPr="000E1EB0">
        <w:rPr>
          <w:rFonts w:ascii="Garamond" w:hAnsi="Garamond" w:cs="Arial"/>
          <w:color w:val="000000"/>
          <w:sz w:val="24"/>
          <w:szCs w:val="24"/>
        </w:rPr>
        <w:t xml:space="preserve"> Kjo Marrëveshje Financimi do të ndërpritet automatikisht, në qoftë se brenda një periudhe prej dy vjet që prej nënshkrimit të saj:</w:t>
      </w:r>
    </w:p>
    <w:p w14:paraId="6D6F2BFC" w14:textId="028B41B8"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a</w:t>
      </w:r>
      <w:r w:rsidR="00B61549">
        <w:rPr>
          <w:rFonts w:ascii="Garamond" w:hAnsi="Garamond" w:cs="Arial"/>
          <w:color w:val="000000"/>
          <w:sz w:val="24"/>
          <w:szCs w:val="24"/>
        </w:rPr>
        <w:t>)</w:t>
      </w:r>
      <w:r w:rsidRPr="000E1EB0">
        <w:rPr>
          <w:rFonts w:ascii="Garamond" w:hAnsi="Garamond" w:cs="Arial"/>
          <w:color w:val="000000"/>
          <w:sz w:val="24"/>
          <w:szCs w:val="24"/>
        </w:rPr>
        <w:t xml:space="preserve"> nuk është bërë asnjë pagesë;</w:t>
      </w:r>
    </w:p>
    <w:p w14:paraId="6D6F2BFD" w14:textId="639D8574"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r w:rsidRPr="000E1EB0">
        <w:rPr>
          <w:rFonts w:ascii="Garamond" w:hAnsi="Garamond" w:cs="Arial"/>
          <w:color w:val="000000"/>
          <w:sz w:val="24"/>
          <w:szCs w:val="24"/>
        </w:rPr>
        <w:t>b</w:t>
      </w:r>
      <w:r w:rsidR="00B61549">
        <w:rPr>
          <w:rFonts w:ascii="Garamond" w:hAnsi="Garamond" w:cs="Arial"/>
          <w:color w:val="000000"/>
          <w:sz w:val="24"/>
          <w:szCs w:val="24"/>
        </w:rPr>
        <w:t>)</w:t>
      </w:r>
      <w:r w:rsidRPr="000E1EB0">
        <w:rPr>
          <w:rFonts w:ascii="Garamond" w:hAnsi="Garamond" w:cs="Arial"/>
          <w:color w:val="000000"/>
          <w:sz w:val="24"/>
          <w:szCs w:val="24"/>
        </w:rPr>
        <w:t xml:space="preserve"> nuk</w:t>
      </w:r>
      <w:r w:rsidR="00B61549">
        <w:rPr>
          <w:rFonts w:ascii="Garamond" w:hAnsi="Garamond" w:cs="Arial"/>
          <w:color w:val="000000"/>
          <w:sz w:val="24"/>
          <w:szCs w:val="24"/>
        </w:rPr>
        <w:t xml:space="preserve"> </w:t>
      </w:r>
      <w:r w:rsidRPr="000E1EB0">
        <w:rPr>
          <w:rFonts w:ascii="Garamond" w:hAnsi="Garamond" w:cs="Arial"/>
          <w:color w:val="000000"/>
          <w:sz w:val="24"/>
          <w:szCs w:val="24"/>
        </w:rPr>
        <w:t>është nënshkruar asnjë kontratë zbatimi apo marrëveshje delegacioni.</w:t>
      </w:r>
    </w:p>
    <w:p w14:paraId="6D6F2BFE" w14:textId="5868724F"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3</w:t>
      </w:r>
      <w:r w:rsidR="00B61549">
        <w:rPr>
          <w:rFonts w:ascii="Garamond" w:hAnsi="Garamond" w:cs="Arial"/>
          <w:color w:val="000000"/>
          <w:sz w:val="24"/>
          <w:szCs w:val="24"/>
        </w:rPr>
        <w:t>.</w:t>
      </w:r>
      <w:r w:rsidRPr="000E1EB0">
        <w:rPr>
          <w:rFonts w:ascii="Garamond" w:hAnsi="Garamond" w:cs="Arial"/>
          <w:color w:val="000000"/>
          <w:sz w:val="24"/>
          <w:szCs w:val="24"/>
        </w:rPr>
        <w:t xml:space="preserve"> Kur ndërprerja është njoftuar, duhet të tregohen pasoja e prokurimeve dhe kontratave të granteve në vazhdim dhe kontratat ose grantet e tilla që duhen nënshkruar.</w:t>
      </w:r>
    </w:p>
    <w:p w14:paraId="6D6F2BFF" w14:textId="20DCF9D0"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B61549">
        <w:rPr>
          <w:rFonts w:ascii="Garamond" w:hAnsi="Garamond" w:cs="Arial"/>
          <w:color w:val="000000"/>
          <w:sz w:val="24"/>
          <w:szCs w:val="24"/>
        </w:rPr>
        <w:t>.</w:t>
      </w:r>
      <w:r w:rsidRPr="000E1EB0">
        <w:rPr>
          <w:rFonts w:ascii="Garamond" w:hAnsi="Garamond" w:cs="Arial"/>
          <w:color w:val="000000"/>
          <w:sz w:val="24"/>
          <w:szCs w:val="24"/>
        </w:rPr>
        <w:t xml:space="preserve"> Përfundimi i kësaj marrëveshjeje financiare nuk do të përjashtojë mundësinë e Komisionit që të bëjë korrigjime financiare në përputhje me nenet 43 dhe 44 të Marrëveshjes Kuadër.</w:t>
      </w:r>
    </w:p>
    <w:p w14:paraId="6D6F2C00" w14:textId="77777777"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p>
    <w:p w14:paraId="6D6F2C01"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Cs/>
          <w:color w:val="000000"/>
          <w:sz w:val="24"/>
          <w:szCs w:val="24"/>
        </w:rPr>
      </w:pPr>
      <w:r w:rsidRPr="000E1EB0">
        <w:rPr>
          <w:rFonts w:ascii="Garamond" w:hAnsi="Garamond" w:cs="Arial"/>
          <w:bCs/>
          <w:color w:val="000000"/>
          <w:sz w:val="24"/>
          <w:szCs w:val="24"/>
        </w:rPr>
        <w:t>Neni 18</w:t>
      </w:r>
    </w:p>
    <w:p w14:paraId="6D6F2C02" w14:textId="77777777" w:rsidR="00650E6F" w:rsidRPr="000E1EB0" w:rsidRDefault="00650E6F" w:rsidP="004535F7">
      <w:pPr>
        <w:autoSpaceDE w:val="0"/>
        <w:autoSpaceDN w:val="0"/>
        <w:adjustRightInd w:val="0"/>
        <w:spacing w:after="0" w:line="240" w:lineRule="auto"/>
        <w:ind w:firstLine="284"/>
        <w:jc w:val="center"/>
        <w:rPr>
          <w:rFonts w:ascii="Garamond" w:hAnsi="Garamond" w:cs="Arial"/>
          <w:b/>
          <w:bCs/>
          <w:color w:val="000000"/>
          <w:sz w:val="24"/>
          <w:szCs w:val="24"/>
        </w:rPr>
      </w:pPr>
      <w:r w:rsidRPr="000E1EB0">
        <w:rPr>
          <w:rFonts w:ascii="Garamond" w:hAnsi="Garamond" w:cs="Arial"/>
          <w:b/>
          <w:bCs/>
          <w:color w:val="000000"/>
          <w:sz w:val="24"/>
          <w:szCs w:val="24"/>
        </w:rPr>
        <w:t>Masat për zgjidhjen e mosmarrëveshjeve</w:t>
      </w:r>
    </w:p>
    <w:p w14:paraId="6D6F2C03" w14:textId="77777777" w:rsidR="00650E6F" w:rsidRPr="000E1EB0" w:rsidRDefault="00650E6F" w:rsidP="004535F7">
      <w:pPr>
        <w:autoSpaceDE w:val="0"/>
        <w:autoSpaceDN w:val="0"/>
        <w:adjustRightInd w:val="0"/>
        <w:spacing w:after="0" w:line="240" w:lineRule="auto"/>
        <w:ind w:firstLine="284"/>
        <w:rPr>
          <w:rFonts w:ascii="Garamond" w:hAnsi="Garamond" w:cs="Arial"/>
          <w:color w:val="000000"/>
          <w:sz w:val="24"/>
          <w:szCs w:val="24"/>
        </w:rPr>
      </w:pPr>
    </w:p>
    <w:p w14:paraId="6D6F2C04" w14:textId="2BC3A4F4"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1</w:t>
      </w:r>
      <w:r w:rsidR="00391E83">
        <w:rPr>
          <w:rFonts w:ascii="Garamond" w:hAnsi="Garamond" w:cs="Arial"/>
          <w:color w:val="000000"/>
          <w:sz w:val="24"/>
          <w:szCs w:val="24"/>
        </w:rPr>
        <w:t>.</w:t>
      </w:r>
      <w:r w:rsidRPr="000E1EB0">
        <w:rPr>
          <w:rFonts w:ascii="Garamond" w:hAnsi="Garamond" w:cs="Arial"/>
          <w:color w:val="000000"/>
          <w:sz w:val="24"/>
          <w:szCs w:val="24"/>
        </w:rPr>
        <w:t xml:space="preserve"> Çdo mosmarrëveshje në lidhje me Marrëveshjen e Financimit që nuk mund të zgjidhet brenda një periudhe gjashtëmujore nga konsultimet midis palëve, të parashikuar në nenin 14 mund, të zgjidhet nga arbitrazhi, me kërkesën e njërës prej palëve.</w:t>
      </w:r>
    </w:p>
    <w:p w14:paraId="6D6F2C05" w14:textId="786D9E26" w:rsidR="00650E6F" w:rsidRPr="000E1EB0" w:rsidRDefault="00650E6F" w:rsidP="004535F7">
      <w:pPr>
        <w:autoSpaceDE w:val="0"/>
        <w:autoSpaceDN w:val="0"/>
        <w:adjustRightInd w:val="0"/>
        <w:spacing w:after="0" w:line="240" w:lineRule="auto"/>
        <w:ind w:firstLine="284"/>
        <w:jc w:val="both"/>
        <w:rPr>
          <w:rFonts w:ascii="Garamond" w:hAnsi="Garamond" w:cs="Arial"/>
          <w:color w:val="000000"/>
          <w:spacing w:val="200"/>
          <w:sz w:val="24"/>
          <w:szCs w:val="24"/>
        </w:rPr>
      </w:pPr>
      <w:r w:rsidRPr="000E1EB0">
        <w:rPr>
          <w:rFonts w:ascii="Garamond" w:hAnsi="Garamond" w:cs="Arial"/>
          <w:color w:val="000000"/>
          <w:sz w:val="24"/>
          <w:szCs w:val="24"/>
        </w:rPr>
        <w:t>2</w:t>
      </w:r>
      <w:r w:rsidR="00391E83">
        <w:rPr>
          <w:rFonts w:ascii="Garamond" w:hAnsi="Garamond" w:cs="Arial"/>
          <w:color w:val="000000"/>
          <w:sz w:val="24"/>
          <w:szCs w:val="24"/>
        </w:rPr>
        <w:t>.</w:t>
      </w:r>
      <w:r w:rsidRPr="000E1EB0">
        <w:rPr>
          <w:rFonts w:ascii="Garamond" w:hAnsi="Garamond" w:cs="Arial"/>
          <w:color w:val="000000"/>
          <w:sz w:val="24"/>
          <w:szCs w:val="24"/>
        </w:rPr>
        <w:t xml:space="preserve"> Secila palë do të caktojë një gjyqtar brenda 30 ditëve nga data e kërkesës për arbitrazh. Nëse kjo nuk arrihet, secila palë mund t’i kërkojë Sekretarit të Përgjithshëm të Gjykatës së Përhershme të Arbitrazhit (Hagë) të caktojë një gjyqtar të dytë. Të dy gjyqtarët nga ana e tyre caktojnë një gjyqtar të tretë brenda 30 ditëve. Nëse kjo nuk arrihet, secila palë mund t’i kërkojë Sekretarit të Përgjithshëm të Gjykatës së Përhershme të Arbitrazhit të caktojë gjyqtarin e tretë.</w:t>
      </w:r>
    </w:p>
    <w:p w14:paraId="6D6F2C06" w14:textId="1390A6C5" w:rsidR="00650E6F" w:rsidRPr="000E1EB0" w:rsidRDefault="00650E6F" w:rsidP="004535F7">
      <w:pPr>
        <w:autoSpaceDE w:val="0"/>
        <w:autoSpaceDN w:val="0"/>
        <w:adjustRightInd w:val="0"/>
        <w:spacing w:after="0" w:line="240" w:lineRule="auto"/>
        <w:ind w:firstLine="284"/>
        <w:jc w:val="both"/>
        <w:rPr>
          <w:rFonts w:ascii="Garamond" w:hAnsi="Garamond" w:cs="Arial"/>
          <w:color w:val="000000"/>
          <w:spacing w:val="200"/>
          <w:sz w:val="24"/>
          <w:szCs w:val="24"/>
        </w:rPr>
      </w:pPr>
      <w:r w:rsidRPr="000E1EB0">
        <w:rPr>
          <w:rFonts w:ascii="Garamond" w:hAnsi="Garamond" w:cs="Arial"/>
          <w:color w:val="000000"/>
          <w:sz w:val="24"/>
          <w:szCs w:val="24"/>
        </w:rPr>
        <w:lastRenderedPageBreak/>
        <w:t>3</w:t>
      </w:r>
      <w:r w:rsidR="00391E83">
        <w:rPr>
          <w:rFonts w:ascii="Garamond" w:hAnsi="Garamond" w:cs="Arial"/>
          <w:color w:val="000000"/>
          <w:sz w:val="24"/>
          <w:szCs w:val="24"/>
        </w:rPr>
        <w:t>.</w:t>
      </w:r>
      <w:r w:rsidRPr="000E1EB0">
        <w:rPr>
          <w:rFonts w:ascii="Garamond" w:hAnsi="Garamond" w:cs="Arial"/>
          <w:color w:val="000000"/>
          <w:sz w:val="24"/>
          <w:szCs w:val="24"/>
        </w:rPr>
        <w:t xml:space="preserve"> Përveç kur gjyqtarët vendosin ndryshe, do të zbatohen procedurat e parashikuara në Gjykatën e Përhershme të Arbitrimit, rregullat opsionale për Arbitrazhin që përfshijnë organizatat ndërkombëtare dhe shtetet.</w:t>
      </w:r>
    </w:p>
    <w:p w14:paraId="6D6F2C07" w14:textId="430933FB" w:rsidR="00650E6F" w:rsidRPr="000E1EB0" w:rsidRDefault="00650E6F" w:rsidP="004535F7">
      <w:pPr>
        <w:autoSpaceDE w:val="0"/>
        <w:autoSpaceDN w:val="0"/>
        <w:adjustRightInd w:val="0"/>
        <w:spacing w:after="0" w:line="240" w:lineRule="auto"/>
        <w:ind w:firstLine="284"/>
        <w:jc w:val="both"/>
        <w:rPr>
          <w:rFonts w:ascii="Garamond" w:hAnsi="Garamond" w:cs="Arial"/>
          <w:color w:val="000000"/>
          <w:sz w:val="24"/>
          <w:szCs w:val="24"/>
        </w:rPr>
      </w:pPr>
      <w:r w:rsidRPr="000E1EB0">
        <w:rPr>
          <w:rFonts w:ascii="Garamond" w:hAnsi="Garamond" w:cs="Arial"/>
          <w:color w:val="000000"/>
          <w:sz w:val="24"/>
          <w:szCs w:val="24"/>
        </w:rPr>
        <w:t>4</w:t>
      </w:r>
      <w:r w:rsidR="00391E83">
        <w:rPr>
          <w:rFonts w:ascii="Garamond" w:hAnsi="Garamond" w:cs="Arial"/>
          <w:color w:val="000000"/>
          <w:sz w:val="24"/>
          <w:szCs w:val="24"/>
        </w:rPr>
        <w:t>.</w:t>
      </w:r>
      <w:r w:rsidRPr="000E1EB0">
        <w:rPr>
          <w:rFonts w:ascii="Garamond" w:hAnsi="Garamond" w:cs="Arial"/>
          <w:color w:val="000000"/>
          <w:sz w:val="24"/>
          <w:szCs w:val="24"/>
        </w:rPr>
        <w:t xml:space="preserve"> Secila palë do të jetë e detyruar të marrë masat e nevojshme për zbatimin e vendimit të gjyqtarëve.</w:t>
      </w:r>
      <w:r w:rsidRPr="000E1EB0">
        <w:rPr>
          <w:rFonts w:ascii="Garamond" w:hAnsi="Garamond" w:cs="Arial"/>
          <w:color w:val="000000"/>
          <w:spacing w:val="200"/>
          <w:sz w:val="24"/>
          <w:szCs w:val="24"/>
        </w:rPr>
        <w:t xml:space="preserve"> </w:t>
      </w:r>
    </w:p>
    <w:p w14:paraId="6D6F2C08" w14:textId="77777777" w:rsidR="00650E6F" w:rsidRPr="00630730" w:rsidRDefault="00650E6F" w:rsidP="004535F7">
      <w:pPr>
        <w:spacing w:after="0" w:line="240" w:lineRule="auto"/>
        <w:ind w:firstLine="284"/>
        <w:jc w:val="center"/>
        <w:rPr>
          <w:rFonts w:ascii="Garamond" w:hAnsi="Garamond"/>
          <w:bCs/>
          <w:sz w:val="24"/>
          <w:szCs w:val="24"/>
        </w:rPr>
      </w:pPr>
      <w:bookmarkStart w:id="18" w:name="_Toc232409002"/>
      <w:bookmarkStart w:id="19" w:name="_Toc232484853"/>
      <w:r w:rsidRPr="00630730">
        <w:rPr>
          <w:rFonts w:ascii="Garamond" w:hAnsi="Garamond"/>
          <w:bCs/>
          <w:sz w:val="24"/>
          <w:szCs w:val="24"/>
        </w:rPr>
        <w:t>MODEL</w:t>
      </w:r>
    </w:p>
    <w:p w14:paraId="6D6F2C09" w14:textId="75209003" w:rsidR="00650E6F" w:rsidRPr="00630730" w:rsidRDefault="00650E6F" w:rsidP="004535F7">
      <w:pPr>
        <w:spacing w:after="0" w:line="240" w:lineRule="auto"/>
        <w:ind w:firstLine="284"/>
        <w:jc w:val="center"/>
        <w:rPr>
          <w:rFonts w:ascii="Garamond" w:hAnsi="Garamond"/>
          <w:bCs/>
          <w:sz w:val="24"/>
          <w:szCs w:val="24"/>
        </w:rPr>
      </w:pPr>
      <w:r w:rsidRPr="00630730">
        <w:rPr>
          <w:rFonts w:ascii="Garamond" w:hAnsi="Garamond"/>
          <w:bCs/>
          <w:sz w:val="24"/>
          <w:szCs w:val="24"/>
        </w:rPr>
        <w:t>I RAPORTIT VJETOR TË BNK-</w:t>
      </w:r>
      <w:r w:rsidR="00391E83" w:rsidRPr="00630730">
        <w:rPr>
          <w:rFonts w:ascii="Garamond" w:hAnsi="Garamond"/>
          <w:bCs/>
          <w:sz w:val="24"/>
          <w:szCs w:val="24"/>
        </w:rPr>
        <w:t xml:space="preserve">së </w:t>
      </w:r>
      <w:r w:rsidRPr="00630730">
        <w:rPr>
          <w:rFonts w:ascii="Garamond" w:hAnsi="Garamond"/>
          <w:bCs/>
          <w:sz w:val="24"/>
          <w:szCs w:val="24"/>
        </w:rPr>
        <w:t>MBI ZBATIMIN</w:t>
      </w:r>
    </w:p>
    <w:p w14:paraId="6D6F2C0A" w14:textId="69429891" w:rsidR="00650E6F" w:rsidRPr="00630730" w:rsidRDefault="00650E6F" w:rsidP="004535F7">
      <w:pPr>
        <w:spacing w:after="0" w:line="240" w:lineRule="auto"/>
        <w:ind w:firstLine="284"/>
        <w:jc w:val="center"/>
        <w:rPr>
          <w:rFonts w:ascii="Garamond" w:hAnsi="Garamond"/>
          <w:bCs/>
          <w:sz w:val="24"/>
          <w:szCs w:val="24"/>
        </w:rPr>
      </w:pPr>
      <w:r w:rsidRPr="00630730">
        <w:rPr>
          <w:rFonts w:ascii="Garamond" w:hAnsi="Garamond"/>
          <w:bCs/>
          <w:sz w:val="24"/>
          <w:szCs w:val="24"/>
        </w:rPr>
        <w:t>E</w:t>
      </w:r>
      <w:r w:rsidR="009A5DA1" w:rsidRPr="00630730">
        <w:rPr>
          <w:rFonts w:ascii="Garamond" w:hAnsi="Garamond"/>
          <w:bCs/>
          <w:sz w:val="24"/>
          <w:szCs w:val="24"/>
        </w:rPr>
        <w:t xml:space="preserve"> </w:t>
      </w:r>
      <w:r w:rsidRPr="00630730">
        <w:rPr>
          <w:rFonts w:ascii="Garamond" w:hAnsi="Garamond"/>
          <w:bCs/>
          <w:sz w:val="24"/>
          <w:szCs w:val="24"/>
        </w:rPr>
        <w:t>BASHKËPUNIMIT NDËRKUFITAR IPA II NDËRMJET PËRFITUESVE TË IPA II</w:t>
      </w:r>
    </w:p>
    <w:p w14:paraId="6D6F2C0B" w14:textId="77777777" w:rsidR="00650E6F" w:rsidRPr="00630730" w:rsidRDefault="00650E6F" w:rsidP="004535F7">
      <w:pPr>
        <w:spacing w:after="0" w:line="240" w:lineRule="auto"/>
        <w:ind w:firstLine="284"/>
        <w:jc w:val="center"/>
        <w:rPr>
          <w:rFonts w:ascii="Garamond" w:hAnsi="Garamond"/>
          <w:bCs/>
          <w:sz w:val="24"/>
          <w:szCs w:val="24"/>
        </w:rPr>
      </w:pPr>
      <w:r w:rsidRPr="00630730">
        <w:rPr>
          <w:rFonts w:ascii="Garamond" w:hAnsi="Garamond"/>
          <w:bCs/>
          <w:sz w:val="24"/>
          <w:szCs w:val="24"/>
        </w:rPr>
        <w:t>(NENI 80 I MARRËVESHJES KUADËR)</w:t>
      </w:r>
    </w:p>
    <w:p w14:paraId="6D6F2C0C" w14:textId="77777777" w:rsidR="00650E6F" w:rsidRPr="00630730" w:rsidRDefault="00650E6F" w:rsidP="004535F7">
      <w:pPr>
        <w:spacing w:after="0" w:line="240" w:lineRule="auto"/>
        <w:ind w:firstLine="284"/>
        <w:jc w:val="center"/>
        <w:rPr>
          <w:rFonts w:ascii="Garamond" w:hAnsi="Garamond"/>
          <w:b/>
          <w:bCs/>
          <w:sz w:val="24"/>
          <w:szCs w:val="24"/>
        </w:rPr>
      </w:pPr>
    </w:p>
    <w:p w14:paraId="6D6F2C0D" w14:textId="77777777" w:rsidR="00650E6F" w:rsidRPr="00244E66" w:rsidRDefault="00650E6F" w:rsidP="004535F7">
      <w:pPr>
        <w:spacing w:after="0" w:line="240" w:lineRule="auto"/>
        <w:ind w:firstLine="284"/>
        <w:rPr>
          <w:rFonts w:ascii="Garamond" w:hAnsi="Garamond"/>
          <w:b/>
          <w:bCs/>
          <w:sz w:val="24"/>
          <w:szCs w:val="24"/>
        </w:rPr>
      </w:pPr>
      <w:r w:rsidRPr="00244E66">
        <w:rPr>
          <w:rFonts w:ascii="Garamond" w:hAnsi="Garamond"/>
          <w:b/>
          <w:color w:val="000000"/>
          <w:sz w:val="24"/>
          <w:szCs w:val="24"/>
        </w:rPr>
        <w:t>Përmbajtja</w:t>
      </w:r>
    </w:p>
    <w:p w14:paraId="6D6F2C0E" w14:textId="51EA2173" w:rsidR="00650E6F" w:rsidRPr="00244E66" w:rsidRDefault="00650E6F" w:rsidP="004535F7">
      <w:pPr>
        <w:tabs>
          <w:tab w:val="right" w:leader="dot" w:pos="9060"/>
        </w:tabs>
        <w:spacing w:after="0" w:line="240" w:lineRule="auto"/>
        <w:ind w:firstLine="284"/>
        <w:rPr>
          <w:rFonts w:ascii="Garamond" w:hAnsi="Garamond"/>
          <w:b/>
          <w:bCs/>
          <w:sz w:val="24"/>
          <w:szCs w:val="24"/>
        </w:rPr>
      </w:pPr>
      <w:r w:rsidRPr="00244E66">
        <w:rPr>
          <w:rFonts w:ascii="Garamond" w:hAnsi="Garamond"/>
          <w:b/>
          <w:bCs/>
          <w:sz w:val="24"/>
          <w:szCs w:val="24"/>
        </w:rPr>
        <w:t>Akronimet</w:t>
      </w:r>
      <w:r w:rsidR="009A5DA1" w:rsidRPr="00244E66">
        <w:rPr>
          <w:rFonts w:ascii="Garamond" w:hAnsi="Garamond"/>
          <w:b/>
          <w:bCs/>
          <w:sz w:val="24"/>
          <w:szCs w:val="24"/>
        </w:rPr>
        <w:t xml:space="preserve"> </w:t>
      </w:r>
    </w:p>
    <w:p w14:paraId="6D6F2C0F" w14:textId="37B439D0" w:rsidR="00650E6F" w:rsidRPr="00244E66" w:rsidRDefault="00650E6F" w:rsidP="004535F7">
      <w:pPr>
        <w:tabs>
          <w:tab w:val="right" w:leader="dot" w:pos="9060"/>
        </w:tabs>
        <w:spacing w:after="0" w:line="240" w:lineRule="auto"/>
        <w:ind w:firstLine="284"/>
        <w:rPr>
          <w:rFonts w:ascii="Garamond" w:hAnsi="Garamond"/>
          <w:b/>
          <w:bCs/>
          <w:sz w:val="24"/>
          <w:szCs w:val="24"/>
        </w:rPr>
      </w:pPr>
      <w:r w:rsidRPr="00244E66">
        <w:rPr>
          <w:rFonts w:ascii="Garamond" w:hAnsi="Garamond"/>
          <w:b/>
          <w:bCs/>
          <w:sz w:val="24"/>
          <w:szCs w:val="24"/>
        </w:rPr>
        <w:t>1. Identifikimi</w:t>
      </w:r>
      <w:r w:rsidR="009A5DA1" w:rsidRPr="00244E66">
        <w:rPr>
          <w:rFonts w:ascii="Garamond" w:hAnsi="Garamond"/>
          <w:b/>
          <w:bCs/>
          <w:sz w:val="24"/>
          <w:szCs w:val="24"/>
        </w:rPr>
        <w:t xml:space="preserve"> </w:t>
      </w:r>
    </w:p>
    <w:p w14:paraId="6D6F2C10" w14:textId="5067F7B4" w:rsidR="00650E6F" w:rsidRPr="00244E66" w:rsidRDefault="00650E6F" w:rsidP="004535F7">
      <w:pPr>
        <w:tabs>
          <w:tab w:val="right" w:leader="dot" w:pos="9060"/>
        </w:tabs>
        <w:spacing w:after="0" w:line="240" w:lineRule="auto"/>
        <w:ind w:firstLine="284"/>
        <w:rPr>
          <w:rFonts w:ascii="Garamond" w:hAnsi="Garamond"/>
          <w:b/>
          <w:bCs/>
          <w:sz w:val="24"/>
          <w:szCs w:val="24"/>
        </w:rPr>
      </w:pPr>
      <w:r w:rsidRPr="00244E66">
        <w:rPr>
          <w:rFonts w:ascii="Garamond" w:hAnsi="Garamond"/>
          <w:b/>
          <w:bCs/>
          <w:sz w:val="24"/>
          <w:szCs w:val="24"/>
        </w:rPr>
        <w:t>2. Përmbledhje mbi zbatimin e programit të bashkëpunimit ndërkufitar</w:t>
      </w:r>
      <w:r w:rsidR="003521D2" w:rsidRPr="00244E66">
        <w:rPr>
          <w:rFonts w:ascii="Garamond" w:hAnsi="Garamond"/>
          <w:b/>
          <w:bCs/>
          <w:sz w:val="24"/>
          <w:szCs w:val="24"/>
        </w:rPr>
        <w:t xml:space="preserve"> </w:t>
      </w:r>
    </w:p>
    <w:p w14:paraId="6D6F2C11" w14:textId="0D70FAE6" w:rsidR="00650E6F" w:rsidRPr="00244E66" w:rsidRDefault="00650E6F" w:rsidP="00550DBF">
      <w:pPr>
        <w:pStyle w:val="TOC2"/>
      </w:pPr>
      <w:r w:rsidRPr="00244E66">
        <w:t>2.1 Arritjet dhe analiza e progresit</w:t>
      </w:r>
      <w:r w:rsidR="003521D2" w:rsidRPr="00244E66">
        <w:t xml:space="preserve"> </w:t>
      </w:r>
    </w:p>
    <w:p w14:paraId="6D6F2C12" w14:textId="2A7974E0" w:rsidR="00650E6F" w:rsidRPr="00244E66" w:rsidRDefault="00650E6F" w:rsidP="00550DBF">
      <w:pPr>
        <w:pStyle w:val="TOC2"/>
      </w:pPr>
      <w:r w:rsidRPr="00244E66">
        <w:t>2.2</w:t>
      </w:r>
      <w:r w:rsidR="009A5DA1" w:rsidRPr="00244E66">
        <w:t xml:space="preserve"> </w:t>
      </w:r>
      <w:r w:rsidRPr="00244E66">
        <w:t xml:space="preserve">Progresi në zbatimin e programit të bashkëpunimit </w:t>
      </w:r>
      <w:r w:rsidR="001E1489" w:rsidRPr="00244E66">
        <w:t>ndër</w:t>
      </w:r>
      <w:r w:rsidRPr="00244E66">
        <w:t>kufitar (</w:t>
      </w:r>
      <w:r w:rsidR="00391E83" w:rsidRPr="00244E66">
        <w:t>n</w:t>
      </w:r>
      <w:r w:rsidRPr="00244E66">
        <w:t xml:space="preserve">eni 80.1a IPA II FWA) </w:t>
      </w:r>
    </w:p>
    <w:p w14:paraId="6D6F2C13" w14:textId="108579F0" w:rsidR="00650E6F" w:rsidRPr="00244E66" w:rsidRDefault="00650E6F" w:rsidP="004535F7">
      <w:pPr>
        <w:pStyle w:val="TOC3"/>
        <w:tabs>
          <w:tab w:val="right" w:leader="dot" w:pos="9060"/>
        </w:tabs>
        <w:ind w:left="0" w:firstLine="284"/>
        <w:rPr>
          <w:rFonts w:ascii="Garamond" w:hAnsi="Garamond"/>
          <w:lang w:val="sq-AL"/>
        </w:rPr>
      </w:pPr>
      <w:r w:rsidRPr="00244E66">
        <w:rPr>
          <w:rFonts w:ascii="Garamond" w:hAnsi="Garamond"/>
          <w:lang w:val="sq-AL"/>
        </w:rPr>
        <w:t xml:space="preserve">2.2.1 Analiza sasiore </w:t>
      </w:r>
    </w:p>
    <w:p w14:paraId="6D6F2C14" w14:textId="6BA3A761" w:rsidR="00650E6F" w:rsidRPr="00244E66" w:rsidRDefault="00650E6F" w:rsidP="004535F7">
      <w:pPr>
        <w:pStyle w:val="TOC3"/>
        <w:tabs>
          <w:tab w:val="right" w:leader="dot" w:pos="9060"/>
        </w:tabs>
        <w:ind w:left="0" w:firstLine="284"/>
        <w:rPr>
          <w:rFonts w:ascii="Garamond" w:hAnsi="Garamond"/>
          <w:lang w:val="sq-AL"/>
        </w:rPr>
      </w:pPr>
      <w:r w:rsidRPr="00244E66">
        <w:rPr>
          <w:rFonts w:ascii="Garamond" w:hAnsi="Garamond"/>
          <w:lang w:val="sq-AL"/>
        </w:rPr>
        <w:t xml:space="preserve">2.2.2 Analiza cilësore </w:t>
      </w:r>
    </w:p>
    <w:p w14:paraId="6D6F2C15" w14:textId="0059211D" w:rsidR="00650E6F" w:rsidRPr="00244E66" w:rsidRDefault="00650E6F" w:rsidP="00550DBF">
      <w:pPr>
        <w:pStyle w:val="TOC2"/>
      </w:pPr>
      <w:r w:rsidRPr="00244E66">
        <w:t>2.3</w:t>
      </w:r>
      <w:r w:rsidR="009A5DA1" w:rsidRPr="00244E66">
        <w:t xml:space="preserve"> </w:t>
      </w:r>
      <w:r w:rsidRPr="00244E66">
        <w:t>Informacione të hollësishme për ekzekutimin financiar të programit të bashkëpunimit ndërkufitar (</w:t>
      </w:r>
      <w:r w:rsidR="00391E83" w:rsidRPr="00244E66">
        <w:t>n</w:t>
      </w:r>
      <w:r w:rsidRPr="00244E66">
        <w:t xml:space="preserve">eni 801 (d) IPAII FWA) </w:t>
      </w:r>
    </w:p>
    <w:p w14:paraId="6D6F2C16" w14:textId="1F828098" w:rsidR="00650E6F" w:rsidRPr="00244E66" w:rsidRDefault="00650E6F" w:rsidP="00550DBF">
      <w:pPr>
        <w:pStyle w:val="TOC2"/>
      </w:pPr>
      <w:r w:rsidRPr="00244E66">
        <w:t xml:space="preserve">2.4 Informacion mbi hapat e </w:t>
      </w:r>
      <w:r w:rsidR="002A6BD7" w:rsidRPr="00244E66">
        <w:t>ndërmarrë</w:t>
      </w:r>
      <w:r w:rsidRPr="00244E66">
        <w:t xml:space="preserve"> nga strukturat operuese dhe/ose Komiteti i Përbashkët Monitorues për të siguruar cilësinë dhe efektivitetin e zbatimit </w:t>
      </w:r>
    </w:p>
    <w:p w14:paraId="6D6F2C17" w14:textId="29F14EAE" w:rsidR="00650E6F" w:rsidRPr="00244E66" w:rsidRDefault="00650E6F" w:rsidP="004535F7">
      <w:pPr>
        <w:pStyle w:val="TOC3"/>
        <w:tabs>
          <w:tab w:val="right" w:leader="dot" w:pos="9060"/>
        </w:tabs>
        <w:ind w:left="0" w:firstLine="284"/>
        <w:rPr>
          <w:rFonts w:ascii="Garamond" w:hAnsi="Garamond"/>
          <w:lang w:val="sq-AL"/>
        </w:rPr>
      </w:pPr>
      <w:r w:rsidRPr="00244E66">
        <w:rPr>
          <w:rFonts w:ascii="Garamond" w:hAnsi="Garamond"/>
          <w:lang w:val="sq-AL"/>
        </w:rPr>
        <w:t xml:space="preserve">2.4.1 Monitorimi dhe vlerësimi </w:t>
      </w:r>
    </w:p>
    <w:p w14:paraId="6D6F2C18" w14:textId="29642DC6" w:rsidR="00650E6F" w:rsidRPr="00244E66" w:rsidRDefault="00650E6F" w:rsidP="004535F7">
      <w:pPr>
        <w:pStyle w:val="TOC3"/>
        <w:tabs>
          <w:tab w:val="right" w:leader="dot" w:pos="9060"/>
        </w:tabs>
        <w:ind w:left="0" w:firstLine="284"/>
        <w:rPr>
          <w:rFonts w:ascii="Garamond" w:hAnsi="Garamond"/>
          <w:lang w:val="sq-AL"/>
        </w:rPr>
      </w:pPr>
      <w:r w:rsidRPr="00244E66">
        <w:rPr>
          <w:rFonts w:ascii="Garamond" w:hAnsi="Garamond"/>
          <w:lang w:val="sq-AL"/>
        </w:rPr>
        <w:t xml:space="preserve">2.4.2 Problemet e hasura dhe veprimet korrigjuese </w:t>
      </w:r>
    </w:p>
    <w:p w14:paraId="6D6F2C19" w14:textId="033CC021" w:rsidR="00650E6F" w:rsidRPr="00244E66" w:rsidRDefault="00650E6F" w:rsidP="00550DBF">
      <w:pPr>
        <w:pStyle w:val="TOC2"/>
      </w:pPr>
      <w:r w:rsidRPr="00244E66">
        <w:t xml:space="preserve">2.5 Vizibiliteti dhe publiciteti </w:t>
      </w:r>
    </w:p>
    <w:p w14:paraId="6D6F2C1A" w14:textId="4CA35222" w:rsidR="00650E6F" w:rsidRPr="00244E66" w:rsidRDefault="00650E6F" w:rsidP="00550DBF">
      <w:pPr>
        <w:pStyle w:val="TOC2"/>
      </w:pPr>
      <w:r w:rsidRPr="00244E66">
        <w:t xml:space="preserve">2.6 Shfrytëzimi i asistencës teknike </w:t>
      </w:r>
    </w:p>
    <w:p w14:paraId="6D6F2C1B" w14:textId="3092B946" w:rsidR="00650E6F" w:rsidRPr="00244E66" w:rsidRDefault="00650E6F" w:rsidP="00550DBF">
      <w:pPr>
        <w:pStyle w:val="TOC2"/>
      </w:pPr>
      <w:r w:rsidRPr="00244E66">
        <w:t>2.7 Ndryshimet në kuadër të zbatimit të programit ndërkufitar (nëse ka)</w:t>
      </w:r>
    </w:p>
    <w:p w14:paraId="6D6F2C1C" w14:textId="77777777" w:rsidR="00650E6F" w:rsidRPr="00244E66" w:rsidRDefault="00650E6F" w:rsidP="00550DBF">
      <w:pPr>
        <w:pStyle w:val="TOC2"/>
      </w:pPr>
    </w:p>
    <w:p w14:paraId="6D6F2C1D" w14:textId="07DA7186" w:rsidR="00650E6F" w:rsidRPr="00244E66" w:rsidRDefault="00650E6F" w:rsidP="00550DBF">
      <w:pPr>
        <w:pStyle w:val="TOC2"/>
      </w:pPr>
      <w:r w:rsidRPr="00244E66">
        <w:t>Akronimet</w:t>
      </w:r>
    </w:p>
    <w:p w14:paraId="6D6F2C1E" w14:textId="77777777" w:rsidR="00650E6F" w:rsidRDefault="00650E6F" w:rsidP="004535F7">
      <w:pPr>
        <w:spacing w:after="0" w:line="240" w:lineRule="auto"/>
        <w:ind w:firstLine="284"/>
        <w:rPr>
          <w:rFonts w:ascii="Garamond" w:hAnsi="Garamond"/>
          <w:sz w:val="24"/>
          <w:szCs w:val="24"/>
          <w:lang w:eastAsia="sr-Latn-CS"/>
        </w:rPr>
      </w:pPr>
      <w:r w:rsidRPr="00244E66">
        <w:rPr>
          <w:rFonts w:ascii="Garamond" w:hAnsi="Garamond"/>
          <w:sz w:val="24"/>
          <w:szCs w:val="24"/>
          <w:lang w:eastAsia="sr-Latn-CS"/>
        </w:rPr>
        <w:t xml:space="preserve">&lt;...&gt; </w:t>
      </w:r>
    </w:p>
    <w:p w14:paraId="14E249C9" w14:textId="77777777" w:rsidR="00DC1A06" w:rsidRPr="00244E66" w:rsidRDefault="00DC1A06" w:rsidP="004535F7">
      <w:pPr>
        <w:spacing w:after="0" w:line="240" w:lineRule="auto"/>
        <w:ind w:firstLine="284"/>
        <w:rPr>
          <w:rFonts w:ascii="Garamond" w:hAnsi="Garamond"/>
          <w:sz w:val="24"/>
          <w:szCs w:val="24"/>
          <w:lang w:eastAsia="sr-Latn-CS"/>
        </w:rPr>
      </w:pPr>
    </w:p>
    <w:p w14:paraId="6D6F2C1F" w14:textId="77777777" w:rsidR="00650E6F" w:rsidRPr="00244E66" w:rsidRDefault="00650E6F" w:rsidP="004535F7">
      <w:pPr>
        <w:spacing w:after="0" w:line="240" w:lineRule="auto"/>
        <w:ind w:firstLine="284"/>
        <w:rPr>
          <w:rFonts w:ascii="Garamond" w:hAnsi="Garamond"/>
          <w:b/>
          <w:sz w:val="24"/>
          <w:szCs w:val="24"/>
          <w:lang w:eastAsia="ko-KR"/>
        </w:rPr>
      </w:pPr>
      <w:r w:rsidRPr="00244E66">
        <w:rPr>
          <w:rFonts w:ascii="Garamond" w:hAnsi="Garamond"/>
          <w:b/>
          <w:sz w:val="24"/>
          <w:szCs w:val="24"/>
          <w:lang w:eastAsia="ko-KR"/>
        </w:rPr>
        <w:t>1. Ident</w:t>
      </w:r>
      <w:bookmarkEnd w:id="18"/>
      <w:bookmarkEnd w:id="19"/>
      <w:r w:rsidRPr="00244E66">
        <w:rPr>
          <w:rFonts w:ascii="Garamond" w:hAnsi="Garamond"/>
          <w:b/>
          <w:sz w:val="24"/>
          <w:szCs w:val="24"/>
          <w:lang w:eastAsia="ko-KR"/>
        </w:rPr>
        <w:t>ifikimi</w:t>
      </w:r>
    </w:p>
    <w:p w14:paraId="6D6F2C20" w14:textId="77777777" w:rsidR="00650E6F" w:rsidRPr="00244E66" w:rsidRDefault="00650E6F" w:rsidP="004535F7">
      <w:pPr>
        <w:autoSpaceDE w:val="0"/>
        <w:autoSpaceDN w:val="0"/>
        <w:adjustRightInd w:val="0"/>
        <w:spacing w:after="0" w:line="240" w:lineRule="auto"/>
        <w:ind w:firstLine="284"/>
        <w:jc w:val="both"/>
        <w:rPr>
          <w:rFonts w:ascii="Garamond" w:hAnsi="Garamond" w:cs="Arial"/>
          <w:b/>
          <w:sz w:val="24"/>
          <w:szCs w:val="24"/>
          <w:lang w:eastAsia="ko-KR"/>
        </w:rPr>
      </w:pP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650E6F" w:rsidRPr="000E1EB0" w14:paraId="6D6F2C24" w14:textId="77777777">
        <w:trPr>
          <w:cantSplit/>
          <w:trHeight w:val="812"/>
        </w:trPr>
        <w:tc>
          <w:tcPr>
            <w:tcW w:w="4421" w:type="dxa"/>
            <w:vMerge w:val="restart"/>
          </w:tcPr>
          <w:p w14:paraId="6D6F2C21"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PROGRAMI NDËRKUFITAR</w:t>
            </w:r>
          </w:p>
        </w:tc>
        <w:tc>
          <w:tcPr>
            <w:tcW w:w="5597" w:type="dxa"/>
          </w:tcPr>
          <w:p w14:paraId="6D6F2C22"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 xml:space="preserve">Titulli i Programit: </w:t>
            </w:r>
          </w:p>
          <w:p w14:paraId="6D6F2C23"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Programi ndërkufitar &lt;vendi A&gt; – &lt; vendi B&gt; &lt;viti&gt;/&lt;viti&gt;</w:t>
            </w:r>
          </w:p>
        </w:tc>
      </w:tr>
      <w:tr w:rsidR="00650E6F" w:rsidRPr="000E1EB0" w14:paraId="6D6F2C27" w14:textId="77777777" w:rsidTr="00C65166">
        <w:trPr>
          <w:cantSplit/>
          <w:trHeight w:val="492"/>
        </w:trPr>
        <w:tc>
          <w:tcPr>
            <w:tcW w:w="4421" w:type="dxa"/>
            <w:vMerge/>
          </w:tcPr>
          <w:p w14:paraId="6D6F2C25" w14:textId="77777777" w:rsidR="00650E6F" w:rsidRPr="000E1EB0" w:rsidRDefault="00650E6F" w:rsidP="007E57E2">
            <w:pPr>
              <w:widowControl w:val="0"/>
              <w:spacing w:after="0" w:line="240" w:lineRule="auto"/>
              <w:rPr>
                <w:rFonts w:ascii="Garamond" w:hAnsi="Garamond" w:cs="Arial"/>
                <w:sz w:val="24"/>
                <w:szCs w:val="24"/>
              </w:rPr>
            </w:pPr>
          </w:p>
        </w:tc>
        <w:tc>
          <w:tcPr>
            <w:tcW w:w="5597" w:type="dxa"/>
          </w:tcPr>
          <w:p w14:paraId="6D6F2C26"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Përfitimi për vitin 20xx:</w:t>
            </w:r>
          </w:p>
        </w:tc>
      </w:tr>
      <w:tr w:rsidR="00650E6F" w:rsidRPr="000E1EB0" w14:paraId="6D6F2C2A" w14:textId="77777777" w:rsidTr="00C65166">
        <w:trPr>
          <w:cantSplit/>
          <w:trHeight w:val="519"/>
        </w:trPr>
        <w:tc>
          <w:tcPr>
            <w:tcW w:w="4421" w:type="dxa"/>
            <w:vMerge/>
          </w:tcPr>
          <w:p w14:paraId="6D6F2C28" w14:textId="77777777" w:rsidR="00650E6F" w:rsidRPr="000E1EB0" w:rsidRDefault="00650E6F" w:rsidP="007E57E2">
            <w:pPr>
              <w:widowControl w:val="0"/>
              <w:spacing w:after="0" w:line="240" w:lineRule="auto"/>
              <w:rPr>
                <w:rFonts w:ascii="Garamond" w:hAnsi="Garamond" w:cs="Arial"/>
                <w:sz w:val="24"/>
                <w:szCs w:val="24"/>
              </w:rPr>
            </w:pPr>
          </w:p>
        </w:tc>
        <w:tc>
          <w:tcPr>
            <w:tcW w:w="5597" w:type="dxa"/>
          </w:tcPr>
          <w:p w14:paraId="6D6F2C29"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Përfitimi për vitin 20xx:</w:t>
            </w:r>
          </w:p>
        </w:tc>
      </w:tr>
      <w:tr w:rsidR="00650E6F" w:rsidRPr="000E1EB0" w14:paraId="6D6F2C2D" w14:textId="77777777" w:rsidTr="00C65166">
        <w:trPr>
          <w:cantSplit/>
          <w:trHeight w:val="510"/>
        </w:trPr>
        <w:tc>
          <w:tcPr>
            <w:tcW w:w="4421" w:type="dxa"/>
            <w:vMerge/>
          </w:tcPr>
          <w:p w14:paraId="6D6F2C2B" w14:textId="77777777" w:rsidR="00650E6F" w:rsidRPr="000E1EB0" w:rsidRDefault="00650E6F" w:rsidP="007E57E2">
            <w:pPr>
              <w:widowControl w:val="0"/>
              <w:spacing w:after="0" w:line="240" w:lineRule="auto"/>
              <w:rPr>
                <w:rFonts w:ascii="Garamond" w:hAnsi="Garamond" w:cs="Arial"/>
                <w:sz w:val="24"/>
                <w:szCs w:val="24"/>
              </w:rPr>
            </w:pPr>
          </w:p>
        </w:tc>
        <w:tc>
          <w:tcPr>
            <w:tcW w:w="5597" w:type="dxa"/>
          </w:tcPr>
          <w:p w14:paraId="6D6F2C2C"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Përfitimi për vitin 20xx:</w:t>
            </w:r>
            <w:r w:rsidRPr="000E1EB0" w:rsidDel="00EA695F">
              <w:rPr>
                <w:rFonts w:ascii="Garamond" w:hAnsi="Garamond" w:cs="Arial"/>
                <w:sz w:val="24"/>
                <w:szCs w:val="24"/>
              </w:rPr>
              <w:t xml:space="preserve"> </w:t>
            </w:r>
          </w:p>
        </w:tc>
      </w:tr>
      <w:tr w:rsidR="00650E6F" w:rsidRPr="000E1EB0" w14:paraId="6D6F2C30" w14:textId="77777777" w:rsidTr="00C65166">
        <w:trPr>
          <w:cantSplit/>
          <w:trHeight w:val="870"/>
        </w:trPr>
        <w:tc>
          <w:tcPr>
            <w:tcW w:w="4421" w:type="dxa"/>
            <w:vMerge/>
          </w:tcPr>
          <w:p w14:paraId="6D6F2C2E" w14:textId="77777777" w:rsidR="00650E6F" w:rsidRPr="000E1EB0" w:rsidRDefault="00650E6F" w:rsidP="007E57E2">
            <w:pPr>
              <w:widowControl w:val="0"/>
              <w:spacing w:after="0" w:line="240" w:lineRule="auto"/>
              <w:rPr>
                <w:rFonts w:ascii="Garamond" w:hAnsi="Garamond" w:cs="Arial"/>
                <w:sz w:val="24"/>
                <w:szCs w:val="24"/>
              </w:rPr>
            </w:pPr>
          </w:p>
        </w:tc>
        <w:tc>
          <w:tcPr>
            <w:tcW w:w="5597" w:type="dxa"/>
          </w:tcPr>
          <w:p w14:paraId="6D6F2C2F" w14:textId="77777777" w:rsidR="00650E6F" w:rsidRPr="000E1EB0" w:rsidRDefault="00650E6F" w:rsidP="007E57E2">
            <w:pPr>
              <w:widowControl w:val="0"/>
              <w:spacing w:after="0" w:line="240" w:lineRule="auto"/>
              <w:rPr>
                <w:rFonts w:ascii="Garamond" w:hAnsi="Garamond" w:cs="Arial"/>
                <w:sz w:val="24"/>
                <w:szCs w:val="24"/>
              </w:rPr>
            </w:pPr>
          </w:p>
        </w:tc>
      </w:tr>
      <w:tr w:rsidR="00650E6F" w:rsidRPr="000E1EB0" w14:paraId="6D6F2C33" w14:textId="77777777" w:rsidTr="00391E83">
        <w:trPr>
          <w:cantSplit/>
          <w:trHeight w:val="303"/>
        </w:trPr>
        <w:tc>
          <w:tcPr>
            <w:tcW w:w="4421" w:type="dxa"/>
            <w:vMerge w:val="restart"/>
          </w:tcPr>
          <w:p w14:paraId="6D6F2C31"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lastRenderedPageBreak/>
              <w:t>RAPORTI VJETOR MBI ZBATIMIN</w:t>
            </w:r>
          </w:p>
        </w:tc>
        <w:tc>
          <w:tcPr>
            <w:tcW w:w="5597" w:type="dxa"/>
          </w:tcPr>
          <w:p w14:paraId="6D6F2C32" w14:textId="78E3078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 xml:space="preserve">Viti i Raportimit (nga 1 janari 20xx deri </w:t>
            </w:r>
            <w:r w:rsidR="00C65166">
              <w:rPr>
                <w:rFonts w:ascii="Garamond" w:hAnsi="Garamond" w:cs="Arial"/>
                <w:sz w:val="24"/>
                <w:szCs w:val="24"/>
              </w:rPr>
              <w:t xml:space="preserve">më </w:t>
            </w:r>
            <w:r w:rsidRPr="000E1EB0">
              <w:rPr>
                <w:rFonts w:ascii="Garamond" w:hAnsi="Garamond" w:cs="Arial"/>
                <w:sz w:val="24"/>
                <w:szCs w:val="24"/>
              </w:rPr>
              <w:t>31 dhjetor 20xx)</w:t>
            </w:r>
          </w:p>
        </w:tc>
      </w:tr>
      <w:tr w:rsidR="00650E6F" w:rsidRPr="000E1EB0" w14:paraId="6D6F2C39" w14:textId="77777777" w:rsidTr="00391E83">
        <w:trPr>
          <w:cantSplit/>
          <w:trHeight w:val="510"/>
        </w:trPr>
        <w:tc>
          <w:tcPr>
            <w:tcW w:w="4421" w:type="dxa"/>
            <w:vMerge/>
          </w:tcPr>
          <w:p w14:paraId="6D6F2C34" w14:textId="77777777" w:rsidR="00650E6F" w:rsidRPr="000E1EB0" w:rsidRDefault="00650E6F" w:rsidP="007E57E2">
            <w:pPr>
              <w:widowControl w:val="0"/>
              <w:spacing w:after="0" w:line="240" w:lineRule="auto"/>
              <w:rPr>
                <w:rFonts w:ascii="Garamond" w:hAnsi="Garamond" w:cs="Arial"/>
                <w:sz w:val="24"/>
                <w:szCs w:val="24"/>
              </w:rPr>
            </w:pPr>
          </w:p>
        </w:tc>
        <w:tc>
          <w:tcPr>
            <w:tcW w:w="5597" w:type="dxa"/>
          </w:tcPr>
          <w:p w14:paraId="6D6F2C35"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Përgatitur nga:</w:t>
            </w:r>
          </w:p>
          <w:p w14:paraId="6D6F2C36" w14:textId="77777777" w:rsidR="00650E6F" w:rsidRPr="000E1EB0" w:rsidRDefault="00650E6F" w:rsidP="007E57E2">
            <w:pPr>
              <w:widowControl w:val="0"/>
              <w:numPr>
                <w:ilvl w:val="0"/>
                <w:numId w:val="23"/>
              </w:numPr>
              <w:tabs>
                <w:tab w:val="clear" w:pos="709"/>
                <w:tab w:val="num" w:pos="439"/>
              </w:tabs>
              <w:spacing w:after="0" w:line="240" w:lineRule="auto"/>
              <w:ind w:left="0" w:firstLine="0"/>
              <w:rPr>
                <w:rFonts w:ascii="Garamond" w:hAnsi="Garamond" w:cs="Arial"/>
                <w:sz w:val="24"/>
                <w:szCs w:val="24"/>
              </w:rPr>
            </w:pPr>
            <w:r w:rsidRPr="000E1EB0">
              <w:rPr>
                <w:rFonts w:ascii="Garamond" w:hAnsi="Garamond" w:cs="Arial"/>
                <w:sz w:val="24"/>
                <w:szCs w:val="24"/>
              </w:rPr>
              <w:t>&lt;struktura operative, vendi X&gt;</w:t>
            </w:r>
          </w:p>
          <w:p w14:paraId="6D6F2C38" w14:textId="6241D2E8" w:rsidR="00650E6F" w:rsidRPr="000E1EB0" w:rsidRDefault="00650E6F" w:rsidP="00391E83">
            <w:pPr>
              <w:widowControl w:val="0"/>
              <w:numPr>
                <w:ilvl w:val="0"/>
                <w:numId w:val="23"/>
              </w:numPr>
              <w:tabs>
                <w:tab w:val="clear" w:pos="709"/>
                <w:tab w:val="num" w:pos="439"/>
              </w:tabs>
              <w:spacing w:after="0" w:line="240" w:lineRule="auto"/>
              <w:ind w:left="0" w:firstLine="0"/>
              <w:rPr>
                <w:rFonts w:ascii="Garamond" w:hAnsi="Garamond" w:cs="Arial"/>
                <w:sz w:val="24"/>
                <w:szCs w:val="24"/>
              </w:rPr>
            </w:pPr>
            <w:r w:rsidRPr="000E1EB0">
              <w:rPr>
                <w:rFonts w:ascii="Garamond" w:hAnsi="Garamond" w:cs="Arial"/>
                <w:sz w:val="24"/>
                <w:szCs w:val="24"/>
              </w:rPr>
              <w:t>&lt; struktura operative, vendi Y&gt;</w:t>
            </w:r>
          </w:p>
        </w:tc>
      </w:tr>
      <w:tr w:rsidR="00650E6F" w:rsidRPr="000E1EB0" w14:paraId="6D6F2C3C" w14:textId="77777777" w:rsidTr="00391E83">
        <w:trPr>
          <w:cantSplit/>
          <w:trHeight w:val="231"/>
        </w:trPr>
        <w:tc>
          <w:tcPr>
            <w:tcW w:w="4421" w:type="dxa"/>
            <w:vMerge/>
          </w:tcPr>
          <w:p w14:paraId="6D6F2C3A" w14:textId="77777777" w:rsidR="00650E6F" w:rsidRPr="000E1EB0" w:rsidRDefault="00650E6F" w:rsidP="007E57E2">
            <w:pPr>
              <w:widowControl w:val="0"/>
              <w:spacing w:after="0" w:line="240" w:lineRule="auto"/>
              <w:rPr>
                <w:rFonts w:ascii="Garamond" w:hAnsi="Garamond" w:cs="Arial"/>
                <w:sz w:val="24"/>
                <w:szCs w:val="24"/>
              </w:rPr>
            </w:pPr>
          </w:p>
        </w:tc>
        <w:tc>
          <w:tcPr>
            <w:tcW w:w="5597" w:type="dxa"/>
          </w:tcPr>
          <w:p w14:paraId="6D6F2C3B" w14:textId="77777777" w:rsidR="00650E6F" w:rsidRPr="000E1EB0" w:rsidRDefault="00650E6F" w:rsidP="007E57E2">
            <w:pPr>
              <w:widowControl w:val="0"/>
              <w:spacing w:after="0" w:line="240" w:lineRule="auto"/>
              <w:rPr>
                <w:rFonts w:ascii="Garamond" w:hAnsi="Garamond" w:cs="Arial"/>
                <w:sz w:val="24"/>
                <w:szCs w:val="24"/>
              </w:rPr>
            </w:pPr>
            <w:r w:rsidRPr="000E1EB0">
              <w:rPr>
                <w:rFonts w:ascii="Garamond" w:hAnsi="Garamond" w:cs="Arial"/>
                <w:sz w:val="24"/>
                <w:szCs w:val="24"/>
              </w:rPr>
              <w:t>Data e shqyrtimit të raportit vjetor nga Komiteti i Përbashkët Monitorues</w:t>
            </w:r>
          </w:p>
        </w:tc>
      </w:tr>
    </w:tbl>
    <w:p w14:paraId="6D6F2C3D" w14:textId="77777777" w:rsidR="00650E6F" w:rsidRPr="00391E83" w:rsidRDefault="00650E6F" w:rsidP="004535F7">
      <w:pPr>
        <w:spacing w:after="0" w:line="240" w:lineRule="auto"/>
        <w:ind w:firstLine="284"/>
        <w:rPr>
          <w:rFonts w:ascii="Garamond" w:hAnsi="Garamond" w:cs="Arial Narrow"/>
          <w:i/>
          <w:sz w:val="24"/>
          <w:szCs w:val="24"/>
        </w:rPr>
      </w:pPr>
      <w:r w:rsidRPr="00391E83">
        <w:rPr>
          <w:rFonts w:ascii="Garamond" w:hAnsi="Garamond" w:cs="Arial Narrow"/>
          <w:i/>
          <w:sz w:val="24"/>
          <w:szCs w:val="24"/>
        </w:rPr>
        <w:t>Baza ligjore: Neni 80 i Marrëveshjes Kuadër të IPA II</w:t>
      </w:r>
    </w:p>
    <w:p w14:paraId="728FCC72" w14:textId="77777777" w:rsidR="00391E83" w:rsidRDefault="00391E83" w:rsidP="004535F7">
      <w:pPr>
        <w:spacing w:after="0" w:line="240" w:lineRule="auto"/>
        <w:ind w:firstLine="284"/>
        <w:rPr>
          <w:rFonts w:ascii="Garamond" w:hAnsi="Garamond" w:cs="Arial Narrow"/>
          <w:sz w:val="24"/>
          <w:szCs w:val="24"/>
        </w:rPr>
      </w:pPr>
    </w:p>
    <w:p w14:paraId="6D6F2C3E" w14:textId="45428F7A" w:rsidR="00650E6F" w:rsidRPr="00637280" w:rsidRDefault="00650E6F" w:rsidP="004535F7">
      <w:pPr>
        <w:spacing w:after="0" w:line="240" w:lineRule="auto"/>
        <w:ind w:firstLine="284"/>
        <w:rPr>
          <w:rFonts w:ascii="Garamond" w:hAnsi="Garamond" w:cs="Arial Narrow"/>
          <w:b/>
          <w:sz w:val="24"/>
          <w:szCs w:val="24"/>
        </w:rPr>
      </w:pPr>
      <w:r w:rsidRPr="00637280">
        <w:rPr>
          <w:rFonts w:ascii="Garamond" w:hAnsi="Garamond" w:cs="Arial Narrow"/>
          <w:b/>
          <w:sz w:val="24"/>
          <w:szCs w:val="24"/>
        </w:rPr>
        <w:t>2. Përmbledhje mbi zbatimin e programit të bashkëpunimit ndërkufitar</w:t>
      </w:r>
      <w:r w:rsidR="009A5DA1" w:rsidRPr="00637280">
        <w:rPr>
          <w:rFonts w:ascii="Garamond" w:hAnsi="Garamond" w:cs="Arial Narrow"/>
          <w:b/>
          <w:sz w:val="24"/>
          <w:szCs w:val="24"/>
        </w:rPr>
        <w:t xml:space="preserve"> </w:t>
      </w:r>
    </w:p>
    <w:p w14:paraId="6D6F2C3F" w14:textId="4C1B025B" w:rsidR="00650E6F" w:rsidRPr="00637280" w:rsidRDefault="00650E6F" w:rsidP="004535F7">
      <w:pPr>
        <w:spacing w:after="0" w:line="240" w:lineRule="auto"/>
        <w:ind w:firstLine="284"/>
        <w:rPr>
          <w:rFonts w:ascii="Garamond" w:hAnsi="Garamond" w:cs="Arial Narrow"/>
          <w:b/>
          <w:sz w:val="24"/>
          <w:szCs w:val="24"/>
        </w:rPr>
      </w:pPr>
      <w:r w:rsidRPr="00637280">
        <w:rPr>
          <w:rFonts w:ascii="Garamond" w:hAnsi="Garamond" w:cs="Arial Narrow"/>
          <w:b/>
          <w:iCs/>
          <w:sz w:val="24"/>
          <w:szCs w:val="24"/>
        </w:rPr>
        <w:t>2.1 Arritjet dhe analiza e progresit</w:t>
      </w:r>
      <w:r w:rsidR="009A5DA1" w:rsidRPr="00637280">
        <w:rPr>
          <w:rFonts w:ascii="Garamond" w:hAnsi="Garamond" w:cs="Arial Narrow"/>
          <w:b/>
          <w:iCs/>
          <w:sz w:val="24"/>
          <w:szCs w:val="24"/>
        </w:rPr>
        <w:t xml:space="preserve"> </w:t>
      </w:r>
    </w:p>
    <w:p w14:paraId="6D6F2C40" w14:textId="1D4D041F"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Përmbledhje mbi zbatimin e programit gjatë periudhës së mbuluar (aktivitetet e kryera, thirrjet e bëra, forumet për të kërkuar partnerë, takimet mbi KGM (</w:t>
      </w:r>
      <w:r w:rsidR="00563328" w:rsidRPr="00637280">
        <w:rPr>
          <w:rFonts w:ascii="Garamond" w:hAnsi="Garamond" w:cs="Arial Narrow"/>
          <w:iCs/>
          <w:sz w:val="24"/>
          <w:szCs w:val="24"/>
        </w:rPr>
        <w:t>komunikimin me gazetarët dhe median</w:t>
      </w:r>
      <w:r w:rsidRPr="00637280">
        <w:rPr>
          <w:rFonts w:ascii="Garamond" w:hAnsi="Garamond" w:cs="Arial Narrow"/>
          <w:iCs/>
          <w:sz w:val="24"/>
          <w:szCs w:val="24"/>
        </w:rPr>
        <w:t>) etj</w:t>
      </w:r>
      <w:r w:rsidR="00563328" w:rsidRPr="00637280">
        <w:rPr>
          <w:rFonts w:ascii="Garamond" w:hAnsi="Garamond" w:cs="Arial Narrow"/>
          <w:iCs/>
          <w:sz w:val="24"/>
          <w:szCs w:val="24"/>
        </w:rPr>
        <w:t>.</w:t>
      </w:r>
      <w:r w:rsidRPr="00637280">
        <w:rPr>
          <w:rFonts w:ascii="Garamond" w:hAnsi="Garamond" w:cs="Arial Narrow"/>
          <w:iCs/>
          <w:sz w:val="24"/>
          <w:szCs w:val="24"/>
        </w:rPr>
        <w:t>).</w:t>
      </w:r>
    </w:p>
    <w:p w14:paraId="6D6F2C41" w14:textId="5E06FC2B"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 xml:space="preserve">Nëse duhet, të përfshihet edhe informacion mbi përgatitjen apo rishikimin e programit </w:t>
      </w:r>
      <w:r w:rsidR="00BE160D" w:rsidRPr="00637280">
        <w:rPr>
          <w:rFonts w:ascii="Garamond" w:hAnsi="Garamond" w:cs="Arial Narrow"/>
          <w:iCs/>
          <w:sz w:val="24"/>
          <w:szCs w:val="24"/>
        </w:rPr>
        <w:t>2014–2020</w:t>
      </w:r>
      <w:r w:rsidRPr="00637280">
        <w:rPr>
          <w:rFonts w:ascii="Garamond" w:hAnsi="Garamond" w:cs="Arial Narrow"/>
          <w:iCs/>
          <w:sz w:val="24"/>
          <w:szCs w:val="24"/>
        </w:rPr>
        <w:t xml:space="preserve"> </w:t>
      </w:r>
    </w:p>
    <w:p w14:paraId="6D6F2C42" w14:textId="36292527" w:rsidR="00650E6F" w:rsidRPr="00637280" w:rsidRDefault="00650E6F" w:rsidP="00637280">
      <w:pPr>
        <w:tabs>
          <w:tab w:val="left" w:pos="700"/>
        </w:tabs>
        <w:spacing w:after="0" w:line="240" w:lineRule="auto"/>
        <w:ind w:firstLine="284"/>
        <w:jc w:val="both"/>
        <w:rPr>
          <w:rFonts w:ascii="Garamond" w:hAnsi="Garamond" w:cs="Arial Narrow"/>
          <w:b/>
          <w:iCs/>
          <w:sz w:val="24"/>
          <w:szCs w:val="24"/>
        </w:rPr>
      </w:pPr>
      <w:r w:rsidRPr="00637280">
        <w:rPr>
          <w:rFonts w:ascii="Garamond" w:hAnsi="Garamond" w:cs="Arial Narrow"/>
          <w:b/>
          <w:iCs/>
          <w:sz w:val="24"/>
          <w:szCs w:val="24"/>
        </w:rPr>
        <w:t xml:space="preserve">2.2 Progresi në zbatimin e programit të bashkëpunimit </w:t>
      </w:r>
      <w:r w:rsidR="001E1489" w:rsidRPr="00637280">
        <w:rPr>
          <w:rFonts w:ascii="Garamond" w:hAnsi="Garamond" w:cs="Arial Narrow"/>
          <w:b/>
          <w:iCs/>
          <w:sz w:val="24"/>
          <w:szCs w:val="24"/>
        </w:rPr>
        <w:t>ndër</w:t>
      </w:r>
      <w:r w:rsidRPr="00637280">
        <w:rPr>
          <w:rFonts w:ascii="Garamond" w:hAnsi="Garamond" w:cs="Arial Narrow"/>
          <w:b/>
          <w:iCs/>
          <w:sz w:val="24"/>
          <w:szCs w:val="24"/>
        </w:rPr>
        <w:t>kufitar (</w:t>
      </w:r>
      <w:r w:rsidR="00563328" w:rsidRPr="00637280">
        <w:rPr>
          <w:rFonts w:ascii="Garamond" w:hAnsi="Garamond" w:cs="Arial Narrow"/>
          <w:b/>
          <w:iCs/>
          <w:sz w:val="24"/>
          <w:szCs w:val="24"/>
        </w:rPr>
        <w:t xml:space="preserve">neni </w:t>
      </w:r>
      <w:r w:rsidRPr="00637280">
        <w:rPr>
          <w:rFonts w:ascii="Garamond" w:hAnsi="Garamond" w:cs="Arial Narrow"/>
          <w:b/>
          <w:iCs/>
          <w:sz w:val="24"/>
          <w:szCs w:val="24"/>
        </w:rPr>
        <w:t xml:space="preserve">80.1a IPA II FWA) </w:t>
      </w:r>
    </w:p>
    <w:p w14:paraId="6D6F2C43" w14:textId="66360B10" w:rsidR="00650E6F" w:rsidRPr="00637280" w:rsidRDefault="00650E6F" w:rsidP="004535F7">
      <w:pPr>
        <w:tabs>
          <w:tab w:val="left" w:pos="560"/>
        </w:tabs>
        <w:spacing w:after="0" w:line="240" w:lineRule="auto"/>
        <w:ind w:firstLine="284"/>
        <w:jc w:val="both"/>
        <w:rPr>
          <w:rFonts w:ascii="Garamond" w:hAnsi="Garamond" w:cs="Arial Narrow"/>
          <w:sz w:val="24"/>
          <w:szCs w:val="24"/>
        </w:rPr>
      </w:pPr>
      <w:r w:rsidRPr="00637280">
        <w:rPr>
          <w:rFonts w:ascii="Garamond" w:hAnsi="Garamond" w:cs="Arial Narrow"/>
          <w:sz w:val="24"/>
          <w:szCs w:val="24"/>
        </w:rPr>
        <w:t>Progresi i bërë në zbatimin e programit të bashkëpunimit ndërkufitar dhe në veçanti në arritjen e objektivave specifik</w:t>
      </w:r>
      <w:r w:rsidR="00B40F1C" w:rsidRPr="00637280">
        <w:rPr>
          <w:rFonts w:ascii="Garamond" w:hAnsi="Garamond" w:cs="Arial Narrow"/>
          <w:sz w:val="24"/>
          <w:szCs w:val="24"/>
        </w:rPr>
        <w:t>ë</w:t>
      </w:r>
      <w:r w:rsidRPr="00637280">
        <w:rPr>
          <w:rFonts w:ascii="Garamond" w:hAnsi="Garamond" w:cs="Arial Narrow"/>
          <w:sz w:val="24"/>
          <w:szCs w:val="24"/>
        </w:rPr>
        <w:t xml:space="preserve"> për çdo prioritet tematik (si dhe për prioritetin e </w:t>
      </w:r>
      <w:r w:rsidR="00563328" w:rsidRPr="00637280">
        <w:rPr>
          <w:rFonts w:ascii="Garamond" w:hAnsi="Garamond" w:cs="Arial Narrow"/>
          <w:sz w:val="24"/>
          <w:szCs w:val="24"/>
        </w:rPr>
        <w:t>asistencës teknike</w:t>
      </w:r>
      <w:r w:rsidRPr="00637280">
        <w:rPr>
          <w:rFonts w:ascii="Garamond" w:hAnsi="Garamond" w:cs="Arial Narrow"/>
          <w:sz w:val="24"/>
          <w:szCs w:val="24"/>
        </w:rPr>
        <w:t>), duke përfshirë edhe elementet cilësore dhe sasiorë që tregojnë përparim në lidhje me objektivat.</w:t>
      </w:r>
    </w:p>
    <w:p w14:paraId="6D6F2C44" w14:textId="77777777" w:rsidR="00650E6F" w:rsidRPr="00637280" w:rsidRDefault="00650E6F" w:rsidP="004535F7">
      <w:pPr>
        <w:tabs>
          <w:tab w:val="left" w:pos="560"/>
        </w:tabs>
        <w:spacing w:after="0" w:line="240" w:lineRule="auto"/>
        <w:ind w:firstLine="284"/>
        <w:jc w:val="both"/>
        <w:rPr>
          <w:rFonts w:ascii="Garamond" w:hAnsi="Garamond" w:cs="Arial Narrow"/>
          <w:b/>
          <w:sz w:val="24"/>
          <w:szCs w:val="24"/>
        </w:rPr>
      </w:pPr>
      <w:r w:rsidRPr="00637280">
        <w:rPr>
          <w:rFonts w:ascii="Garamond" w:hAnsi="Garamond" w:cs="Arial Narrow"/>
          <w:b/>
          <w:sz w:val="24"/>
          <w:szCs w:val="24"/>
        </w:rPr>
        <w:t xml:space="preserve">2.2.1 Analiza sasiore </w:t>
      </w:r>
    </w:p>
    <w:p w14:paraId="6D6F2C45" w14:textId="79B7FC7D" w:rsidR="00650E6F" w:rsidRPr="00637280" w:rsidRDefault="00650E6F" w:rsidP="004535F7">
      <w:pPr>
        <w:tabs>
          <w:tab w:val="left" w:pos="700"/>
        </w:tabs>
        <w:spacing w:after="0" w:line="240" w:lineRule="auto"/>
        <w:ind w:firstLine="284"/>
        <w:jc w:val="both"/>
        <w:rPr>
          <w:rFonts w:ascii="Garamond" w:hAnsi="Garamond" w:cs="Arial Narrow"/>
          <w:b/>
          <w:b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Informacion mbi progresin e bërë në zbatimin e programit ndërkufitar, me përcaktimet sasiore kur është e mundur, duke përdorur objektivat dhe treguesit që përfshihen në program (</w:t>
      </w:r>
      <w:r w:rsidR="00563328" w:rsidRPr="00637280">
        <w:rPr>
          <w:rFonts w:ascii="Garamond" w:hAnsi="Garamond" w:cs="Arial Narrow"/>
          <w:b/>
          <w:bCs/>
          <w:iCs/>
          <w:sz w:val="24"/>
          <w:szCs w:val="24"/>
        </w:rPr>
        <w:t xml:space="preserve">plotësoni shtojcën </w:t>
      </w:r>
      <w:r w:rsidRPr="00637280">
        <w:rPr>
          <w:rFonts w:ascii="Garamond" w:hAnsi="Garamond" w:cs="Arial Narrow"/>
          <w:b/>
          <w:bCs/>
          <w:iCs/>
          <w:sz w:val="24"/>
          <w:szCs w:val="24"/>
        </w:rPr>
        <w:t>1</w:t>
      </w:r>
      <w:r w:rsidRPr="00637280">
        <w:rPr>
          <w:rFonts w:ascii="Garamond" w:hAnsi="Garamond" w:cs="Arial Narrow"/>
          <w:iCs/>
          <w:sz w:val="24"/>
          <w:szCs w:val="24"/>
        </w:rPr>
        <w:t>)</w:t>
      </w:r>
    </w:p>
    <w:p w14:paraId="6D6F2C46" w14:textId="77777777" w:rsidR="00650E6F" w:rsidRPr="00637280" w:rsidRDefault="00650E6F" w:rsidP="004535F7">
      <w:pPr>
        <w:spacing w:after="0" w:line="240" w:lineRule="auto"/>
        <w:ind w:firstLine="284"/>
        <w:jc w:val="both"/>
        <w:rPr>
          <w:rFonts w:ascii="Garamond" w:hAnsi="Garamond" w:cs="Arial Narrow"/>
          <w:iCs/>
          <w:sz w:val="24"/>
          <w:szCs w:val="24"/>
        </w:rPr>
      </w:pPr>
      <w:r w:rsidRPr="00637280">
        <w:rPr>
          <w:rFonts w:ascii="Garamond" w:hAnsi="Garamond" w:cs="Arial Narrow"/>
          <w:iCs/>
          <w:sz w:val="24"/>
          <w:szCs w:val="24"/>
        </w:rPr>
        <w:t>Analizë e arritjeve sipas matjeve nga treguesit fizikë dhe financiarë. Treguesit do të ndahen sipas gjinisë, kur është e mundur.</w:t>
      </w:r>
    </w:p>
    <w:p w14:paraId="6D6F2C47" w14:textId="77777777" w:rsidR="00650E6F" w:rsidRPr="00637280" w:rsidRDefault="00650E6F" w:rsidP="004535F7">
      <w:pPr>
        <w:spacing w:after="0" w:line="240" w:lineRule="auto"/>
        <w:ind w:firstLine="284"/>
        <w:jc w:val="both"/>
        <w:rPr>
          <w:rFonts w:ascii="Garamond" w:hAnsi="Garamond" w:cs="Arial Narrow"/>
          <w:iCs/>
          <w:sz w:val="24"/>
          <w:szCs w:val="24"/>
        </w:rPr>
      </w:pPr>
      <w:r w:rsidRPr="00637280">
        <w:rPr>
          <w:rFonts w:ascii="Garamond" w:hAnsi="Garamond" w:cs="Arial Narrow"/>
          <w:iCs/>
          <w:sz w:val="24"/>
          <w:szCs w:val="24"/>
        </w:rPr>
        <w:t>Nëse shifrat (të dhënat) nuk janë vënë akoma në dispozicion, duhet të jepet informacion se kur do të vihen në dispozicion dhe kur do të përfshihen në raportin vjetor mbi zbatimin. Gjithashtu, informacioni mund të paraqitet grafikisht.</w:t>
      </w:r>
    </w:p>
    <w:p w14:paraId="6D6F2C48" w14:textId="330ABB15" w:rsidR="00650E6F" w:rsidRPr="00637280" w:rsidRDefault="00650E6F" w:rsidP="004535F7">
      <w:pPr>
        <w:spacing w:after="0" w:line="240" w:lineRule="auto"/>
        <w:ind w:firstLine="284"/>
        <w:jc w:val="both"/>
        <w:rPr>
          <w:rFonts w:ascii="Garamond" w:hAnsi="Garamond" w:cs="Arial Narrow"/>
          <w:b/>
          <w:iCs/>
          <w:sz w:val="24"/>
          <w:szCs w:val="24"/>
        </w:rPr>
      </w:pPr>
      <w:r w:rsidRPr="00637280">
        <w:rPr>
          <w:rFonts w:ascii="Garamond" w:hAnsi="Garamond" w:cs="Arial Narrow"/>
          <w:b/>
          <w:sz w:val="24"/>
          <w:szCs w:val="24"/>
        </w:rPr>
        <w:t>2.2.2</w:t>
      </w:r>
      <w:r w:rsidR="009A5DA1" w:rsidRPr="00637280">
        <w:rPr>
          <w:rFonts w:ascii="Garamond" w:hAnsi="Garamond" w:cs="Arial Narrow"/>
          <w:b/>
          <w:sz w:val="24"/>
          <w:szCs w:val="24"/>
        </w:rPr>
        <w:t xml:space="preserve"> </w:t>
      </w:r>
      <w:r w:rsidRPr="00637280">
        <w:rPr>
          <w:rFonts w:ascii="Garamond" w:hAnsi="Garamond" w:cs="Arial Narrow"/>
          <w:b/>
          <w:sz w:val="24"/>
          <w:szCs w:val="24"/>
        </w:rPr>
        <w:t>Analiza cilësore</w:t>
      </w:r>
    </w:p>
    <w:p w14:paraId="6D6F2C49" w14:textId="77777777"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Analiza cilësore e progresit të bërë në zbatimin e programit ndërkufitar, duke përfshirë një analizë të ndikimit të programit në zonën e programit</w:t>
      </w:r>
    </w:p>
    <w:p w14:paraId="6D6F2C4A" w14:textId="60FFF1A5" w:rsidR="00650E6F" w:rsidRPr="00637280" w:rsidRDefault="00650E6F" w:rsidP="004535F7">
      <w:pPr>
        <w:tabs>
          <w:tab w:val="left" w:pos="700"/>
        </w:tabs>
        <w:spacing w:after="0" w:line="240" w:lineRule="auto"/>
        <w:ind w:firstLine="284"/>
        <w:rPr>
          <w:rFonts w:ascii="Garamond" w:hAnsi="Garamond"/>
          <w:b/>
          <w:iCs/>
          <w:sz w:val="24"/>
          <w:szCs w:val="24"/>
        </w:rPr>
      </w:pPr>
      <w:r w:rsidRPr="00637280">
        <w:rPr>
          <w:rFonts w:ascii="Garamond" w:hAnsi="Garamond" w:cs="Arial Narrow"/>
          <w:b/>
          <w:iCs/>
          <w:sz w:val="24"/>
          <w:szCs w:val="24"/>
        </w:rPr>
        <w:t>2.3 Informacione të hollësishme për ekzekutimin financiar të programit të bashkëpunimit ndërkufitar (</w:t>
      </w:r>
      <w:r w:rsidR="00563328" w:rsidRPr="00637280">
        <w:rPr>
          <w:rFonts w:ascii="Garamond" w:hAnsi="Garamond" w:cs="Arial Narrow"/>
          <w:b/>
          <w:iCs/>
          <w:sz w:val="24"/>
          <w:szCs w:val="24"/>
        </w:rPr>
        <w:t xml:space="preserve">neni </w:t>
      </w:r>
      <w:r w:rsidRPr="00637280">
        <w:rPr>
          <w:rFonts w:ascii="Garamond" w:hAnsi="Garamond" w:cs="Arial Narrow"/>
          <w:b/>
          <w:iCs/>
          <w:sz w:val="24"/>
          <w:szCs w:val="24"/>
        </w:rPr>
        <w:t>801 (d) IPAII FWA)</w:t>
      </w:r>
      <w:r w:rsidRPr="00637280">
        <w:rPr>
          <w:rStyle w:val="FootnoteReference"/>
          <w:rFonts w:ascii="Garamond" w:hAnsi="Garamond" w:cs="Arial Narrow"/>
          <w:b/>
          <w:iCs/>
          <w:sz w:val="24"/>
          <w:szCs w:val="24"/>
        </w:rPr>
        <w:footnoteReference w:id="26"/>
      </w:r>
      <w:r w:rsidR="009A5DA1" w:rsidRPr="00637280">
        <w:rPr>
          <w:rFonts w:ascii="Garamond" w:hAnsi="Garamond" w:cs="Arial Narrow"/>
          <w:b/>
          <w:iCs/>
          <w:sz w:val="24"/>
          <w:szCs w:val="24"/>
        </w:rPr>
        <w:t xml:space="preserve"> </w:t>
      </w:r>
    </w:p>
    <w:p w14:paraId="6D6F2C4B" w14:textId="357BDC96"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 xml:space="preserve">Informacion mbi kontraktimin dhe ndarja e përfitimeve vjetore </w:t>
      </w:r>
      <w:r w:rsidRPr="00637280">
        <w:rPr>
          <w:rFonts w:ascii="Garamond" w:hAnsi="Garamond" w:cs="Arial Narrow"/>
          <w:b/>
          <w:bCs/>
          <w:iCs/>
          <w:sz w:val="24"/>
          <w:szCs w:val="24"/>
        </w:rPr>
        <w:t xml:space="preserve">(*** </w:t>
      </w:r>
      <w:r w:rsidR="00563328" w:rsidRPr="00637280">
        <w:rPr>
          <w:rFonts w:ascii="Garamond" w:hAnsi="Garamond" w:cs="Arial Narrow"/>
          <w:b/>
          <w:bCs/>
          <w:iCs/>
          <w:sz w:val="24"/>
          <w:szCs w:val="24"/>
        </w:rPr>
        <w:t xml:space="preserve">plotësoni shtojcën </w:t>
      </w:r>
      <w:r w:rsidRPr="00637280">
        <w:rPr>
          <w:rFonts w:ascii="Garamond" w:hAnsi="Garamond" w:cs="Arial Narrow"/>
          <w:b/>
          <w:bCs/>
          <w:iCs/>
          <w:sz w:val="24"/>
          <w:szCs w:val="24"/>
        </w:rPr>
        <w:t>2</w:t>
      </w:r>
      <w:r w:rsidRPr="00637280">
        <w:rPr>
          <w:rFonts w:ascii="Garamond" w:hAnsi="Garamond" w:cs="Arial Narrow"/>
          <w:iCs/>
          <w:sz w:val="24"/>
          <w:szCs w:val="24"/>
        </w:rPr>
        <w:t>)</w:t>
      </w:r>
    </w:p>
    <w:p w14:paraId="6D6F2C4C" w14:textId="77777777"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Analiza e faktorëve të mëposhtëm:</w:t>
      </w:r>
    </w:p>
    <w:p w14:paraId="6D6F2C4D" w14:textId="1723F952" w:rsidR="00650E6F" w:rsidRPr="00637280" w:rsidRDefault="00244757" w:rsidP="004535F7">
      <w:pPr>
        <w:tabs>
          <w:tab w:val="left" w:pos="720"/>
        </w:tabs>
        <w:spacing w:after="0" w:line="240" w:lineRule="auto"/>
        <w:ind w:firstLine="284"/>
        <w:jc w:val="both"/>
        <w:rPr>
          <w:rFonts w:ascii="Garamond" w:hAnsi="Garamond" w:cs="Arial Narrow"/>
          <w:iCs/>
          <w:sz w:val="24"/>
          <w:szCs w:val="24"/>
        </w:rPr>
      </w:pPr>
      <w:r w:rsidRPr="00637280">
        <w:rPr>
          <w:rFonts w:ascii="Garamond" w:hAnsi="Garamond" w:cs="Symbol"/>
          <w:sz w:val="24"/>
          <w:szCs w:val="24"/>
        </w:rPr>
        <w:t>-</w:t>
      </w:r>
      <w:r w:rsidR="00650E6F" w:rsidRPr="00637280">
        <w:rPr>
          <w:rFonts w:ascii="Garamond" w:hAnsi="Garamond" w:cs="Symbol"/>
          <w:sz w:val="24"/>
          <w:szCs w:val="24"/>
        </w:rPr>
        <w:t xml:space="preserve"> </w:t>
      </w:r>
      <w:r w:rsidRPr="00637280">
        <w:rPr>
          <w:rFonts w:ascii="Garamond" w:hAnsi="Garamond" w:cs="Arial Narrow"/>
          <w:iCs/>
          <w:sz w:val="24"/>
          <w:szCs w:val="24"/>
        </w:rPr>
        <w:t xml:space="preserve">statusi </w:t>
      </w:r>
      <w:r w:rsidR="00650E6F" w:rsidRPr="00637280">
        <w:rPr>
          <w:rFonts w:ascii="Garamond" w:hAnsi="Garamond" w:cs="Arial Narrow"/>
          <w:iCs/>
          <w:sz w:val="24"/>
          <w:szCs w:val="24"/>
        </w:rPr>
        <w:t>financiar</w:t>
      </w:r>
      <w:r w:rsidRPr="00637280">
        <w:rPr>
          <w:rFonts w:ascii="Garamond" w:hAnsi="Garamond" w:cs="Arial Narrow"/>
          <w:iCs/>
          <w:sz w:val="24"/>
          <w:szCs w:val="24"/>
        </w:rPr>
        <w:t>;</w:t>
      </w:r>
    </w:p>
    <w:p w14:paraId="6D6F2C4E" w14:textId="5A208213" w:rsidR="00650E6F" w:rsidRPr="00637280" w:rsidRDefault="00244757" w:rsidP="004535F7">
      <w:pPr>
        <w:tabs>
          <w:tab w:val="left" w:pos="720"/>
        </w:tabs>
        <w:spacing w:after="0" w:line="240" w:lineRule="auto"/>
        <w:ind w:firstLine="284"/>
        <w:jc w:val="both"/>
        <w:rPr>
          <w:rFonts w:ascii="Garamond" w:hAnsi="Garamond" w:cs="Arial Narrow"/>
          <w:iCs/>
          <w:sz w:val="24"/>
          <w:szCs w:val="24"/>
        </w:rPr>
      </w:pPr>
      <w:r w:rsidRPr="00637280">
        <w:rPr>
          <w:rFonts w:ascii="Garamond" w:hAnsi="Garamond" w:cs="Symbol"/>
          <w:sz w:val="24"/>
          <w:szCs w:val="24"/>
        </w:rPr>
        <w:t>-</w:t>
      </w:r>
      <w:r w:rsidR="00650E6F" w:rsidRPr="00637280">
        <w:rPr>
          <w:rFonts w:ascii="Garamond" w:hAnsi="Garamond" w:cs="Symbol"/>
          <w:sz w:val="24"/>
          <w:szCs w:val="24"/>
        </w:rPr>
        <w:t xml:space="preserve"> </w:t>
      </w:r>
      <w:r w:rsidRPr="00637280">
        <w:rPr>
          <w:rFonts w:ascii="Garamond" w:hAnsi="Garamond" w:cs="Arial Narrow"/>
          <w:iCs/>
          <w:sz w:val="24"/>
          <w:szCs w:val="24"/>
        </w:rPr>
        <w:t xml:space="preserve">informacion </w:t>
      </w:r>
      <w:r w:rsidR="00650E6F" w:rsidRPr="00637280">
        <w:rPr>
          <w:rFonts w:ascii="Garamond" w:hAnsi="Garamond" w:cs="Arial Narrow"/>
          <w:iCs/>
          <w:sz w:val="24"/>
          <w:szCs w:val="24"/>
        </w:rPr>
        <w:t xml:space="preserve">mbi </w:t>
      </w:r>
      <w:r w:rsidR="00036A7C" w:rsidRPr="00637280">
        <w:rPr>
          <w:rFonts w:ascii="Garamond" w:hAnsi="Garamond" w:cs="Arial Narrow"/>
          <w:iCs/>
          <w:sz w:val="24"/>
          <w:szCs w:val="24"/>
        </w:rPr>
        <w:t>bashkë</w:t>
      </w:r>
      <w:r w:rsidR="00650E6F" w:rsidRPr="00637280">
        <w:rPr>
          <w:rFonts w:ascii="Garamond" w:hAnsi="Garamond" w:cs="Arial Narrow"/>
          <w:iCs/>
          <w:sz w:val="24"/>
          <w:szCs w:val="24"/>
        </w:rPr>
        <w:t>financimet</w:t>
      </w:r>
      <w:r w:rsidRPr="00637280">
        <w:rPr>
          <w:rFonts w:ascii="Garamond" w:hAnsi="Garamond" w:cs="Arial Narrow"/>
          <w:iCs/>
          <w:sz w:val="24"/>
          <w:szCs w:val="24"/>
        </w:rPr>
        <w:t>;</w:t>
      </w:r>
    </w:p>
    <w:p w14:paraId="6D6F2C4F" w14:textId="0806B1B7" w:rsidR="00650E6F" w:rsidRPr="00637280" w:rsidRDefault="00244757" w:rsidP="004535F7">
      <w:pPr>
        <w:tabs>
          <w:tab w:val="left" w:pos="720"/>
        </w:tabs>
        <w:spacing w:after="0" w:line="240" w:lineRule="auto"/>
        <w:ind w:firstLine="284"/>
        <w:jc w:val="both"/>
        <w:rPr>
          <w:rFonts w:ascii="Garamond" w:hAnsi="Garamond" w:cs="Arial Narrow"/>
          <w:iCs/>
          <w:sz w:val="24"/>
          <w:szCs w:val="24"/>
        </w:rPr>
      </w:pPr>
      <w:r w:rsidRPr="00637280">
        <w:rPr>
          <w:rFonts w:ascii="Garamond" w:hAnsi="Garamond" w:cs="Symbol"/>
          <w:sz w:val="24"/>
          <w:szCs w:val="24"/>
        </w:rPr>
        <w:t>-</w:t>
      </w:r>
      <w:r w:rsidR="00650E6F" w:rsidRPr="00637280">
        <w:rPr>
          <w:rFonts w:ascii="Garamond" w:hAnsi="Garamond" w:cs="Symbol"/>
          <w:sz w:val="24"/>
          <w:szCs w:val="24"/>
        </w:rPr>
        <w:t xml:space="preserve"> </w:t>
      </w:r>
      <w:r w:rsidRPr="00637280">
        <w:rPr>
          <w:rFonts w:ascii="Garamond" w:hAnsi="Garamond" w:cs="Arial Narrow"/>
          <w:iCs/>
          <w:sz w:val="24"/>
          <w:szCs w:val="24"/>
        </w:rPr>
        <w:t xml:space="preserve">faktorët </w:t>
      </w:r>
      <w:r w:rsidR="00650E6F" w:rsidRPr="00637280">
        <w:rPr>
          <w:rFonts w:ascii="Garamond" w:hAnsi="Garamond" w:cs="Arial Narrow"/>
          <w:iCs/>
          <w:sz w:val="24"/>
          <w:szCs w:val="24"/>
        </w:rPr>
        <w:t>që kanë penguar dhe</w:t>
      </w:r>
      <w:r w:rsidRPr="00637280">
        <w:rPr>
          <w:rFonts w:ascii="Garamond" w:hAnsi="Garamond" w:cs="Arial Narrow"/>
          <w:iCs/>
          <w:sz w:val="24"/>
          <w:szCs w:val="24"/>
        </w:rPr>
        <w:t xml:space="preserve"> /ose vonuar zbatimin financiar;</w:t>
      </w:r>
    </w:p>
    <w:p w14:paraId="6D6F2C50" w14:textId="03DC7713" w:rsidR="00650E6F" w:rsidRPr="00637280" w:rsidRDefault="00244757" w:rsidP="004535F7">
      <w:pPr>
        <w:tabs>
          <w:tab w:val="left" w:pos="720"/>
        </w:tabs>
        <w:spacing w:after="0" w:line="240" w:lineRule="auto"/>
        <w:ind w:firstLine="284"/>
        <w:jc w:val="both"/>
        <w:rPr>
          <w:rFonts w:ascii="Garamond" w:hAnsi="Garamond" w:cs="Arial Narrow"/>
          <w:iCs/>
          <w:sz w:val="24"/>
          <w:szCs w:val="24"/>
        </w:rPr>
      </w:pPr>
      <w:r w:rsidRPr="00637280">
        <w:rPr>
          <w:rFonts w:ascii="Garamond" w:hAnsi="Garamond" w:cs="Symbol"/>
          <w:sz w:val="24"/>
          <w:szCs w:val="24"/>
        </w:rPr>
        <w:t>-</w:t>
      </w:r>
      <w:r w:rsidR="00650E6F" w:rsidRPr="00637280">
        <w:rPr>
          <w:rFonts w:ascii="Garamond" w:hAnsi="Garamond" w:cs="Symbol"/>
          <w:sz w:val="24"/>
          <w:szCs w:val="24"/>
        </w:rPr>
        <w:t xml:space="preserve"> </w:t>
      </w:r>
      <w:r w:rsidRPr="00637280">
        <w:rPr>
          <w:rFonts w:ascii="Garamond" w:hAnsi="Garamond" w:cs="Arial Narrow"/>
          <w:iCs/>
          <w:sz w:val="24"/>
          <w:szCs w:val="24"/>
        </w:rPr>
        <w:t xml:space="preserve">faktorët </w:t>
      </w:r>
      <w:r w:rsidR="00650E6F" w:rsidRPr="00637280">
        <w:rPr>
          <w:rFonts w:ascii="Garamond" w:hAnsi="Garamond" w:cs="Arial Narrow"/>
          <w:iCs/>
          <w:sz w:val="24"/>
          <w:szCs w:val="24"/>
        </w:rPr>
        <w:t>që kanë pasur ndikim pozitiv në zbatimin financiar</w:t>
      </w:r>
      <w:r w:rsidRPr="00637280">
        <w:rPr>
          <w:rFonts w:ascii="Garamond" w:hAnsi="Garamond" w:cs="Arial Narrow"/>
          <w:iCs/>
          <w:sz w:val="24"/>
          <w:szCs w:val="24"/>
        </w:rPr>
        <w:t>.</w:t>
      </w:r>
    </w:p>
    <w:p w14:paraId="6D6F2C51" w14:textId="3ED1E340" w:rsidR="00650E6F" w:rsidRPr="00637280" w:rsidRDefault="00650E6F" w:rsidP="004535F7">
      <w:pPr>
        <w:tabs>
          <w:tab w:val="left" w:pos="720"/>
        </w:tabs>
        <w:spacing w:after="0" w:line="240" w:lineRule="auto"/>
        <w:ind w:firstLine="284"/>
        <w:jc w:val="both"/>
        <w:rPr>
          <w:rFonts w:ascii="Garamond" w:hAnsi="Garamond" w:cs="Arial Narrow"/>
          <w:b/>
          <w:iCs/>
          <w:sz w:val="24"/>
          <w:szCs w:val="24"/>
        </w:rPr>
      </w:pPr>
      <w:r w:rsidRPr="00637280">
        <w:rPr>
          <w:rFonts w:ascii="Garamond" w:hAnsi="Garamond" w:cs="Arial Narrow"/>
          <w:b/>
          <w:iCs/>
          <w:sz w:val="24"/>
          <w:szCs w:val="24"/>
        </w:rPr>
        <w:lastRenderedPageBreak/>
        <w:t>2.4. Informacion mbi hapat e ndërmarr</w:t>
      </w:r>
      <w:r w:rsidR="00AC11EE" w:rsidRPr="00637280">
        <w:rPr>
          <w:rFonts w:ascii="Garamond" w:hAnsi="Garamond" w:cs="Arial Narrow"/>
          <w:b/>
          <w:iCs/>
          <w:sz w:val="24"/>
          <w:szCs w:val="24"/>
        </w:rPr>
        <w:t>ë</w:t>
      </w:r>
      <w:r w:rsidRPr="00637280">
        <w:rPr>
          <w:rFonts w:ascii="Garamond" w:hAnsi="Garamond" w:cs="Arial Narrow"/>
          <w:b/>
          <w:iCs/>
          <w:sz w:val="24"/>
          <w:szCs w:val="24"/>
        </w:rPr>
        <w:t xml:space="preserve"> nga strukturat operuese dhe/ose Komiteti i Përbashkët Monitorues për të siguruar cilësinë dhe efektivitetin e zbatimit:</w:t>
      </w:r>
    </w:p>
    <w:p w14:paraId="6D6F2C52" w14:textId="77777777" w:rsidR="00650E6F" w:rsidRPr="00637280" w:rsidRDefault="00650E6F" w:rsidP="004535F7">
      <w:pPr>
        <w:tabs>
          <w:tab w:val="left" w:pos="720"/>
        </w:tabs>
        <w:spacing w:after="0" w:line="240" w:lineRule="auto"/>
        <w:ind w:firstLine="284"/>
        <w:jc w:val="both"/>
        <w:rPr>
          <w:rFonts w:ascii="Garamond" w:hAnsi="Garamond" w:cs="Arial Narrow"/>
          <w:b/>
          <w:iCs/>
          <w:sz w:val="24"/>
          <w:szCs w:val="24"/>
        </w:rPr>
      </w:pPr>
      <w:r w:rsidRPr="00637280">
        <w:rPr>
          <w:rFonts w:ascii="Garamond" w:hAnsi="Garamond" w:cs="Arial Narrow"/>
          <w:b/>
          <w:sz w:val="24"/>
          <w:szCs w:val="24"/>
        </w:rPr>
        <w:t xml:space="preserve">2.4.1 Monitorimi dhe vlerësimi </w:t>
      </w:r>
    </w:p>
    <w:p w14:paraId="6D6F2C53" w14:textId="77777777" w:rsidR="00650E6F" w:rsidRPr="00637280" w:rsidRDefault="00650E6F" w:rsidP="004535F7">
      <w:pPr>
        <w:tabs>
          <w:tab w:val="left" w:pos="700"/>
        </w:tabs>
        <w:spacing w:after="0" w:line="240" w:lineRule="auto"/>
        <w:ind w:firstLine="284"/>
        <w:jc w:val="both"/>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Masat monitoruese të ndërmarra nga strukturat operuese ose Komiteti i Përbashkët Monitorues përfshijnë marrëveshjet për mbledhjen e të dhënave.</w:t>
      </w:r>
    </w:p>
    <w:p w14:paraId="6D6F2C54" w14:textId="67CE8513" w:rsidR="00650E6F" w:rsidRPr="00637280" w:rsidRDefault="00650E6F" w:rsidP="004535F7">
      <w:pPr>
        <w:tabs>
          <w:tab w:val="left" w:pos="700"/>
        </w:tabs>
        <w:spacing w:after="0" w:line="240" w:lineRule="auto"/>
        <w:ind w:firstLine="284"/>
        <w:jc w:val="both"/>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Në programet e zbatuara me masa të tërthorta të vlerësimit të menaxhimit të ndërmarra nga struktura operuese aty ku ndodhet</w:t>
      </w:r>
      <w:r w:rsidR="009A5DA1" w:rsidRPr="00637280">
        <w:rPr>
          <w:rFonts w:ascii="Garamond" w:hAnsi="Garamond" w:cs="Arial Narrow"/>
          <w:iCs/>
          <w:sz w:val="24"/>
          <w:szCs w:val="24"/>
        </w:rPr>
        <w:t xml:space="preserve"> </w:t>
      </w:r>
      <w:r w:rsidR="00563328" w:rsidRPr="00637280">
        <w:rPr>
          <w:rFonts w:ascii="Garamond" w:hAnsi="Garamond" w:cs="Arial Narrow"/>
          <w:iCs/>
          <w:sz w:val="24"/>
          <w:szCs w:val="24"/>
        </w:rPr>
        <w:t>a</w:t>
      </w:r>
      <w:r w:rsidRPr="00637280">
        <w:rPr>
          <w:rFonts w:ascii="Garamond" w:hAnsi="Garamond" w:cs="Arial Narrow"/>
          <w:iCs/>
          <w:sz w:val="24"/>
          <w:szCs w:val="24"/>
        </w:rPr>
        <w:t xml:space="preserve">utoriteti kontraktues (neni 57 i FWA-së). </w:t>
      </w:r>
    </w:p>
    <w:p w14:paraId="6D6F2C55" w14:textId="10085D81" w:rsidR="00650E6F" w:rsidRPr="00637280" w:rsidRDefault="00650E6F" w:rsidP="004535F7">
      <w:pPr>
        <w:tabs>
          <w:tab w:val="left" w:pos="700"/>
        </w:tabs>
        <w:spacing w:after="0" w:line="240" w:lineRule="auto"/>
        <w:ind w:firstLine="284"/>
        <w:jc w:val="both"/>
        <w:rPr>
          <w:rFonts w:ascii="Garamond" w:hAnsi="Garamond" w:cs="Arial Narrow"/>
          <w:b/>
          <w:iCs/>
          <w:sz w:val="24"/>
          <w:szCs w:val="24"/>
        </w:rPr>
      </w:pPr>
      <w:r w:rsidRPr="00637280">
        <w:rPr>
          <w:rFonts w:ascii="Garamond" w:hAnsi="Garamond" w:cs="Arial Narrow"/>
          <w:b/>
          <w:sz w:val="24"/>
          <w:szCs w:val="24"/>
        </w:rPr>
        <w:t>2.4.2 Problemet e hasura dhe veprimet korrigjuese</w:t>
      </w:r>
      <w:r w:rsidR="009A5DA1" w:rsidRPr="00637280">
        <w:rPr>
          <w:rFonts w:ascii="Garamond" w:hAnsi="Garamond" w:cs="Arial Narrow"/>
          <w:b/>
          <w:sz w:val="24"/>
          <w:szCs w:val="24"/>
        </w:rPr>
        <w:t xml:space="preserve"> </w:t>
      </w:r>
    </w:p>
    <w:p w14:paraId="6D6F2C56" w14:textId="77777777" w:rsidR="00650E6F" w:rsidRPr="00637280" w:rsidRDefault="00650E6F" w:rsidP="004535F7">
      <w:pPr>
        <w:tabs>
          <w:tab w:val="left" w:pos="700"/>
        </w:tabs>
        <w:spacing w:after="0" w:line="240" w:lineRule="auto"/>
        <w:ind w:firstLine="284"/>
        <w:jc w:val="both"/>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 xml:space="preserve">Përmbledhje e çdo problemi të rëndësishëm të hasur në zbatimin e programit dhe çdo veprimi korrigjues të ndërmarrë. </w:t>
      </w:r>
    </w:p>
    <w:p w14:paraId="6D6F2C57" w14:textId="77777777" w:rsidR="00650E6F" w:rsidRPr="00637280" w:rsidRDefault="00650E6F" w:rsidP="004535F7">
      <w:pPr>
        <w:tabs>
          <w:tab w:val="left" w:pos="700"/>
        </w:tabs>
        <w:spacing w:after="0" w:line="240" w:lineRule="auto"/>
        <w:ind w:firstLine="284"/>
        <w:jc w:val="both"/>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 xml:space="preserve">Rekomandime për veprime (të mëtejshme) korrigjuese. </w:t>
      </w:r>
    </w:p>
    <w:p w14:paraId="6D6F2C58" w14:textId="77777777" w:rsidR="00650E6F" w:rsidRPr="00637280" w:rsidRDefault="00650E6F" w:rsidP="004535F7">
      <w:pPr>
        <w:tabs>
          <w:tab w:val="left" w:pos="700"/>
        </w:tabs>
        <w:spacing w:after="0" w:line="240" w:lineRule="auto"/>
        <w:ind w:firstLine="284"/>
        <w:jc w:val="both"/>
        <w:rPr>
          <w:rFonts w:ascii="Garamond" w:hAnsi="Garamond" w:cs="Arial Narrow"/>
          <w:b/>
          <w:iCs/>
          <w:sz w:val="24"/>
          <w:szCs w:val="24"/>
        </w:rPr>
      </w:pPr>
      <w:r w:rsidRPr="00637280">
        <w:rPr>
          <w:rFonts w:ascii="Garamond" w:hAnsi="Garamond" w:cs="Arial Narrow"/>
          <w:b/>
          <w:iCs/>
          <w:sz w:val="24"/>
          <w:szCs w:val="24"/>
        </w:rPr>
        <w:t xml:space="preserve">2.5 Vizibiliteti dhe publiciteti </w:t>
      </w:r>
    </w:p>
    <w:p w14:paraId="6D6F2C59" w14:textId="2320D27E"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Masat e marra për të siguruar dukshmërinë dhe reklamimin e programit (planin e vizibilitetit), duke përfshirë shembuj të praktikave më të mira dhe duke theksuar ngjarjet e</w:t>
      </w:r>
      <w:r w:rsidR="009A5DA1" w:rsidRPr="00637280">
        <w:rPr>
          <w:rFonts w:ascii="Garamond" w:hAnsi="Garamond" w:cs="Arial Narrow"/>
          <w:iCs/>
          <w:sz w:val="24"/>
          <w:szCs w:val="24"/>
        </w:rPr>
        <w:t xml:space="preserve"> </w:t>
      </w:r>
      <w:r w:rsidRPr="00637280">
        <w:rPr>
          <w:rFonts w:ascii="Garamond" w:hAnsi="Garamond" w:cs="Arial Narrow"/>
          <w:iCs/>
          <w:sz w:val="24"/>
          <w:szCs w:val="24"/>
        </w:rPr>
        <w:t>rëndësishme.</w:t>
      </w:r>
    </w:p>
    <w:p w14:paraId="6D6F2C5A" w14:textId="77777777" w:rsidR="00650E6F" w:rsidRPr="00637280" w:rsidRDefault="00650E6F" w:rsidP="004535F7">
      <w:pPr>
        <w:tabs>
          <w:tab w:val="left" w:pos="700"/>
        </w:tabs>
        <w:spacing w:after="0" w:line="240" w:lineRule="auto"/>
        <w:ind w:firstLine="284"/>
        <w:rPr>
          <w:rFonts w:ascii="Garamond" w:hAnsi="Garamond" w:cs="Arial Narrow"/>
          <w:b/>
          <w:iCs/>
          <w:sz w:val="24"/>
          <w:szCs w:val="24"/>
        </w:rPr>
      </w:pPr>
      <w:r w:rsidRPr="00637280">
        <w:rPr>
          <w:rFonts w:ascii="Garamond" w:hAnsi="Garamond" w:cs="Arial Narrow"/>
          <w:b/>
          <w:iCs/>
          <w:sz w:val="24"/>
          <w:szCs w:val="24"/>
        </w:rPr>
        <w:t xml:space="preserve">2.6 Shfrytëzimi i asistencës teknike </w:t>
      </w:r>
    </w:p>
    <w:p w14:paraId="6D6F2C5B" w14:textId="77777777" w:rsidR="00650E6F" w:rsidRPr="00637280" w:rsidRDefault="00650E6F" w:rsidP="004535F7">
      <w:pPr>
        <w:tabs>
          <w:tab w:val="left" w:pos="700"/>
        </w:tabs>
        <w:spacing w:after="0" w:line="240" w:lineRule="auto"/>
        <w:ind w:firstLine="284"/>
        <w:jc w:val="both"/>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 xml:space="preserve">Shpjegim i detajuar i shfrytëzimit të asistencës teknike </w:t>
      </w:r>
    </w:p>
    <w:p w14:paraId="6D6F2C5C" w14:textId="77777777" w:rsidR="00650E6F" w:rsidRPr="00637280" w:rsidRDefault="00650E6F" w:rsidP="004535F7">
      <w:pPr>
        <w:tabs>
          <w:tab w:val="left" w:pos="700"/>
        </w:tabs>
        <w:spacing w:after="0" w:line="240" w:lineRule="auto"/>
        <w:ind w:firstLine="284"/>
        <w:jc w:val="both"/>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Përmbledhje e çdo problemi të rëndësishëm të hasur në zbatimin e buxhetit TA</w:t>
      </w:r>
    </w:p>
    <w:p w14:paraId="6D6F2C5D" w14:textId="77777777" w:rsidR="00650E6F" w:rsidRPr="00637280" w:rsidRDefault="00650E6F" w:rsidP="004535F7">
      <w:pPr>
        <w:tabs>
          <w:tab w:val="left" w:pos="700"/>
        </w:tabs>
        <w:spacing w:after="0" w:line="240" w:lineRule="auto"/>
        <w:ind w:firstLine="284"/>
        <w:jc w:val="both"/>
        <w:rPr>
          <w:rFonts w:ascii="Garamond" w:hAnsi="Garamond" w:cs="Arial Narrow"/>
          <w:b/>
          <w:iCs/>
          <w:sz w:val="24"/>
          <w:szCs w:val="24"/>
        </w:rPr>
      </w:pPr>
      <w:r w:rsidRPr="00637280">
        <w:rPr>
          <w:rFonts w:ascii="Garamond" w:hAnsi="Garamond" w:cs="Arial Narrow"/>
          <w:b/>
          <w:iCs/>
          <w:sz w:val="24"/>
          <w:szCs w:val="24"/>
        </w:rPr>
        <w:t xml:space="preserve">2.7 Ndryshimet në kuadër të zbatimit të programit ndërkufitar (nëse ka) </w:t>
      </w:r>
    </w:p>
    <w:p w14:paraId="6D6F2C5E" w14:textId="77777777" w:rsidR="00650E6F" w:rsidRPr="00637280" w:rsidRDefault="00650E6F" w:rsidP="004535F7">
      <w:pPr>
        <w:tabs>
          <w:tab w:val="left" w:pos="700"/>
        </w:tabs>
        <w:spacing w:after="0" w:line="240" w:lineRule="auto"/>
        <w:ind w:firstLine="284"/>
        <w:rPr>
          <w:rFonts w:ascii="Garamond" w:hAnsi="Garamond" w:cs="Arial Narrow"/>
          <w:iCs/>
          <w:sz w:val="24"/>
          <w:szCs w:val="24"/>
        </w:rPr>
      </w:pPr>
      <w:r w:rsidRPr="00637280">
        <w:rPr>
          <w:rFonts w:ascii="Garamond" w:hAnsi="Garamond" w:cs="Old English Text MT"/>
          <w:sz w:val="24"/>
          <w:szCs w:val="24"/>
        </w:rPr>
        <w:t xml:space="preserve">– </w:t>
      </w:r>
      <w:r w:rsidRPr="00637280">
        <w:rPr>
          <w:rFonts w:ascii="Garamond" w:hAnsi="Garamond" w:cs="Arial Narrow"/>
          <w:iCs/>
          <w:sz w:val="24"/>
          <w:szCs w:val="24"/>
        </w:rPr>
        <w:t>Përshkrimi i çdo elementi i cili edhe pse nuk rrjedh drejtpërdrejt nga ndihma, ka një ndikim të drejtpërdrejtë në zbatimin e programit (p.sh. ndryshimet ligjore, ndryshimet socio-ekonomike përkatëse etj.)</w:t>
      </w:r>
    </w:p>
    <w:p w14:paraId="6D6F2C5F" w14:textId="4CE5D21C" w:rsidR="00650E6F" w:rsidRPr="00637280" w:rsidRDefault="00650E6F" w:rsidP="004535F7">
      <w:pPr>
        <w:spacing w:after="0" w:line="240" w:lineRule="auto"/>
        <w:ind w:firstLine="284"/>
        <w:rPr>
          <w:rFonts w:ascii="Garamond" w:hAnsi="Garamond"/>
          <w:sz w:val="24"/>
          <w:szCs w:val="24"/>
        </w:rPr>
      </w:pPr>
      <w:r w:rsidRPr="00637280">
        <w:rPr>
          <w:rFonts w:ascii="Garamond" w:hAnsi="Garamond" w:cs="Arial Narrow"/>
          <w:sz w:val="24"/>
          <w:szCs w:val="24"/>
        </w:rPr>
        <w:t xml:space="preserve">*** - </w:t>
      </w:r>
      <w:r w:rsidR="00662D8F">
        <w:rPr>
          <w:rFonts w:ascii="Garamond" w:hAnsi="Garamond" w:cs="Arial Narrow"/>
          <w:sz w:val="24"/>
          <w:szCs w:val="24"/>
        </w:rPr>
        <w:t>P</w:t>
      </w:r>
      <w:r w:rsidRPr="00637280">
        <w:rPr>
          <w:rFonts w:ascii="Garamond" w:hAnsi="Garamond" w:cs="Arial Narrow"/>
          <w:sz w:val="24"/>
          <w:szCs w:val="24"/>
        </w:rPr>
        <w:t xml:space="preserve">ërfshini një </w:t>
      </w:r>
      <w:r w:rsidR="000842D4" w:rsidRPr="00637280">
        <w:rPr>
          <w:rFonts w:ascii="Garamond" w:hAnsi="Garamond" w:cs="Arial Narrow"/>
          <w:sz w:val="24"/>
          <w:szCs w:val="24"/>
        </w:rPr>
        <w:t>a</w:t>
      </w:r>
      <w:r w:rsidRPr="00637280">
        <w:rPr>
          <w:rFonts w:ascii="Garamond" w:hAnsi="Garamond" w:cs="Arial Narrow"/>
          <w:sz w:val="24"/>
          <w:szCs w:val="24"/>
        </w:rPr>
        <w:t xml:space="preserve">neks 2 </w:t>
      </w:r>
      <w:r w:rsidR="00F70832" w:rsidRPr="00637280">
        <w:rPr>
          <w:rFonts w:ascii="Garamond" w:hAnsi="Garamond" w:cs="Arial Narrow"/>
          <w:sz w:val="24"/>
          <w:szCs w:val="24"/>
        </w:rPr>
        <w:t>–</w:t>
      </w:r>
      <w:r w:rsidRPr="00637280">
        <w:rPr>
          <w:rFonts w:ascii="Garamond" w:hAnsi="Garamond" w:cs="Arial Narrow"/>
          <w:sz w:val="24"/>
          <w:szCs w:val="24"/>
        </w:rPr>
        <w:t xml:space="preserve"> listën</w:t>
      </w:r>
      <w:r w:rsidR="00F70832" w:rsidRPr="00637280">
        <w:rPr>
          <w:rFonts w:ascii="Garamond" w:hAnsi="Garamond" w:cs="Arial Narrow"/>
          <w:sz w:val="24"/>
          <w:szCs w:val="24"/>
        </w:rPr>
        <w:t xml:space="preserve"> </w:t>
      </w:r>
      <w:r w:rsidRPr="00637280">
        <w:rPr>
          <w:rFonts w:ascii="Garamond" w:hAnsi="Garamond" w:cs="Arial Narrow"/>
          <w:sz w:val="24"/>
          <w:szCs w:val="24"/>
        </w:rPr>
        <w:t>e projekteve dhe një përmbledhje të shkurtër</w:t>
      </w:r>
      <w:r w:rsidR="00662D8F">
        <w:rPr>
          <w:rFonts w:ascii="Garamond" w:hAnsi="Garamond" w:cs="Arial Narrow"/>
          <w:sz w:val="24"/>
          <w:szCs w:val="24"/>
        </w:rPr>
        <w:t>.</w:t>
      </w:r>
    </w:p>
    <w:p w14:paraId="6D6F2C60" w14:textId="77777777" w:rsidR="004535F7" w:rsidRPr="000E1EB0" w:rsidRDefault="004535F7" w:rsidP="004535F7">
      <w:pPr>
        <w:tabs>
          <w:tab w:val="left" w:pos="6220"/>
        </w:tabs>
        <w:autoSpaceDE w:val="0"/>
        <w:autoSpaceDN w:val="0"/>
        <w:adjustRightInd w:val="0"/>
        <w:spacing w:after="0" w:line="240" w:lineRule="auto"/>
        <w:ind w:firstLine="284"/>
        <w:jc w:val="right"/>
        <w:rPr>
          <w:rFonts w:ascii="Garamond" w:hAnsi="Garamond"/>
          <w:color w:val="000000"/>
          <w:sz w:val="24"/>
          <w:szCs w:val="24"/>
        </w:rPr>
      </w:pPr>
    </w:p>
    <w:p w14:paraId="6D6F2C61" w14:textId="116F6979" w:rsidR="00650E6F" w:rsidRPr="000E1EB0" w:rsidRDefault="00650E6F" w:rsidP="004535F7">
      <w:pPr>
        <w:tabs>
          <w:tab w:val="left" w:pos="6220"/>
        </w:tabs>
        <w:autoSpaceDE w:val="0"/>
        <w:autoSpaceDN w:val="0"/>
        <w:adjustRightInd w:val="0"/>
        <w:spacing w:after="0" w:line="240" w:lineRule="auto"/>
        <w:ind w:firstLine="284"/>
        <w:jc w:val="right"/>
        <w:rPr>
          <w:rFonts w:ascii="Garamond" w:hAnsi="Garamond"/>
          <w:color w:val="000000"/>
          <w:sz w:val="24"/>
          <w:szCs w:val="24"/>
        </w:rPr>
      </w:pPr>
      <w:r w:rsidRPr="000E1EB0">
        <w:rPr>
          <w:rFonts w:ascii="Garamond" w:hAnsi="Garamond"/>
          <w:color w:val="000000"/>
          <w:sz w:val="24"/>
          <w:szCs w:val="24"/>
        </w:rPr>
        <w:t>Periudha e mbuluar nga raporti: 1</w:t>
      </w:r>
      <w:r w:rsidR="00637280">
        <w:rPr>
          <w:rFonts w:ascii="Garamond" w:hAnsi="Garamond"/>
          <w:color w:val="000000"/>
          <w:sz w:val="24"/>
          <w:szCs w:val="24"/>
        </w:rPr>
        <w:t>.</w:t>
      </w:r>
      <w:r w:rsidRPr="000E1EB0">
        <w:rPr>
          <w:rFonts w:ascii="Garamond" w:hAnsi="Garamond"/>
          <w:color w:val="000000"/>
          <w:sz w:val="24"/>
          <w:szCs w:val="24"/>
        </w:rPr>
        <w:t>1</w:t>
      </w:r>
      <w:r w:rsidR="00637280">
        <w:rPr>
          <w:rFonts w:ascii="Garamond" w:hAnsi="Garamond"/>
          <w:color w:val="000000"/>
          <w:sz w:val="24"/>
          <w:szCs w:val="24"/>
        </w:rPr>
        <w:t>.</w:t>
      </w:r>
      <w:r w:rsidRPr="000E1EB0">
        <w:rPr>
          <w:rFonts w:ascii="Garamond" w:hAnsi="Garamond"/>
          <w:color w:val="000000"/>
          <w:sz w:val="24"/>
          <w:szCs w:val="24"/>
        </w:rPr>
        <w:t>20XX-31</w:t>
      </w:r>
      <w:r w:rsidR="0016438C">
        <w:rPr>
          <w:rFonts w:ascii="Garamond" w:hAnsi="Garamond"/>
          <w:color w:val="000000"/>
          <w:sz w:val="24"/>
          <w:szCs w:val="24"/>
        </w:rPr>
        <w:t>.</w:t>
      </w:r>
      <w:r w:rsidRPr="000E1EB0">
        <w:rPr>
          <w:rFonts w:ascii="Garamond" w:hAnsi="Garamond"/>
          <w:color w:val="000000"/>
          <w:sz w:val="24"/>
          <w:szCs w:val="24"/>
        </w:rPr>
        <w:t>12</w:t>
      </w:r>
      <w:r w:rsidR="0016438C">
        <w:rPr>
          <w:rFonts w:ascii="Garamond" w:hAnsi="Garamond"/>
          <w:color w:val="000000"/>
          <w:sz w:val="24"/>
          <w:szCs w:val="24"/>
        </w:rPr>
        <w:t>.</w:t>
      </w:r>
      <w:r w:rsidRPr="000E1EB0">
        <w:rPr>
          <w:rFonts w:ascii="Garamond" w:hAnsi="Garamond"/>
          <w:color w:val="000000"/>
          <w:sz w:val="24"/>
          <w:szCs w:val="24"/>
        </w:rPr>
        <w:t>20XX</w:t>
      </w:r>
    </w:p>
    <w:p w14:paraId="6D6F2C62" w14:textId="1B04382C" w:rsidR="00650E6F" w:rsidRPr="000E1EB0" w:rsidRDefault="00650E6F" w:rsidP="004535F7">
      <w:pPr>
        <w:tabs>
          <w:tab w:val="left" w:pos="6220"/>
        </w:tabs>
        <w:autoSpaceDE w:val="0"/>
        <w:autoSpaceDN w:val="0"/>
        <w:adjustRightInd w:val="0"/>
        <w:spacing w:after="0" w:line="240" w:lineRule="auto"/>
        <w:ind w:firstLine="284"/>
        <w:jc w:val="right"/>
        <w:rPr>
          <w:rFonts w:ascii="Garamond" w:hAnsi="Garamond"/>
          <w:color w:val="000000"/>
          <w:sz w:val="24"/>
          <w:szCs w:val="24"/>
        </w:rPr>
      </w:pPr>
      <w:r w:rsidRPr="000E1EB0">
        <w:rPr>
          <w:rFonts w:ascii="Garamond" w:hAnsi="Garamond"/>
          <w:color w:val="000000"/>
          <w:sz w:val="24"/>
          <w:szCs w:val="24"/>
        </w:rPr>
        <w:t>Raport i lëshuar</w:t>
      </w:r>
      <w:r w:rsidR="0016438C">
        <w:rPr>
          <w:rFonts w:ascii="Garamond" w:hAnsi="Garamond"/>
          <w:color w:val="000000"/>
          <w:sz w:val="24"/>
          <w:szCs w:val="24"/>
        </w:rPr>
        <w:t>,</w:t>
      </w:r>
      <w:r w:rsidRPr="000E1EB0">
        <w:rPr>
          <w:rFonts w:ascii="Garamond" w:hAnsi="Garamond"/>
          <w:color w:val="000000"/>
          <w:sz w:val="24"/>
          <w:szCs w:val="24"/>
        </w:rPr>
        <w:t xml:space="preserve"> më XX</w:t>
      </w:r>
      <w:r w:rsidR="0016438C">
        <w:rPr>
          <w:rFonts w:ascii="Garamond" w:hAnsi="Garamond"/>
          <w:color w:val="000000"/>
          <w:sz w:val="24"/>
          <w:szCs w:val="24"/>
        </w:rPr>
        <w:t>.</w:t>
      </w:r>
      <w:r w:rsidRPr="000E1EB0">
        <w:rPr>
          <w:rFonts w:ascii="Garamond" w:hAnsi="Garamond"/>
          <w:color w:val="000000"/>
          <w:sz w:val="24"/>
          <w:szCs w:val="24"/>
        </w:rPr>
        <w:t>XX</w:t>
      </w:r>
      <w:r w:rsidR="0016438C">
        <w:rPr>
          <w:rFonts w:ascii="Garamond" w:hAnsi="Garamond"/>
          <w:color w:val="000000"/>
          <w:sz w:val="24"/>
          <w:szCs w:val="24"/>
        </w:rPr>
        <w:t>.</w:t>
      </w:r>
      <w:r w:rsidRPr="000E1EB0">
        <w:rPr>
          <w:rFonts w:ascii="Garamond" w:hAnsi="Garamond"/>
          <w:color w:val="000000"/>
          <w:sz w:val="24"/>
          <w:szCs w:val="24"/>
        </w:rPr>
        <w:t>20XX</w:t>
      </w:r>
    </w:p>
    <w:p w14:paraId="6D6F2C63" w14:textId="77777777" w:rsidR="00650E6F" w:rsidRPr="000E1EB0" w:rsidRDefault="00650E6F" w:rsidP="004535F7">
      <w:pPr>
        <w:autoSpaceDE w:val="0"/>
        <w:autoSpaceDN w:val="0"/>
        <w:adjustRightInd w:val="0"/>
        <w:spacing w:after="0" w:line="240" w:lineRule="auto"/>
        <w:ind w:firstLine="284"/>
        <w:jc w:val="both"/>
        <w:rPr>
          <w:rFonts w:ascii="Garamond" w:hAnsi="Garamond"/>
          <w:b/>
          <w:bCs/>
          <w:color w:val="000000"/>
          <w:sz w:val="24"/>
          <w:szCs w:val="24"/>
        </w:rPr>
      </w:pPr>
    </w:p>
    <w:p w14:paraId="6D6F2C64" w14:textId="199BEEFF" w:rsidR="00650E6F" w:rsidRPr="000E1EB0" w:rsidRDefault="00650E6F" w:rsidP="004535F7">
      <w:pPr>
        <w:autoSpaceDE w:val="0"/>
        <w:autoSpaceDN w:val="0"/>
        <w:adjustRightInd w:val="0"/>
        <w:spacing w:after="0" w:line="240" w:lineRule="auto"/>
        <w:ind w:firstLine="284"/>
        <w:jc w:val="both"/>
        <w:rPr>
          <w:rFonts w:ascii="Garamond" w:hAnsi="Garamond"/>
          <w:b/>
          <w:bCs/>
          <w:color w:val="000000"/>
          <w:sz w:val="24"/>
          <w:szCs w:val="24"/>
        </w:rPr>
      </w:pPr>
      <w:r w:rsidRPr="000E1EB0">
        <w:rPr>
          <w:rFonts w:ascii="Garamond" w:hAnsi="Garamond"/>
          <w:b/>
          <w:bCs/>
          <w:color w:val="000000"/>
          <w:sz w:val="24"/>
          <w:szCs w:val="24"/>
        </w:rPr>
        <w:t xml:space="preserve">Raport vjetor mbi zbatimin e ndihmës IPA II nën menaxhim të indirekt nga </w:t>
      </w:r>
      <w:r w:rsidR="00241044">
        <w:rPr>
          <w:rFonts w:ascii="Garamond" w:hAnsi="Garamond"/>
          <w:b/>
          <w:bCs/>
          <w:color w:val="000000"/>
          <w:sz w:val="24"/>
          <w:szCs w:val="24"/>
        </w:rPr>
        <w:t>i</w:t>
      </w:r>
      <w:r w:rsidRPr="000E1EB0">
        <w:rPr>
          <w:rFonts w:ascii="Garamond" w:hAnsi="Garamond"/>
          <w:b/>
          <w:bCs/>
          <w:color w:val="000000"/>
          <w:sz w:val="24"/>
          <w:szCs w:val="24"/>
        </w:rPr>
        <w:t>sh</w:t>
      </w:r>
      <w:r w:rsidR="00241044">
        <w:rPr>
          <w:rFonts w:ascii="Garamond" w:hAnsi="Garamond"/>
          <w:b/>
          <w:bCs/>
          <w:color w:val="000000"/>
          <w:sz w:val="24"/>
          <w:szCs w:val="24"/>
        </w:rPr>
        <w:t>-</w:t>
      </w:r>
      <w:r w:rsidRPr="000E1EB0">
        <w:rPr>
          <w:rFonts w:ascii="Garamond" w:hAnsi="Garamond"/>
          <w:b/>
          <w:bCs/>
          <w:color w:val="000000"/>
          <w:sz w:val="24"/>
          <w:szCs w:val="24"/>
        </w:rPr>
        <w:t>Republika Jugosllave e Maqedonisë, i paraqitur nga Koordinatori Kombëtar i IPA-s</w:t>
      </w:r>
      <w:r w:rsidR="00CA118E">
        <w:rPr>
          <w:rFonts w:ascii="Garamond" w:hAnsi="Garamond"/>
          <w:b/>
          <w:bCs/>
          <w:color w:val="000000"/>
          <w:sz w:val="24"/>
          <w:szCs w:val="24"/>
        </w:rPr>
        <w:t>ë</w:t>
      </w:r>
      <w:r w:rsidRPr="000E1EB0">
        <w:rPr>
          <w:rFonts w:ascii="Garamond" w:hAnsi="Garamond"/>
          <w:b/>
          <w:bCs/>
          <w:color w:val="000000"/>
          <w:sz w:val="24"/>
          <w:szCs w:val="24"/>
        </w:rPr>
        <w:t xml:space="preserve"> </w:t>
      </w:r>
    </w:p>
    <w:p w14:paraId="6D6F2C65" w14:textId="4E27EEBB" w:rsidR="00650E6F" w:rsidRPr="000F504A" w:rsidRDefault="000F504A" w:rsidP="004535F7">
      <w:pPr>
        <w:autoSpaceDE w:val="0"/>
        <w:autoSpaceDN w:val="0"/>
        <w:adjustRightInd w:val="0"/>
        <w:spacing w:after="0" w:line="240" w:lineRule="auto"/>
        <w:ind w:firstLine="284"/>
        <w:rPr>
          <w:rFonts w:ascii="Garamond" w:hAnsi="Garamond"/>
          <w:bCs/>
          <w:color w:val="000000"/>
          <w:sz w:val="24"/>
          <w:szCs w:val="24"/>
        </w:rPr>
      </w:pPr>
      <w:r w:rsidRPr="000F504A">
        <w:rPr>
          <w:rFonts w:ascii="Garamond" w:hAnsi="Garamond"/>
          <w:bCs/>
          <w:color w:val="000000"/>
          <w:sz w:val="24"/>
          <w:szCs w:val="24"/>
        </w:rPr>
        <w:t xml:space="preserve">I. PËRMBLEDHJE EKZEKUTIVE </w:t>
      </w:r>
    </w:p>
    <w:p w14:paraId="6D6F2C66" w14:textId="5FDF0A76"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1. Referencë e objektivave të </w:t>
      </w:r>
      <w:r w:rsidR="00241044" w:rsidRPr="000E1EB0">
        <w:rPr>
          <w:rFonts w:ascii="Garamond" w:hAnsi="Garamond"/>
          <w:color w:val="000000"/>
          <w:sz w:val="24"/>
          <w:szCs w:val="24"/>
        </w:rPr>
        <w:t>dokumenteve strategjik</w:t>
      </w:r>
      <w:r w:rsidR="00241044">
        <w:rPr>
          <w:rFonts w:ascii="Garamond" w:hAnsi="Garamond"/>
          <w:color w:val="000000"/>
          <w:sz w:val="24"/>
          <w:szCs w:val="24"/>
        </w:rPr>
        <w:t>e</w:t>
      </w:r>
      <w:r w:rsidR="00241044" w:rsidRPr="000E1EB0">
        <w:rPr>
          <w:rFonts w:ascii="Garamond" w:hAnsi="Garamond"/>
          <w:color w:val="000000"/>
          <w:sz w:val="24"/>
          <w:szCs w:val="24"/>
        </w:rPr>
        <w:t xml:space="preserve"> të vendit </w:t>
      </w:r>
      <w:r w:rsidRPr="000E1EB0">
        <w:rPr>
          <w:rFonts w:ascii="Garamond" w:hAnsi="Garamond"/>
          <w:color w:val="000000"/>
          <w:sz w:val="24"/>
          <w:szCs w:val="24"/>
        </w:rPr>
        <w:t xml:space="preserve">dhe një pasqyrë e shkurtër e sfidave të sektorëve </w:t>
      </w:r>
    </w:p>
    <w:p w14:paraId="6D6F2C67"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2. Përfshirja në programim</w:t>
      </w:r>
    </w:p>
    <w:p w14:paraId="6D6F2C68"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3. Marrëdhëniet me Komisionin Evropian. </w:t>
      </w:r>
    </w:p>
    <w:p w14:paraId="6D6F2C69"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4. Problemet që hasen në përmbushjen e kushteve të nevojshme për zbatimin dhe në sigurimin e qëndrueshmërisë, në lidhje me masat e marra/të planifikuara, rekomandimet për veprime të mëtejshme. </w:t>
      </w:r>
    </w:p>
    <w:p w14:paraId="6D6F2C6A" w14:textId="1C49F349"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5. Çështje të rëndësishme që rrjedhin nga pjesëmarrja e përfituesit të IPA II në komitetin monitorues të IPA-s</w:t>
      </w:r>
      <w:r w:rsidR="008F53E4">
        <w:rPr>
          <w:rFonts w:ascii="Garamond" w:hAnsi="Garamond"/>
          <w:color w:val="000000"/>
          <w:sz w:val="24"/>
          <w:szCs w:val="24"/>
        </w:rPr>
        <w:t>ë</w:t>
      </w:r>
      <w:r w:rsidRPr="000E1EB0">
        <w:rPr>
          <w:rFonts w:ascii="Garamond" w:hAnsi="Garamond"/>
          <w:color w:val="000000"/>
          <w:sz w:val="24"/>
          <w:szCs w:val="24"/>
        </w:rPr>
        <w:t xml:space="preserve"> dhe në komisionet sektoriale të monitorimit (duke përfshirë Komitetin e Përbashkët të Monitorimit për BNK-në), nëse ka.</w:t>
      </w:r>
    </w:p>
    <w:p w14:paraId="6D6F2C6B"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6. Përfshirja në veprimet shumë-vendesh dhe çdo çështje që lidhet me to.</w:t>
      </w:r>
    </w:p>
    <w:p w14:paraId="6D6F2C6C"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7. Aktivitete monitorimi dhe vlerësimi, mësimet kryesore që janë nxjerrë dhe ndjekja e rekomandimeve.</w:t>
      </w:r>
    </w:p>
    <w:p w14:paraId="6D6F2C6D"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8. Aktivitetet mbi komunikimin dhe vizibilitetin.</w:t>
      </w:r>
    </w:p>
    <w:p w14:paraId="6D6F2C6E" w14:textId="479583A2"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9. Koordinimi i donatorëve</w:t>
      </w:r>
      <w:r w:rsidR="00F06909">
        <w:rPr>
          <w:rFonts w:ascii="Garamond" w:hAnsi="Garamond"/>
          <w:color w:val="000000"/>
          <w:sz w:val="24"/>
          <w:szCs w:val="24"/>
        </w:rPr>
        <w:t>.</w:t>
      </w:r>
    </w:p>
    <w:p w14:paraId="6D6F2C6F" w14:textId="77777777" w:rsidR="00650E6F" w:rsidRPr="000E1EB0" w:rsidRDefault="00650E6F" w:rsidP="004535F7">
      <w:pPr>
        <w:autoSpaceDE w:val="0"/>
        <w:autoSpaceDN w:val="0"/>
        <w:adjustRightInd w:val="0"/>
        <w:spacing w:after="0" w:line="240" w:lineRule="auto"/>
        <w:ind w:firstLine="284"/>
        <w:jc w:val="both"/>
        <w:rPr>
          <w:rFonts w:ascii="Garamond" w:hAnsi="Garamond"/>
          <w:i/>
          <w:iCs/>
          <w:color w:val="000000"/>
          <w:sz w:val="24"/>
          <w:szCs w:val="24"/>
        </w:rPr>
      </w:pPr>
      <w:r w:rsidRPr="000E1EB0">
        <w:rPr>
          <w:rFonts w:ascii="Garamond" w:hAnsi="Garamond"/>
          <w:i/>
          <w:iCs/>
          <w:color w:val="000000"/>
          <w:sz w:val="24"/>
          <w:szCs w:val="24"/>
        </w:rPr>
        <w:t>Në rastet e menaxhimit të tërthortë, përmbledhja ekzekutive duhet të përmbajë gjithashtu:</w:t>
      </w:r>
    </w:p>
    <w:p w14:paraId="6D6F2C70" w14:textId="5C070B23"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10. Zbatimin e gjithanshëm të asistencës së IPA-s</w:t>
      </w:r>
      <w:r w:rsidR="008F53E4">
        <w:rPr>
          <w:rFonts w:ascii="Garamond" w:hAnsi="Garamond"/>
          <w:color w:val="000000"/>
          <w:sz w:val="24"/>
          <w:szCs w:val="24"/>
        </w:rPr>
        <w:t>ë</w:t>
      </w:r>
      <w:r w:rsidRPr="000E1EB0">
        <w:rPr>
          <w:rFonts w:ascii="Garamond" w:hAnsi="Garamond"/>
          <w:color w:val="000000"/>
          <w:sz w:val="24"/>
          <w:szCs w:val="24"/>
        </w:rPr>
        <w:t xml:space="preserve"> nën menaxhim të tërthortë (maksimumi një faqe).</w:t>
      </w:r>
      <w:r w:rsidR="009A5DA1">
        <w:rPr>
          <w:rFonts w:ascii="Garamond" w:hAnsi="Garamond"/>
          <w:color w:val="000000"/>
          <w:sz w:val="24"/>
          <w:szCs w:val="24"/>
        </w:rPr>
        <w:t xml:space="preserve"> </w:t>
      </w:r>
    </w:p>
    <w:p w14:paraId="6D6F2C71" w14:textId="154332D5"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lastRenderedPageBreak/>
        <w:t>11. Problemet kryesore horizontale të hasura në zbatimin e asistencës së IPA-s</w:t>
      </w:r>
      <w:r w:rsidR="008F53E4">
        <w:rPr>
          <w:rFonts w:ascii="Garamond" w:hAnsi="Garamond"/>
          <w:color w:val="000000"/>
          <w:sz w:val="24"/>
          <w:szCs w:val="24"/>
        </w:rPr>
        <w:t>ë</w:t>
      </w:r>
      <w:bookmarkStart w:id="20" w:name="_GoBack"/>
      <w:bookmarkEnd w:id="20"/>
      <w:r w:rsidRPr="000E1EB0">
        <w:rPr>
          <w:rFonts w:ascii="Garamond" w:hAnsi="Garamond"/>
          <w:color w:val="000000"/>
          <w:sz w:val="24"/>
          <w:szCs w:val="24"/>
        </w:rPr>
        <w:t xml:space="preserve"> dhe masat përkatëse të marra/planifikuara (maksimumi gjysmë faqe).</w:t>
      </w:r>
    </w:p>
    <w:p w14:paraId="6D6F2C72"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12. Rekomandimet për veprime të mëtejshme (maksimumi gjysmë faqe).</w:t>
      </w:r>
    </w:p>
    <w:p w14:paraId="6D6F2C73" w14:textId="5A1290E6" w:rsidR="00650E6F" w:rsidRPr="000E1EB0" w:rsidRDefault="00650E6F" w:rsidP="004535F7">
      <w:pPr>
        <w:autoSpaceDE w:val="0"/>
        <w:autoSpaceDN w:val="0"/>
        <w:adjustRightInd w:val="0"/>
        <w:spacing w:after="0" w:line="240" w:lineRule="auto"/>
        <w:ind w:firstLine="284"/>
        <w:jc w:val="both"/>
        <w:rPr>
          <w:rFonts w:ascii="Garamond" w:hAnsi="Garamond"/>
          <w:b/>
          <w:bCs/>
          <w:color w:val="000000"/>
          <w:sz w:val="24"/>
          <w:szCs w:val="24"/>
        </w:rPr>
      </w:pPr>
      <w:r w:rsidRPr="000E1EB0">
        <w:rPr>
          <w:rFonts w:ascii="Garamond" w:hAnsi="Garamond"/>
          <w:color w:val="000000"/>
          <w:sz w:val="24"/>
          <w:szCs w:val="24"/>
        </w:rPr>
        <w:t xml:space="preserve">13. Auditimet </w:t>
      </w:r>
      <w:r w:rsidR="00EE13F7">
        <w:rPr>
          <w:rFonts w:ascii="Garamond" w:hAnsi="Garamond"/>
          <w:color w:val="000000"/>
          <w:sz w:val="24"/>
          <w:szCs w:val="24"/>
        </w:rPr>
        <w:t>–</w:t>
      </w:r>
      <w:r w:rsidRPr="000E1EB0">
        <w:rPr>
          <w:rFonts w:ascii="Garamond" w:hAnsi="Garamond"/>
          <w:color w:val="000000"/>
          <w:sz w:val="24"/>
          <w:szCs w:val="24"/>
        </w:rPr>
        <w:t xml:space="preserve"> gjetjet</w:t>
      </w:r>
      <w:r w:rsidR="00EE13F7">
        <w:rPr>
          <w:rFonts w:ascii="Garamond" w:hAnsi="Garamond"/>
          <w:color w:val="000000"/>
          <w:sz w:val="24"/>
          <w:szCs w:val="24"/>
        </w:rPr>
        <w:t xml:space="preserve"> </w:t>
      </w:r>
      <w:r w:rsidRPr="000E1EB0">
        <w:rPr>
          <w:rFonts w:ascii="Garamond" w:hAnsi="Garamond"/>
          <w:color w:val="000000"/>
          <w:sz w:val="24"/>
          <w:szCs w:val="24"/>
        </w:rPr>
        <w:t>kryesore, rekomandimet dhe veprimet korrigjuese të ndërm</w:t>
      </w:r>
      <w:r w:rsidR="00F06909">
        <w:rPr>
          <w:rFonts w:ascii="Garamond" w:hAnsi="Garamond"/>
          <w:color w:val="000000"/>
          <w:sz w:val="24"/>
          <w:szCs w:val="24"/>
        </w:rPr>
        <w:t>arra.</w:t>
      </w:r>
    </w:p>
    <w:p w14:paraId="6D6F2C74" w14:textId="77686A4C" w:rsidR="00650E6F" w:rsidRPr="000F504A" w:rsidRDefault="000F504A" w:rsidP="004535F7">
      <w:pPr>
        <w:autoSpaceDE w:val="0"/>
        <w:autoSpaceDN w:val="0"/>
        <w:adjustRightInd w:val="0"/>
        <w:spacing w:after="0" w:line="240" w:lineRule="auto"/>
        <w:ind w:firstLine="284"/>
        <w:jc w:val="both"/>
        <w:rPr>
          <w:rFonts w:ascii="Garamond" w:hAnsi="Garamond"/>
          <w:bCs/>
          <w:color w:val="000000"/>
          <w:sz w:val="24"/>
          <w:szCs w:val="24"/>
        </w:rPr>
      </w:pPr>
      <w:r w:rsidRPr="000F504A">
        <w:rPr>
          <w:rFonts w:ascii="Garamond" w:hAnsi="Garamond"/>
          <w:bCs/>
          <w:color w:val="000000"/>
          <w:sz w:val="24"/>
          <w:szCs w:val="24"/>
        </w:rPr>
        <w:t xml:space="preserve">II. INFORMACION SIPAS SEKTORËVE </w:t>
      </w:r>
    </w:p>
    <w:p w14:paraId="6D6F2C75" w14:textId="79D7ACA9"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b/>
          <w:bCs/>
          <w:color w:val="000000"/>
          <w:sz w:val="24"/>
          <w:szCs w:val="24"/>
        </w:rPr>
        <w:t>Titulli i sektorit</w:t>
      </w:r>
      <w:r w:rsidRPr="000E1EB0">
        <w:rPr>
          <w:rStyle w:val="FootnoteReference"/>
          <w:rFonts w:ascii="Garamond" w:hAnsi="Garamond"/>
          <w:b/>
          <w:bCs/>
          <w:color w:val="000000"/>
          <w:sz w:val="24"/>
          <w:szCs w:val="24"/>
        </w:rPr>
        <w:footnoteReference w:id="27"/>
      </w:r>
      <w:r w:rsidRPr="000E1EB0">
        <w:rPr>
          <w:rFonts w:ascii="Garamond" w:hAnsi="Garamond"/>
          <w:b/>
          <w:bCs/>
          <w:color w:val="000000"/>
          <w:sz w:val="24"/>
          <w:szCs w:val="24"/>
        </w:rPr>
        <w:t xml:space="preserve">: </w:t>
      </w:r>
      <w:r w:rsidRPr="000E1EB0">
        <w:rPr>
          <w:rFonts w:ascii="Garamond" w:hAnsi="Garamond"/>
          <w:color w:val="000000"/>
          <w:sz w:val="24"/>
          <w:szCs w:val="24"/>
        </w:rPr>
        <w:t>[</w:t>
      </w:r>
      <w:r w:rsidRPr="000E1EB0">
        <w:rPr>
          <w:rFonts w:ascii="Garamond" w:hAnsi="Garamond"/>
          <w:i/>
          <w:iCs/>
          <w:color w:val="000000"/>
          <w:sz w:val="24"/>
          <w:szCs w:val="24"/>
        </w:rPr>
        <w:t>Transporti</w:t>
      </w:r>
      <w:r w:rsidRPr="000E1EB0">
        <w:rPr>
          <w:rFonts w:ascii="Garamond" w:hAnsi="Garamond"/>
          <w:color w:val="000000"/>
          <w:sz w:val="24"/>
          <w:szCs w:val="24"/>
        </w:rPr>
        <w:t>]</w:t>
      </w:r>
    </w:p>
    <w:p w14:paraId="6D6F2C76" w14:textId="77777777" w:rsidR="00650E6F" w:rsidRPr="000E1EB0" w:rsidRDefault="00650E6F" w:rsidP="004535F7">
      <w:pPr>
        <w:autoSpaceDE w:val="0"/>
        <w:autoSpaceDN w:val="0"/>
        <w:adjustRightInd w:val="0"/>
        <w:spacing w:after="0" w:line="240" w:lineRule="auto"/>
        <w:ind w:firstLine="284"/>
        <w:rPr>
          <w:rFonts w:ascii="Garamond" w:hAnsi="Garamond"/>
          <w:color w:val="000000"/>
          <w:sz w:val="24"/>
          <w:szCs w:val="24"/>
          <w:u w:val="single"/>
        </w:rPr>
      </w:pPr>
      <w:r w:rsidRPr="000E1EB0">
        <w:rPr>
          <w:rFonts w:ascii="Garamond" w:hAnsi="Garamond"/>
          <w:color w:val="000000"/>
          <w:sz w:val="24"/>
          <w:szCs w:val="24"/>
          <w:u w:val="single"/>
        </w:rPr>
        <w:t>Pjesa përshkruese: përmbledhje mbi sektorin, duke përfshirë informacionin e mëposhtëm:</w:t>
      </w:r>
    </w:p>
    <w:p w14:paraId="6D6F2C77" w14:textId="32C5B500"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 Përfshirja në programim</w:t>
      </w:r>
      <w:r w:rsidR="00AB309D">
        <w:rPr>
          <w:rFonts w:ascii="Garamond" w:hAnsi="Garamond"/>
          <w:color w:val="000000"/>
          <w:sz w:val="24"/>
          <w:szCs w:val="24"/>
        </w:rPr>
        <w:t>.</w:t>
      </w:r>
      <w:r w:rsidRPr="000E1EB0">
        <w:rPr>
          <w:rFonts w:ascii="Garamond" w:hAnsi="Garamond"/>
          <w:color w:val="000000"/>
          <w:sz w:val="24"/>
          <w:szCs w:val="24"/>
        </w:rPr>
        <w:t xml:space="preserve"> </w:t>
      </w:r>
    </w:p>
    <w:p w14:paraId="6D6F2C78" w14:textId="31804E9B"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2. Përmbledhje e rezultateve gjatë lëvizjes drejt një qasjeje të sektorit me të drejta të plota (d.m.th. objektivat e arritur sipas treguesve të sektorit në dokumentin e planifikimit të </w:t>
      </w:r>
      <w:r w:rsidR="00AB309D">
        <w:rPr>
          <w:rFonts w:ascii="Garamond" w:hAnsi="Garamond"/>
          <w:color w:val="000000"/>
          <w:sz w:val="24"/>
          <w:szCs w:val="24"/>
        </w:rPr>
        <w:t>s</w:t>
      </w:r>
      <w:r w:rsidRPr="000E1EB0">
        <w:rPr>
          <w:rFonts w:ascii="Garamond" w:hAnsi="Garamond"/>
          <w:color w:val="000000"/>
          <w:sz w:val="24"/>
          <w:szCs w:val="24"/>
        </w:rPr>
        <w:t>ektorit).</w:t>
      </w:r>
    </w:p>
    <w:p w14:paraId="6D6F2C79" w14:textId="38801BFC"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3. Koordinimi me instrumente të tjera dhe/ose donatorë/IFI-të brenda sektorit</w:t>
      </w:r>
      <w:r w:rsidR="00946061">
        <w:rPr>
          <w:rFonts w:ascii="Garamond" w:hAnsi="Garamond"/>
          <w:color w:val="000000"/>
          <w:sz w:val="24"/>
          <w:szCs w:val="24"/>
        </w:rPr>
        <w:t>.</w:t>
      </w:r>
      <w:r w:rsidRPr="000E1EB0">
        <w:rPr>
          <w:rFonts w:ascii="Garamond" w:hAnsi="Garamond"/>
          <w:color w:val="000000"/>
          <w:sz w:val="24"/>
          <w:szCs w:val="24"/>
        </w:rPr>
        <w:t xml:space="preserve"> </w:t>
      </w:r>
    </w:p>
    <w:p w14:paraId="6D6F2C7A"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4. Ndikimi i veprimeve të IPA II brenda sektorit mbi zhvillimin e kapaciteteve përkatëse kombëtare administrative në atë sektor, në planifikimin strategjik dhe buxhetimin.</w:t>
      </w:r>
    </w:p>
    <w:p w14:paraId="6D6F2C7B" w14:textId="77777777" w:rsidR="00650E6F" w:rsidRPr="000E1EB0" w:rsidRDefault="00650E6F" w:rsidP="004535F7">
      <w:pPr>
        <w:autoSpaceDE w:val="0"/>
        <w:autoSpaceDN w:val="0"/>
        <w:adjustRightInd w:val="0"/>
        <w:spacing w:after="0" w:line="240" w:lineRule="auto"/>
        <w:ind w:firstLine="284"/>
        <w:jc w:val="both"/>
        <w:rPr>
          <w:rFonts w:ascii="Garamond" w:hAnsi="Garamond"/>
          <w:i/>
          <w:iCs/>
          <w:color w:val="000000"/>
          <w:sz w:val="24"/>
          <w:szCs w:val="24"/>
        </w:rPr>
      </w:pPr>
      <w:r w:rsidRPr="000E1EB0">
        <w:rPr>
          <w:rFonts w:ascii="Garamond" w:hAnsi="Garamond"/>
          <w:i/>
          <w:iCs/>
          <w:color w:val="000000"/>
          <w:sz w:val="24"/>
          <w:szCs w:val="24"/>
        </w:rPr>
        <w:t>Nën menaxhim të tërthortë duhet të përfshihet dhe informacioni i mëposhtëm:</w:t>
      </w:r>
    </w:p>
    <w:p w14:paraId="6D6F2C7C" w14:textId="1442AFCC"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5. Struktura/t operative dhe ndryshimet që lidhen me to, nëse ka: [</w:t>
      </w:r>
      <w:r w:rsidRPr="000E1EB0">
        <w:rPr>
          <w:rFonts w:ascii="Garamond" w:hAnsi="Garamond"/>
          <w:i/>
          <w:iCs/>
          <w:color w:val="000000"/>
          <w:sz w:val="24"/>
          <w:szCs w:val="24"/>
        </w:rPr>
        <w:t>Ministria e Transportit]</w:t>
      </w:r>
      <w:r w:rsidR="00946061">
        <w:rPr>
          <w:rFonts w:ascii="Garamond" w:hAnsi="Garamond"/>
          <w:i/>
          <w:iCs/>
          <w:color w:val="000000"/>
          <w:sz w:val="24"/>
          <w:szCs w:val="24"/>
        </w:rPr>
        <w:t>.</w:t>
      </w:r>
    </w:p>
    <w:p w14:paraId="6D6F2C7D" w14:textId="25BE6558"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6. Informacion mbi zbatimin e programeve në atë sektor</w:t>
      </w:r>
      <w:r w:rsidR="00946061">
        <w:rPr>
          <w:rFonts w:ascii="Garamond" w:hAnsi="Garamond"/>
          <w:color w:val="000000"/>
          <w:sz w:val="24"/>
          <w:szCs w:val="24"/>
        </w:rPr>
        <w:t>.</w:t>
      </w:r>
    </w:p>
    <w:p w14:paraId="6D6F2C7E" w14:textId="5D5EDBE1"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7. Arritjet kryesore në atë sektor</w:t>
      </w:r>
      <w:r w:rsidR="00946061">
        <w:rPr>
          <w:rFonts w:ascii="Garamond" w:hAnsi="Garamond"/>
          <w:color w:val="000000"/>
          <w:sz w:val="24"/>
          <w:szCs w:val="24"/>
        </w:rPr>
        <w:t>.</w:t>
      </w:r>
    </w:p>
    <w:p w14:paraId="6D6F2C7F" w14:textId="710E7831"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8. Çdo problem i rëndësishëm që haset gjatë zbatimit të detyrave të besuara</w:t>
      </w:r>
      <w:r w:rsidR="00A97A0E">
        <w:rPr>
          <w:rFonts w:ascii="Garamond" w:hAnsi="Garamond"/>
          <w:color w:val="000000"/>
          <w:sz w:val="24"/>
          <w:szCs w:val="24"/>
        </w:rPr>
        <w:t>,</w:t>
      </w:r>
      <w:r w:rsidRPr="000E1EB0">
        <w:rPr>
          <w:rFonts w:ascii="Garamond" w:hAnsi="Garamond"/>
          <w:color w:val="000000"/>
          <w:sz w:val="24"/>
          <w:szCs w:val="24"/>
        </w:rPr>
        <w:t xml:space="preserve"> p.sh.</w:t>
      </w:r>
      <w:r w:rsidR="00A97A0E">
        <w:rPr>
          <w:rFonts w:ascii="Garamond" w:hAnsi="Garamond"/>
          <w:color w:val="000000"/>
          <w:sz w:val="24"/>
          <w:szCs w:val="24"/>
        </w:rPr>
        <w:t>,</w:t>
      </w:r>
      <w:r w:rsidRPr="000E1EB0">
        <w:rPr>
          <w:rFonts w:ascii="Garamond" w:hAnsi="Garamond"/>
          <w:color w:val="000000"/>
          <w:sz w:val="24"/>
          <w:szCs w:val="24"/>
        </w:rPr>
        <w:t xml:space="preserve"> vonesat në kontraktim dhe masat të marr/planifikuara në vijim.</w:t>
      </w:r>
    </w:p>
    <w:p w14:paraId="6D6F2C80" w14:textId="1B263E7A"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9. Rekomandime për veprime të mëtejshme</w:t>
      </w:r>
      <w:r w:rsidR="00946061">
        <w:rPr>
          <w:rFonts w:ascii="Garamond" w:hAnsi="Garamond"/>
          <w:color w:val="000000"/>
          <w:sz w:val="24"/>
          <w:szCs w:val="24"/>
        </w:rPr>
        <w:t>.</w:t>
      </w:r>
    </w:p>
    <w:p w14:paraId="6D6F2C81" w14:textId="4ED7FC50"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 xml:space="preserve">10. Aktivitetit monitoruese dhe vlerësuese të kryera, auditimet </w:t>
      </w:r>
      <w:r w:rsidR="0072095C">
        <w:rPr>
          <w:rFonts w:ascii="Garamond" w:hAnsi="Garamond"/>
          <w:color w:val="000000"/>
          <w:sz w:val="24"/>
          <w:szCs w:val="24"/>
        </w:rPr>
        <w:t>–</w:t>
      </w:r>
      <w:r w:rsidRPr="000E1EB0">
        <w:rPr>
          <w:rFonts w:ascii="Garamond" w:hAnsi="Garamond"/>
          <w:color w:val="000000"/>
          <w:sz w:val="24"/>
          <w:szCs w:val="24"/>
        </w:rPr>
        <w:t xml:space="preserve"> gjetjet</w:t>
      </w:r>
      <w:r w:rsidR="0072095C">
        <w:rPr>
          <w:rFonts w:ascii="Garamond" w:hAnsi="Garamond"/>
          <w:color w:val="000000"/>
          <w:sz w:val="24"/>
          <w:szCs w:val="24"/>
        </w:rPr>
        <w:t xml:space="preserve"> </w:t>
      </w:r>
      <w:r w:rsidRPr="000E1EB0">
        <w:rPr>
          <w:rFonts w:ascii="Garamond" w:hAnsi="Garamond"/>
          <w:color w:val="000000"/>
          <w:sz w:val="24"/>
          <w:szCs w:val="24"/>
        </w:rPr>
        <w:t>kryesore dhe mësimet e nxjerra, rekomandimet, ndjekja dhe veprimet korrigjuese të ndërmarra.</w:t>
      </w:r>
    </w:p>
    <w:p w14:paraId="6D6F2C82" w14:textId="0A184F3E"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b/>
          <w:bCs/>
          <w:color w:val="000000"/>
          <w:sz w:val="24"/>
          <w:szCs w:val="24"/>
        </w:rPr>
        <w:t xml:space="preserve">Titulli i sektorit: </w:t>
      </w:r>
      <w:r w:rsidR="00401C7E" w:rsidRPr="000E1EB0">
        <w:rPr>
          <w:rFonts w:ascii="Garamond" w:hAnsi="Garamond"/>
          <w:b/>
          <w:bCs/>
          <w:color w:val="000000"/>
          <w:sz w:val="24"/>
          <w:szCs w:val="24"/>
        </w:rPr>
        <w:t>bashkëpunimi ndërkufitar</w:t>
      </w:r>
      <w:r w:rsidRPr="000E1EB0">
        <w:rPr>
          <w:rStyle w:val="FootnoteReference"/>
          <w:rFonts w:ascii="Garamond" w:hAnsi="Garamond"/>
          <w:color w:val="000000"/>
          <w:sz w:val="24"/>
          <w:szCs w:val="24"/>
        </w:rPr>
        <w:footnoteReference w:id="28"/>
      </w:r>
      <w:r w:rsidR="009A5DA1">
        <w:rPr>
          <w:rFonts w:ascii="Garamond" w:hAnsi="Garamond"/>
          <w:color w:val="000000"/>
          <w:sz w:val="24"/>
          <w:szCs w:val="24"/>
        </w:rPr>
        <w:t xml:space="preserve"> </w:t>
      </w:r>
    </w:p>
    <w:p w14:paraId="6D6F2C83" w14:textId="35AA8B0D"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 Përfshirja në programim, sipas rastit</w:t>
      </w:r>
      <w:r w:rsidR="00401C7E">
        <w:rPr>
          <w:rFonts w:ascii="Garamond" w:hAnsi="Garamond"/>
          <w:color w:val="000000"/>
          <w:sz w:val="24"/>
          <w:szCs w:val="24"/>
        </w:rPr>
        <w:t>.</w:t>
      </w:r>
    </w:p>
    <w:p w14:paraId="6D6F2C84" w14:textId="1CE6EA5A"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2. Progresi i bërë në zbatimin e Programit Ndërkufitar dhe në veçanti në arritjen e objektivave specifik</w:t>
      </w:r>
      <w:r w:rsidR="00474666" w:rsidRPr="000E1EB0">
        <w:rPr>
          <w:rFonts w:ascii="Garamond" w:hAnsi="Garamond"/>
          <w:color w:val="000000"/>
          <w:sz w:val="24"/>
          <w:szCs w:val="24"/>
        </w:rPr>
        <w:t>ë</w:t>
      </w:r>
      <w:r w:rsidRPr="000E1EB0">
        <w:rPr>
          <w:rFonts w:ascii="Garamond" w:hAnsi="Garamond"/>
          <w:color w:val="000000"/>
          <w:sz w:val="24"/>
          <w:szCs w:val="24"/>
        </w:rPr>
        <w:t xml:space="preserve"> sipas prioriteteve tematike (duke përfshirë edhe elemente sasiore dhe cilësore që tregojnë progres në lidhje me objektivat)</w:t>
      </w:r>
      <w:r w:rsidR="00401C7E">
        <w:rPr>
          <w:rFonts w:ascii="Garamond" w:hAnsi="Garamond"/>
          <w:color w:val="000000"/>
          <w:sz w:val="24"/>
          <w:szCs w:val="24"/>
        </w:rPr>
        <w:t>.</w:t>
      </w:r>
    </w:p>
    <w:p w14:paraId="6D6F2C85"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3. Një përmbledhje e problemeve të hasura në zbatimin e programit të BNK-së dhe çdo veprim korrigjues i ndërmarrë, si dhe rekomandime për veprime të mëtejshme korrigjuese.</w:t>
      </w:r>
    </w:p>
    <w:p w14:paraId="6D6F2C86"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4. Monitorimi, duke përfshirë edhe marrëveshjet e grumbullimit të të dhënave dhe kur është e zbatueshme, edhe aktivitetet e vlerësimit.</w:t>
      </w:r>
    </w:p>
    <w:p w14:paraId="6D6F2C87"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5. Aktivitetet mbi komunikimin dhe vizibilitetin.</w:t>
      </w:r>
    </w:p>
    <w:p w14:paraId="6D6F2C88"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6. Koordinimi me vendin partner.</w:t>
      </w:r>
    </w:p>
    <w:p w14:paraId="6D6F2C89" w14:textId="73024BD0" w:rsidR="00650E6F" w:rsidRPr="000E1EB0" w:rsidRDefault="00650E6F" w:rsidP="004535F7">
      <w:pPr>
        <w:autoSpaceDE w:val="0"/>
        <w:autoSpaceDN w:val="0"/>
        <w:adjustRightInd w:val="0"/>
        <w:spacing w:after="0" w:line="240" w:lineRule="auto"/>
        <w:ind w:firstLine="284"/>
        <w:jc w:val="both"/>
        <w:rPr>
          <w:rFonts w:ascii="Garamond" w:hAnsi="Garamond"/>
          <w:i/>
          <w:iCs/>
          <w:color w:val="000000"/>
          <w:sz w:val="24"/>
          <w:szCs w:val="24"/>
        </w:rPr>
      </w:pPr>
      <w:r w:rsidRPr="000E1EB0">
        <w:rPr>
          <w:rFonts w:ascii="Garamond" w:hAnsi="Garamond"/>
          <w:i/>
          <w:iCs/>
          <w:color w:val="000000"/>
          <w:sz w:val="24"/>
          <w:szCs w:val="24"/>
        </w:rPr>
        <w:t>Nën menaxhim të tërthortë, duhet të përfshihet</w:t>
      </w:r>
      <w:r w:rsidR="009A5DA1">
        <w:rPr>
          <w:rFonts w:ascii="Garamond" w:hAnsi="Garamond"/>
          <w:i/>
          <w:iCs/>
          <w:color w:val="000000"/>
          <w:sz w:val="24"/>
          <w:szCs w:val="24"/>
        </w:rPr>
        <w:t xml:space="preserve"> </w:t>
      </w:r>
      <w:r w:rsidRPr="000E1EB0">
        <w:rPr>
          <w:rFonts w:ascii="Garamond" w:hAnsi="Garamond"/>
          <w:i/>
          <w:iCs/>
          <w:color w:val="000000"/>
          <w:sz w:val="24"/>
          <w:szCs w:val="24"/>
        </w:rPr>
        <w:t>edhe informacioni i mëposhtëm:</w:t>
      </w:r>
    </w:p>
    <w:p w14:paraId="6D6F2C8A"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1. Struktura operative ekzistuese dhe ndryshimet që lidhen me të, nëse ka.</w:t>
      </w:r>
    </w:p>
    <w:p w14:paraId="6D6F2C8B" w14:textId="77777777"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2. Çdo problem i rëndësishëm që haset në zbatimin e detyrave të besuara, p.sh. vonesat në kontraktim dhe masat pasuese të ndërmarra /të planifikuara.</w:t>
      </w:r>
    </w:p>
    <w:p w14:paraId="6D6F2C8C" w14:textId="3E2590BD" w:rsidR="00650E6F" w:rsidRPr="000E1EB0" w:rsidRDefault="00650E6F" w:rsidP="004535F7">
      <w:pPr>
        <w:autoSpaceDE w:val="0"/>
        <w:autoSpaceDN w:val="0"/>
        <w:adjustRightInd w:val="0"/>
        <w:spacing w:after="0" w:line="240" w:lineRule="auto"/>
        <w:ind w:firstLine="284"/>
        <w:jc w:val="both"/>
        <w:rPr>
          <w:rFonts w:ascii="Garamond" w:hAnsi="Garamond"/>
          <w:color w:val="000000"/>
          <w:sz w:val="24"/>
          <w:szCs w:val="24"/>
        </w:rPr>
      </w:pPr>
      <w:r w:rsidRPr="000E1EB0">
        <w:rPr>
          <w:rFonts w:ascii="Garamond" w:hAnsi="Garamond"/>
          <w:color w:val="000000"/>
          <w:sz w:val="24"/>
          <w:szCs w:val="24"/>
        </w:rPr>
        <w:t>3. Rekomandime për veprime të mëtejshme</w:t>
      </w:r>
      <w:r w:rsidR="00241044">
        <w:rPr>
          <w:rFonts w:ascii="Garamond" w:hAnsi="Garamond"/>
          <w:color w:val="000000"/>
          <w:sz w:val="24"/>
          <w:szCs w:val="24"/>
        </w:rPr>
        <w:t>.</w:t>
      </w:r>
    </w:p>
    <w:p w14:paraId="6D6F2C8D" w14:textId="71097D38" w:rsidR="00650E6F" w:rsidRPr="000E1EB0" w:rsidRDefault="00CA118E" w:rsidP="004535F7">
      <w:pPr>
        <w:autoSpaceDE w:val="0"/>
        <w:autoSpaceDN w:val="0"/>
        <w:adjustRightInd w:val="0"/>
        <w:spacing w:after="0" w:line="240" w:lineRule="auto"/>
        <w:ind w:firstLine="284"/>
        <w:jc w:val="both"/>
        <w:rPr>
          <w:rFonts w:ascii="Garamond" w:hAnsi="Garamond"/>
          <w:b/>
          <w:bCs/>
          <w:color w:val="000000"/>
          <w:sz w:val="24"/>
          <w:szCs w:val="24"/>
        </w:rPr>
      </w:pPr>
      <w:r>
        <w:rPr>
          <w:rFonts w:ascii="Garamond" w:hAnsi="Garamond"/>
          <w:color w:val="000000"/>
          <w:sz w:val="24"/>
          <w:szCs w:val="24"/>
        </w:rPr>
        <w:t xml:space="preserve">4. </w:t>
      </w:r>
      <w:r w:rsidR="00650E6F" w:rsidRPr="000E1EB0">
        <w:rPr>
          <w:rFonts w:ascii="Garamond" w:hAnsi="Garamond"/>
          <w:color w:val="000000"/>
          <w:sz w:val="24"/>
          <w:szCs w:val="24"/>
        </w:rPr>
        <w:t xml:space="preserve">Auditimet e kryera </w:t>
      </w:r>
      <w:r w:rsidR="0072095C">
        <w:rPr>
          <w:rFonts w:ascii="Garamond" w:hAnsi="Garamond"/>
          <w:color w:val="000000"/>
          <w:sz w:val="24"/>
          <w:szCs w:val="24"/>
        </w:rPr>
        <w:t>–</w:t>
      </w:r>
      <w:r w:rsidR="00650E6F" w:rsidRPr="000E1EB0">
        <w:rPr>
          <w:rFonts w:ascii="Garamond" w:hAnsi="Garamond"/>
          <w:color w:val="000000"/>
          <w:sz w:val="24"/>
          <w:szCs w:val="24"/>
        </w:rPr>
        <w:t xml:space="preserve"> gjetjet</w:t>
      </w:r>
      <w:r w:rsidR="0072095C">
        <w:rPr>
          <w:rFonts w:ascii="Garamond" w:hAnsi="Garamond"/>
          <w:color w:val="000000"/>
          <w:sz w:val="24"/>
          <w:szCs w:val="24"/>
        </w:rPr>
        <w:t xml:space="preserve"> </w:t>
      </w:r>
      <w:r w:rsidR="00650E6F" w:rsidRPr="000E1EB0">
        <w:rPr>
          <w:rFonts w:ascii="Garamond" w:hAnsi="Garamond"/>
          <w:color w:val="000000"/>
          <w:sz w:val="24"/>
          <w:szCs w:val="24"/>
        </w:rPr>
        <w:t>kryesore dhe rekomandimet, si dhe masat korrigjuese të ndërmarra</w:t>
      </w:r>
      <w:r w:rsidR="00241044">
        <w:rPr>
          <w:rFonts w:ascii="Garamond" w:hAnsi="Garamond"/>
          <w:color w:val="000000"/>
          <w:sz w:val="24"/>
          <w:szCs w:val="24"/>
        </w:rPr>
        <w:t>.</w:t>
      </w:r>
      <w:r w:rsidR="00650E6F" w:rsidRPr="000E1EB0">
        <w:rPr>
          <w:rFonts w:ascii="Garamond" w:hAnsi="Garamond"/>
          <w:b/>
          <w:bCs/>
          <w:color w:val="000000"/>
          <w:sz w:val="24"/>
          <w:szCs w:val="24"/>
        </w:rPr>
        <w:t xml:space="preserve"> </w:t>
      </w:r>
    </w:p>
    <w:p w14:paraId="6D6F2C8E" w14:textId="77777777" w:rsidR="00650E6F" w:rsidRPr="000E1EB0" w:rsidRDefault="00650E6F" w:rsidP="00650E6F">
      <w:pPr>
        <w:autoSpaceDE w:val="0"/>
        <w:autoSpaceDN w:val="0"/>
        <w:adjustRightInd w:val="0"/>
        <w:spacing w:line="330" w:lineRule="atLeast"/>
        <w:jc w:val="both"/>
        <w:rPr>
          <w:rFonts w:ascii="Garamond" w:hAnsi="Garamond"/>
          <w:b/>
          <w:bCs/>
          <w:color w:val="000000"/>
          <w:sz w:val="20"/>
          <w:szCs w:val="20"/>
        </w:rPr>
      </w:pPr>
    </w:p>
    <w:p w14:paraId="6D6F2C8F" w14:textId="77777777" w:rsidR="00650E6F" w:rsidRPr="000E1EB0" w:rsidRDefault="00650E6F" w:rsidP="00650E6F">
      <w:pPr>
        <w:autoSpaceDE w:val="0"/>
        <w:autoSpaceDN w:val="0"/>
        <w:adjustRightInd w:val="0"/>
        <w:spacing w:line="330" w:lineRule="atLeast"/>
        <w:jc w:val="both"/>
        <w:rPr>
          <w:rFonts w:ascii="Garamond" w:hAnsi="Garamond"/>
          <w:sz w:val="24"/>
          <w:szCs w:val="24"/>
        </w:rPr>
        <w:sectPr w:rsidR="00650E6F" w:rsidRPr="000E1EB0" w:rsidSect="00650E6F">
          <w:pgSz w:w="12240" w:h="15840"/>
          <w:pgMar w:top="1440" w:right="1440" w:bottom="1440" w:left="1440" w:header="720" w:footer="720" w:gutter="0"/>
          <w:cols w:space="720"/>
          <w:noEndnote/>
        </w:sectPr>
      </w:pPr>
    </w:p>
    <w:p w14:paraId="6D6F2C90" w14:textId="633C2718" w:rsidR="00650E6F" w:rsidRPr="000E1EB0" w:rsidRDefault="007B064F" w:rsidP="00650E6F">
      <w:pPr>
        <w:spacing w:after="0" w:line="240" w:lineRule="auto"/>
        <w:rPr>
          <w:rFonts w:ascii="Garamond" w:hAnsi="Garamond"/>
          <w:b/>
          <w:sz w:val="24"/>
          <w:szCs w:val="24"/>
        </w:rPr>
      </w:pPr>
      <w:r>
        <w:rPr>
          <w:rFonts w:ascii="Garamond" w:hAnsi="Garamond"/>
          <w:b/>
          <w:sz w:val="24"/>
          <w:szCs w:val="24"/>
        </w:rPr>
        <w:lastRenderedPageBreak/>
        <w:t>II.</w:t>
      </w:r>
      <w:r w:rsidR="00650E6F" w:rsidRPr="000E1EB0">
        <w:rPr>
          <w:rFonts w:ascii="Garamond" w:hAnsi="Garamond"/>
          <w:b/>
          <w:sz w:val="24"/>
          <w:szCs w:val="24"/>
        </w:rPr>
        <w:t>a. Treguesit e performancës në sektorin [</w:t>
      </w:r>
      <w:r w:rsidR="00650E6F" w:rsidRPr="000E1EB0">
        <w:rPr>
          <w:rFonts w:ascii="Garamond" w:hAnsi="Garamond"/>
          <w:b/>
          <w:i/>
          <w:sz w:val="24"/>
          <w:szCs w:val="24"/>
        </w:rPr>
        <w:t>p.sh. transporti</w:t>
      </w:r>
      <w:r w:rsidR="00650E6F" w:rsidRPr="000E1EB0">
        <w:rPr>
          <w:rFonts w:ascii="Garamond" w:hAnsi="Garamond"/>
          <w:b/>
          <w:sz w:val="24"/>
          <w:szCs w:val="24"/>
        </w:rPr>
        <w:t>] që mbulon menaxhimin e drejtpërdrejtë dhe të tërthortë:</w:t>
      </w:r>
    </w:p>
    <w:p w14:paraId="6D6F2C91" w14:textId="77777777" w:rsidR="00650E6F" w:rsidRPr="000E1EB0" w:rsidRDefault="00650E6F" w:rsidP="00650E6F">
      <w:pPr>
        <w:spacing w:after="0" w:line="240" w:lineRule="auto"/>
        <w:rPr>
          <w:rFonts w:ascii="Garamond" w:hAnsi="Garamond"/>
          <w:b/>
          <w:sz w:val="24"/>
          <w:szCs w:val="24"/>
        </w:rPr>
      </w:pPr>
      <w:r w:rsidRPr="000E1EB0">
        <w:rPr>
          <w:rFonts w:ascii="Garamond" w:hAnsi="Garamond"/>
          <w:b/>
          <w:sz w:val="24"/>
          <w:szCs w:val="24"/>
        </w:rPr>
        <w:t>Treguesit</w:t>
      </w:r>
      <w:r w:rsidRPr="000E1EB0">
        <w:rPr>
          <w:rStyle w:val="FootnoteReference"/>
          <w:rFonts w:ascii="Garamond" w:hAnsi="Garamond"/>
          <w:b/>
          <w:sz w:val="24"/>
          <w:szCs w:val="24"/>
        </w:rPr>
        <w:footnoteReference w:id="29"/>
      </w:r>
      <w:r w:rsidRPr="000E1EB0">
        <w:rPr>
          <w:rFonts w:ascii="Garamond" w:hAnsi="Garamond"/>
          <w:b/>
          <w:sz w:val="24"/>
          <w:szCs w:val="24"/>
        </w:rPr>
        <w:t xml:space="preserve"> për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5428"/>
        <w:gridCol w:w="932"/>
        <w:gridCol w:w="949"/>
        <w:gridCol w:w="1429"/>
        <w:gridCol w:w="1401"/>
        <w:gridCol w:w="1136"/>
      </w:tblGrid>
      <w:tr w:rsidR="00650E6F" w:rsidRPr="000E1EB0" w14:paraId="6D6F2C99" w14:textId="77777777" w:rsidTr="00650E6F">
        <w:trPr>
          <w:trHeight w:val="1177"/>
        </w:trPr>
        <w:tc>
          <w:tcPr>
            <w:tcW w:w="1038" w:type="pct"/>
            <w:shd w:val="clear" w:color="auto" w:fill="auto"/>
          </w:tcPr>
          <w:p w14:paraId="6D6F2C92" w14:textId="77777777" w:rsidR="00650E6F" w:rsidRPr="000E1EB0" w:rsidRDefault="00650E6F" w:rsidP="00650E6F">
            <w:pPr>
              <w:spacing w:after="0" w:line="240" w:lineRule="auto"/>
              <w:rPr>
                <w:rFonts w:ascii="Garamond" w:hAnsi="Garamond"/>
                <w:b/>
                <w:sz w:val="24"/>
                <w:szCs w:val="24"/>
              </w:rPr>
            </w:pPr>
            <w:r w:rsidRPr="000E1EB0">
              <w:rPr>
                <w:rFonts w:ascii="Garamond" w:hAnsi="Garamond"/>
                <w:b/>
                <w:sz w:val="24"/>
                <w:szCs w:val="24"/>
              </w:rPr>
              <w:t>Marrëveshja e Financimit /Programi referues</w:t>
            </w:r>
            <w:r w:rsidRPr="000E1EB0">
              <w:rPr>
                <w:rStyle w:val="FootnoteReference"/>
                <w:rFonts w:ascii="Garamond" w:hAnsi="Garamond"/>
                <w:b/>
                <w:sz w:val="24"/>
                <w:szCs w:val="24"/>
              </w:rPr>
              <w:footnoteReference w:id="30"/>
            </w:r>
          </w:p>
        </w:tc>
        <w:tc>
          <w:tcPr>
            <w:tcW w:w="1911" w:type="pct"/>
            <w:shd w:val="clear" w:color="auto" w:fill="auto"/>
          </w:tcPr>
          <w:p w14:paraId="6D6F2C93" w14:textId="7C61CBE9" w:rsidR="00650E6F" w:rsidRPr="000E1EB0" w:rsidRDefault="00650E6F" w:rsidP="00650E6F">
            <w:pPr>
              <w:spacing w:after="0" w:line="240" w:lineRule="auto"/>
              <w:rPr>
                <w:rFonts w:ascii="Garamond" w:hAnsi="Garamond"/>
                <w:b/>
                <w:sz w:val="24"/>
                <w:szCs w:val="24"/>
              </w:rPr>
            </w:pPr>
            <w:r w:rsidRPr="000E1EB0">
              <w:rPr>
                <w:rFonts w:ascii="Garamond" w:hAnsi="Garamond"/>
                <w:b/>
                <w:sz w:val="24"/>
                <w:szCs w:val="24"/>
              </w:rPr>
              <w:t>Treguesi për sektor</w:t>
            </w:r>
            <w:r w:rsidR="009A5DA1">
              <w:rPr>
                <w:rFonts w:ascii="Garamond" w:hAnsi="Garamond"/>
                <w:b/>
                <w:sz w:val="24"/>
                <w:szCs w:val="24"/>
              </w:rPr>
              <w:t xml:space="preserve"> </w:t>
            </w:r>
            <w:r w:rsidRPr="000E1EB0">
              <w:rPr>
                <w:rFonts w:ascii="Garamond" w:hAnsi="Garamond"/>
                <w:b/>
                <w:sz w:val="24"/>
                <w:szCs w:val="24"/>
              </w:rPr>
              <w:t>[</w:t>
            </w:r>
            <w:r w:rsidRPr="000E1EB0">
              <w:rPr>
                <w:rFonts w:ascii="Garamond" w:hAnsi="Garamond"/>
                <w:b/>
                <w:i/>
                <w:sz w:val="24"/>
                <w:szCs w:val="24"/>
              </w:rPr>
              <w:t>Transporti</w:t>
            </w:r>
            <w:r w:rsidRPr="000E1EB0">
              <w:rPr>
                <w:rFonts w:ascii="Garamond" w:hAnsi="Garamond"/>
                <w:b/>
                <w:sz w:val="24"/>
                <w:szCs w:val="24"/>
              </w:rPr>
              <w:t>]</w:t>
            </w:r>
          </w:p>
        </w:tc>
        <w:tc>
          <w:tcPr>
            <w:tcW w:w="313" w:type="pct"/>
            <w:shd w:val="clear" w:color="auto" w:fill="auto"/>
          </w:tcPr>
          <w:p w14:paraId="6D6F2C94" w14:textId="77777777" w:rsidR="00650E6F" w:rsidRPr="000E1EB0" w:rsidRDefault="00650E6F" w:rsidP="0072095C">
            <w:pPr>
              <w:spacing w:after="0" w:line="240" w:lineRule="auto"/>
              <w:jc w:val="center"/>
              <w:rPr>
                <w:rFonts w:ascii="Garamond" w:hAnsi="Garamond"/>
                <w:b/>
                <w:sz w:val="24"/>
                <w:szCs w:val="24"/>
              </w:rPr>
            </w:pPr>
            <w:r w:rsidRPr="000E1EB0">
              <w:rPr>
                <w:rFonts w:ascii="Garamond" w:hAnsi="Garamond"/>
                <w:b/>
                <w:sz w:val="24"/>
                <w:szCs w:val="24"/>
              </w:rPr>
              <w:t>Burimi</w:t>
            </w:r>
          </w:p>
        </w:tc>
        <w:tc>
          <w:tcPr>
            <w:tcW w:w="336" w:type="pct"/>
          </w:tcPr>
          <w:p w14:paraId="6D6F2C95" w14:textId="77777777" w:rsidR="00650E6F" w:rsidRPr="000E1EB0" w:rsidRDefault="00650E6F" w:rsidP="0072095C">
            <w:pPr>
              <w:spacing w:after="0" w:line="240" w:lineRule="auto"/>
              <w:jc w:val="center"/>
              <w:rPr>
                <w:rFonts w:ascii="Garamond" w:hAnsi="Garamond"/>
                <w:b/>
                <w:sz w:val="24"/>
                <w:szCs w:val="24"/>
              </w:rPr>
            </w:pPr>
            <w:r w:rsidRPr="000E1EB0">
              <w:rPr>
                <w:rFonts w:ascii="Garamond" w:hAnsi="Garamond"/>
                <w:b/>
                <w:sz w:val="24"/>
                <w:szCs w:val="24"/>
              </w:rPr>
              <w:t>Linja bazë</w:t>
            </w:r>
          </w:p>
        </w:tc>
        <w:tc>
          <w:tcPr>
            <w:tcW w:w="505" w:type="pct"/>
            <w:shd w:val="clear" w:color="auto" w:fill="auto"/>
          </w:tcPr>
          <w:p w14:paraId="6D6F2C96" w14:textId="65C58082" w:rsidR="00650E6F" w:rsidRPr="000E1EB0" w:rsidRDefault="00650E6F" w:rsidP="0072095C">
            <w:pPr>
              <w:spacing w:after="0" w:line="240" w:lineRule="auto"/>
              <w:jc w:val="center"/>
              <w:rPr>
                <w:rFonts w:ascii="Garamond" w:hAnsi="Garamond"/>
                <w:b/>
                <w:sz w:val="24"/>
                <w:szCs w:val="24"/>
              </w:rPr>
            </w:pPr>
            <w:r w:rsidRPr="000E1EB0">
              <w:rPr>
                <w:rFonts w:ascii="Garamond" w:hAnsi="Garamond"/>
                <w:b/>
                <w:sz w:val="24"/>
                <w:szCs w:val="24"/>
              </w:rPr>
              <w:t>Objektivi</w:t>
            </w:r>
            <w:r w:rsidR="009A5DA1">
              <w:rPr>
                <w:rFonts w:ascii="Garamond" w:hAnsi="Garamond"/>
                <w:b/>
                <w:sz w:val="24"/>
                <w:szCs w:val="24"/>
              </w:rPr>
              <w:t xml:space="preserve"> </w:t>
            </w:r>
            <w:r w:rsidRPr="000E1EB0">
              <w:rPr>
                <w:rFonts w:ascii="Garamond" w:hAnsi="Garamond"/>
                <w:b/>
                <w:sz w:val="24"/>
                <w:szCs w:val="24"/>
              </w:rPr>
              <w:t>(2017)</w:t>
            </w:r>
          </w:p>
        </w:tc>
        <w:tc>
          <w:tcPr>
            <w:tcW w:w="495" w:type="pct"/>
            <w:shd w:val="clear" w:color="auto" w:fill="auto"/>
          </w:tcPr>
          <w:p w14:paraId="6D6F2C97" w14:textId="77777777" w:rsidR="00650E6F" w:rsidRPr="000E1EB0" w:rsidRDefault="00650E6F" w:rsidP="0072095C">
            <w:pPr>
              <w:spacing w:after="0" w:line="240" w:lineRule="auto"/>
              <w:jc w:val="center"/>
              <w:rPr>
                <w:rFonts w:ascii="Garamond" w:hAnsi="Garamond"/>
                <w:b/>
                <w:sz w:val="24"/>
                <w:szCs w:val="24"/>
              </w:rPr>
            </w:pPr>
            <w:r w:rsidRPr="000E1EB0">
              <w:rPr>
                <w:rFonts w:ascii="Garamond" w:hAnsi="Garamond"/>
                <w:b/>
                <w:sz w:val="24"/>
                <w:szCs w:val="24"/>
              </w:rPr>
              <w:t>Objektivi (2020)</w:t>
            </w:r>
          </w:p>
        </w:tc>
        <w:tc>
          <w:tcPr>
            <w:tcW w:w="403" w:type="pct"/>
            <w:shd w:val="clear" w:color="auto" w:fill="auto"/>
          </w:tcPr>
          <w:p w14:paraId="6D6F2C98" w14:textId="77777777" w:rsidR="00650E6F" w:rsidRPr="000E1EB0" w:rsidRDefault="00650E6F" w:rsidP="0072095C">
            <w:pPr>
              <w:spacing w:after="0" w:line="240" w:lineRule="auto"/>
              <w:jc w:val="center"/>
              <w:rPr>
                <w:rFonts w:ascii="Garamond" w:hAnsi="Garamond"/>
                <w:b/>
                <w:sz w:val="24"/>
                <w:szCs w:val="24"/>
              </w:rPr>
            </w:pPr>
            <w:r w:rsidRPr="000E1EB0">
              <w:rPr>
                <w:rFonts w:ascii="Garamond" w:hAnsi="Garamond"/>
                <w:b/>
                <w:sz w:val="24"/>
                <w:szCs w:val="24"/>
              </w:rPr>
              <w:t>Vlera (2014</w:t>
            </w:r>
            <w:r w:rsidRPr="000E1EB0">
              <w:rPr>
                <w:rStyle w:val="FootnoteReference"/>
                <w:rFonts w:ascii="Garamond" w:hAnsi="Garamond"/>
                <w:b/>
                <w:sz w:val="24"/>
                <w:szCs w:val="24"/>
              </w:rPr>
              <w:footnoteReference w:id="31"/>
            </w:r>
            <w:r w:rsidRPr="000E1EB0">
              <w:rPr>
                <w:rFonts w:ascii="Garamond" w:hAnsi="Garamond"/>
                <w:b/>
                <w:sz w:val="24"/>
                <w:szCs w:val="24"/>
              </w:rPr>
              <w:t>)</w:t>
            </w:r>
          </w:p>
        </w:tc>
      </w:tr>
      <w:tr w:rsidR="00650E6F" w:rsidRPr="000E1EB0" w14:paraId="6D6F2CA1" w14:textId="77777777" w:rsidTr="00650E6F">
        <w:tc>
          <w:tcPr>
            <w:tcW w:w="1038" w:type="pct"/>
            <w:shd w:val="clear" w:color="auto" w:fill="auto"/>
          </w:tcPr>
          <w:p w14:paraId="6D6F2C9A" w14:textId="77777777"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t>2014 Programi i vendit</w:t>
            </w:r>
          </w:p>
        </w:tc>
        <w:tc>
          <w:tcPr>
            <w:tcW w:w="1911" w:type="pct"/>
            <w:shd w:val="clear" w:color="auto" w:fill="auto"/>
          </w:tcPr>
          <w:p w14:paraId="6D6F2C9B" w14:textId="77777777"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t xml:space="preserve">Reduktimi i kohës mesatare të udhëtimit për udhëtarët ndërmjet qendrave kryesore urbane nga lloji i transportit </w:t>
            </w:r>
          </w:p>
        </w:tc>
        <w:tc>
          <w:tcPr>
            <w:tcW w:w="313" w:type="pct"/>
            <w:shd w:val="clear" w:color="auto" w:fill="auto"/>
          </w:tcPr>
          <w:p w14:paraId="6D6F2C9C" w14:textId="77777777" w:rsidR="00650E6F" w:rsidRPr="000E1EB0" w:rsidRDefault="00650E6F" w:rsidP="00650E6F">
            <w:pPr>
              <w:spacing w:after="0" w:line="240" w:lineRule="auto"/>
              <w:rPr>
                <w:rFonts w:ascii="Garamond" w:hAnsi="Garamond"/>
                <w:sz w:val="24"/>
                <w:szCs w:val="24"/>
              </w:rPr>
            </w:pPr>
          </w:p>
        </w:tc>
        <w:tc>
          <w:tcPr>
            <w:tcW w:w="336" w:type="pct"/>
          </w:tcPr>
          <w:p w14:paraId="6D6F2C9D" w14:textId="77777777" w:rsidR="00650E6F" w:rsidRPr="000E1EB0" w:rsidRDefault="00650E6F" w:rsidP="00650E6F">
            <w:pPr>
              <w:spacing w:after="0" w:line="240" w:lineRule="auto"/>
              <w:rPr>
                <w:rFonts w:ascii="Garamond" w:hAnsi="Garamond"/>
                <w:sz w:val="24"/>
                <w:szCs w:val="24"/>
              </w:rPr>
            </w:pPr>
          </w:p>
        </w:tc>
        <w:tc>
          <w:tcPr>
            <w:tcW w:w="505" w:type="pct"/>
            <w:shd w:val="clear" w:color="auto" w:fill="auto"/>
          </w:tcPr>
          <w:p w14:paraId="6D6F2C9E" w14:textId="77777777" w:rsidR="00650E6F" w:rsidRPr="000E1EB0" w:rsidRDefault="00650E6F" w:rsidP="00650E6F">
            <w:pPr>
              <w:spacing w:after="0" w:line="240" w:lineRule="auto"/>
              <w:rPr>
                <w:rFonts w:ascii="Garamond" w:hAnsi="Garamond"/>
                <w:sz w:val="24"/>
                <w:szCs w:val="24"/>
              </w:rPr>
            </w:pPr>
          </w:p>
        </w:tc>
        <w:tc>
          <w:tcPr>
            <w:tcW w:w="495" w:type="pct"/>
            <w:shd w:val="clear" w:color="auto" w:fill="auto"/>
          </w:tcPr>
          <w:p w14:paraId="6D6F2C9F" w14:textId="77777777" w:rsidR="00650E6F" w:rsidRPr="000E1EB0" w:rsidRDefault="00650E6F" w:rsidP="00650E6F">
            <w:pPr>
              <w:spacing w:after="0" w:line="240" w:lineRule="auto"/>
              <w:rPr>
                <w:rFonts w:ascii="Garamond" w:hAnsi="Garamond"/>
                <w:sz w:val="24"/>
                <w:szCs w:val="24"/>
              </w:rPr>
            </w:pPr>
          </w:p>
        </w:tc>
        <w:tc>
          <w:tcPr>
            <w:tcW w:w="403" w:type="pct"/>
            <w:shd w:val="clear" w:color="auto" w:fill="auto"/>
          </w:tcPr>
          <w:p w14:paraId="6D6F2CA0" w14:textId="77777777" w:rsidR="00650E6F" w:rsidRPr="000E1EB0" w:rsidRDefault="00650E6F" w:rsidP="00650E6F">
            <w:pPr>
              <w:spacing w:after="0" w:line="240" w:lineRule="auto"/>
              <w:rPr>
                <w:rFonts w:ascii="Garamond" w:hAnsi="Garamond"/>
                <w:sz w:val="24"/>
                <w:szCs w:val="24"/>
              </w:rPr>
            </w:pPr>
          </w:p>
        </w:tc>
      </w:tr>
      <w:tr w:rsidR="00650E6F" w:rsidRPr="000E1EB0" w14:paraId="6D6F2CA9" w14:textId="77777777" w:rsidTr="00650E6F">
        <w:tc>
          <w:tcPr>
            <w:tcW w:w="1038" w:type="pct"/>
            <w:tcBorders>
              <w:top w:val="single" w:sz="4" w:space="0" w:color="auto"/>
              <w:left w:val="single" w:sz="4" w:space="0" w:color="auto"/>
              <w:bottom w:val="single" w:sz="4" w:space="0" w:color="auto"/>
              <w:right w:val="single" w:sz="4" w:space="0" w:color="auto"/>
            </w:tcBorders>
            <w:shd w:val="clear" w:color="auto" w:fill="auto"/>
          </w:tcPr>
          <w:p w14:paraId="6D6F2CA2" w14:textId="6FA41573" w:rsidR="00650E6F" w:rsidRPr="000E1EB0" w:rsidRDefault="00650E6F" w:rsidP="009A428B">
            <w:pPr>
              <w:spacing w:after="0" w:line="240" w:lineRule="auto"/>
              <w:rPr>
                <w:rFonts w:ascii="Garamond" w:hAnsi="Garamond"/>
                <w:i/>
                <w:sz w:val="24"/>
                <w:szCs w:val="24"/>
              </w:rPr>
            </w:pPr>
            <w:r w:rsidRPr="000E1EB0">
              <w:rPr>
                <w:rFonts w:ascii="Garamond" w:hAnsi="Garamond"/>
                <w:i/>
                <w:sz w:val="24"/>
                <w:szCs w:val="24"/>
              </w:rPr>
              <w:br w:type="page"/>
              <w:t>2014-20</w:t>
            </w:r>
            <w:r w:rsidR="009A428B">
              <w:rPr>
                <w:rFonts w:ascii="Garamond" w:hAnsi="Garamond"/>
                <w:i/>
                <w:sz w:val="24"/>
                <w:szCs w:val="24"/>
              </w:rPr>
              <w:t>XX</w:t>
            </w:r>
            <w:r w:rsidRPr="000E1EB0">
              <w:rPr>
                <w:rFonts w:ascii="Garamond" w:hAnsi="Garamond"/>
                <w:i/>
                <w:sz w:val="24"/>
                <w:szCs w:val="24"/>
              </w:rPr>
              <w:t xml:space="preserve"> Programi shumëvjeçar</w:t>
            </w:r>
          </w:p>
        </w:tc>
        <w:tc>
          <w:tcPr>
            <w:tcW w:w="1911" w:type="pct"/>
            <w:tcBorders>
              <w:top w:val="single" w:sz="4" w:space="0" w:color="auto"/>
              <w:left w:val="single" w:sz="4" w:space="0" w:color="auto"/>
              <w:bottom w:val="single" w:sz="4" w:space="0" w:color="auto"/>
              <w:right w:val="single" w:sz="4" w:space="0" w:color="auto"/>
            </w:tcBorders>
            <w:shd w:val="clear" w:color="auto" w:fill="auto"/>
          </w:tcPr>
          <w:p w14:paraId="6D6F2CA3" w14:textId="77777777"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t xml:space="preserve">Kosto të reduktuara transporti për njësi produkti </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6D6F2CA4" w14:textId="77777777" w:rsidR="00650E6F" w:rsidRPr="000E1EB0" w:rsidRDefault="00650E6F" w:rsidP="00650E6F">
            <w:pPr>
              <w:spacing w:after="0" w:line="240" w:lineRule="auto"/>
              <w:rPr>
                <w:rFonts w:ascii="Garamond" w:hAnsi="Garamond"/>
                <w:sz w:val="24"/>
                <w:szCs w:val="24"/>
              </w:rPr>
            </w:pPr>
          </w:p>
        </w:tc>
        <w:tc>
          <w:tcPr>
            <w:tcW w:w="336" w:type="pct"/>
            <w:tcBorders>
              <w:top w:val="single" w:sz="4" w:space="0" w:color="auto"/>
              <w:left w:val="single" w:sz="4" w:space="0" w:color="auto"/>
              <w:bottom w:val="single" w:sz="4" w:space="0" w:color="auto"/>
              <w:right w:val="single" w:sz="4" w:space="0" w:color="auto"/>
            </w:tcBorders>
          </w:tcPr>
          <w:p w14:paraId="6D6F2CA5" w14:textId="77777777" w:rsidR="00650E6F" w:rsidRPr="000E1EB0" w:rsidRDefault="00650E6F" w:rsidP="00650E6F">
            <w:pPr>
              <w:spacing w:after="0" w:line="240" w:lineRule="auto"/>
              <w:rPr>
                <w:rFonts w:ascii="Garamond" w:hAnsi="Garamond"/>
                <w:sz w:val="24"/>
                <w:szCs w:val="24"/>
              </w:rPr>
            </w:pPr>
          </w:p>
        </w:tc>
        <w:tc>
          <w:tcPr>
            <w:tcW w:w="505" w:type="pct"/>
            <w:tcBorders>
              <w:top w:val="single" w:sz="4" w:space="0" w:color="auto"/>
              <w:left w:val="single" w:sz="4" w:space="0" w:color="auto"/>
              <w:bottom w:val="single" w:sz="4" w:space="0" w:color="auto"/>
              <w:right w:val="single" w:sz="4" w:space="0" w:color="auto"/>
            </w:tcBorders>
            <w:shd w:val="clear" w:color="auto" w:fill="auto"/>
          </w:tcPr>
          <w:p w14:paraId="6D6F2CA6" w14:textId="77777777" w:rsidR="00650E6F" w:rsidRPr="000E1EB0" w:rsidRDefault="00650E6F" w:rsidP="00650E6F">
            <w:pPr>
              <w:spacing w:after="0" w:line="240" w:lineRule="auto"/>
              <w:rPr>
                <w:rFonts w:ascii="Garamond" w:hAnsi="Garamond"/>
                <w:sz w:val="24"/>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6D6F2CA7" w14:textId="77777777" w:rsidR="00650E6F" w:rsidRPr="000E1EB0" w:rsidRDefault="00650E6F" w:rsidP="00650E6F">
            <w:pPr>
              <w:spacing w:after="0" w:line="240" w:lineRule="auto"/>
              <w:rPr>
                <w:rFonts w:ascii="Garamond" w:hAnsi="Garamond"/>
                <w:sz w:val="24"/>
                <w:szCs w:val="24"/>
              </w:rPr>
            </w:pP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6D6F2CA8" w14:textId="77777777" w:rsidR="00650E6F" w:rsidRPr="000E1EB0" w:rsidRDefault="00650E6F" w:rsidP="00650E6F">
            <w:pPr>
              <w:spacing w:after="0" w:line="240" w:lineRule="auto"/>
              <w:rPr>
                <w:rFonts w:ascii="Garamond" w:hAnsi="Garamond"/>
                <w:sz w:val="24"/>
                <w:szCs w:val="24"/>
              </w:rPr>
            </w:pPr>
          </w:p>
        </w:tc>
      </w:tr>
    </w:tbl>
    <w:p w14:paraId="6D6F2CAA" w14:textId="77777777" w:rsidR="00650E6F" w:rsidRPr="000E1EB0" w:rsidRDefault="00650E6F" w:rsidP="00650E6F">
      <w:pPr>
        <w:spacing w:after="0" w:line="240" w:lineRule="auto"/>
        <w:rPr>
          <w:rFonts w:ascii="Garamond" w:hAnsi="Garamond"/>
          <w:b/>
          <w:sz w:val="24"/>
          <w:szCs w:val="24"/>
        </w:rPr>
      </w:pPr>
    </w:p>
    <w:p w14:paraId="6D6F2CAB" w14:textId="5065E215" w:rsidR="00650E6F" w:rsidRPr="000E1EB0" w:rsidRDefault="00650E6F" w:rsidP="00650E6F">
      <w:pPr>
        <w:spacing w:after="0" w:line="240" w:lineRule="auto"/>
        <w:rPr>
          <w:rFonts w:ascii="Garamond" w:hAnsi="Garamond"/>
          <w:b/>
          <w:i/>
          <w:sz w:val="24"/>
          <w:szCs w:val="24"/>
        </w:rPr>
      </w:pPr>
      <w:r w:rsidRPr="000E1EB0">
        <w:rPr>
          <w:rFonts w:ascii="Garamond" w:hAnsi="Garamond"/>
          <w:b/>
          <w:sz w:val="24"/>
          <w:szCs w:val="24"/>
        </w:rPr>
        <w:t>II</w:t>
      </w:r>
      <w:r w:rsidR="007B064F">
        <w:rPr>
          <w:rFonts w:ascii="Garamond" w:hAnsi="Garamond"/>
          <w:b/>
          <w:sz w:val="24"/>
          <w:szCs w:val="24"/>
        </w:rPr>
        <w:t>.</w:t>
      </w:r>
      <w:r w:rsidRPr="000E1EB0">
        <w:rPr>
          <w:rFonts w:ascii="Garamond" w:hAnsi="Garamond"/>
          <w:b/>
          <w:sz w:val="24"/>
          <w:szCs w:val="24"/>
        </w:rPr>
        <w:t>b. Përmbledhje në nivel veprimi për sektorin</w:t>
      </w:r>
      <w:r w:rsidR="009A5DA1">
        <w:rPr>
          <w:rFonts w:ascii="Garamond" w:hAnsi="Garamond"/>
          <w:b/>
          <w:sz w:val="24"/>
          <w:szCs w:val="24"/>
        </w:rPr>
        <w:t xml:space="preserve"> </w:t>
      </w:r>
      <w:r w:rsidRPr="000E1EB0">
        <w:rPr>
          <w:rFonts w:ascii="Garamond" w:hAnsi="Garamond"/>
          <w:b/>
          <w:sz w:val="24"/>
          <w:szCs w:val="24"/>
        </w:rPr>
        <w:t>[</w:t>
      </w:r>
      <w:r w:rsidRPr="000E1EB0">
        <w:rPr>
          <w:rFonts w:ascii="Garamond" w:hAnsi="Garamond"/>
          <w:b/>
          <w:i/>
          <w:sz w:val="24"/>
          <w:szCs w:val="24"/>
        </w:rPr>
        <w:t>p.sh.</w:t>
      </w:r>
      <w:r w:rsidRPr="000E1EB0">
        <w:rPr>
          <w:rFonts w:ascii="Garamond" w:hAnsi="Garamond"/>
          <w:b/>
          <w:sz w:val="24"/>
          <w:szCs w:val="24"/>
        </w:rPr>
        <w:t xml:space="preserve"> </w:t>
      </w:r>
      <w:r w:rsidRPr="000E1EB0">
        <w:rPr>
          <w:rFonts w:ascii="Garamond" w:hAnsi="Garamond"/>
          <w:b/>
          <w:i/>
          <w:sz w:val="24"/>
          <w:szCs w:val="24"/>
        </w:rPr>
        <w:t>transportin</w:t>
      </w:r>
      <w:r w:rsidRPr="000E1EB0">
        <w:rPr>
          <w:rFonts w:ascii="Garamond" w:hAnsi="Garamond"/>
          <w:b/>
          <w:sz w:val="24"/>
          <w:szCs w:val="24"/>
        </w:rPr>
        <w:t xml:space="preserve">] </w:t>
      </w:r>
    </w:p>
    <w:tbl>
      <w:tblPr>
        <w:tblW w:w="46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584"/>
        <w:gridCol w:w="2821"/>
        <w:gridCol w:w="1134"/>
        <w:gridCol w:w="2467"/>
        <w:gridCol w:w="1906"/>
        <w:gridCol w:w="1791"/>
      </w:tblGrid>
      <w:tr w:rsidR="00650E6F" w:rsidRPr="000E1EB0" w14:paraId="6D6F2CB7" w14:textId="77777777" w:rsidTr="00461729">
        <w:trPr>
          <w:trHeight w:val="2108"/>
        </w:trPr>
        <w:tc>
          <w:tcPr>
            <w:tcW w:w="603" w:type="pct"/>
            <w:shd w:val="clear" w:color="auto" w:fill="auto"/>
            <w:vAlign w:val="center"/>
          </w:tcPr>
          <w:p w14:paraId="6D6F2CAC" w14:textId="77777777" w:rsidR="00650E6F" w:rsidRPr="000E1EB0" w:rsidRDefault="00650E6F" w:rsidP="00DF6C15">
            <w:pPr>
              <w:spacing w:after="0" w:line="240" w:lineRule="auto"/>
              <w:jc w:val="center"/>
              <w:rPr>
                <w:rFonts w:ascii="Garamond" w:hAnsi="Garamond"/>
                <w:b/>
                <w:sz w:val="24"/>
                <w:szCs w:val="24"/>
              </w:rPr>
            </w:pPr>
            <w:r w:rsidRPr="000E1EB0">
              <w:rPr>
                <w:rFonts w:ascii="Garamond" w:hAnsi="Garamond"/>
                <w:b/>
                <w:sz w:val="24"/>
                <w:szCs w:val="24"/>
              </w:rPr>
              <w:t>Marrëveshja e Financimit /Programi referues</w:t>
            </w:r>
          </w:p>
        </w:tc>
        <w:tc>
          <w:tcPr>
            <w:tcW w:w="595" w:type="pct"/>
            <w:vAlign w:val="center"/>
          </w:tcPr>
          <w:p w14:paraId="6D6F2CAD" w14:textId="77777777" w:rsidR="00650E6F" w:rsidRPr="000E1EB0" w:rsidRDefault="00650E6F" w:rsidP="00DF6C15">
            <w:pPr>
              <w:spacing w:after="0" w:line="240" w:lineRule="auto"/>
              <w:jc w:val="center"/>
              <w:rPr>
                <w:rFonts w:ascii="Garamond" w:hAnsi="Garamond"/>
                <w:b/>
                <w:sz w:val="24"/>
                <w:szCs w:val="24"/>
              </w:rPr>
            </w:pPr>
            <w:r w:rsidRPr="000E1EB0">
              <w:rPr>
                <w:rFonts w:ascii="Garamond" w:hAnsi="Garamond"/>
                <w:b/>
                <w:sz w:val="24"/>
                <w:szCs w:val="24"/>
              </w:rPr>
              <w:t>Veprimi</w:t>
            </w:r>
          </w:p>
        </w:tc>
        <w:tc>
          <w:tcPr>
            <w:tcW w:w="1060" w:type="pct"/>
            <w:vAlign w:val="center"/>
          </w:tcPr>
          <w:p w14:paraId="6D6F2CAE" w14:textId="5BF78EA4" w:rsidR="00650E6F" w:rsidRPr="000E1EB0" w:rsidRDefault="00650E6F" w:rsidP="001B52A0">
            <w:pPr>
              <w:spacing w:after="0" w:line="240" w:lineRule="auto"/>
              <w:jc w:val="center"/>
              <w:rPr>
                <w:rFonts w:ascii="Garamond" w:hAnsi="Garamond"/>
                <w:b/>
                <w:sz w:val="24"/>
                <w:szCs w:val="24"/>
              </w:rPr>
            </w:pPr>
            <w:r w:rsidRPr="000E1EB0">
              <w:rPr>
                <w:rFonts w:ascii="Garamond" w:hAnsi="Garamond"/>
                <w:b/>
                <w:sz w:val="24"/>
                <w:szCs w:val="24"/>
              </w:rPr>
              <w:t xml:space="preserve">Gjendja/Progresi për një veprim të caktuar (p.sh. po përgatiten </w:t>
            </w:r>
            <w:r w:rsidR="00E0462C" w:rsidRPr="000E1EB0">
              <w:rPr>
                <w:rFonts w:ascii="Garamond" w:hAnsi="Garamond"/>
                <w:b/>
                <w:sz w:val="24"/>
                <w:szCs w:val="24"/>
              </w:rPr>
              <w:t>termat e referencës</w:t>
            </w:r>
            <w:r w:rsidRPr="000E1EB0">
              <w:rPr>
                <w:rFonts w:ascii="Garamond" w:hAnsi="Garamond"/>
                <w:b/>
                <w:sz w:val="24"/>
                <w:szCs w:val="24"/>
              </w:rPr>
              <w:t>, tenderi është</w:t>
            </w:r>
            <w:r w:rsidR="009A5DA1">
              <w:rPr>
                <w:rFonts w:ascii="Garamond" w:hAnsi="Garamond"/>
                <w:b/>
                <w:sz w:val="24"/>
                <w:szCs w:val="24"/>
              </w:rPr>
              <w:t xml:space="preserve"> </w:t>
            </w:r>
            <w:r w:rsidRPr="000E1EB0">
              <w:rPr>
                <w:rFonts w:ascii="Garamond" w:hAnsi="Garamond"/>
                <w:b/>
                <w:sz w:val="24"/>
                <w:szCs w:val="24"/>
              </w:rPr>
              <w:t>shpallur, kontraktuar, po zbatohet, është përfunduar)</w:t>
            </w:r>
          </w:p>
        </w:tc>
        <w:tc>
          <w:tcPr>
            <w:tcW w:w="426" w:type="pct"/>
            <w:shd w:val="clear" w:color="auto" w:fill="auto"/>
            <w:vAlign w:val="center"/>
          </w:tcPr>
          <w:p w14:paraId="6D6F2CAF" w14:textId="77777777" w:rsidR="00650E6F" w:rsidRPr="000E1EB0" w:rsidRDefault="00650E6F" w:rsidP="00DF6C15">
            <w:pPr>
              <w:spacing w:after="0" w:line="240" w:lineRule="auto"/>
              <w:jc w:val="center"/>
              <w:rPr>
                <w:rFonts w:ascii="Garamond" w:hAnsi="Garamond"/>
                <w:b/>
                <w:sz w:val="24"/>
                <w:szCs w:val="24"/>
              </w:rPr>
            </w:pPr>
            <w:r w:rsidRPr="000E1EB0">
              <w:rPr>
                <w:rFonts w:ascii="Garamond" w:hAnsi="Garamond"/>
                <w:b/>
                <w:sz w:val="24"/>
                <w:szCs w:val="24"/>
              </w:rPr>
              <w:t>Arritjet kryesore dhe vlerësimi i tyre</w:t>
            </w:r>
          </w:p>
          <w:p w14:paraId="6D6F2CB0" w14:textId="77777777" w:rsidR="00650E6F" w:rsidRPr="000E1EB0" w:rsidRDefault="00650E6F" w:rsidP="00DF6C15">
            <w:pPr>
              <w:spacing w:after="0" w:line="240" w:lineRule="auto"/>
              <w:jc w:val="center"/>
              <w:rPr>
                <w:rFonts w:ascii="Garamond" w:hAnsi="Garamond"/>
                <w:b/>
                <w:sz w:val="24"/>
                <w:szCs w:val="24"/>
              </w:rPr>
            </w:pPr>
          </w:p>
        </w:tc>
        <w:tc>
          <w:tcPr>
            <w:tcW w:w="927" w:type="pct"/>
            <w:shd w:val="clear" w:color="auto" w:fill="auto"/>
            <w:vAlign w:val="center"/>
          </w:tcPr>
          <w:p w14:paraId="6D6F2CB1" w14:textId="26BF1865" w:rsidR="00650E6F" w:rsidRPr="000E1EB0" w:rsidRDefault="00650E6F" w:rsidP="00DF6C15">
            <w:pPr>
              <w:spacing w:after="0" w:line="240" w:lineRule="auto"/>
              <w:jc w:val="center"/>
              <w:rPr>
                <w:rFonts w:ascii="Garamond" w:hAnsi="Garamond"/>
                <w:b/>
                <w:sz w:val="24"/>
                <w:szCs w:val="24"/>
              </w:rPr>
            </w:pPr>
            <w:r w:rsidRPr="000E1EB0">
              <w:rPr>
                <w:rFonts w:ascii="Garamond" w:hAnsi="Garamond"/>
                <w:b/>
                <w:sz w:val="24"/>
                <w:szCs w:val="24"/>
              </w:rPr>
              <w:t>Probleme të rëndësishme të hasura në zbatimin e detyrave të besuara dhe masat e marra / të planifikuara për kapërcimin e tyre</w:t>
            </w:r>
          </w:p>
          <w:p w14:paraId="6D6F2CB2" w14:textId="77777777" w:rsidR="00650E6F" w:rsidRPr="000E1EB0" w:rsidRDefault="00650E6F" w:rsidP="00DF6C15">
            <w:pPr>
              <w:spacing w:after="0" w:line="240" w:lineRule="auto"/>
              <w:jc w:val="center"/>
              <w:rPr>
                <w:rFonts w:ascii="Garamond" w:hAnsi="Garamond"/>
                <w:b/>
                <w:sz w:val="24"/>
                <w:szCs w:val="24"/>
              </w:rPr>
            </w:pPr>
          </w:p>
        </w:tc>
        <w:tc>
          <w:tcPr>
            <w:tcW w:w="716" w:type="pct"/>
            <w:shd w:val="clear" w:color="auto" w:fill="auto"/>
            <w:vAlign w:val="center"/>
          </w:tcPr>
          <w:p w14:paraId="6D6F2CB3" w14:textId="77777777" w:rsidR="00650E6F" w:rsidRPr="000E1EB0" w:rsidRDefault="00650E6F" w:rsidP="00DF6C15">
            <w:pPr>
              <w:spacing w:after="0" w:line="240" w:lineRule="auto"/>
              <w:jc w:val="center"/>
              <w:rPr>
                <w:rFonts w:ascii="Garamond" w:hAnsi="Garamond"/>
                <w:b/>
                <w:sz w:val="24"/>
                <w:szCs w:val="24"/>
              </w:rPr>
            </w:pPr>
            <w:r w:rsidRPr="000E1EB0">
              <w:rPr>
                <w:rFonts w:ascii="Garamond" w:hAnsi="Garamond"/>
                <w:b/>
                <w:sz w:val="24"/>
                <w:szCs w:val="24"/>
              </w:rPr>
              <w:t>Zhvillimet që ndikojnë në zbatimin në të ardhmen</w:t>
            </w:r>
          </w:p>
          <w:p w14:paraId="6D6F2CB4" w14:textId="77777777" w:rsidR="00650E6F" w:rsidRPr="000E1EB0" w:rsidRDefault="00650E6F" w:rsidP="00DF6C15">
            <w:pPr>
              <w:spacing w:after="0" w:line="240" w:lineRule="auto"/>
              <w:jc w:val="center"/>
              <w:rPr>
                <w:rFonts w:ascii="Garamond" w:hAnsi="Garamond"/>
                <w:b/>
                <w:sz w:val="24"/>
                <w:szCs w:val="24"/>
              </w:rPr>
            </w:pPr>
          </w:p>
        </w:tc>
        <w:tc>
          <w:tcPr>
            <w:tcW w:w="673" w:type="pct"/>
            <w:vAlign w:val="center"/>
          </w:tcPr>
          <w:p w14:paraId="6D6F2CB5" w14:textId="0C17B489" w:rsidR="00650E6F" w:rsidRPr="000E1EB0" w:rsidRDefault="00650E6F" w:rsidP="00DF6C15">
            <w:pPr>
              <w:spacing w:after="0" w:line="240" w:lineRule="auto"/>
              <w:jc w:val="center"/>
              <w:rPr>
                <w:rFonts w:ascii="Garamond" w:hAnsi="Garamond"/>
                <w:b/>
                <w:sz w:val="24"/>
                <w:szCs w:val="24"/>
              </w:rPr>
            </w:pPr>
            <w:r w:rsidRPr="000E1EB0">
              <w:rPr>
                <w:rFonts w:ascii="Garamond" w:hAnsi="Garamond"/>
                <w:b/>
                <w:sz w:val="24"/>
                <w:szCs w:val="24"/>
              </w:rPr>
              <w:t>Rekomandime për veprime të mëtejshme korrigjuese</w:t>
            </w:r>
          </w:p>
          <w:p w14:paraId="6D6F2CB6" w14:textId="77777777" w:rsidR="00650E6F" w:rsidRPr="000E1EB0" w:rsidRDefault="00650E6F" w:rsidP="00DF6C15">
            <w:pPr>
              <w:spacing w:after="0" w:line="240" w:lineRule="auto"/>
              <w:jc w:val="center"/>
              <w:rPr>
                <w:rFonts w:ascii="Garamond" w:hAnsi="Garamond"/>
                <w:b/>
                <w:sz w:val="24"/>
                <w:szCs w:val="24"/>
              </w:rPr>
            </w:pPr>
          </w:p>
        </w:tc>
      </w:tr>
      <w:tr w:rsidR="00650E6F" w:rsidRPr="000E1EB0" w14:paraId="6D6F2CC2" w14:textId="77777777" w:rsidTr="00461729">
        <w:trPr>
          <w:trHeight w:val="1917"/>
        </w:trPr>
        <w:tc>
          <w:tcPr>
            <w:tcW w:w="603" w:type="pct"/>
            <w:shd w:val="clear" w:color="auto" w:fill="auto"/>
          </w:tcPr>
          <w:p w14:paraId="6D6F2CB8" w14:textId="77777777"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t>[2014 Programi i vendit]</w:t>
            </w:r>
          </w:p>
        </w:tc>
        <w:tc>
          <w:tcPr>
            <w:tcW w:w="595" w:type="pct"/>
          </w:tcPr>
          <w:p w14:paraId="6D6F2CB9" w14:textId="77777777"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t>Elektrifikimi i linjës hekurudhore nga xxx në kufi me xxx</w:t>
            </w:r>
          </w:p>
        </w:tc>
        <w:tc>
          <w:tcPr>
            <w:tcW w:w="1060" w:type="pct"/>
          </w:tcPr>
          <w:p w14:paraId="6D6F2CBA" w14:textId="21B09F27" w:rsidR="00650E6F" w:rsidRPr="000E1EB0" w:rsidRDefault="002831A3" w:rsidP="00650E6F">
            <w:pPr>
              <w:spacing w:after="0" w:line="240" w:lineRule="auto"/>
              <w:rPr>
                <w:rFonts w:ascii="Garamond" w:hAnsi="Garamond"/>
                <w:i/>
                <w:sz w:val="24"/>
                <w:szCs w:val="24"/>
              </w:rPr>
            </w:pPr>
            <w:r>
              <w:rPr>
                <w:rFonts w:ascii="Garamond" w:hAnsi="Garamond"/>
                <w:i/>
                <w:sz w:val="24"/>
                <w:szCs w:val="24"/>
              </w:rPr>
              <w:t>P</w:t>
            </w:r>
            <w:r w:rsidR="00650E6F" w:rsidRPr="000E1EB0">
              <w:rPr>
                <w:rFonts w:ascii="Garamond" w:hAnsi="Garamond"/>
                <w:i/>
                <w:sz w:val="24"/>
                <w:szCs w:val="24"/>
              </w:rPr>
              <w:t xml:space="preserve">.sh. </w:t>
            </w:r>
            <w:r>
              <w:rPr>
                <w:rFonts w:ascii="Garamond" w:hAnsi="Garamond"/>
                <w:i/>
                <w:sz w:val="24"/>
                <w:szCs w:val="24"/>
              </w:rPr>
              <w:t>k</w:t>
            </w:r>
            <w:r w:rsidR="00650E6F" w:rsidRPr="000E1EB0">
              <w:rPr>
                <w:rFonts w:ascii="Garamond" w:hAnsi="Garamond"/>
                <w:i/>
                <w:sz w:val="24"/>
                <w:szCs w:val="24"/>
              </w:rPr>
              <w:t xml:space="preserve">ontratë shërbimi për përgatitjen e </w:t>
            </w:r>
            <w:r w:rsidR="0093033D" w:rsidRPr="000E1EB0">
              <w:rPr>
                <w:rFonts w:ascii="Garamond" w:hAnsi="Garamond"/>
                <w:i/>
                <w:sz w:val="24"/>
                <w:szCs w:val="24"/>
              </w:rPr>
              <w:t>termave të referencës</w:t>
            </w:r>
            <w:r w:rsidR="00650E6F" w:rsidRPr="000E1EB0">
              <w:rPr>
                <w:rFonts w:ascii="Garamond" w:hAnsi="Garamond"/>
                <w:i/>
                <w:sz w:val="24"/>
                <w:szCs w:val="24"/>
              </w:rPr>
              <w:t xml:space="preserve"> për punimet që kontrata është nënshkruar dhe po zbatohet, tender për kontratën e punëve që do të fillojnë tremujorin e dytë të vitit 2015</w:t>
            </w:r>
          </w:p>
          <w:p w14:paraId="6D6F2CBB" w14:textId="77777777" w:rsidR="00650E6F" w:rsidRPr="000E1EB0" w:rsidRDefault="00650E6F" w:rsidP="00650E6F">
            <w:pPr>
              <w:spacing w:after="0" w:line="240" w:lineRule="auto"/>
              <w:rPr>
                <w:rFonts w:ascii="Garamond" w:hAnsi="Garamond"/>
                <w:i/>
                <w:sz w:val="24"/>
                <w:szCs w:val="24"/>
              </w:rPr>
            </w:pPr>
          </w:p>
        </w:tc>
        <w:tc>
          <w:tcPr>
            <w:tcW w:w="426" w:type="pct"/>
            <w:shd w:val="clear" w:color="auto" w:fill="auto"/>
          </w:tcPr>
          <w:p w14:paraId="6D6F2CBC" w14:textId="77777777" w:rsidR="00650E6F" w:rsidRPr="000E1EB0" w:rsidRDefault="00650E6F" w:rsidP="00650E6F">
            <w:pPr>
              <w:spacing w:after="0" w:line="240" w:lineRule="auto"/>
              <w:rPr>
                <w:rFonts w:ascii="Garamond" w:hAnsi="Garamond"/>
                <w:sz w:val="24"/>
                <w:szCs w:val="24"/>
              </w:rPr>
            </w:pPr>
          </w:p>
        </w:tc>
        <w:tc>
          <w:tcPr>
            <w:tcW w:w="927" w:type="pct"/>
            <w:shd w:val="clear" w:color="auto" w:fill="auto"/>
          </w:tcPr>
          <w:p w14:paraId="6D6F2CBD" w14:textId="3C11348D" w:rsidR="00650E6F" w:rsidRPr="000E1EB0" w:rsidRDefault="00085860" w:rsidP="00650E6F">
            <w:pPr>
              <w:spacing w:after="0" w:line="240" w:lineRule="auto"/>
              <w:rPr>
                <w:rFonts w:ascii="Garamond" w:hAnsi="Garamond"/>
                <w:i/>
                <w:sz w:val="24"/>
                <w:szCs w:val="24"/>
              </w:rPr>
            </w:pPr>
            <w:r w:rsidRPr="000E1EB0">
              <w:rPr>
                <w:rFonts w:ascii="Garamond" w:hAnsi="Garamond"/>
                <w:i/>
                <w:sz w:val="24"/>
                <w:szCs w:val="24"/>
              </w:rPr>
              <w:t>P</w:t>
            </w:r>
            <w:r w:rsidR="00650E6F" w:rsidRPr="000E1EB0">
              <w:rPr>
                <w:rFonts w:ascii="Garamond" w:hAnsi="Garamond"/>
                <w:i/>
                <w:sz w:val="24"/>
                <w:szCs w:val="24"/>
              </w:rPr>
              <w:t xml:space="preserve">.sh. </w:t>
            </w:r>
            <w:r>
              <w:rPr>
                <w:rFonts w:ascii="Garamond" w:hAnsi="Garamond"/>
                <w:i/>
                <w:sz w:val="24"/>
                <w:szCs w:val="24"/>
              </w:rPr>
              <w:t>k</w:t>
            </w:r>
            <w:r w:rsidR="00650E6F" w:rsidRPr="000E1EB0">
              <w:rPr>
                <w:rFonts w:ascii="Garamond" w:hAnsi="Garamond"/>
                <w:i/>
                <w:sz w:val="24"/>
                <w:szCs w:val="24"/>
              </w:rPr>
              <w:t xml:space="preserve">ontrata e shërbimit për përgatitjen e </w:t>
            </w:r>
            <w:r w:rsidRPr="000E1EB0">
              <w:rPr>
                <w:rFonts w:ascii="Garamond" w:hAnsi="Garamond"/>
                <w:i/>
                <w:sz w:val="24"/>
                <w:szCs w:val="24"/>
              </w:rPr>
              <w:t>termave të referencës p</w:t>
            </w:r>
            <w:r w:rsidR="00650E6F" w:rsidRPr="000E1EB0">
              <w:rPr>
                <w:rFonts w:ascii="Garamond" w:hAnsi="Garamond"/>
                <w:i/>
                <w:sz w:val="24"/>
                <w:szCs w:val="24"/>
              </w:rPr>
              <w:t xml:space="preserve">ër punime që kontrata është vonuar, meqë procedura e negocimit dështoi dhe u nevojit të ribëhej </w:t>
            </w:r>
          </w:p>
          <w:p w14:paraId="6D6F2CBE" w14:textId="77777777" w:rsidR="00650E6F" w:rsidRPr="000E1EB0" w:rsidRDefault="00650E6F" w:rsidP="00650E6F">
            <w:pPr>
              <w:spacing w:after="0" w:line="240" w:lineRule="auto"/>
              <w:rPr>
                <w:rFonts w:ascii="Garamond" w:hAnsi="Garamond"/>
                <w:i/>
                <w:sz w:val="24"/>
                <w:szCs w:val="24"/>
              </w:rPr>
            </w:pPr>
          </w:p>
        </w:tc>
        <w:tc>
          <w:tcPr>
            <w:tcW w:w="716" w:type="pct"/>
            <w:shd w:val="clear" w:color="auto" w:fill="auto"/>
          </w:tcPr>
          <w:p w14:paraId="6D6F2CBF" w14:textId="77777777"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t>p.sh. ndryshimi i ligjit të vendit, si dhe qasja dhe zbatimi i paketës së katërt të hekurudhave</w:t>
            </w:r>
          </w:p>
          <w:p w14:paraId="6D6F2CC0" w14:textId="77777777" w:rsidR="00650E6F" w:rsidRPr="000E1EB0" w:rsidRDefault="00650E6F" w:rsidP="00650E6F">
            <w:pPr>
              <w:spacing w:after="0" w:line="240" w:lineRule="auto"/>
              <w:rPr>
                <w:rFonts w:ascii="Garamond" w:hAnsi="Garamond"/>
                <w:i/>
                <w:sz w:val="24"/>
                <w:szCs w:val="24"/>
              </w:rPr>
            </w:pPr>
          </w:p>
        </w:tc>
        <w:tc>
          <w:tcPr>
            <w:tcW w:w="673" w:type="pct"/>
          </w:tcPr>
          <w:p w14:paraId="6D6F2CC1" w14:textId="77777777" w:rsidR="00650E6F" w:rsidRPr="000E1EB0" w:rsidRDefault="00650E6F" w:rsidP="00650E6F">
            <w:pPr>
              <w:spacing w:after="0" w:line="240" w:lineRule="auto"/>
              <w:rPr>
                <w:rFonts w:ascii="Garamond" w:hAnsi="Garamond"/>
                <w:i/>
                <w:sz w:val="24"/>
                <w:szCs w:val="24"/>
              </w:rPr>
            </w:pPr>
          </w:p>
        </w:tc>
      </w:tr>
    </w:tbl>
    <w:p w14:paraId="6D6F2CC3" w14:textId="77777777" w:rsidR="00650E6F" w:rsidRPr="000E1EB0" w:rsidRDefault="00650E6F" w:rsidP="00650E6F">
      <w:pPr>
        <w:rPr>
          <w:rFonts w:ascii="Garamond" w:hAnsi="Garamond"/>
        </w:rPr>
        <w:sectPr w:rsidR="00650E6F" w:rsidRPr="000E1EB0" w:rsidSect="00650E6F">
          <w:pgSz w:w="16838" w:h="11906" w:orient="landscape" w:code="9"/>
          <w:pgMar w:top="1276" w:right="1417" w:bottom="1417" w:left="1417" w:header="708" w:footer="708" w:gutter="0"/>
          <w:cols w:space="708"/>
          <w:docGrid w:linePitch="360"/>
        </w:sectPr>
      </w:pPr>
    </w:p>
    <w:p w14:paraId="6D6F2CC4" w14:textId="19C557E6" w:rsidR="00650E6F" w:rsidRPr="000E1EB0" w:rsidRDefault="00650E6F" w:rsidP="00650E6F">
      <w:pPr>
        <w:spacing w:after="0" w:line="240" w:lineRule="auto"/>
        <w:rPr>
          <w:rFonts w:ascii="Garamond" w:hAnsi="Garamond"/>
          <w:i/>
          <w:sz w:val="24"/>
          <w:szCs w:val="24"/>
        </w:rPr>
      </w:pPr>
      <w:r w:rsidRPr="000E1EB0">
        <w:rPr>
          <w:rFonts w:ascii="Garamond" w:hAnsi="Garamond"/>
          <w:i/>
          <w:sz w:val="24"/>
          <w:szCs w:val="24"/>
        </w:rPr>
        <w:lastRenderedPageBreak/>
        <w:t xml:space="preserve">Nën menaxhim të tërthortë duhet të sigurohen dhe </w:t>
      </w:r>
      <w:r w:rsidR="00EB5DEB">
        <w:rPr>
          <w:rFonts w:ascii="Garamond" w:hAnsi="Garamond"/>
          <w:i/>
          <w:sz w:val="24"/>
          <w:szCs w:val="24"/>
        </w:rPr>
        <w:t>s</w:t>
      </w:r>
      <w:r w:rsidRPr="000E1EB0">
        <w:rPr>
          <w:rFonts w:ascii="Garamond" w:hAnsi="Garamond"/>
          <w:i/>
          <w:sz w:val="24"/>
          <w:szCs w:val="24"/>
        </w:rPr>
        <w:t>htojcat e mëposhtme:</w:t>
      </w:r>
    </w:p>
    <w:p w14:paraId="6D6F2CC5" w14:textId="77777777" w:rsidR="00650E6F" w:rsidRPr="005D7EB9" w:rsidRDefault="00650E6F" w:rsidP="00650E6F">
      <w:pPr>
        <w:spacing w:after="0" w:line="240" w:lineRule="auto"/>
        <w:rPr>
          <w:rFonts w:ascii="Garamond" w:hAnsi="Garamond"/>
          <w:b/>
          <w:sz w:val="24"/>
          <w:szCs w:val="24"/>
        </w:rPr>
      </w:pPr>
      <w:r w:rsidRPr="005D7EB9">
        <w:rPr>
          <w:rFonts w:ascii="Garamond" w:hAnsi="Garamond"/>
          <w:b/>
          <w:sz w:val="24"/>
          <w:szCs w:val="24"/>
        </w:rPr>
        <w:t>Shtojca 1</w:t>
      </w:r>
    </w:p>
    <w:p w14:paraId="6D6F2CC6" w14:textId="65D41F93" w:rsidR="00650E6F" w:rsidRPr="000E1EB0" w:rsidRDefault="00650E6F" w:rsidP="00650E6F">
      <w:pPr>
        <w:spacing w:after="0" w:line="240" w:lineRule="auto"/>
        <w:jc w:val="both"/>
        <w:rPr>
          <w:rFonts w:ascii="Garamond" w:hAnsi="Garamond"/>
          <w:sz w:val="24"/>
          <w:szCs w:val="24"/>
        </w:rPr>
      </w:pPr>
      <w:r w:rsidRPr="000E1EB0">
        <w:rPr>
          <w:rFonts w:ascii="Garamond" w:hAnsi="Garamond"/>
          <w:sz w:val="24"/>
          <w:szCs w:val="24"/>
        </w:rPr>
        <w:t xml:space="preserve">Përmbledhje mbi funksionimin e sistemeve të kontrollit dhe </w:t>
      </w:r>
      <w:r w:rsidR="00461729" w:rsidRPr="000E1EB0">
        <w:rPr>
          <w:rFonts w:ascii="Garamond" w:hAnsi="Garamond"/>
          <w:sz w:val="24"/>
          <w:szCs w:val="24"/>
        </w:rPr>
        <w:t xml:space="preserve">të </w:t>
      </w:r>
      <w:r w:rsidRPr="000E1EB0">
        <w:rPr>
          <w:rFonts w:ascii="Garamond" w:hAnsi="Garamond"/>
          <w:sz w:val="24"/>
          <w:szCs w:val="24"/>
        </w:rPr>
        <w:t>menaxhimit (duke përfshirë ndryshimet në strukturën institucionale) (maksimumi një faqe).</w:t>
      </w:r>
    </w:p>
    <w:p w14:paraId="6D6F2CC7" w14:textId="32C01FC2" w:rsidR="00650E6F" w:rsidRPr="000E1EB0" w:rsidRDefault="00650E6F" w:rsidP="00650E6F">
      <w:pPr>
        <w:spacing w:after="0" w:line="240" w:lineRule="auto"/>
        <w:jc w:val="both"/>
        <w:rPr>
          <w:rFonts w:ascii="Garamond" w:hAnsi="Garamond"/>
          <w:sz w:val="24"/>
          <w:szCs w:val="24"/>
        </w:rPr>
      </w:pPr>
      <w:r w:rsidRPr="000E1EB0">
        <w:rPr>
          <w:rFonts w:ascii="Garamond" w:hAnsi="Garamond"/>
          <w:sz w:val="24"/>
          <w:szCs w:val="24"/>
        </w:rPr>
        <w:t>Aktivitetet mbi transparencën, vizibilitetin, informacionin dhe komunikimin, në përputhje me FWA-në (maksimumi një faqe)</w:t>
      </w:r>
      <w:r w:rsidR="00946061">
        <w:rPr>
          <w:rFonts w:ascii="Garamond" w:hAnsi="Garamond"/>
          <w:sz w:val="24"/>
          <w:szCs w:val="24"/>
        </w:rPr>
        <w:t>.</w:t>
      </w:r>
    </w:p>
    <w:p w14:paraId="6D6F2CC8" w14:textId="77777777" w:rsidR="00650E6F" w:rsidRPr="005D7EB9" w:rsidRDefault="00650E6F" w:rsidP="00650E6F">
      <w:pPr>
        <w:spacing w:after="0" w:line="240" w:lineRule="auto"/>
        <w:jc w:val="both"/>
        <w:rPr>
          <w:rFonts w:ascii="Garamond" w:hAnsi="Garamond"/>
          <w:b/>
          <w:sz w:val="24"/>
          <w:szCs w:val="24"/>
        </w:rPr>
      </w:pPr>
      <w:r w:rsidRPr="005D7EB9">
        <w:rPr>
          <w:rFonts w:ascii="Garamond" w:hAnsi="Garamond"/>
          <w:b/>
          <w:sz w:val="24"/>
          <w:szCs w:val="24"/>
        </w:rPr>
        <w:t>Shtojca 2</w:t>
      </w:r>
    </w:p>
    <w:p w14:paraId="6D6F2CC9" w14:textId="5BE77EFE" w:rsidR="00650E6F" w:rsidRPr="000E1EB0" w:rsidRDefault="00650E6F" w:rsidP="00650E6F">
      <w:pPr>
        <w:spacing w:after="0" w:line="240" w:lineRule="auto"/>
        <w:jc w:val="both"/>
        <w:rPr>
          <w:rFonts w:ascii="Garamond" w:hAnsi="Garamond"/>
          <w:sz w:val="24"/>
          <w:szCs w:val="24"/>
        </w:rPr>
      </w:pPr>
      <w:r w:rsidRPr="000E1EB0">
        <w:rPr>
          <w:rFonts w:ascii="Garamond" w:hAnsi="Garamond"/>
          <w:sz w:val="24"/>
          <w:szCs w:val="24"/>
        </w:rPr>
        <w:t>Historitë e suksesshme (Kujdes! Ky seksion mund të përdoret për raportin vjetor të asistencës financiare të përgatitur nga Komisioni Evropian</w:t>
      </w:r>
      <w:r w:rsidR="005D7EB9">
        <w:rPr>
          <w:rFonts w:ascii="Garamond" w:hAnsi="Garamond"/>
          <w:sz w:val="24"/>
          <w:szCs w:val="24"/>
        </w:rPr>
        <w:t>.</w:t>
      </w:r>
      <w:r w:rsidRPr="000E1EB0">
        <w:rPr>
          <w:rFonts w:ascii="Garamond" w:hAnsi="Garamond"/>
          <w:sz w:val="24"/>
          <w:szCs w:val="24"/>
        </w:rPr>
        <w:t>)</w:t>
      </w:r>
    </w:p>
    <w:p w14:paraId="6D6F2CCA" w14:textId="77777777" w:rsidR="00650E6F" w:rsidRPr="005D7EB9" w:rsidRDefault="00650E6F" w:rsidP="00650E6F">
      <w:pPr>
        <w:spacing w:after="0" w:line="240" w:lineRule="auto"/>
        <w:jc w:val="both"/>
        <w:rPr>
          <w:rFonts w:ascii="Garamond" w:hAnsi="Garamond"/>
          <w:b/>
          <w:sz w:val="24"/>
          <w:szCs w:val="24"/>
        </w:rPr>
      </w:pPr>
      <w:r w:rsidRPr="005D7EB9">
        <w:rPr>
          <w:rFonts w:ascii="Garamond" w:hAnsi="Garamond"/>
          <w:b/>
          <w:sz w:val="24"/>
          <w:szCs w:val="24"/>
        </w:rPr>
        <w:t xml:space="preserve">Shtojca 3 </w:t>
      </w:r>
    </w:p>
    <w:p w14:paraId="6D6F2CCB" w14:textId="77777777" w:rsidR="00650E6F" w:rsidRPr="000E1EB0" w:rsidRDefault="00650E6F" w:rsidP="00650E6F">
      <w:pPr>
        <w:spacing w:after="0" w:line="240" w:lineRule="auto"/>
        <w:jc w:val="both"/>
        <w:rPr>
          <w:rFonts w:ascii="Garamond" w:hAnsi="Garamond"/>
          <w:sz w:val="24"/>
          <w:szCs w:val="24"/>
        </w:rPr>
      </w:pPr>
      <w:r w:rsidRPr="000E1EB0">
        <w:rPr>
          <w:rFonts w:ascii="Garamond" w:hAnsi="Garamond"/>
          <w:sz w:val="24"/>
          <w:szCs w:val="24"/>
        </w:rPr>
        <w:t xml:space="preserve">Plani vjetor i prokurimit </w:t>
      </w:r>
    </w:p>
    <w:p w14:paraId="6D6F2CCC" w14:textId="154C7F66" w:rsidR="00650E6F" w:rsidRPr="000E1EB0" w:rsidRDefault="00650E6F" w:rsidP="00650E6F">
      <w:pPr>
        <w:spacing w:after="0" w:line="240" w:lineRule="auto"/>
        <w:jc w:val="both"/>
        <w:rPr>
          <w:rFonts w:ascii="Garamond" w:hAnsi="Garamond"/>
          <w:i/>
          <w:sz w:val="24"/>
          <w:szCs w:val="24"/>
        </w:rPr>
      </w:pPr>
      <w:r w:rsidRPr="000E1EB0">
        <w:rPr>
          <w:rFonts w:ascii="Garamond" w:hAnsi="Garamond"/>
          <w:i/>
          <w:sz w:val="24"/>
          <w:szCs w:val="24"/>
        </w:rPr>
        <w:t>Si për menaxhimin e drejtpërdrejtë dhe atë të tërthortë, duhet t</w:t>
      </w:r>
      <w:r w:rsidR="00946061">
        <w:rPr>
          <w:rFonts w:ascii="Garamond" w:hAnsi="Garamond"/>
          <w:i/>
          <w:sz w:val="24"/>
          <w:szCs w:val="24"/>
        </w:rPr>
        <w:t>ë paraqitet shtojca e mëposhtme.</w:t>
      </w:r>
    </w:p>
    <w:p w14:paraId="6D6F2CCD" w14:textId="77777777" w:rsidR="00650E6F" w:rsidRPr="005D7EB9" w:rsidRDefault="00650E6F" w:rsidP="00650E6F">
      <w:pPr>
        <w:spacing w:after="0" w:line="240" w:lineRule="auto"/>
        <w:jc w:val="both"/>
        <w:rPr>
          <w:rFonts w:ascii="Garamond" w:hAnsi="Garamond"/>
          <w:b/>
          <w:sz w:val="24"/>
          <w:szCs w:val="24"/>
        </w:rPr>
      </w:pPr>
      <w:r w:rsidRPr="005D7EB9">
        <w:rPr>
          <w:rFonts w:ascii="Garamond" w:hAnsi="Garamond"/>
          <w:b/>
          <w:sz w:val="24"/>
          <w:szCs w:val="24"/>
        </w:rPr>
        <w:t>Shtojca 4</w:t>
      </w:r>
    </w:p>
    <w:p w14:paraId="6D6F2CCE" w14:textId="7B0CDCCF" w:rsidR="00650E6F" w:rsidRPr="000E1EB0" w:rsidRDefault="00650E6F" w:rsidP="00650E6F">
      <w:pPr>
        <w:spacing w:after="0" w:line="240" w:lineRule="auto"/>
        <w:jc w:val="both"/>
        <w:rPr>
          <w:rFonts w:ascii="Garamond" w:hAnsi="Garamond"/>
        </w:rPr>
      </w:pPr>
      <w:r w:rsidRPr="000E1EB0">
        <w:rPr>
          <w:rFonts w:ascii="Garamond" w:hAnsi="Garamond"/>
          <w:sz w:val="24"/>
          <w:szCs w:val="24"/>
        </w:rPr>
        <w:t xml:space="preserve">Udhërrëfyes i </w:t>
      </w:r>
      <w:r w:rsidR="00241044" w:rsidRPr="000E1EB0">
        <w:rPr>
          <w:rFonts w:ascii="Garamond" w:hAnsi="Garamond"/>
          <w:sz w:val="24"/>
          <w:szCs w:val="24"/>
        </w:rPr>
        <w:t xml:space="preserve">qasjes sektoriale </w:t>
      </w:r>
      <w:r w:rsidR="005D7EB9">
        <w:rPr>
          <w:rFonts w:ascii="Garamond" w:hAnsi="Garamond"/>
          <w:sz w:val="24"/>
          <w:szCs w:val="24"/>
        </w:rPr>
        <w:t>–</w:t>
      </w:r>
      <w:r w:rsidRPr="000E1EB0">
        <w:rPr>
          <w:rFonts w:ascii="Garamond" w:hAnsi="Garamond"/>
          <w:sz w:val="24"/>
          <w:szCs w:val="24"/>
        </w:rPr>
        <w:t xml:space="preserve"> arritjeve</w:t>
      </w:r>
      <w:r w:rsidR="005D7EB9">
        <w:rPr>
          <w:rFonts w:ascii="Garamond" w:hAnsi="Garamond"/>
          <w:sz w:val="24"/>
          <w:szCs w:val="24"/>
        </w:rPr>
        <w:t xml:space="preserve"> </w:t>
      </w:r>
      <w:r w:rsidRPr="000E1EB0">
        <w:rPr>
          <w:rFonts w:ascii="Garamond" w:hAnsi="Garamond"/>
          <w:sz w:val="24"/>
          <w:szCs w:val="24"/>
        </w:rPr>
        <w:t>(duke theksuar nëse janë përmbushur apo jo objektivat e planifikuar)</w:t>
      </w:r>
      <w:r w:rsidR="00F62419">
        <w:rPr>
          <w:rFonts w:ascii="Garamond" w:hAnsi="Garamond"/>
          <w:sz w:val="24"/>
          <w:szCs w:val="24"/>
        </w:rPr>
        <w:t>.</w:t>
      </w:r>
    </w:p>
    <w:p w14:paraId="6D6F2CCF" w14:textId="77777777" w:rsidR="00213234" w:rsidRPr="000E1EB0" w:rsidRDefault="00213234" w:rsidP="009A4EC4">
      <w:pPr>
        <w:spacing w:after="0" w:line="240" w:lineRule="auto"/>
        <w:ind w:firstLine="284"/>
        <w:rPr>
          <w:rFonts w:ascii="Garamond" w:hAnsi="Garamond"/>
        </w:rPr>
      </w:pPr>
    </w:p>
    <w:sectPr w:rsidR="00213234" w:rsidRPr="000E1EB0" w:rsidSect="00650E6F">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12022" w14:textId="77777777" w:rsidR="00D92ACB" w:rsidRDefault="00D92ACB" w:rsidP="00420682">
      <w:pPr>
        <w:spacing w:after="0" w:line="240" w:lineRule="auto"/>
      </w:pPr>
      <w:r>
        <w:separator/>
      </w:r>
    </w:p>
  </w:endnote>
  <w:endnote w:type="continuationSeparator" w:id="0">
    <w:p w14:paraId="45F375CD" w14:textId="77777777" w:rsidR="00D92ACB" w:rsidRDefault="00D92ACB" w:rsidP="00420682">
      <w:pPr>
        <w:spacing w:after="0" w:line="240" w:lineRule="auto"/>
      </w:pPr>
      <w:r>
        <w:continuationSeparator/>
      </w:r>
    </w:p>
  </w:endnote>
  <w:endnote w:type="continuationNotice" w:id="1">
    <w:p w14:paraId="65ADBAE8" w14:textId="77777777" w:rsidR="00D92ACB" w:rsidRDefault="00D92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F2CF4" w14:textId="77777777" w:rsidR="00D92ACB" w:rsidRDefault="00D92ACB" w:rsidP="00650E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D6F2CF5" w14:textId="77777777" w:rsidR="00D92ACB" w:rsidRDefault="00D92ACB" w:rsidP="00650E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262436"/>
      <w:docPartObj>
        <w:docPartGallery w:val="Page Numbers (Bottom of Page)"/>
        <w:docPartUnique/>
      </w:docPartObj>
    </w:sdtPr>
    <w:sdtEndPr>
      <w:rPr>
        <w:noProof/>
      </w:rPr>
    </w:sdtEndPr>
    <w:sdtContent>
      <w:p w14:paraId="2A3D5A62" w14:textId="2385AD15" w:rsidR="00D92ACB" w:rsidRDefault="00D92ACB">
        <w:pPr>
          <w:pStyle w:val="Footer"/>
          <w:jc w:val="right"/>
        </w:pPr>
        <w:r>
          <w:fldChar w:fldCharType="begin"/>
        </w:r>
        <w:r>
          <w:instrText xml:space="preserve"> PAGE   \* MERGEFORMAT </w:instrText>
        </w:r>
        <w:r>
          <w:fldChar w:fldCharType="separate"/>
        </w:r>
        <w:r w:rsidR="008F53E4">
          <w:rPr>
            <w:noProof/>
          </w:rPr>
          <w:t>75</w:t>
        </w:r>
        <w:r>
          <w:rPr>
            <w:noProof/>
          </w:rPr>
          <w:fldChar w:fldCharType="end"/>
        </w:r>
      </w:p>
    </w:sdtContent>
  </w:sdt>
  <w:p w14:paraId="776BB680" w14:textId="77777777" w:rsidR="00D92ACB" w:rsidRDefault="00D92A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DDFDE" w14:textId="77777777" w:rsidR="00D92ACB" w:rsidRDefault="00D92ACB" w:rsidP="00420682">
      <w:pPr>
        <w:spacing w:after="0" w:line="240" w:lineRule="auto"/>
      </w:pPr>
      <w:r>
        <w:separator/>
      </w:r>
    </w:p>
  </w:footnote>
  <w:footnote w:type="continuationSeparator" w:id="0">
    <w:p w14:paraId="1499CA3B" w14:textId="77777777" w:rsidR="00D92ACB" w:rsidRDefault="00D92ACB" w:rsidP="00420682">
      <w:pPr>
        <w:spacing w:after="0" w:line="240" w:lineRule="auto"/>
      </w:pPr>
      <w:r>
        <w:continuationSeparator/>
      </w:r>
    </w:p>
  </w:footnote>
  <w:footnote w:type="continuationNotice" w:id="1">
    <w:p w14:paraId="12ED2679" w14:textId="77777777" w:rsidR="00D92ACB" w:rsidRDefault="00D92ACB">
      <w:pPr>
        <w:spacing w:after="0" w:line="240" w:lineRule="auto"/>
      </w:pPr>
    </w:p>
  </w:footnote>
  <w:footnote w:id="2">
    <w:p w14:paraId="6D6F2CF6" w14:textId="31164C4F"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C(2018)8152 i datës 29.11.2018</w:t>
      </w:r>
      <w:r>
        <w:rPr>
          <w:rFonts w:ascii="Garamond" w:hAnsi="Garamond"/>
          <w:lang w:val="sq-AL"/>
        </w:rPr>
        <w:t>.</w:t>
      </w:r>
    </w:p>
  </w:footnote>
  <w:footnote w:id="3">
    <w:p w14:paraId="6D6F2CF8" w14:textId="736733AA" w:rsidR="00D92ACB" w:rsidRPr="002F0A6A" w:rsidRDefault="00D92ACB" w:rsidP="00910C1F">
      <w:pPr>
        <w:autoSpaceDE w:val="0"/>
        <w:autoSpaceDN w:val="0"/>
        <w:adjustRightInd w:val="0"/>
        <w:spacing w:after="0" w:line="240" w:lineRule="auto"/>
        <w:jc w:val="both"/>
        <w:rPr>
          <w:rFonts w:ascii="Garamond" w:hAnsi="Garamond"/>
          <w:sz w:val="20"/>
          <w:szCs w:val="20"/>
        </w:rPr>
      </w:pPr>
      <w:r w:rsidRPr="002F0A6A">
        <w:rPr>
          <w:rStyle w:val="FootnoteReference"/>
          <w:rFonts w:ascii="Garamond" w:hAnsi="Garamond"/>
          <w:sz w:val="20"/>
          <w:szCs w:val="20"/>
        </w:rPr>
        <w:footnoteRef/>
      </w:r>
      <w:r w:rsidRPr="002F0A6A">
        <w:rPr>
          <w:rFonts w:ascii="Garamond" w:hAnsi="Garamond"/>
          <w:sz w:val="20"/>
          <w:szCs w:val="20"/>
        </w:rPr>
        <w:t xml:space="preserve"> Rregullorja nr. 231/2014 (BE) e Parlamentit Evropian dhe e Këshillit</w:t>
      </w:r>
      <w:r>
        <w:rPr>
          <w:rFonts w:ascii="Garamond" w:hAnsi="Garamond"/>
          <w:sz w:val="20"/>
          <w:szCs w:val="20"/>
        </w:rPr>
        <w:t>,</w:t>
      </w:r>
      <w:r w:rsidRPr="002F0A6A">
        <w:rPr>
          <w:rFonts w:ascii="Garamond" w:hAnsi="Garamond"/>
          <w:sz w:val="20"/>
          <w:szCs w:val="20"/>
        </w:rPr>
        <w:t xml:space="preserve"> e datës 11 mars 2014</w:t>
      </w:r>
      <w:r>
        <w:rPr>
          <w:rFonts w:ascii="Garamond" w:hAnsi="Garamond"/>
          <w:sz w:val="20"/>
          <w:szCs w:val="20"/>
        </w:rPr>
        <w:t>,</w:t>
      </w:r>
      <w:r w:rsidRPr="002F0A6A">
        <w:rPr>
          <w:rFonts w:ascii="Garamond" w:hAnsi="Garamond"/>
          <w:sz w:val="20"/>
          <w:szCs w:val="20"/>
        </w:rPr>
        <w:t xml:space="preserve"> që krijon një Instrument për Ndihmën e Para</w:t>
      </w:r>
      <w:r>
        <w:rPr>
          <w:rFonts w:ascii="Garamond" w:hAnsi="Garamond"/>
          <w:sz w:val="20"/>
          <w:szCs w:val="20"/>
        </w:rPr>
        <w:t>a</w:t>
      </w:r>
      <w:r w:rsidRPr="002F0A6A">
        <w:rPr>
          <w:rFonts w:ascii="Garamond" w:hAnsi="Garamond"/>
          <w:sz w:val="20"/>
          <w:szCs w:val="20"/>
        </w:rPr>
        <w:t>nëtarësimit (IPA II)</w:t>
      </w:r>
      <w:r>
        <w:rPr>
          <w:rFonts w:ascii="Garamond" w:hAnsi="Garamond"/>
          <w:sz w:val="20"/>
          <w:szCs w:val="20"/>
        </w:rPr>
        <w:t>, OJ L 77, 15.3.2014, f. 11.</w:t>
      </w:r>
    </w:p>
  </w:footnote>
  <w:footnote w:id="4">
    <w:p w14:paraId="6D6F2CF9" w14:textId="136F1364"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Më 6 shkurt 2018, Komisioni Evropian miratoi një Komunikim me temë </w:t>
      </w:r>
      <w:r>
        <w:rPr>
          <w:rFonts w:ascii="Garamond" w:hAnsi="Garamond"/>
          <w:lang w:val="sq-AL"/>
        </w:rPr>
        <w:t>“</w:t>
      </w:r>
      <w:r w:rsidRPr="002F0A6A">
        <w:rPr>
          <w:rFonts w:ascii="Garamond" w:hAnsi="Garamond"/>
          <w:lang w:val="sq-AL"/>
        </w:rPr>
        <w:t>Një perspektivë e besueshme e zgjerimit dhe angazhim i zgjeruar i BE</w:t>
      </w:r>
      <w:r>
        <w:rPr>
          <w:rFonts w:ascii="Garamond" w:hAnsi="Garamond"/>
          <w:lang w:val="sq-AL"/>
        </w:rPr>
        <w:t>-së</w:t>
      </w:r>
      <w:r w:rsidRPr="002F0A6A">
        <w:rPr>
          <w:rFonts w:ascii="Garamond" w:hAnsi="Garamond"/>
          <w:lang w:val="sq-AL"/>
        </w:rPr>
        <w:t xml:space="preserve"> me Ballkanin Perëndimor</w:t>
      </w:r>
      <w:r>
        <w:rPr>
          <w:rFonts w:ascii="Garamond" w:hAnsi="Garamond"/>
          <w:lang w:val="sq-AL"/>
        </w:rPr>
        <w:t>”</w:t>
      </w:r>
      <w:r w:rsidRPr="002F0A6A">
        <w:rPr>
          <w:rFonts w:ascii="Garamond" w:hAnsi="Garamond"/>
          <w:lang w:val="sq-AL"/>
        </w:rPr>
        <w:t>.</w:t>
      </w:r>
    </w:p>
  </w:footnote>
  <w:footnote w:id="5">
    <w:p w14:paraId="6D6F2CFA" w14:textId="77777777"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w:t>
      </w:r>
      <w:hyperlink r:id="rId1" w:history="1">
        <w:r w:rsidRPr="002F0A6A">
          <w:rPr>
            <w:rStyle w:val="Hyperlink"/>
            <w:rFonts w:ascii="Garamond" w:hAnsi="Garamond"/>
            <w:color w:val="auto"/>
            <w:lang w:val="sq-AL"/>
          </w:rPr>
          <w:t>https://eeas.europa.eu/headquarters/headquarters-homepage/8442/consolidated-list-sanctions_en</w:t>
        </w:r>
      </w:hyperlink>
    </w:p>
    <w:p w14:paraId="6D6F2CFB" w14:textId="77777777" w:rsidR="00D92ACB" w:rsidRPr="002F0A6A" w:rsidRDefault="00D92ACB" w:rsidP="00007ABE">
      <w:pPr>
        <w:pStyle w:val="FootnoteText"/>
        <w:jc w:val="both"/>
        <w:rPr>
          <w:rFonts w:ascii="Garamond" w:hAnsi="Garamond"/>
          <w:lang w:val="sq-AL"/>
        </w:rPr>
      </w:pPr>
    </w:p>
  </w:footnote>
  <w:footnote w:id="6">
    <w:p w14:paraId="6D6F2CFC" w14:textId="0554CD94"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C(2014) 37629</w:t>
      </w:r>
      <w:r>
        <w:rPr>
          <w:rFonts w:ascii="Garamond" w:hAnsi="Garamond"/>
          <w:lang w:val="sq-AL"/>
        </w:rPr>
        <w:t>.</w:t>
      </w:r>
    </w:p>
  </w:footnote>
  <w:footnote w:id="7">
    <w:p w14:paraId="6D6F2CFD" w14:textId="363705E8" w:rsidR="00D92ACB" w:rsidRPr="002F0A6A" w:rsidRDefault="00D92ACB" w:rsidP="00007ABE">
      <w:pPr>
        <w:pStyle w:val="AAAATEX"/>
        <w:ind w:firstLine="0"/>
        <w:rPr>
          <w:sz w:val="20"/>
          <w:szCs w:val="20"/>
        </w:rPr>
      </w:pPr>
      <w:r w:rsidRPr="002F0A6A">
        <w:rPr>
          <w:rStyle w:val="FootnoteReference"/>
          <w:sz w:val="20"/>
        </w:rPr>
        <w:footnoteRef/>
      </w:r>
      <w:r>
        <w:rPr>
          <w:sz w:val="20"/>
          <w:szCs w:val="20"/>
        </w:rPr>
        <w:t xml:space="preserve"> </w:t>
      </w:r>
      <w:r w:rsidRPr="002F0A6A">
        <w:rPr>
          <w:sz w:val="20"/>
          <w:szCs w:val="20"/>
        </w:rPr>
        <w:t>Deri në fund të vitit 2012; burimi: INSTAT</w:t>
      </w:r>
      <w:r>
        <w:rPr>
          <w:sz w:val="20"/>
          <w:szCs w:val="20"/>
        </w:rPr>
        <w:t>-i</w:t>
      </w:r>
      <w:r w:rsidRPr="002F0A6A">
        <w:rPr>
          <w:sz w:val="20"/>
          <w:szCs w:val="20"/>
        </w:rPr>
        <w:t xml:space="preserve"> dhe Zyra Shtetërore e Statistikave</w:t>
      </w:r>
      <w:r>
        <w:rPr>
          <w:sz w:val="20"/>
          <w:szCs w:val="20"/>
        </w:rPr>
        <w:t>.</w:t>
      </w:r>
    </w:p>
    <w:p w14:paraId="6D6F2CFE" w14:textId="77777777" w:rsidR="00D92ACB" w:rsidRPr="002F0A6A" w:rsidRDefault="00D92ACB" w:rsidP="00007ABE">
      <w:pPr>
        <w:pStyle w:val="FootnoteText"/>
        <w:jc w:val="both"/>
        <w:rPr>
          <w:rFonts w:ascii="Garamond" w:hAnsi="Garamond"/>
          <w:lang w:val="sq-AL"/>
        </w:rPr>
      </w:pPr>
    </w:p>
  </w:footnote>
  <w:footnote w:id="8">
    <w:p w14:paraId="6D6F2CFF" w14:textId="77777777"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Të lidhura me punësimin (TP1) i cili do të konsiderohet si një çështje ndërsektoriale</w:t>
      </w:r>
    </w:p>
  </w:footnote>
  <w:footnote w:id="9">
    <w:p w14:paraId="6D6F2D00" w14:textId="600C6B68"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Renditja u krye nëpërmjet pyetësorit individual SWOT që u plotësua nga aktorët kryesorë.</w:t>
      </w:r>
    </w:p>
  </w:footnote>
  <w:footnote w:id="10">
    <w:p w14:paraId="6D6F2D01" w14:textId="43B5415D" w:rsidR="00D92ACB" w:rsidRPr="002F0A6A" w:rsidRDefault="00D92ACB" w:rsidP="00007ABE">
      <w:pPr>
        <w:pStyle w:val="FootnoteText"/>
        <w:tabs>
          <w:tab w:val="left" w:pos="7834"/>
        </w:tabs>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Vlerësimi i Ndërmjetëm i Programeve të bashkëpunimit ndërkufitar midis vendeve</w:t>
      </w:r>
      <w:r>
        <w:rPr>
          <w:rFonts w:ascii="Garamond" w:hAnsi="Garamond"/>
          <w:lang w:val="sq-AL"/>
        </w:rPr>
        <w:t xml:space="preserve"> </w:t>
      </w:r>
      <w:r w:rsidRPr="002F0A6A">
        <w:rPr>
          <w:rFonts w:ascii="Garamond" w:hAnsi="Garamond"/>
          <w:lang w:val="sq-AL"/>
        </w:rPr>
        <w:t>kandidatë / kandidatë të mundshëm</w:t>
      </w:r>
      <w:r>
        <w:rPr>
          <w:rFonts w:ascii="Garamond" w:hAnsi="Garamond"/>
          <w:lang w:val="sq-AL"/>
        </w:rPr>
        <w:t xml:space="preserve"> </w:t>
      </w:r>
      <w:r w:rsidRPr="002F0A6A">
        <w:rPr>
          <w:rFonts w:ascii="Garamond" w:hAnsi="Garamond"/>
          <w:lang w:val="sq-AL"/>
        </w:rPr>
        <w:t xml:space="preserve">(kufijtë e Ballkanit Intraperëndimor) nën Komponentin e Bashkëpunimit Ndërkufitar të IPA; Raporti II </w:t>
      </w:r>
      <w:r>
        <w:rPr>
          <w:rFonts w:ascii="Garamond" w:hAnsi="Garamond"/>
          <w:lang w:val="sq-AL"/>
        </w:rPr>
        <w:t>–</w:t>
      </w:r>
      <w:r w:rsidRPr="002F0A6A">
        <w:rPr>
          <w:rFonts w:ascii="Garamond" w:hAnsi="Garamond"/>
          <w:lang w:val="sq-AL"/>
        </w:rPr>
        <w:t xml:space="preserve"> Performanca</w:t>
      </w:r>
      <w:r>
        <w:rPr>
          <w:rFonts w:ascii="Garamond" w:hAnsi="Garamond"/>
          <w:lang w:val="sq-AL"/>
        </w:rPr>
        <w:t xml:space="preserve"> </w:t>
      </w:r>
      <w:r w:rsidRPr="002F0A6A">
        <w:rPr>
          <w:rFonts w:ascii="Garamond" w:hAnsi="Garamond"/>
          <w:lang w:val="sq-AL"/>
        </w:rPr>
        <w:t>e ndihmës</w:t>
      </w:r>
    </w:p>
    <w:p w14:paraId="6D6F2D02" w14:textId="77777777" w:rsidR="00D92ACB" w:rsidRPr="002F0A6A" w:rsidRDefault="00D92ACB" w:rsidP="00007ABE">
      <w:pPr>
        <w:pStyle w:val="FootnoteText"/>
        <w:jc w:val="both"/>
        <w:rPr>
          <w:rFonts w:ascii="Garamond" w:hAnsi="Garamond"/>
          <w:lang w:val="sq-AL"/>
        </w:rPr>
      </w:pPr>
    </w:p>
  </w:footnote>
  <w:footnote w:id="11">
    <w:p w14:paraId="6D6F2D03" w14:textId="77777777"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Këto janë të natyrës parashikuese, bazuar në supozimin që deri në tre CFP do të organizohen gjatë gjithë kohëzgjatjes së programit. Modaliteti mund të ndryshojë gjatë zbatimit të programit.</w:t>
      </w:r>
    </w:p>
  </w:footnote>
  <w:footnote w:id="12">
    <w:p w14:paraId="6D6F2D04" w14:textId="77777777" w:rsidR="00D92ACB" w:rsidRPr="002F0A6A" w:rsidRDefault="00D92ACB" w:rsidP="00007ABE">
      <w:pPr>
        <w:pStyle w:val="FootnoteText"/>
        <w:jc w:val="both"/>
        <w:rPr>
          <w:rFonts w:ascii="Garamond" w:hAnsi="Garamond"/>
          <w:lang w:val="sq-AL"/>
        </w:rPr>
      </w:pPr>
      <w:r w:rsidRPr="002F0A6A">
        <w:rPr>
          <w:rStyle w:val="FootnoteReference"/>
          <w:rFonts w:ascii="Garamond" w:hAnsi="Garamond" w:cs="Tahoma"/>
          <w:lang w:val="sq-AL"/>
        </w:rPr>
        <w:footnoteRef/>
      </w:r>
      <w:r w:rsidRPr="002F0A6A">
        <w:rPr>
          <w:rFonts w:ascii="Garamond" w:hAnsi="Garamond" w:cs="Tahoma"/>
          <w:lang w:val="sq-AL"/>
        </w:rPr>
        <w:t xml:space="preserve"> Këto janë të natyrës parashikuese, bazuar në supozimin që deri në tre CFP do të organizohen gjatë gjithë kohëzgjatjes së programit. Modaliteti mund të ndryshojë gjatë zbatimit të programit.</w:t>
      </w:r>
    </w:p>
  </w:footnote>
  <w:footnote w:id="13">
    <w:p w14:paraId="6D6F2D05" w14:textId="77777777" w:rsidR="00D92ACB" w:rsidRPr="002F0A6A" w:rsidRDefault="00D92ACB" w:rsidP="00007ABE">
      <w:pPr>
        <w:pStyle w:val="FootnoteText"/>
        <w:jc w:val="both"/>
        <w:rPr>
          <w:rFonts w:ascii="Garamond" w:hAnsi="Garamond"/>
          <w:lang w:val="sq-AL"/>
        </w:rPr>
      </w:pPr>
      <w:r w:rsidRPr="002F0A6A">
        <w:rPr>
          <w:rStyle w:val="FootnoteReference"/>
          <w:rFonts w:ascii="Garamond" w:hAnsi="Garamond" w:cs="Tahoma"/>
          <w:lang w:val="sq-AL"/>
        </w:rPr>
        <w:footnoteRef/>
      </w:r>
      <w:r w:rsidRPr="002F0A6A">
        <w:rPr>
          <w:rFonts w:ascii="Garamond" w:hAnsi="Garamond" w:cs="Tahoma"/>
          <w:lang w:val="sq-AL"/>
        </w:rPr>
        <w:t xml:space="preserve"> Këto janë të natyrës parashikuese, bazuar në supozimin që deri në tre CFP do të organizohen gjatë gjithë kohëzgjatjes së programit. Modaliteti mund të ndryshojë gjatë zbatimit të programit.</w:t>
      </w:r>
    </w:p>
  </w:footnote>
  <w:footnote w:id="14">
    <w:p w14:paraId="6D6F2D06" w14:textId="77777777"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Kërkon një studim të rregullt dhe të thjeshtë duke përdorur një pyetësor standard me pyetje të mbyllura.</w:t>
      </w:r>
    </w:p>
  </w:footnote>
  <w:footnote w:id="15">
    <w:p w14:paraId="6D6F2D07" w14:textId="526765E6"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Ju lutemi</w:t>
      </w:r>
      <w:r>
        <w:rPr>
          <w:rFonts w:ascii="Garamond" w:hAnsi="Garamond" w:cs="Tahoma"/>
          <w:lang w:val="sq-AL"/>
        </w:rPr>
        <w:t>,</w:t>
      </w:r>
      <w:r w:rsidRPr="002F0A6A">
        <w:rPr>
          <w:rFonts w:ascii="Garamond" w:hAnsi="Garamond" w:cs="Tahoma"/>
          <w:lang w:val="sq-AL"/>
        </w:rPr>
        <w:t xml:space="preserve"> të vini re se në perspektivën financiare 2014-2020, thirrjet e mundshme të përshtatura/ strategjike për propozime janë parashikuar me fokus të qartë dhe/ose kërkesa të caktuara në lidhje me përfituesit e mundshëm. Gjithashtu, thirrjet për </w:t>
      </w:r>
      <w:r>
        <w:rPr>
          <w:rFonts w:ascii="Garamond" w:hAnsi="Garamond" w:cs="Tahoma"/>
          <w:lang w:val="sq-AL"/>
        </w:rPr>
        <w:t>projektpropozime</w:t>
      </w:r>
      <w:r w:rsidRPr="002F0A6A">
        <w:rPr>
          <w:rFonts w:ascii="Garamond" w:hAnsi="Garamond" w:cs="Tahoma"/>
          <w:lang w:val="sq-AL"/>
        </w:rPr>
        <w:t xml:space="preserve"> mund të përdorin parimin e rotacionit për përzgjedhjen e prioriteteve tematike (TP) dhe objektivave të tyre specifikë, dhe në këtë aspekt numri i propozimeve jo domosdoshmërisht mund të rritet. Për këto arsye, rritja e pritshme e numrit të aplikimeve të marra mund të llogaritet për çdo thirrje të njëpasnjëshme në mënyrë individuale, dhe do të ndikohet nga një faktor që mund të llogaritet në bazë të: 1) Buxheti i përgjithshëm në dispozicion, 2) Prioritetet tematike, objektivat specifikë dhe rezultatet e përfshira në thirrjen për </w:t>
      </w:r>
      <w:r>
        <w:rPr>
          <w:rFonts w:ascii="Garamond" w:hAnsi="Garamond" w:cs="Tahoma"/>
          <w:lang w:val="sq-AL"/>
        </w:rPr>
        <w:t>projektpropozime</w:t>
      </w:r>
      <w:r w:rsidRPr="002F0A6A">
        <w:rPr>
          <w:rFonts w:ascii="Garamond" w:hAnsi="Garamond" w:cs="Tahoma"/>
          <w:lang w:val="sq-AL"/>
        </w:rPr>
        <w:t>, 3) Shumat minimale dhe maksimale të lejuara të granteve, 4) Numri i aplikimeve dhe granteve të lejuara</w:t>
      </w:r>
      <w:r>
        <w:rPr>
          <w:rFonts w:ascii="Garamond" w:hAnsi="Garamond" w:cs="Tahoma"/>
          <w:lang w:val="sq-AL"/>
        </w:rPr>
        <w:t xml:space="preserve"> për aplikues / bashkë-aplikues/</w:t>
      </w:r>
      <w:r w:rsidRPr="002F0A6A">
        <w:rPr>
          <w:rFonts w:ascii="Garamond" w:hAnsi="Garamond" w:cs="Tahoma"/>
          <w:lang w:val="sq-AL"/>
        </w:rPr>
        <w:t>entet e lidhur</w:t>
      </w:r>
      <w:r>
        <w:rPr>
          <w:rFonts w:ascii="Garamond" w:hAnsi="Garamond" w:cs="Tahoma"/>
          <w:lang w:val="sq-AL"/>
        </w:rPr>
        <w:t>,</w:t>
      </w:r>
      <w:r w:rsidRPr="002F0A6A">
        <w:rPr>
          <w:rFonts w:ascii="Garamond" w:hAnsi="Garamond" w:cs="Tahoma"/>
          <w:lang w:val="sq-AL"/>
        </w:rPr>
        <w:t xml:space="preserve"> dhe 5) Çdo dispozitë tjetër e veçantë që ndikon në kritere të ndryshme të pranueshmërisë, të zbatueshme për një thirrje specifike për </w:t>
      </w:r>
      <w:r>
        <w:rPr>
          <w:rFonts w:ascii="Garamond" w:hAnsi="Garamond" w:cs="Tahoma"/>
          <w:lang w:val="sq-AL"/>
        </w:rPr>
        <w:t>projektpropozime</w:t>
      </w:r>
      <w:r w:rsidRPr="002F0A6A">
        <w:rPr>
          <w:rFonts w:ascii="Garamond" w:hAnsi="Garamond" w:cs="Tahoma"/>
          <w:lang w:val="sq-AL"/>
        </w:rPr>
        <w:t>.</w:t>
      </w:r>
    </w:p>
  </w:footnote>
  <w:footnote w:id="16">
    <w:p w14:paraId="6D6F2D08" w14:textId="4DFB8C95"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Pr>
          <w:rFonts w:ascii="Garamond" w:hAnsi="Garamond" w:cs="Tahoma"/>
          <w:lang w:val="sq-AL"/>
        </w:rPr>
        <w:t xml:space="preserve"> </w:t>
      </w:r>
      <w:r w:rsidRPr="002F0A6A">
        <w:rPr>
          <w:rFonts w:ascii="Garamond" w:hAnsi="Garamond" w:cs="Tahoma"/>
          <w:lang w:val="sq-AL"/>
        </w:rPr>
        <w:t>Korridoret e përcaktuara sipas konkluzioneve të Konferencës së Kretës (1994) dhe Konferencës së Helsinkit (1997) mbi korridoret multimodal pan</w:t>
      </w:r>
      <w:r>
        <w:rPr>
          <w:rFonts w:ascii="Garamond" w:hAnsi="Garamond" w:cs="Tahoma"/>
          <w:lang w:val="sq-AL"/>
        </w:rPr>
        <w:t>e</w:t>
      </w:r>
      <w:r w:rsidRPr="002F0A6A">
        <w:rPr>
          <w:rFonts w:ascii="Garamond" w:hAnsi="Garamond" w:cs="Tahoma"/>
          <w:lang w:val="sq-AL"/>
        </w:rPr>
        <w:t>vropian dhe Marrëveshjes së Mirëkuptimit të nënshkruar nga vendet e Ballkanit Perëndimor (2004)</w:t>
      </w:r>
      <w:r>
        <w:rPr>
          <w:rFonts w:ascii="Garamond" w:hAnsi="Garamond" w:cs="Tahoma"/>
          <w:lang w:val="sq-AL"/>
        </w:rPr>
        <w:t>.</w:t>
      </w:r>
    </w:p>
  </w:footnote>
  <w:footnote w:id="17">
    <w:p w14:paraId="6D6F2D09" w14:textId="77777777"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Burimi: Banka Botërore</w:t>
      </w:r>
    </w:p>
  </w:footnote>
  <w:footnote w:id="18">
    <w:p w14:paraId="6D6F2D0A" w14:textId="079BD9CE"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Burimi: Zyra Shtetërore e Statistikave; llogaritja e bazuar në të dhënat e papërpunuara të INSTAT</w:t>
      </w:r>
      <w:r>
        <w:rPr>
          <w:rFonts w:ascii="Garamond" w:hAnsi="Garamond" w:cs="Tahoma"/>
          <w:lang w:val="sq-AL"/>
        </w:rPr>
        <w:t>-it.</w:t>
      </w:r>
    </w:p>
  </w:footnote>
  <w:footnote w:id="19">
    <w:p w14:paraId="6D6F2D0B" w14:textId="77777777"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Burimi: </w:t>
      </w:r>
      <w:r w:rsidRPr="002F0A6A">
        <w:rPr>
          <w:rFonts w:ascii="Garamond" w:hAnsi="Garamond" w:cs="Tahoma"/>
          <w:i/>
          <w:lang w:val="sq-AL"/>
        </w:rPr>
        <w:t xml:space="preserve">si më lart </w:t>
      </w:r>
    </w:p>
  </w:footnote>
  <w:footnote w:id="20">
    <w:p w14:paraId="6D6F2D0C" w14:textId="77777777"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Burimi: </w:t>
      </w:r>
      <w:r w:rsidRPr="002F0A6A">
        <w:rPr>
          <w:rFonts w:ascii="Garamond" w:hAnsi="Garamond" w:cs="Tahoma"/>
          <w:i/>
          <w:lang w:val="sq-AL"/>
        </w:rPr>
        <w:t>si më lart</w:t>
      </w:r>
    </w:p>
  </w:footnote>
  <w:footnote w:id="21">
    <w:p w14:paraId="6D6F2D0D" w14:textId="2CDAF22C"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sidRPr="002F0A6A">
        <w:rPr>
          <w:rFonts w:ascii="Garamond" w:hAnsi="Garamond" w:cs="Tahoma"/>
          <w:lang w:val="sq-AL"/>
        </w:rPr>
        <w:t xml:space="preserve"> Burimi: Qendra e Përbashkët Kërkimore, Komisioni Evropian</w:t>
      </w:r>
    </w:p>
  </w:footnote>
  <w:footnote w:id="22">
    <w:p w14:paraId="6D6F2D0E" w14:textId="501E9F6E" w:rsidR="00D92ACB" w:rsidRPr="002F0A6A" w:rsidRDefault="00D92ACB" w:rsidP="00007ABE">
      <w:pPr>
        <w:pStyle w:val="FootnoteText"/>
        <w:jc w:val="both"/>
        <w:rPr>
          <w:rFonts w:ascii="Garamond" w:hAnsi="Garamond" w:cs="Tahoma"/>
          <w:lang w:val="sq-AL"/>
        </w:rPr>
      </w:pPr>
      <w:r w:rsidRPr="002F0A6A">
        <w:rPr>
          <w:rStyle w:val="FootnoteReference"/>
          <w:rFonts w:ascii="Garamond" w:hAnsi="Garamond" w:cs="Tahoma"/>
          <w:lang w:val="sq-AL"/>
        </w:rPr>
        <w:footnoteRef/>
      </w:r>
      <w:r>
        <w:rPr>
          <w:rFonts w:ascii="Garamond" w:hAnsi="Garamond" w:cs="Tahoma"/>
          <w:lang w:val="sq-AL"/>
        </w:rPr>
        <w:t xml:space="preserve"> </w:t>
      </w:r>
      <w:r w:rsidRPr="002F0A6A">
        <w:rPr>
          <w:rFonts w:ascii="Garamond" w:hAnsi="Garamond" w:cs="Tahoma"/>
          <w:lang w:val="sq-AL"/>
        </w:rPr>
        <w:t>Në korrik 2013 strukturat operacionale arritën në përfundimin se lista e TP-ve duhet të ngushtohet para hyrjes në fazën e konsultimeve më të gjera të programimit për shkak të burimeve të kufizuara financiare të programit. Më pas, TP-të janë renditur sipas rëndësisë së tyre dhe janë përfshirë në ndërhyrjen për vitet 2014-2020.</w:t>
      </w:r>
    </w:p>
  </w:footnote>
  <w:footnote w:id="23">
    <w:p w14:paraId="6D6F2D0F" w14:textId="5DE9A2D1" w:rsidR="00D92ACB" w:rsidRPr="00877AE9" w:rsidRDefault="00D92ACB" w:rsidP="00007ABE">
      <w:pPr>
        <w:pStyle w:val="FootnoteText"/>
        <w:jc w:val="both"/>
        <w:rPr>
          <w:rFonts w:ascii="Garamond" w:hAnsi="Garamond"/>
          <w:lang w:val="sq-AL"/>
        </w:rPr>
      </w:pPr>
      <w:r w:rsidRPr="00877AE9">
        <w:rPr>
          <w:rStyle w:val="FootnoteReference"/>
          <w:rFonts w:ascii="Garamond" w:hAnsi="Garamond"/>
          <w:lang w:val="sq-AL"/>
        </w:rPr>
        <w:footnoteRef/>
      </w:r>
      <w:r w:rsidRPr="00877AE9">
        <w:rPr>
          <w:rFonts w:ascii="Garamond" w:hAnsi="Garamond"/>
          <w:lang w:val="sq-AL"/>
        </w:rPr>
        <w:t xml:space="preserve"> </w:t>
      </w:r>
      <w:r w:rsidRPr="00877AE9">
        <w:rPr>
          <w:rFonts w:ascii="Garamond" w:hAnsi="Garamond" w:cs="Arial"/>
          <w:lang w:val="sq-AL"/>
        </w:rPr>
        <w:t>Eliminimi i ofertave të pasuksesshme pesë vjet pas mbylljes së procedurës së prokurimit.</w:t>
      </w:r>
    </w:p>
  </w:footnote>
  <w:footnote w:id="24">
    <w:p w14:paraId="6D6F2D10" w14:textId="5BCC5A81" w:rsidR="00D92ACB" w:rsidRPr="00877AE9" w:rsidRDefault="00D92ACB" w:rsidP="00007ABE">
      <w:pPr>
        <w:autoSpaceDE w:val="0"/>
        <w:autoSpaceDN w:val="0"/>
        <w:adjustRightInd w:val="0"/>
        <w:jc w:val="both"/>
        <w:rPr>
          <w:rFonts w:ascii="Garamond" w:hAnsi="Garamond"/>
          <w:sz w:val="20"/>
          <w:szCs w:val="20"/>
        </w:rPr>
      </w:pPr>
      <w:r w:rsidRPr="00877AE9">
        <w:rPr>
          <w:rStyle w:val="FootnoteReference"/>
          <w:rFonts w:ascii="Garamond" w:hAnsi="Garamond"/>
          <w:sz w:val="20"/>
          <w:szCs w:val="20"/>
        </w:rPr>
        <w:footnoteRef/>
      </w:r>
      <w:r w:rsidRPr="00877AE9">
        <w:rPr>
          <w:rFonts w:ascii="Garamond" w:hAnsi="Garamond" w:cs="Arial"/>
          <w:sz w:val="20"/>
          <w:szCs w:val="20"/>
        </w:rPr>
        <w:t xml:space="preserve"> Eliminimi i aplikimeve të pasuksesshme tre vjet pas përfundimit të procedurës së grantit.</w:t>
      </w:r>
    </w:p>
  </w:footnote>
  <w:footnote w:id="25">
    <w:p w14:paraId="6D6F2D11" w14:textId="77777777" w:rsidR="00D92ACB" w:rsidRPr="002F0A6A" w:rsidRDefault="00D92ACB" w:rsidP="00007ABE">
      <w:pPr>
        <w:autoSpaceDE w:val="0"/>
        <w:autoSpaceDN w:val="0"/>
        <w:adjustRightInd w:val="0"/>
        <w:jc w:val="both"/>
        <w:rPr>
          <w:rFonts w:ascii="Garamond" w:hAnsi="Garamond" w:cs="Arial"/>
        </w:rPr>
      </w:pPr>
      <w:r w:rsidRPr="002F0A6A">
        <w:rPr>
          <w:rStyle w:val="FootnoteReference"/>
          <w:rFonts w:ascii="Garamond" w:hAnsi="Garamond"/>
        </w:rPr>
        <w:footnoteRef/>
      </w:r>
      <w:r w:rsidRPr="002F0A6A">
        <w:rPr>
          <w:rFonts w:ascii="Garamond" w:hAnsi="Garamond"/>
        </w:rPr>
        <w:t xml:space="preserve"> </w:t>
      </w:r>
      <w:r w:rsidRPr="002F0A6A">
        <w:rPr>
          <w:rFonts w:ascii="Garamond" w:hAnsi="Garamond" w:cs="Arial"/>
        </w:rPr>
        <w:t xml:space="preserve">Për kontratat e shërbimit këto hapa që përfshijnë kontrollet paraprake, lidhen me miratimin e listës së përzgjedhur. </w:t>
      </w:r>
    </w:p>
  </w:footnote>
  <w:footnote w:id="26">
    <w:p w14:paraId="6D6F2D12" w14:textId="77777777" w:rsidR="00D92ACB" w:rsidRPr="002F0A6A" w:rsidRDefault="00D92ACB" w:rsidP="00007ABE">
      <w:pPr>
        <w:jc w:val="both"/>
        <w:rPr>
          <w:rFonts w:ascii="Garamond" w:hAnsi="Garamond" w:cs="Arial Narrow"/>
          <w:sz w:val="20"/>
          <w:szCs w:val="20"/>
        </w:rPr>
      </w:pPr>
      <w:r w:rsidRPr="002F0A6A">
        <w:rPr>
          <w:rStyle w:val="FootnoteReference"/>
          <w:rFonts w:ascii="Garamond" w:hAnsi="Garamond"/>
        </w:rPr>
        <w:footnoteRef/>
      </w:r>
      <w:r w:rsidRPr="002F0A6A">
        <w:rPr>
          <w:rFonts w:ascii="Garamond" w:hAnsi="Garamond"/>
          <w:sz w:val="20"/>
          <w:szCs w:val="20"/>
        </w:rPr>
        <w:t xml:space="preserve"> </w:t>
      </w:r>
      <w:r w:rsidRPr="002F0A6A">
        <w:rPr>
          <w:rFonts w:ascii="Garamond" w:hAnsi="Garamond" w:cs="Arial Narrow"/>
          <w:sz w:val="20"/>
          <w:szCs w:val="20"/>
        </w:rPr>
        <w:t>Ky paragraf do të përfshihet në raporte vetëm në rastin e menaxhimit të tërthortë.</w:t>
      </w:r>
    </w:p>
    <w:p w14:paraId="6D6F2D13" w14:textId="77777777" w:rsidR="00D92ACB" w:rsidRPr="002F0A6A" w:rsidRDefault="00D92ACB" w:rsidP="00007ABE">
      <w:pPr>
        <w:pStyle w:val="FootnoteText"/>
        <w:jc w:val="both"/>
        <w:rPr>
          <w:lang w:val="sq-AL"/>
        </w:rPr>
      </w:pPr>
    </w:p>
  </w:footnote>
  <w:footnote w:id="27">
    <w:p w14:paraId="6D6F2D14" w14:textId="3EE53B46"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w:t>
      </w:r>
      <w:r w:rsidRPr="002F0A6A">
        <w:rPr>
          <w:rFonts w:ascii="Garamond" w:hAnsi="Garamond" w:cs="Calibri"/>
          <w:lang w:val="sq-AL"/>
        </w:rPr>
        <w:t xml:space="preserve">Sipas sektorëve tregues në </w:t>
      </w:r>
      <w:r>
        <w:rPr>
          <w:rFonts w:ascii="Garamond" w:hAnsi="Garamond" w:cs="Calibri"/>
          <w:lang w:val="sq-AL"/>
        </w:rPr>
        <w:t>d</w:t>
      </w:r>
      <w:r w:rsidRPr="002F0A6A">
        <w:rPr>
          <w:rFonts w:ascii="Garamond" w:hAnsi="Garamond" w:cs="Calibri"/>
          <w:lang w:val="sq-AL"/>
        </w:rPr>
        <w:t>okumentet e Strategjisë.</w:t>
      </w:r>
    </w:p>
  </w:footnote>
  <w:footnote w:id="28">
    <w:p w14:paraId="6D6F2D15" w14:textId="77777777" w:rsidR="00D92ACB" w:rsidRPr="002F0A6A" w:rsidRDefault="00D92ACB" w:rsidP="00007ABE">
      <w:pPr>
        <w:autoSpaceDE w:val="0"/>
        <w:autoSpaceDN w:val="0"/>
        <w:adjustRightInd w:val="0"/>
        <w:spacing w:after="0" w:line="240" w:lineRule="auto"/>
        <w:jc w:val="both"/>
        <w:rPr>
          <w:rFonts w:ascii="Garamond" w:hAnsi="Garamond"/>
          <w:sz w:val="20"/>
          <w:szCs w:val="20"/>
        </w:rPr>
      </w:pPr>
      <w:r w:rsidRPr="002F0A6A">
        <w:rPr>
          <w:rStyle w:val="FootnoteReference"/>
          <w:rFonts w:ascii="Garamond" w:hAnsi="Garamond"/>
          <w:sz w:val="20"/>
          <w:szCs w:val="20"/>
        </w:rPr>
        <w:footnoteRef/>
      </w:r>
      <w:r w:rsidRPr="002F0A6A">
        <w:rPr>
          <w:rFonts w:ascii="Garamond" w:hAnsi="Garamond"/>
          <w:sz w:val="20"/>
          <w:szCs w:val="20"/>
        </w:rPr>
        <w:t xml:space="preserve"> </w:t>
      </w:r>
      <w:r w:rsidRPr="002F0A6A">
        <w:rPr>
          <w:rFonts w:ascii="Garamond" w:hAnsi="Garamond" w:cs="Calibri"/>
          <w:sz w:val="20"/>
          <w:szCs w:val="20"/>
        </w:rPr>
        <w:t>Për Bashkëpunimin Ndërkufitar kërkohet raportim specifik.</w:t>
      </w:r>
    </w:p>
    <w:p w14:paraId="6D6F2D16" w14:textId="77777777" w:rsidR="00D92ACB" w:rsidRPr="002F0A6A" w:rsidRDefault="00D92ACB" w:rsidP="00007ABE">
      <w:pPr>
        <w:pStyle w:val="FootnoteText"/>
        <w:jc w:val="both"/>
        <w:rPr>
          <w:rFonts w:ascii="Garamond" w:hAnsi="Garamond"/>
          <w:lang w:val="sq-AL"/>
        </w:rPr>
      </w:pPr>
    </w:p>
  </w:footnote>
  <w:footnote w:id="29">
    <w:p w14:paraId="6D6F2D17" w14:textId="1F1FF615"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Ky duhet të jetë kryesisht rezultati, si dhe treguesit përkatës të zgjedhur të produktit</w:t>
      </w:r>
      <w:r>
        <w:rPr>
          <w:rFonts w:ascii="Garamond" w:hAnsi="Garamond"/>
          <w:lang w:val="sq-AL"/>
        </w:rPr>
        <w:t>.</w:t>
      </w:r>
    </w:p>
  </w:footnote>
  <w:footnote w:id="30">
    <w:p w14:paraId="6D6F2D18" w14:textId="0D5F612F"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Ai duhet të jetë në përputhje me mënyrën e programimit (vjetore, shumëvjeçare me ose pa detyra të ndara), si dhe me raportin e NAO-s</w:t>
      </w:r>
      <w:r>
        <w:rPr>
          <w:rFonts w:ascii="Garamond" w:hAnsi="Garamond"/>
          <w:lang w:val="sq-AL"/>
        </w:rPr>
        <w:t>.</w:t>
      </w:r>
      <w:r w:rsidRPr="002F0A6A">
        <w:rPr>
          <w:rFonts w:ascii="Garamond" w:hAnsi="Garamond"/>
          <w:lang w:val="sq-AL"/>
        </w:rPr>
        <w:t xml:space="preserve"> </w:t>
      </w:r>
    </w:p>
  </w:footnote>
  <w:footnote w:id="31">
    <w:p w14:paraId="6D6F2D19" w14:textId="77777777" w:rsidR="00D92ACB" w:rsidRPr="002F0A6A" w:rsidRDefault="00D92ACB" w:rsidP="00007ABE">
      <w:pPr>
        <w:pStyle w:val="FootnoteText"/>
        <w:jc w:val="both"/>
        <w:rPr>
          <w:rFonts w:ascii="Garamond" w:hAnsi="Garamond"/>
          <w:lang w:val="sq-AL"/>
        </w:rPr>
      </w:pPr>
      <w:r w:rsidRPr="002F0A6A">
        <w:rPr>
          <w:rStyle w:val="FootnoteReference"/>
          <w:rFonts w:ascii="Garamond" w:hAnsi="Garamond"/>
          <w:lang w:val="sq-AL"/>
        </w:rPr>
        <w:footnoteRef/>
      </w:r>
      <w:r w:rsidRPr="002F0A6A">
        <w:rPr>
          <w:rFonts w:ascii="Garamond" w:hAnsi="Garamond"/>
          <w:lang w:val="sq-AL"/>
        </w:rPr>
        <w:t xml:space="preserve"> Numri i kolonave duhet të përshtatet për të gjitha vitet, nga viti 2014 deri në vitin e periudhës së raportimit. Vlerat duhet të jenë kumulative.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2447"/>
    <w:multiLevelType w:val="hybridMultilevel"/>
    <w:tmpl w:val="716CC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BF4644"/>
    <w:multiLevelType w:val="hybridMultilevel"/>
    <w:tmpl w:val="5628D0A0"/>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0932A3"/>
    <w:multiLevelType w:val="hybridMultilevel"/>
    <w:tmpl w:val="922E824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18082A78"/>
    <w:multiLevelType w:val="hybridMultilevel"/>
    <w:tmpl w:val="04F2F5E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66293"/>
    <w:multiLevelType w:val="multilevel"/>
    <w:tmpl w:val="553EB37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14804F9"/>
    <w:multiLevelType w:val="hybridMultilevel"/>
    <w:tmpl w:val="0A3C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C248D7"/>
    <w:multiLevelType w:val="hybridMultilevel"/>
    <w:tmpl w:val="2B026152"/>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62289E"/>
    <w:multiLevelType w:val="hybridMultilevel"/>
    <w:tmpl w:val="226CD696"/>
    <w:lvl w:ilvl="0" w:tplc="BB1250E0">
      <w:start w:val="1"/>
      <w:numFmt w:val="decimal"/>
      <w:lvlText w:val="%1."/>
      <w:lvlJc w:val="left"/>
      <w:pPr>
        <w:ind w:left="900" w:hanging="360"/>
      </w:pPr>
      <w:rPr>
        <w:rFonts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28FF09B9"/>
    <w:multiLevelType w:val="hybridMultilevel"/>
    <w:tmpl w:val="653E80D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nsid w:val="34DB6FB9"/>
    <w:multiLevelType w:val="hybridMultilevel"/>
    <w:tmpl w:val="A5728BFC"/>
    <w:lvl w:ilvl="0" w:tplc="BD4A4BDA">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6C6247"/>
    <w:multiLevelType w:val="hybridMultilevel"/>
    <w:tmpl w:val="738E9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F4F6BBA"/>
    <w:multiLevelType w:val="multilevel"/>
    <w:tmpl w:val="654CAED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49A86AC5"/>
    <w:multiLevelType w:val="hybridMultilevel"/>
    <w:tmpl w:val="738E9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BE96A30"/>
    <w:multiLevelType w:val="hybridMultilevel"/>
    <w:tmpl w:val="45AC2B0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
    <w:nsid w:val="58004C6D"/>
    <w:multiLevelType w:val="hybridMultilevel"/>
    <w:tmpl w:val="779AE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B25625D"/>
    <w:multiLevelType w:val="hybridMultilevel"/>
    <w:tmpl w:val="3AF05B80"/>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0C30CE"/>
    <w:multiLevelType w:val="multilevel"/>
    <w:tmpl w:val="5888CD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0D511E4"/>
    <w:multiLevelType w:val="hybridMultilevel"/>
    <w:tmpl w:val="1C707B3E"/>
    <w:lvl w:ilvl="0" w:tplc="306AC88E">
      <w:start w:val="2"/>
      <w:numFmt w:val="bullet"/>
      <w:lvlText w:val="-"/>
      <w:lvlJc w:val="left"/>
      <w:pPr>
        <w:ind w:left="720" w:hanging="360"/>
      </w:pPr>
      <w:rPr>
        <w:rFonts w:ascii="Calibri" w:eastAsia="Cambria" w:hAnsi="Calibri"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62D30D51"/>
    <w:multiLevelType w:val="hybridMultilevel"/>
    <w:tmpl w:val="1892D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9C90453"/>
    <w:multiLevelType w:val="hybridMultilevel"/>
    <w:tmpl w:val="052A83B8"/>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D0E0429"/>
    <w:multiLevelType w:val="multilevel"/>
    <w:tmpl w:val="19C88D5C"/>
    <w:lvl w:ilvl="0">
      <w:start w:val="1"/>
      <w:numFmt w:val="decimal"/>
      <w:lvlRestart w:val="0"/>
      <w:pStyle w:val="ListNumber"/>
      <w:lvlText w:val="(%1)"/>
      <w:lvlJc w:val="left"/>
      <w:pPr>
        <w:tabs>
          <w:tab w:val="num" w:pos="709"/>
        </w:tabs>
        <w:ind w:left="709" w:hanging="709"/>
      </w:pPr>
      <w:rPr>
        <w:rFonts w:hint="default"/>
        <w:i w:val="0"/>
        <w:color w:val="auto"/>
      </w:rPr>
    </w:lvl>
    <w:lvl w:ilvl="1">
      <w:start w:val="1"/>
      <w:numFmt w:val="lowerLetter"/>
      <w:pStyle w:val="ListNumberLevel2"/>
      <w:lvlText w:val="(%2)"/>
      <w:lvlJc w:val="left"/>
      <w:pPr>
        <w:tabs>
          <w:tab w:val="num" w:pos="1418"/>
        </w:tabs>
        <w:ind w:left="1418" w:hanging="708"/>
      </w:pPr>
      <w:rPr>
        <w:rFonts w:hint="default"/>
        <w:i w:val="0"/>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72186350"/>
    <w:multiLevelType w:val="hybridMultilevel"/>
    <w:tmpl w:val="89502318"/>
    <w:lvl w:ilvl="0" w:tplc="2F58B7EA">
      <w:start w:val="1"/>
      <w:numFmt w:val="bullet"/>
      <w:lvlText w:val="–"/>
      <w:lvlJc w:val="left"/>
      <w:pPr>
        <w:tabs>
          <w:tab w:val="num" w:pos="709"/>
        </w:tabs>
        <w:ind w:left="709" w:hanging="709"/>
      </w:pPr>
      <w:rPr>
        <w:rFonts w:ascii="Old English Text MT" w:hAnsi="Old English Text MT" w:cs="Old English Text MT"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22">
    <w:nsid w:val="7D6A260E"/>
    <w:multiLevelType w:val="hybridMultilevel"/>
    <w:tmpl w:val="21F03EBE"/>
    <w:lvl w:ilvl="0" w:tplc="F83EE3E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9"/>
  </w:num>
  <w:num w:numId="4">
    <w:abstractNumId w:val="8"/>
  </w:num>
  <w:num w:numId="5">
    <w:abstractNumId w:val="2"/>
  </w:num>
  <w:num w:numId="6">
    <w:abstractNumId w:val="17"/>
  </w:num>
  <w:num w:numId="7">
    <w:abstractNumId w:val="19"/>
  </w:num>
  <w:num w:numId="8">
    <w:abstractNumId w:val="6"/>
  </w:num>
  <w:num w:numId="9">
    <w:abstractNumId w:val="1"/>
  </w:num>
  <w:num w:numId="10">
    <w:abstractNumId w:val="11"/>
  </w:num>
  <w:num w:numId="11">
    <w:abstractNumId w:val="12"/>
  </w:num>
  <w:num w:numId="12">
    <w:abstractNumId w:val="4"/>
  </w:num>
  <w:num w:numId="13">
    <w:abstractNumId w:val="10"/>
  </w:num>
  <w:num w:numId="14">
    <w:abstractNumId w:val="18"/>
  </w:num>
  <w:num w:numId="15">
    <w:abstractNumId w:val="5"/>
  </w:num>
  <w:num w:numId="16">
    <w:abstractNumId w:val="3"/>
  </w:num>
  <w:num w:numId="17">
    <w:abstractNumId w:val="14"/>
  </w:num>
  <w:num w:numId="18">
    <w:abstractNumId w:val="22"/>
  </w:num>
  <w:num w:numId="19">
    <w:abstractNumId w:val="15"/>
  </w:num>
  <w:num w:numId="20">
    <w:abstractNumId w:val="13"/>
  </w:num>
  <w:num w:numId="21">
    <w:abstractNumId w:val="0"/>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2798"/>
    <w:rsid w:val="0000683A"/>
    <w:rsid w:val="000077FE"/>
    <w:rsid w:val="00007ABE"/>
    <w:rsid w:val="00015CDD"/>
    <w:rsid w:val="0001647A"/>
    <w:rsid w:val="00016F55"/>
    <w:rsid w:val="0002154D"/>
    <w:rsid w:val="0002266C"/>
    <w:rsid w:val="000251BF"/>
    <w:rsid w:val="0003021D"/>
    <w:rsid w:val="00035666"/>
    <w:rsid w:val="0003611D"/>
    <w:rsid w:val="00036A7C"/>
    <w:rsid w:val="000422C5"/>
    <w:rsid w:val="00042A39"/>
    <w:rsid w:val="00043C57"/>
    <w:rsid w:val="00045548"/>
    <w:rsid w:val="00046691"/>
    <w:rsid w:val="0005309A"/>
    <w:rsid w:val="00055289"/>
    <w:rsid w:val="00055AB5"/>
    <w:rsid w:val="00057ACC"/>
    <w:rsid w:val="00060376"/>
    <w:rsid w:val="00063821"/>
    <w:rsid w:val="0006444B"/>
    <w:rsid w:val="00066342"/>
    <w:rsid w:val="0007598B"/>
    <w:rsid w:val="000765C2"/>
    <w:rsid w:val="00077CDF"/>
    <w:rsid w:val="00081839"/>
    <w:rsid w:val="000842D4"/>
    <w:rsid w:val="00085860"/>
    <w:rsid w:val="00092B25"/>
    <w:rsid w:val="000945C1"/>
    <w:rsid w:val="00096985"/>
    <w:rsid w:val="00097942"/>
    <w:rsid w:val="000A10A2"/>
    <w:rsid w:val="000A176C"/>
    <w:rsid w:val="000A2FAB"/>
    <w:rsid w:val="000A3B4D"/>
    <w:rsid w:val="000B304E"/>
    <w:rsid w:val="000C7A93"/>
    <w:rsid w:val="000D199E"/>
    <w:rsid w:val="000D1E15"/>
    <w:rsid w:val="000D6E3A"/>
    <w:rsid w:val="000E0B9B"/>
    <w:rsid w:val="000E1EB0"/>
    <w:rsid w:val="000E2566"/>
    <w:rsid w:val="000E53FE"/>
    <w:rsid w:val="000E5BA6"/>
    <w:rsid w:val="000F2F7C"/>
    <w:rsid w:val="000F4516"/>
    <w:rsid w:val="000F504A"/>
    <w:rsid w:val="000F5EE0"/>
    <w:rsid w:val="000F67A1"/>
    <w:rsid w:val="001049D9"/>
    <w:rsid w:val="00106F6D"/>
    <w:rsid w:val="0011029D"/>
    <w:rsid w:val="00112A36"/>
    <w:rsid w:val="00121624"/>
    <w:rsid w:val="00123118"/>
    <w:rsid w:val="0012329C"/>
    <w:rsid w:val="00123DC6"/>
    <w:rsid w:val="0012550D"/>
    <w:rsid w:val="00125F52"/>
    <w:rsid w:val="00127A00"/>
    <w:rsid w:val="001325AA"/>
    <w:rsid w:val="001325DD"/>
    <w:rsid w:val="0014110E"/>
    <w:rsid w:val="00143413"/>
    <w:rsid w:val="00146D52"/>
    <w:rsid w:val="00151F4B"/>
    <w:rsid w:val="00153CC5"/>
    <w:rsid w:val="00155364"/>
    <w:rsid w:val="00155BCF"/>
    <w:rsid w:val="001568D6"/>
    <w:rsid w:val="001577B7"/>
    <w:rsid w:val="00160F70"/>
    <w:rsid w:val="0016438C"/>
    <w:rsid w:val="001666AE"/>
    <w:rsid w:val="00166898"/>
    <w:rsid w:val="00170906"/>
    <w:rsid w:val="001816AF"/>
    <w:rsid w:val="00184E0F"/>
    <w:rsid w:val="001942D4"/>
    <w:rsid w:val="001A061D"/>
    <w:rsid w:val="001A2C86"/>
    <w:rsid w:val="001A2DFE"/>
    <w:rsid w:val="001A3F88"/>
    <w:rsid w:val="001A7D5F"/>
    <w:rsid w:val="001B3546"/>
    <w:rsid w:val="001B443D"/>
    <w:rsid w:val="001B52A0"/>
    <w:rsid w:val="001B727D"/>
    <w:rsid w:val="001B796E"/>
    <w:rsid w:val="001C0806"/>
    <w:rsid w:val="001C445C"/>
    <w:rsid w:val="001C5CDE"/>
    <w:rsid w:val="001C6A0A"/>
    <w:rsid w:val="001C7EC0"/>
    <w:rsid w:val="001D2895"/>
    <w:rsid w:val="001D3D53"/>
    <w:rsid w:val="001E1489"/>
    <w:rsid w:val="001E2A37"/>
    <w:rsid w:val="001E4B7B"/>
    <w:rsid w:val="001E5EAE"/>
    <w:rsid w:val="001E6FE4"/>
    <w:rsid w:val="001F194A"/>
    <w:rsid w:val="001F5863"/>
    <w:rsid w:val="00200689"/>
    <w:rsid w:val="002009A1"/>
    <w:rsid w:val="00201542"/>
    <w:rsid w:val="0020160E"/>
    <w:rsid w:val="0020170B"/>
    <w:rsid w:val="00202CE6"/>
    <w:rsid w:val="0020507F"/>
    <w:rsid w:val="00212FD8"/>
    <w:rsid w:val="00213234"/>
    <w:rsid w:val="00214854"/>
    <w:rsid w:val="00214E0C"/>
    <w:rsid w:val="0021715D"/>
    <w:rsid w:val="002235B9"/>
    <w:rsid w:val="0022727F"/>
    <w:rsid w:val="00230F06"/>
    <w:rsid w:val="00231D59"/>
    <w:rsid w:val="00233280"/>
    <w:rsid w:val="002358DF"/>
    <w:rsid w:val="00241044"/>
    <w:rsid w:val="0024137B"/>
    <w:rsid w:val="0024206A"/>
    <w:rsid w:val="002438AB"/>
    <w:rsid w:val="00243951"/>
    <w:rsid w:val="00243B60"/>
    <w:rsid w:val="00244757"/>
    <w:rsid w:val="00244D59"/>
    <w:rsid w:val="00244E66"/>
    <w:rsid w:val="0024711E"/>
    <w:rsid w:val="0025226A"/>
    <w:rsid w:val="0025395A"/>
    <w:rsid w:val="00266C06"/>
    <w:rsid w:val="00272626"/>
    <w:rsid w:val="00277531"/>
    <w:rsid w:val="00282883"/>
    <w:rsid w:val="002831A3"/>
    <w:rsid w:val="0029200C"/>
    <w:rsid w:val="00293399"/>
    <w:rsid w:val="0029360E"/>
    <w:rsid w:val="002A0A7F"/>
    <w:rsid w:val="002A0AA9"/>
    <w:rsid w:val="002A47D7"/>
    <w:rsid w:val="002A5CA5"/>
    <w:rsid w:val="002A6BD7"/>
    <w:rsid w:val="002B1822"/>
    <w:rsid w:val="002B2BC5"/>
    <w:rsid w:val="002B60ED"/>
    <w:rsid w:val="002C3C14"/>
    <w:rsid w:val="002D0ECE"/>
    <w:rsid w:val="002D60FA"/>
    <w:rsid w:val="002D780E"/>
    <w:rsid w:val="002E04F0"/>
    <w:rsid w:val="002E71C2"/>
    <w:rsid w:val="002F0A6A"/>
    <w:rsid w:val="002F2CD8"/>
    <w:rsid w:val="002F4589"/>
    <w:rsid w:val="002F5953"/>
    <w:rsid w:val="002F68FB"/>
    <w:rsid w:val="00304A25"/>
    <w:rsid w:val="00310C81"/>
    <w:rsid w:val="00311D1D"/>
    <w:rsid w:val="00322E1F"/>
    <w:rsid w:val="00324DAF"/>
    <w:rsid w:val="00332FAB"/>
    <w:rsid w:val="003355FE"/>
    <w:rsid w:val="0034233B"/>
    <w:rsid w:val="0034266D"/>
    <w:rsid w:val="0035047F"/>
    <w:rsid w:val="00350F87"/>
    <w:rsid w:val="003521D2"/>
    <w:rsid w:val="00352926"/>
    <w:rsid w:val="00354FEE"/>
    <w:rsid w:val="003566F4"/>
    <w:rsid w:val="003579EB"/>
    <w:rsid w:val="003665CA"/>
    <w:rsid w:val="00370FFA"/>
    <w:rsid w:val="003739FA"/>
    <w:rsid w:val="0038331D"/>
    <w:rsid w:val="00384202"/>
    <w:rsid w:val="00391DB1"/>
    <w:rsid w:val="00391E83"/>
    <w:rsid w:val="00397541"/>
    <w:rsid w:val="003A2EE2"/>
    <w:rsid w:val="003A38DC"/>
    <w:rsid w:val="003A4DD5"/>
    <w:rsid w:val="003A63A5"/>
    <w:rsid w:val="003B4540"/>
    <w:rsid w:val="003C188C"/>
    <w:rsid w:val="003C20B5"/>
    <w:rsid w:val="003C31E1"/>
    <w:rsid w:val="003C48FF"/>
    <w:rsid w:val="003C5DF4"/>
    <w:rsid w:val="003D169C"/>
    <w:rsid w:val="003D21B2"/>
    <w:rsid w:val="003D233E"/>
    <w:rsid w:val="003D23AA"/>
    <w:rsid w:val="003D35E2"/>
    <w:rsid w:val="003E0357"/>
    <w:rsid w:val="003E1985"/>
    <w:rsid w:val="003E49F5"/>
    <w:rsid w:val="003E4B1E"/>
    <w:rsid w:val="003F0383"/>
    <w:rsid w:val="003F22D6"/>
    <w:rsid w:val="003F29A8"/>
    <w:rsid w:val="003F2B14"/>
    <w:rsid w:val="003F6673"/>
    <w:rsid w:val="00401C7E"/>
    <w:rsid w:val="00404AE4"/>
    <w:rsid w:val="004120AE"/>
    <w:rsid w:val="0041300C"/>
    <w:rsid w:val="00420682"/>
    <w:rsid w:val="00420D3F"/>
    <w:rsid w:val="00425CE3"/>
    <w:rsid w:val="004303A8"/>
    <w:rsid w:val="00432C96"/>
    <w:rsid w:val="00432F1E"/>
    <w:rsid w:val="00433BCD"/>
    <w:rsid w:val="00435807"/>
    <w:rsid w:val="00445610"/>
    <w:rsid w:val="00446EBB"/>
    <w:rsid w:val="00451181"/>
    <w:rsid w:val="00452D8B"/>
    <w:rsid w:val="004535F7"/>
    <w:rsid w:val="00453E85"/>
    <w:rsid w:val="00455BBA"/>
    <w:rsid w:val="00460BC4"/>
    <w:rsid w:val="00460ECC"/>
    <w:rsid w:val="00461729"/>
    <w:rsid w:val="0046270B"/>
    <w:rsid w:val="004647DB"/>
    <w:rsid w:val="00467CED"/>
    <w:rsid w:val="004728A8"/>
    <w:rsid w:val="00474666"/>
    <w:rsid w:val="00474E79"/>
    <w:rsid w:val="00477804"/>
    <w:rsid w:val="00477B2A"/>
    <w:rsid w:val="004860F7"/>
    <w:rsid w:val="0049259E"/>
    <w:rsid w:val="00493190"/>
    <w:rsid w:val="00496242"/>
    <w:rsid w:val="00496285"/>
    <w:rsid w:val="00496EE9"/>
    <w:rsid w:val="004A5884"/>
    <w:rsid w:val="004B12D2"/>
    <w:rsid w:val="004B3B7A"/>
    <w:rsid w:val="004B4D45"/>
    <w:rsid w:val="004B6ED9"/>
    <w:rsid w:val="004C2DFD"/>
    <w:rsid w:val="004C58CF"/>
    <w:rsid w:val="004D08E2"/>
    <w:rsid w:val="004D45AB"/>
    <w:rsid w:val="004E7290"/>
    <w:rsid w:val="004E79E4"/>
    <w:rsid w:val="004E7E53"/>
    <w:rsid w:val="004E7F69"/>
    <w:rsid w:val="004F1449"/>
    <w:rsid w:val="004F447A"/>
    <w:rsid w:val="004F4697"/>
    <w:rsid w:val="004F482A"/>
    <w:rsid w:val="004F5B07"/>
    <w:rsid w:val="004F7030"/>
    <w:rsid w:val="005158F4"/>
    <w:rsid w:val="005201B5"/>
    <w:rsid w:val="00522FFB"/>
    <w:rsid w:val="00527A3C"/>
    <w:rsid w:val="00531A97"/>
    <w:rsid w:val="00533437"/>
    <w:rsid w:val="00536084"/>
    <w:rsid w:val="00542102"/>
    <w:rsid w:val="00543765"/>
    <w:rsid w:val="00550AC7"/>
    <w:rsid w:val="00550DBF"/>
    <w:rsid w:val="00550E16"/>
    <w:rsid w:val="00550FA3"/>
    <w:rsid w:val="00551049"/>
    <w:rsid w:val="005510D8"/>
    <w:rsid w:val="005555CF"/>
    <w:rsid w:val="0055575B"/>
    <w:rsid w:val="0055732E"/>
    <w:rsid w:val="00560A74"/>
    <w:rsid w:val="00561705"/>
    <w:rsid w:val="00563328"/>
    <w:rsid w:val="005714FF"/>
    <w:rsid w:val="00571E0E"/>
    <w:rsid w:val="005726F2"/>
    <w:rsid w:val="00573EE3"/>
    <w:rsid w:val="00574E44"/>
    <w:rsid w:val="005756D6"/>
    <w:rsid w:val="005767F6"/>
    <w:rsid w:val="00581D69"/>
    <w:rsid w:val="00583574"/>
    <w:rsid w:val="00584648"/>
    <w:rsid w:val="00584F47"/>
    <w:rsid w:val="00585CF3"/>
    <w:rsid w:val="0059342C"/>
    <w:rsid w:val="005A442E"/>
    <w:rsid w:val="005B17E3"/>
    <w:rsid w:val="005B455F"/>
    <w:rsid w:val="005B6E3F"/>
    <w:rsid w:val="005C1F31"/>
    <w:rsid w:val="005C41F5"/>
    <w:rsid w:val="005C5312"/>
    <w:rsid w:val="005D7E98"/>
    <w:rsid w:val="005D7EB9"/>
    <w:rsid w:val="005E491A"/>
    <w:rsid w:val="005F7771"/>
    <w:rsid w:val="00601FA3"/>
    <w:rsid w:val="0060299F"/>
    <w:rsid w:val="0060535D"/>
    <w:rsid w:val="0060603C"/>
    <w:rsid w:val="00610091"/>
    <w:rsid w:val="00611C9B"/>
    <w:rsid w:val="006121D5"/>
    <w:rsid w:val="0062077A"/>
    <w:rsid w:val="00621A17"/>
    <w:rsid w:val="006222C6"/>
    <w:rsid w:val="00622847"/>
    <w:rsid w:val="00623A55"/>
    <w:rsid w:val="00625C3F"/>
    <w:rsid w:val="00630730"/>
    <w:rsid w:val="006311C2"/>
    <w:rsid w:val="00632DD1"/>
    <w:rsid w:val="00637280"/>
    <w:rsid w:val="00637706"/>
    <w:rsid w:val="00642F3A"/>
    <w:rsid w:val="006465EF"/>
    <w:rsid w:val="0064681A"/>
    <w:rsid w:val="00646924"/>
    <w:rsid w:val="00647DAA"/>
    <w:rsid w:val="00650E6F"/>
    <w:rsid w:val="00655D6A"/>
    <w:rsid w:val="006609BE"/>
    <w:rsid w:val="00662D8F"/>
    <w:rsid w:val="00663243"/>
    <w:rsid w:val="00664E52"/>
    <w:rsid w:val="006669C6"/>
    <w:rsid w:val="0067406E"/>
    <w:rsid w:val="00677381"/>
    <w:rsid w:val="00677E6C"/>
    <w:rsid w:val="006803F8"/>
    <w:rsid w:val="00680C5D"/>
    <w:rsid w:val="00681E43"/>
    <w:rsid w:val="006829B2"/>
    <w:rsid w:val="00684062"/>
    <w:rsid w:val="00686C6E"/>
    <w:rsid w:val="00697D8C"/>
    <w:rsid w:val="006A0891"/>
    <w:rsid w:val="006A19F2"/>
    <w:rsid w:val="006B2531"/>
    <w:rsid w:val="006B36E4"/>
    <w:rsid w:val="006B5D0E"/>
    <w:rsid w:val="006B61B0"/>
    <w:rsid w:val="006C7644"/>
    <w:rsid w:val="006D46FD"/>
    <w:rsid w:val="006D6936"/>
    <w:rsid w:val="006E455D"/>
    <w:rsid w:val="006E66CF"/>
    <w:rsid w:val="006F095B"/>
    <w:rsid w:val="006F33F7"/>
    <w:rsid w:val="006F358E"/>
    <w:rsid w:val="006F39FB"/>
    <w:rsid w:val="006F40F6"/>
    <w:rsid w:val="006F4D55"/>
    <w:rsid w:val="006F4E36"/>
    <w:rsid w:val="006F54EE"/>
    <w:rsid w:val="007015FE"/>
    <w:rsid w:val="00705825"/>
    <w:rsid w:val="0070653E"/>
    <w:rsid w:val="0071106F"/>
    <w:rsid w:val="00714842"/>
    <w:rsid w:val="007172E2"/>
    <w:rsid w:val="0072095C"/>
    <w:rsid w:val="00721826"/>
    <w:rsid w:val="007221C5"/>
    <w:rsid w:val="0072513B"/>
    <w:rsid w:val="00726525"/>
    <w:rsid w:val="00726793"/>
    <w:rsid w:val="00727053"/>
    <w:rsid w:val="0072760D"/>
    <w:rsid w:val="007328EC"/>
    <w:rsid w:val="00736DC8"/>
    <w:rsid w:val="007403CF"/>
    <w:rsid w:val="0075714C"/>
    <w:rsid w:val="0076266B"/>
    <w:rsid w:val="007654B3"/>
    <w:rsid w:val="00770FAD"/>
    <w:rsid w:val="00771790"/>
    <w:rsid w:val="00772180"/>
    <w:rsid w:val="00774741"/>
    <w:rsid w:val="00776C0D"/>
    <w:rsid w:val="00777621"/>
    <w:rsid w:val="007806C0"/>
    <w:rsid w:val="00782818"/>
    <w:rsid w:val="007925D9"/>
    <w:rsid w:val="007A22E9"/>
    <w:rsid w:val="007A2E0E"/>
    <w:rsid w:val="007A3D1B"/>
    <w:rsid w:val="007A7288"/>
    <w:rsid w:val="007A7B2B"/>
    <w:rsid w:val="007B064F"/>
    <w:rsid w:val="007B57AA"/>
    <w:rsid w:val="007C083E"/>
    <w:rsid w:val="007C0EE2"/>
    <w:rsid w:val="007C2ECC"/>
    <w:rsid w:val="007D5304"/>
    <w:rsid w:val="007D742E"/>
    <w:rsid w:val="007E06EC"/>
    <w:rsid w:val="007E09A9"/>
    <w:rsid w:val="007E2515"/>
    <w:rsid w:val="007E57E2"/>
    <w:rsid w:val="007E66C9"/>
    <w:rsid w:val="007F674E"/>
    <w:rsid w:val="00803540"/>
    <w:rsid w:val="00805ADA"/>
    <w:rsid w:val="00810B57"/>
    <w:rsid w:val="00810D79"/>
    <w:rsid w:val="00811138"/>
    <w:rsid w:val="00813C77"/>
    <w:rsid w:val="00813DA1"/>
    <w:rsid w:val="00815D98"/>
    <w:rsid w:val="00827BFB"/>
    <w:rsid w:val="0083276A"/>
    <w:rsid w:val="00833455"/>
    <w:rsid w:val="00833BEA"/>
    <w:rsid w:val="00836964"/>
    <w:rsid w:val="00836A7B"/>
    <w:rsid w:val="00836C27"/>
    <w:rsid w:val="00840462"/>
    <w:rsid w:val="00844773"/>
    <w:rsid w:val="00845759"/>
    <w:rsid w:val="00850974"/>
    <w:rsid w:val="00850DEC"/>
    <w:rsid w:val="00853F3C"/>
    <w:rsid w:val="0085472C"/>
    <w:rsid w:val="00856D4F"/>
    <w:rsid w:val="008620E4"/>
    <w:rsid w:val="0086360A"/>
    <w:rsid w:val="008720AB"/>
    <w:rsid w:val="0087264B"/>
    <w:rsid w:val="00873683"/>
    <w:rsid w:val="00875840"/>
    <w:rsid w:val="00877AE9"/>
    <w:rsid w:val="00881777"/>
    <w:rsid w:val="008914C1"/>
    <w:rsid w:val="00891A85"/>
    <w:rsid w:val="00891F6C"/>
    <w:rsid w:val="00892C77"/>
    <w:rsid w:val="008A1646"/>
    <w:rsid w:val="008A7560"/>
    <w:rsid w:val="008B5431"/>
    <w:rsid w:val="008B56D6"/>
    <w:rsid w:val="008B5EEF"/>
    <w:rsid w:val="008C15C7"/>
    <w:rsid w:val="008D12D7"/>
    <w:rsid w:val="008D38FF"/>
    <w:rsid w:val="008D6855"/>
    <w:rsid w:val="008D7297"/>
    <w:rsid w:val="008F007F"/>
    <w:rsid w:val="008F00A6"/>
    <w:rsid w:val="008F53E4"/>
    <w:rsid w:val="008F5BF4"/>
    <w:rsid w:val="00900D7B"/>
    <w:rsid w:val="00901AFC"/>
    <w:rsid w:val="0091014E"/>
    <w:rsid w:val="009104DF"/>
    <w:rsid w:val="00910C1F"/>
    <w:rsid w:val="009134FD"/>
    <w:rsid w:val="00917F29"/>
    <w:rsid w:val="00921AA0"/>
    <w:rsid w:val="00924FFB"/>
    <w:rsid w:val="00925E6C"/>
    <w:rsid w:val="009300D8"/>
    <w:rsid w:val="0093033D"/>
    <w:rsid w:val="0093186B"/>
    <w:rsid w:val="00942F70"/>
    <w:rsid w:val="0094402E"/>
    <w:rsid w:val="00946061"/>
    <w:rsid w:val="00953B2F"/>
    <w:rsid w:val="009575AA"/>
    <w:rsid w:val="00960825"/>
    <w:rsid w:val="00965199"/>
    <w:rsid w:val="00967A78"/>
    <w:rsid w:val="0097073E"/>
    <w:rsid w:val="00970816"/>
    <w:rsid w:val="00970D95"/>
    <w:rsid w:val="00974090"/>
    <w:rsid w:val="00974717"/>
    <w:rsid w:val="00976A3C"/>
    <w:rsid w:val="00987364"/>
    <w:rsid w:val="00991D86"/>
    <w:rsid w:val="0099741A"/>
    <w:rsid w:val="009A428B"/>
    <w:rsid w:val="009A4EC4"/>
    <w:rsid w:val="009A5DA1"/>
    <w:rsid w:val="009A6605"/>
    <w:rsid w:val="009A6F98"/>
    <w:rsid w:val="009A6F9B"/>
    <w:rsid w:val="009B3F23"/>
    <w:rsid w:val="009C0325"/>
    <w:rsid w:val="009D3843"/>
    <w:rsid w:val="009D3F42"/>
    <w:rsid w:val="009D5533"/>
    <w:rsid w:val="009E21A8"/>
    <w:rsid w:val="009F1715"/>
    <w:rsid w:val="009F2838"/>
    <w:rsid w:val="009F3F05"/>
    <w:rsid w:val="009F4005"/>
    <w:rsid w:val="009F7770"/>
    <w:rsid w:val="009F7995"/>
    <w:rsid w:val="00A00A25"/>
    <w:rsid w:val="00A04D93"/>
    <w:rsid w:val="00A06D12"/>
    <w:rsid w:val="00A11F2F"/>
    <w:rsid w:val="00A148CA"/>
    <w:rsid w:val="00A15DE9"/>
    <w:rsid w:val="00A2153B"/>
    <w:rsid w:val="00A27F3E"/>
    <w:rsid w:val="00A34D9D"/>
    <w:rsid w:val="00A352CE"/>
    <w:rsid w:val="00A40C78"/>
    <w:rsid w:val="00A4305B"/>
    <w:rsid w:val="00A431DD"/>
    <w:rsid w:val="00A453F4"/>
    <w:rsid w:val="00A454C0"/>
    <w:rsid w:val="00A50028"/>
    <w:rsid w:val="00A62089"/>
    <w:rsid w:val="00A645A6"/>
    <w:rsid w:val="00A66E8C"/>
    <w:rsid w:val="00A72391"/>
    <w:rsid w:val="00A72F8A"/>
    <w:rsid w:val="00A75142"/>
    <w:rsid w:val="00A8237E"/>
    <w:rsid w:val="00A85806"/>
    <w:rsid w:val="00A8615F"/>
    <w:rsid w:val="00A877FA"/>
    <w:rsid w:val="00A96222"/>
    <w:rsid w:val="00A97088"/>
    <w:rsid w:val="00A97A0E"/>
    <w:rsid w:val="00AA2FA1"/>
    <w:rsid w:val="00AA32E0"/>
    <w:rsid w:val="00AA4BF3"/>
    <w:rsid w:val="00AB309D"/>
    <w:rsid w:val="00AB613A"/>
    <w:rsid w:val="00AC0AB8"/>
    <w:rsid w:val="00AC11EE"/>
    <w:rsid w:val="00AC2686"/>
    <w:rsid w:val="00AD11FA"/>
    <w:rsid w:val="00AE0329"/>
    <w:rsid w:val="00AE4F63"/>
    <w:rsid w:val="00AE5237"/>
    <w:rsid w:val="00AF0CE9"/>
    <w:rsid w:val="00AF1228"/>
    <w:rsid w:val="00AF1B25"/>
    <w:rsid w:val="00B03A16"/>
    <w:rsid w:val="00B111AC"/>
    <w:rsid w:val="00B13BD3"/>
    <w:rsid w:val="00B13C4E"/>
    <w:rsid w:val="00B15692"/>
    <w:rsid w:val="00B16DFB"/>
    <w:rsid w:val="00B20703"/>
    <w:rsid w:val="00B21CA2"/>
    <w:rsid w:val="00B233B1"/>
    <w:rsid w:val="00B3021A"/>
    <w:rsid w:val="00B32C42"/>
    <w:rsid w:val="00B347E7"/>
    <w:rsid w:val="00B40F1C"/>
    <w:rsid w:val="00B42915"/>
    <w:rsid w:val="00B43255"/>
    <w:rsid w:val="00B471D8"/>
    <w:rsid w:val="00B524D0"/>
    <w:rsid w:val="00B537C4"/>
    <w:rsid w:val="00B53BA0"/>
    <w:rsid w:val="00B54D96"/>
    <w:rsid w:val="00B60D35"/>
    <w:rsid w:val="00B60DB3"/>
    <w:rsid w:val="00B61549"/>
    <w:rsid w:val="00B61A2C"/>
    <w:rsid w:val="00B630E7"/>
    <w:rsid w:val="00B6427E"/>
    <w:rsid w:val="00B658FB"/>
    <w:rsid w:val="00B67778"/>
    <w:rsid w:val="00B84FBA"/>
    <w:rsid w:val="00B8568C"/>
    <w:rsid w:val="00B8668D"/>
    <w:rsid w:val="00BA0E6E"/>
    <w:rsid w:val="00BA1706"/>
    <w:rsid w:val="00BA1F88"/>
    <w:rsid w:val="00BA5571"/>
    <w:rsid w:val="00BB0FD6"/>
    <w:rsid w:val="00BB15C8"/>
    <w:rsid w:val="00BB556D"/>
    <w:rsid w:val="00BC05BA"/>
    <w:rsid w:val="00BC2090"/>
    <w:rsid w:val="00BC47F8"/>
    <w:rsid w:val="00BD23A9"/>
    <w:rsid w:val="00BD4611"/>
    <w:rsid w:val="00BE160D"/>
    <w:rsid w:val="00BE4F1C"/>
    <w:rsid w:val="00BE57F0"/>
    <w:rsid w:val="00BF3427"/>
    <w:rsid w:val="00C05539"/>
    <w:rsid w:val="00C10624"/>
    <w:rsid w:val="00C176E4"/>
    <w:rsid w:val="00C27034"/>
    <w:rsid w:val="00C32817"/>
    <w:rsid w:val="00C4191B"/>
    <w:rsid w:val="00C42CD9"/>
    <w:rsid w:val="00C446ED"/>
    <w:rsid w:val="00C44D5F"/>
    <w:rsid w:val="00C45C84"/>
    <w:rsid w:val="00C5399F"/>
    <w:rsid w:val="00C60CAD"/>
    <w:rsid w:val="00C65166"/>
    <w:rsid w:val="00C6573D"/>
    <w:rsid w:val="00C66945"/>
    <w:rsid w:val="00C67F73"/>
    <w:rsid w:val="00C7040B"/>
    <w:rsid w:val="00C77200"/>
    <w:rsid w:val="00C77775"/>
    <w:rsid w:val="00C77F30"/>
    <w:rsid w:val="00C8430B"/>
    <w:rsid w:val="00C84FDB"/>
    <w:rsid w:val="00C90FD7"/>
    <w:rsid w:val="00CA0828"/>
    <w:rsid w:val="00CA118E"/>
    <w:rsid w:val="00CB4A74"/>
    <w:rsid w:val="00CB5A53"/>
    <w:rsid w:val="00CC7CA2"/>
    <w:rsid w:val="00CD0D0B"/>
    <w:rsid w:val="00CD691C"/>
    <w:rsid w:val="00CE4BB6"/>
    <w:rsid w:val="00CE6F2C"/>
    <w:rsid w:val="00CF4189"/>
    <w:rsid w:val="00CF5B26"/>
    <w:rsid w:val="00CF60C5"/>
    <w:rsid w:val="00CF6DD1"/>
    <w:rsid w:val="00D05424"/>
    <w:rsid w:val="00D06AB1"/>
    <w:rsid w:val="00D070AC"/>
    <w:rsid w:val="00D07402"/>
    <w:rsid w:val="00D15AC3"/>
    <w:rsid w:val="00D23C4B"/>
    <w:rsid w:val="00D25FAE"/>
    <w:rsid w:val="00D27458"/>
    <w:rsid w:val="00D3318E"/>
    <w:rsid w:val="00D45AC2"/>
    <w:rsid w:val="00D45FC9"/>
    <w:rsid w:val="00D53904"/>
    <w:rsid w:val="00D57BD7"/>
    <w:rsid w:val="00D60C6B"/>
    <w:rsid w:val="00D62809"/>
    <w:rsid w:val="00D722F0"/>
    <w:rsid w:val="00D8100F"/>
    <w:rsid w:val="00D85C53"/>
    <w:rsid w:val="00D92ACB"/>
    <w:rsid w:val="00DA3657"/>
    <w:rsid w:val="00DA56D4"/>
    <w:rsid w:val="00DB0218"/>
    <w:rsid w:val="00DB06D4"/>
    <w:rsid w:val="00DB1A9C"/>
    <w:rsid w:val="00DB41EC"/>
    <w:rsid w:val="00DB478A"/>
    <w:rsid w:val="00DB6F30"/>
    <w:rsid w:val="00DB729C"/>
    <w:rsid w:val="00DC03DB"/>
    <w:rsid w:val="00DC0BDC"/>
    <w:rsid w:val="00DC1A06"/>
    <w:rsid w:val="00DC2AC6"/>
    <w:rsid w:val="00DC6EDE"/>
    <w:rsid w:val="00DC79DE"/>
    <w:rsid w:val="00DD12E1"/>
    <w:rsid w:val="00DD184F"/>
    <w:rsid w:val="00DD2299"/>
    <w:rsid w:val="00DD30AA"/>
    <w:rsid w:val="00DE34AF"/>
    <w:rsid w:val="00DF0EA1"/>
    <w:rsid w:val="00DF17CC"/>
    <w:rsid w:val="00DF6752"/>
    <w:rsid w:val="00DF6C15"/>
    <w:rsid w:val="00E0462C"/>
    <w:rsid w:val="00E06942"/>
    <w:rsid w:val="00E06CFE"/>
    <w:rsid w:val="00E10080"/>
    <w:rsid w:val="00E11A7A"/>
    <w:rsid w:val="00E12238"/>
    <w:rsid w:val="00E13341"/>
    <w:rsid w:val="00E15959"/>
    <w:rsid w:val="00E16782"/>
    <w:rsid w:val="00E1785F"/>
    <w:rsid w:val="00E21A56"/>
    <w:rsid w:val="00E23344"/>
    <w:rsid w:val="00E32B8C"/>
    <w:rsid w:val="00E359F1"/>
    <w:rsid w:val="00E370B3"/>
    <w:rsid w:val="00E41338"/>
    <w:rsid w:val="00E452DA"/>
    <w:rsid w:val="00E50022"/>
    <w:rsid w:val="00E5158C"/>
    <w:rsid w:val="00E56170"/>
    <w:rsid w:val="00E60B9B"/>
    <w:rsid w:val="00E6234F"/>
    <w:rsid w:val="00E70FB9"/>
    <w:rsid w:val="00E72BC5"/>
    <w:rsid w:val="00E756D9"/>
    <w:rsid w:val="00E76B9D"/>
    <w:rsid w:val="00E76E0D"/>
    <w:rsid w:val="00E834B7"/>
    <w:rsid w:val="00E83E94"/>
    <w:rsid w:val="00E84136"/>
    <w:rsid w:val="00E96E12"/>
    <w:rsid w:val="00EA44DF"/>
    <w:rsid w:val="00EB2D78"/>
    <w:rsid w:val="00EB5DEB"/>
    <w:rsid w:val="00EB6E63"/>
    <w:rsid w:val="00EB7175"/>
    <w:rsid w:val="00EC344E"/>
    <w:rsid w:val="00EC55E7"/>
    <w:rsid w:val="00EC57DA"/>
    <w:rsid w:val="00EC57E8"/>
    <w:rsid w:val="00EC6964"/>
    <w:rsid w:val="00ED0395"/>
    <w:rsid w:val="00ED1CD9"/>
    <w:rsid w:val="00ED27C5"/>
    <w:rsid w:val="00ED2A5C"/>
    <w:rsid w:val="00ED6CA4"/>
    <w:rsid w:val="00EE13F7"/>
    <w:rsid w:val="00EE390E"/>
    <w:rsid w:val="00EE4CBD"/>
    <w:rsid w:val="00EE7E5D"/>
    <w:rsid w:val="00EF0435"/>
    <w:rsid w:val="00EF2C68"/>
    <w:rsid w:val="00EF708A"/>
    <w:rsid w:val="00F06909"/>
    <w:rsid w:val="00F07F7F"/>
    <w:rsid w:val="00F16360"/>
    <w:rsid w:val="00F2105A"/>
    <w:rsid w:val="00F234B6"/>
    <w:rsid w:val="00F262F5"/>
    <w:rsid w:val="00F3385D"/>
    <w:rsid w:val="00F41421"/>
    <w:rsid w:val="00F46511"/>
    <w:rsid w:val="00F46547"/>
    <w:rsid w:val="00F46B52"/>
    <w:rsid w:val="00F507E0"/>
    <w:rsid w:val="00F52125"/>
    <w:rsid w:val="00F537D2"/>
    <w:rsid w:val="00F538CB"/>
    <w:rsid w:val="00F61841"/>
    <w:rsid w:val="00F62011"/>
    <w:rsid w:val="00F62419"/>
    <w:rsid w:val="00F630AC"/>
    <w:rsid w:val="00F70832"/>
    <w:rsid w:val="00F70A1E"/>
    <w:rsid w:val="00F72690"/>
    <w:rsid w:val="00F752AB"/>
    <w:rsid w:val="00F84F9C"/>
    <w:rsid w:val="00F92AA9"/>
    <w:rsid w:val="00F955E6"/>
    <w:rsid w:val="00F95EA4"/>
    <w:rsid w:val="00FB1DDA"/>
    <w:rsid w:val="00FB3D35"/>
    <w:rsid w:val="00FB454A"/>
    <w:rsid w:val="00FB47D7"/>
    <w:rsid w:val="00FB5CED"/>
    <w:rsid w:val="00FB7F53"/>
    <w:rsid w:val="00FC484A"/>
    <w:rsid w:val="00FC631E"/>
    <w:rsid w:val="00FD10FC"/>
    <w:rsid w:val="00FD328F"/>
    <w:rsid w:val="00FD403C"/>
    <w:rsid w:val="00FD54D9"/>
    <w:rsid w:val="00FE1184"/>
    <w:rsid w:val="00FE38C2"/>
    <w:rsid w:val="00FE7C04"/>
    <w:rsid w:val="00FF1735"/>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F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uiPriority w:val="9"/>
    <w:qFormat/>
    <w:rsid w:val="00650E6F"/>
    <w:pPr>
      <w:keepNext/>
      <w:spacing w:before="240" w:after="240" w:line="240" w:lineRule="auto"/>
      <w:jc w:val="center"/>
      <w:outlineLvl w:val="0"/>
    </w:pPr>
    <w:rPr>
      <w:rFonts w:ascii="Times New Roman" w:eastAsia="Times New Roman" w:hAnsi="Times New Roman" w:cs="Times New Roman"/>
      <w:b/>
      <w:smallCaps/>
      <w:color w:val="000000"/>
      <w:sz w:val="32"/>
      <w:szCs w:val="20"/>
      <w:lang w:eastAsia="sq-AL"/>
    </w:rPr>
  </w:style>
  <w:style w:type="paragraph" w:styleId="Heading2">
    <w:name w:val="heading 2"/>
    <w:basedOn w:val="Normal"/>
    <w:next w:val="Normal"/>
    <w:link w:val="Heading2Char"/>
    <w:uiPriority w:val="9"/>
    <w:unhideWhenUsed/>
    <w:qFormat/>
    <w:rsid w:val="00650E6F"/>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650E6F"/>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OOTNOTES,fn,ft,single space,Geneva 9,f"/>
    <w:basedOn w:val="Normal"/>
    <w:link w:val="FootnoteTextChar"/>
    <w:uiPriority w:val="99"/>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FOOTNOTES Char,fn Char,f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
    <w:uiPriority w:val="99"/>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character" w:styleId="Hyperlink">
    <w:name w:val="Hyperlink"/>
    <w:basedOn w:val="DefaultParagraphFont"/>
    <w:uiPriority w:val="99"/>
    <w:unhideWhenUsed/>
    <w:rsid w:val="003D21B2"/>
    <w:rPr>
      <w:color w:val="0563C1" w:themeColor="hyperlink"/>
      <w:u w:val="single"/>
    </w:rPr>
  </w:style>
  <w:style w:type="character" w:customStyle="1" w:styleId="Heading1Char">
    <w:name w:val="Heading 1 Char"/>
    <w:basedOn w:val="DefaultParagraphFont"/>
    <w:link w:val="Heading1"/>
    <w:uiPriority w:val="9"/>
    <w:rsid w:val="00650E6F"/>
    <w:rPr>
      <w:rFonts w:ascii="Times New Roman" w:eastAsia="Times New Roman" w:hAnsi="Times New Roman" w:cs="Times New Roman"/>
      <w:b/>
      <w:smallCaps/>
      <w:color w:val="000000"/>
      <w:sz w:val="32"/>
      <w:szCs w:val="20"/>
      <w:lang w:eastAsia="sq-AL"/>
    </w:rPr>
  </w:style>
  <w:style w:type="paragraph" w:customStyle="1" w:styleId="Text1">
    <w:name w:val="Text 1"/>
    <w:basedOn w:val="Normal"/>
    <w:link w:val="Text1Char"/>
    <w:rsid w:val="00650E6F"/>
    <w:pPr>
      <w:spacing w:after="240" w:line="240" w:lineRule="auto"/>
      <w:ind w:left="482"/>
      <w:jc w:val="both"/>
    </w:pPr>
    <w:rPr>
      <w:rFonts w:ascii="Times New Roman" w:eastAsia="Times New Roman" w:hAnsi="Times New Roman" w:cs="Times New Roman"/>
      <w:color w:val="000000"/>
      <w:sz w:val="24"/>
      <w:szCs w:val="20"/>
      <w:lang w:eastAsia="sq-AL"/>
    </w:rPr>
  </w:style>
  <w:style w:type="paragraph" w:customStyle="1" w:styleId="Text2">
    <w:name w:val="Text 2"/>
    <w:basedOn w:val="Normal"/>
    <w:link w:val="Text2Char"/>
    <w:rsid w:val="00650E6F"/>
    <w:pPr>
      <w:tabs>
        <w:tab w:val="left" w:pos="2161"/>
      </w:tabs>
      <w:spacing w:after="240" w:line="240" w:lineRule="auto"/>
      <w:ind w:left="1202"/>
      <w:jc w:val="both"/>
    </w:pPr>
    <w:rPr>
      <w:rFonts w:ascii="Times New Roman" w:eastAsia="Times New Roman" w:hAnsi="Times New Roman" w:cs="Times New Roman"/>
      <w:color w:val="000000"/>
      <w:sz w:val="24"/>
      <w:szCs w:val="20"/>
      <w:lang w:eastAsia="sq-AL"/>
    </w:rPr>
  </w:style>
  <w:style w:type="paragraph" w:styleId="NormalIndent">
    <w:name w:val="Normal Indent"/>
    <w:basedOn w:val="Normal"/>
    <w:semiHidden/>
    <w:rsid w:val="00650E6F"/>
    <w:pPr>
      <w:spacing w:after="0" w:line="240" w:lineRule="auto"/>
      <w:ind w:left="720"/>
    </w:pPr>
    <w:rPr>
      <w:rFonts w:ascii="Arial" w:eastAsia="Times New Roman" w:hAnsi="Arial" w:cs="Times New Roman"/>
      <w:color w:val="000000"/>
      <w:sz w:val="24"/>
      <w:szCs w:val="20"/>
      <w:lang w:eastAsia="sq-AL"/>
    </w:rPr>
  </w:style>
  <w:style w:type="character" w:customStyle="1" w:styleId="Text1Char">
    <w:name w:val="Text 1 Char"/>
    <w:link w:val="Text1"/>
    <w:locked/>
    <w:rsid w:val="00650E6F"/>
    <w:rPr>
      <w:rFonts w:ascii="Times New Roman" w:eastAsia="Times New Roman" w:hAnsi="Times New Roman" w:cs="Times New Roman"/>
      <w:color w:val="000000"/>
      <w:sz w:val="24"/>
      <w:szCs w:val="20"/>
      <w:lang w:eastAsia="sq-AL"/>
    </w:rPr>
  </w:style>
  <w:style w:type="character" w:customStyle="1" w:styleId="Text2Char">
    <w:name w:val="Text 2 Char"/>
    <w:link w:val="Text2"/>
    <w:locked/>
    <w:rsid w:val="00650E6F"/>
    <w:rPr>
      <w:rFonts w:ascii="Times New Roman" w:eastAsia="Times New Roman" w:hAnsi="Times New Roman" w:cs="Times New Roman"/>
      <w:color w:val="000000"/>
      <w:sz w:val="24"/>
      <w:szCs w:val="20"/>
      <w:lang w:eastAsia="sq-AL"/>
    </w:rPr>
  </w:style>
  <w:style w:type="character" w:styleId="PageNumber">
    <w:name w:val="page number"/>
    <w:basedOn w:val="DefaultParagraphFont"/>
    <w:rsid w:val="00650E6F"/>
  </w:style>
  <w:style w:type="character" w:customStyle="1" w:styleId="FootnoteTextCharCharCharChar1">
    <w:name w:val="Footnote Text Char Char Char Char1"/>
    <w:aliases w:val="Footnote Text Char Char Char2,Fußnote Char1"/>
    <w:semiHidden/>
    <w:locked/>
    <w:rsid w:val="00650E6F"/>
    <w:rPr>
      <w:lang w:val="sq-AL" w:eastAsia="sq-AL"/>
    </w:rPr>
  </w:style>
  <w:style w:type="paragraph" w:customStyle="1" w:styleId="BVIfnr">
    <w:name w:val="BVI fnr"/>
    <w:aliases w:val=" BVI fnr Char,Appel note de bas de p.;BVI fnr Car Car Car Car, BVI fnr Car Car,BVI fnr Car, BVI fnr Car Car Car Car, BVI fnr Car Car Car Car Char"/>
    <w:basedOn w:val="Normal"/>
    <w:link w:val="FootnoteReference"/>
    <w:uiPriority w:val="99"/>
    <w:rsid w:val="00650E6F"/>
    <w:pPr>
      <w:spacing w:line="240" w:lineRule="exact"/>
    </w:pPr>
    <w:rPr>
      <w:rFonts w:cs="Times New Roman"/>
      <w:vertAlign w:val="superscript"/>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50E6F"/>
    <w:pPr>
      <w:numPr>
        <w:numId w:val="1"/>
      </w:numPr>
      <w:spacing w:before="120" w:after="120" w:line="240" w:lineRule="auto"/>
      <w:jc w:val="both"/>
    </w:pPr>
    <w:rPr>
      <w:rFonts w:ascii="Times New Roman" w:eastAsia="Times New Roman" w:hAnsi="Times New Roman" w:cs="Times New Roman"/>
      <w:sz w:val="24"/>
      <w:szCs w:val="24"/>
      <w:lang w:eastAsia="sq-AL"/>
    </w:rPr>
  </w:style>
  <w:style w:type="paragraph" w:customStyle="1" w:styleId="ListNumberLevel2">
    <w:name w:val="List Number (Level 2)"/>
    <w:basedOn w:val="Normal"/>
    <w:rsid w:val="00650E6F"/>
    <w:pPr>
      <w:numPr>
        <w:ilvl w:val="1"/>
        <w:numId w:val="1"/>
      </w:numPr>
      <w:spacing w:before="120" w:after="120" w:line="240" w:lineRule="auto"/>
      <w:jc w:val="both"/>
    </w:pPr>
    <w:rPr>
      <w:rFonts w:ascii="Times New Roman" w:eastAsia="Times New Roman" w:hAnsi="Times New Roman" w:cs="Times New Roman"/>
      <w:sz w:val="24"/>
      <w:szCs w:val="20"/>
      <w:lang w:eastAsia="sq-AL"/>
    </w:rPr>
  </w:style>
  <w:style w:type="paragraph" w:customStyle="1" w:styleId="ListNumberLevel3">
    <w:name w:val="List Number (Level 3)"/>
    <w:basedOn w:val="Normal"/>
    <w:rsid w:val="00650E6F"/>
    <w:pPr>
      <w:numPr>
        <w:ilvl w:val="2"/>
        <w:numId w:val="1"/>
      </w:numPr>
      <w:spacing w:before="120" w:after="120" w:line="240" w:lineRule="auto"/>
      <w:jc w:val="both"/>
    </w:pPr>
    <w:rPr>
      <w:rFonts w:ascii="Times New Roman" w:eastAsia="Times New Roman" w:hAnsi="Times New Roman" w:cs="Times New Roman"/>
      <w:sz w:val="24"/>
      <w:szCs w:val="20"/>
      <w:lang w:eastAsia="sq-AL"/>
    </w:rPr>
  </w:style>
  <w:style w:type="paragraph" w:customStyle="1" w:styleId="ListNumberLevel4">
    <w:name w:val="List Number (Level 4)"/>
    <w:basedOn w:val="Normal"/>
    <w:rsid w:val="00650E6F"/>
    <w:pPr>
      <w:numPr>
        <w:ilvl w:val="3"/>
        <w:numId w:val="1"/>
      </w:numPr>
      <w:spacing w:before="120" w:after="120" w:line="240" w:lineRule="auto"/>
      <w:jc w:val="both"/>
    </w:pPr>
    <w:rPr>
      <w:rFonts w:ascii="Times New Roman" w:eastAsia="Times New Roman" w:hAnsi="Times New Roman" w:cs="Times New Roman"/>
      <w:sz w:val="24"/>
      <w:szCs w:val="20"/>
      <w:lang w:eastAsia="sq-AL"/>
    </w:rPr>
  </w:style>
  <w:style w:type="paragraph" w:customStyle="1" w:styleId="AAAAAAAAAAATEX">
    <w:name w:val="AAAAAAAAAAATEX"/>
    <w:basedOn w:val="Normal"/>
    <w:qFormat/>
    <w:rsid w:val="00650E6F"/>
    <w:pPr>
      <w:spacing w:after="0" w:line="240" w:lineRule="auto"/>
      <w:ind w:firstLine="284"/>
      <w:jc w:val="both"/>
    </w:pPr>
    <w:rPr>
      <w:rFonts w:ascii="Garamond" w:eastAsia="Times New Roman" w:hAnsi="Garamond" w:cs="Times New Roman"/>
      <w:sz w:val="24"/>
      <w:szCs w:val="24"/>
      <w:lang w:eastAsia="sq-AL"/>
    </w:rPr>
  </w:style>
  <w:style w:type="character" w:customStyle="1" w:styleId="Heading2Char">
    <w:name w:val="Heading 2 Char"/>
    <w:basedOn w:val="DefaultParagraphFont"/>
    <w:link w:val="Heading2"/>
    <w:uiPriority w:val="9"/>
    <w:rsid w:val="00650E6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650E6F"/>
    <w:rPr>
      <w:rFonts w:asciiTheme="majorHAnsi" w:eastAsiaTheme="majorEastAsia" w:hAnsiTheme="majorHAnsi" w:cstheme="majorBidi"/>
      <w:b/>
      <w:bCs/>
      <w:color w:val="5B9BD5" w:themeColor="accent1"/>
    </w:rPr>
  </w:style>
  <w:style w:type="table" w:styleId="TableGrid">
    <w:name w:val="Table Grid"/>
    <w:basedOn w:val="TableNormal"/>
    <w:uiPriority w:val="59"/>
    <w:rsid w:val="00650E6F"/>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ATEX">
    <w:name w:val="AAAATEX"/>
    <w:basedOn w:val="Normal"/>
    <w:qFormat/>
    <w:rsid w:val="00650E6F"/>
    <w:pPr>
      <w:spacing w:after="0" w:line="240" w:lineRule="auto"/>
      <w:ind w:firstLine="284"/>
      <w:jc w:val="both"/>
    </w:pPr>
    <w:rPr>
      <w:rFonts w:ascii="Garamond" w:hAnsi="Garamond" w:cs="Tahoma"/>
      <w:sz w:val="24"/>
      <w:szCs w:val="24"/>
    </w:rPr>
  </w:style>
  <w:style w:type="paragraph" w:styleId="ListParagraph">
    <w:name w:val="List Paragraph"/>
    <w:basedOn w:val="Normal"/>
    <w:uiPriority w:val="34"/>
    <w:qFormat/>
    <w:rsid w:val="00650E6F"/>
    <w:pPr>
      <w:spacing w:after="200" w:line="276" w:lineRule="auto"/>
      <w:ind w:left="720"/>
      <w:contextualSpacing/>
    </w:pPr>
  </w:style>
  <w:style w:type="table" w:styleId="MediumGrid3-Accent1">
    <w:name w:val="Medium Grid 3 Accent 1"/>
    <w:basedOn w:val="TableNormal"/>
    <w:uiPriority w:val="69"/>
    <w:rsid w:val="00650E6F"/>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TableGrid1">
    <w:name w:val="Table Grid1"/>
    <w:basedOn w:val="TableNormal"/>
    <w:next w:val="TableGrid"/>
    <w:rsid w:val="00650E6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650E6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50E6F"/>
    <w:pPr>
      <w:spacing w:after="0" w:line="240" w:lineRule="auto"/>
    </w:pPr>
    <w:rPr>
      <w:rFonts w:ascii="Arial" w:hAnsi="Arial"/>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yperlink1">
    <w:name w:val="Hyperlink1"/>
    <w:basedOn w:val="Normal"/>
    <w:rsid w:val="00650E6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BodyText">
    <w:name w:val="Body Text"/>
    <w:basedOn w:val="Normal"/>
    <w:link w:val="BodyTextChar"/>
    <w:rsid w:val="00650E6F"/>
    <w:pPr>
      <w:suppressAutoHyphens/>
      <w:spacing w:after="240" w:line="240" w:lineRule="auto"/>
      <w:jc w:val="both"/>
    </w:pPr>
    <w:rPr>
      <w:rFonts w:ascii="Arial" w:eastAsia="Times New Roman" w:hAnsi="Arial" w:cs="Times New Roman"/>
      <w:sz w:val="24"/>
      <w:szCs w:val="24"/>
      <w:lang w:val="en-US" w:eastAsia="ar-SA"/>
    </w:rPr>
  </w:style>
  <w:style w:type="character" w:customStyle="1" w:styleId="BodyTextChar">
    <w:name w:val="Body Text Char"/>
    <w:basedOn w:val="DefaultParagraphFont"/>
    <w:link w:val="BodyText"/>
    <w:rsid w:val="00650E6F"/>
    <w:rPr>
      <w:rFonts w:ascii="Arial" w:eastAsia="Times New Roman" w:hAnsi="Arial" w:cs="Times New Roman"/>
      <w:sz w:val="24"/>
      <w:szCs w:val="24"/>
      <w:lang w:val="en-US" w:eastAsia="ar-SA"/>
    </w:rPr>
  </w:style>
  <w:style w:type="paragraph" w:styleId="NormalWeb">
    <w:name w:val="Normal (Web)"/>
    <w:basedOn w:val="Normal"/>
    <w:uiPriority w:val="99"/>
    <w:unhideWhenUsed/>
    <w:rsid w:val="00650E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diumGrid1-Accent21">
    <w:name w:val="Medium Grid 1 - Accent 21"/>
    <w:basedOn w:val="Normal"/>
    <w:uiPriority w:val="34"/>
    <w:qFormat/>
    <w:rsid w:val="00650E6F"/>
    <w:pPr>
      <w:spacing w:after="200" w:line="276" w:lineRule="auto"/>
      <w:ind w:left="720"/>
      <w:contextualSpacing/>
    </w:pPr>
    <w:rPr>
      <w:rFonts w:ascii="Calibri" w:eastAsia="Times New Roman" w:hAnsi="Calibri" w:cs="Times New Roman"/>
    </w:rPr>
  </w:style>
  <w:style w:type="paragraph" w:styleId="NoSpacing">
    <w:name w:val="No Spacing"/>
    <w:link w:val="NoSpacingChar"/>
    <w:uiPriority w:val="1"/>
    <w:qFormat/>
    <w:rsid w:val="00650E6F"/>
    <w:pPr>
      <w:suppressAutoHyphens/>
      <w:spacing w:after="0" w:line="240" w:lineRule="auto"/>
    </w:pPr>
    <w:rPr>
      <w:rFonts w:ascii="Calibri" w:eastAsia="MS Mincho" w:hAnsi="Calibri" w:cs="Arial"/>
      <w:lang w:val="en-US" w:eastAsia="ar-SA"/>
    </w:rPr>
  </w:style>
  <w:style w:type="character" w:customStyle="1" w:styleId="NoSpacingChar">
    <w:name w:val="No Spacing Char"/>
    <w:link w:val="NoSpacing"/>
    <w:uiPriority w:val="1"/>
    <w:rsid w:val="00650E6F"/>
    <w:rPr>
      <w:rFonts w:ascii="Calibri" w:eastAsia="MS Mincho" w:hAnsi="Calibri" w:cs="Arial"/>
      <w:lang w:val="en-US" w:eastAsia="ar-SA"/>
    </w:rPr>
  </w:style>
  <w:style w:type="table" w:styleId="MediumGrid1-Accent3">
    <w:name w:val="Medium Grid 1 Accent 3"/>
    <w:basedOn w:val="TableNormal"/>
    <w:uiPriority w:val="67"/>
    <w:rsid w:val="00650E6F"/>
    <w:pPr>
      <w:spacing w:after="0" w:line="240" w:lineRule="auto"/>
    </w:pPr>
    <w:rPr>
      <w:lang w:val="mk-MK"/>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TOC2">
    <w:name w:val="toc 2"/>
    <w:basedOn w:val="Normal"/>
    <w:next w:val="Normal"/>
    <w:autoRedefine/>
    <w:uiPriority w:val="39"/>
    <w:rsid w:val="00550DBF"/>
    <w:pPr>
      <w:tabs>
        <w:tab w:val="right" w:leader="dot" w:pos="9070"/>
      </w:tabs>
      <w:spacing w:after="0" w:line="240" w:lineRule="auto"/>
      <w:ind w:firstLine="284"/>
    </w:pPr>
    <w:rPr>
      <w:rFonts w:ascii="Garamond" w:eastAsia="Times New Roman" w:hAnsi="Garamond" w:cs="Times New Roman"/>
      <w:b/>
      <w:iCs/>
      <w:sz w:val="24"/>
      <w:szCs w:val="24"/>
      <w:lang w:eastAsia="sr-Latn-CS"/>
    </w:rPr>
  </w:style>
  <w:style w:type="paragraph" w:styleId="TOC3">
    <w:name w:val="toc 3"/>
    <w:basedOn w:val="Normal"/>
    <w:next w:val="Normal"/>
    <w:autoRedefine/>
    <w:uiPriority w:val="39"/>
    <w:rsid w:val="00650E6F"/>
    <w:pPr>
      <w:spacing w:after="0" w:line="240" w:lineRule="auto"/>
      <w:ind w:left="480"/>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uiPriority w:val="9"/>
    <w:qFormat/>
    <w:rsid w:val="00650E6F"/>
    <w:pPr>
      <w:keepNext/>
      <w:spacing w:before="240" w:after="240" w:line="240" w:lineRule="auto"/>
      <w:jc w:val="center"/>
      <w:outlineLvl w:val="0"/>
    </w:pPr>
    <w:rPr>
      <w:rFonts w:ascii="Times New Roman" w:eastAsia="Times New Roman" w:hAnsi="Times New Roman" w:cs="Times New Roman"/>
      <w:b/>
      <w:smallCaps/>
      <w:color w:val="000000"/>
      <w:sz w:val="32"/>
      <w:szCs w:val="20"/>
      <w:lang w:eastAsia="sq-AL"/>
    </w:rPr>
  </w:style>
  <w:style w:type="paragraph" w:styleId="Heading2">
    <w:name w:val="heading 2"/>
    <w:basedOn w:val="Normal"/>
    <w:next w:val="Normal"/>
    <w:link w:val="Heading2Char"/>
    <w:uiPriority w:val="9"/>
    <w:unhideWhenUsed/>
    <w:qFormat/>
    <w:rsid w:val="00650E6F"/>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650E6F"/>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OOTNOTES,fn,ft,single space,Geneva 9,f"/>
    <w:basedOn w:val="Normal"/>
    <w:link w:val="FootnoteTextChar"/>
    <w:uiPriority w:val="99"/>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FOOTNOTES Char,fn Char,f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
    <w:uiPriority w:val="99"/>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character" w:styleId="Hyperlink">
    <w:name w:val="Hyperlink"/>
    <w:basedOn w:val="DefaultParagraphFont"/>
    <w:uiPriority w:val="99"/>
    <w:unhideWhenUsed/>
    <w:rsid w:val="003D21B2"/>
    <w:rPr>
      <w:color w:val="0563C1" w:themeColor="hyperlink"/>
      <w:u w:val="single"/>
    </w:rPr>
  </w:style>
  <w:style w:type="character" w:customStyle="1" w:styleId="Heading1Char">
    <w:name w:val="Heading 1 Char"/>
    <w:basedOn w:val="DefaultParagraphFont"/>
    <w:link w:val="Heading1"/>
    <w:uiPriority w:val="9"/>
    <w:rsid w:val="00650E6F"/>
    <w:rPr>
      <w:rFonts w:ascii="Times New Roman" w:eastAsia="Times New Roman" w:hAnsi="Times New Roman" w:cs="Times New Roman"/>
      <w:b/>
      <w:smallCaps/>
      <w:color w:val="000000"/>
      <w:sz w:val="32"/>
      <w:szCs w:val="20"/>
      <w:lang w:eastAsia="sq-AL"/>
    </w:rPr>
  </w:style>
  <w:style w:type="paragraph" w:customStyle="1" w:styleId="Text1">
    <w:name w:val="Text 1"/>
    <w:basedOn w:val="Normal"/>
    <w:link w:val="Text1Char"/>
    <w:rsid w:val="00650E6F"/>
    <w:pPr>
      <w:spacing w:after="240" w:line="240" w:lineRule="auto"/>
      <w:ind w:left="482"/>
      <w:jc w:val="both"/>
    </w:pPr>
    <w:rPr>
      <w:rFonts w:ascii="Times New Roman" w:eastAsia="Times New Roman" w:hAnsi="Times New Roman" w:cs="Times New Roman"/>
      <w:color w:val="000000"/>
      <w:sz w:val="24"/>
      <w:szCs w:val="20"/>
      <w:lang w:eastAsia="sq-AL"/>
    </w:rPr>
  </w:style>
  <w:style w:type="paragraph" w:customStyle="1" w:styleId="Text2">
    <w:name w:val="Text 2"/>
    <w:basedOn w:val="Normal"/>
    <w:link w:val="Text2Char"/>
    <w:rsid w:val="00650E6F"/>
    <w:pPr>
      <w:tabs>
        <w:tab w:val="left" w:pos="2161"/>
      </w:tabs>
      <w:spacing w:after="240" w:line="240" w:lineRule="auto"/>
      <w:ind w:left="1202"/>
      <w:jc w:val="both"/>
    </w:pPr>
    <w:rPr>
      <w:rFonts w:ascii="Times New Roman" w:eastAsia="Times New Roman" w:hAnsi="Times New Roman" w:cs="Times New Roman"/>
      <w:color w:val="000000"/>
      <w:sz w:val="24"/>
      <w:szCs w:val="20"/>
      <w:lang w:eastAsia="sq-AL"/>
    </w:rPr>
  </w:style>
  <w:style w:type="paragraph" w:styleId="NormalIndent">
    <w:name w:val="Normal Indent"/>
    <w:basedOn w:val="Normal"/>
    <w:semiHidden/>
    <w:rsid w:val="00650E6F"/>
    <w:pPr>
      <w:spacing w:after="0" w:line="240" w:lineRule="auto"/>
      <w:ind w:left="720"/>
    </w:pPr>
    <w:rPr>
      <w:rFonts w:ascii="Arial" w:eastAsia="Times New Roman" w:hAnsi="Arial" w:cs="Times New Roman"/>
      <w:color w:val="000000"/>
      <w:sz w:val="24"/>
      <w:szCs w:val="20"/>
      <w:lang w:eastAsia="sq-AL"/>
    </w:rPr>
  </w:style>
  <w:style w:type="character" w:customStyle="1" w:styleId="Text1Char">
    <w:name w:val="Text 1 Char"/>
    <w:link w:val="Text1"/>
    <w:locked/>
    <w:rsid w:val="00650E6F"/>
    <w:rPr>
      <w:rFonts w:ascii="Times New Roman" w:eastAsia="Times New Roman" w:hAnsi="Times New Roman" w:cs="Times New Roman"/>
      <w:color w:val="000000"/>
      <w:sz w:val="24"/>
      <w:szCs w:val="20"/>
      <w:lang w:eastAsia="sq-AL"/>
    </w:rPr>
  </w:style>
  <w:style w:type="character" w:customStyle="1" w:styleId="Text2Char">
    <w:name w:val="Text 2 Char"/>
    <w:link w:val="Text2"/>
    <w:locked/>
    <w:rsid w:val="00650E6F"/>
    <w:rPr>
      <w:rFonts w:ascii="Times New Roman" w:eastAsia="Times New Roman" w:hAnsi="Times New Roman" w:cs="Times New Roman"/>
      <w:color w:val="000000"/>
      <w:sz w:val="24"/>
      <w:szCs w:val="20"/>
      <w:lang w:eastAsia="sq-AL"/>
    </w:rPr>
  </w:style>
  <w:style w:type="character" w:styleId="PageNumber">
    <w:name w:val="page number"/>
    <w:basedOn w:val="DefaultParagraphFont"/>
    <w:rsid w:val="00650E6F"/>
  </w:style>
  <w:style w:type="character" w:customStyle="1" w:styleId="FootnoteTextCharCharCharChar1">
    <w:name w:val="Footnote Text Char Char Char Char1"/>
    <w:aliases w:val="Footnote Text Char Char Char2,Fußnote Char1"/>
    <w:semiHidden/>
    <w:locked/>
    <w:rsid w:val="00650E6F"/>
    <w:rPr>
      <w:lang w:val="sq-AL" w:eastAsia="sq-AL"/>
    </w:rPr>
  </w:style>
  <w:style w:type="paragraph" w:customStyle="1" w:styleId="BVIfnr">
    <w:name w:val="BVI fnr"/>
    <w:aliases w:val=" BVI fnr Char,Appel note de bas de p.;BVI fnr Car Car Car Car, BVI fnr Car Car,BVI fnr Car, BVI fnr Car Car Car Car, BVI fnr Car Car Car Car Char"/>
    <w:basedOn w:val="Normal"/>
    <w:link w:val="FootnoteReference"/>
    <w:uiPriority w:val="99"/>
    <w:rsid w:val="00650E6F"/>
    <w:pPr>
      <w:spacing w:line="240" w:lineRule="exact"/>
    </w:pPr>
    <w:rPr>
      <w:rFonts w:cs="Times New Roman"/>
      <w:vertAlign w:val="superscript"/>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50E6F"/>
    <w:pPr>
      <w:numPr>
        <w:numId w:val="1"/>
      </w:numPr>
      <w:spacing w:before="120" w:after="120" w:line="240" w:lineRule="auto"/>
      <w:jc w:val="both"/>
    </w:pPr>
    <w:rPr>
      <w:rFonts w:ascii="Times New Roman" w:eastAsia="Times New Roman" w:hAnsi="Times New Roman" w:cs="Times New Roman"/>
      <w:sz w:val="24"/>
      <w:szCs w:val="24"/>
      <w:lang w:eastAsia="sq-AL"/>
    </w:rPr>
  </w:style>
  <w:style w:type="paragraph" w:customStyle="1" w:styleId="ListNumberLevel2">
    <w:name w:val="List Number (Level 2)"/>
    <w:basedOn w:val="Normal"/>
    <w:rsid w:val="00650E6F"/>
    <w:pPr>
      <w:numPr>
        <w:ilvl w:val="1"/>
        <w:numId w:val="1"/>
      </w:numPr>
      <w:spacing w:before="120" w:after="120" w:line="240" w:lineRule="auto"/>
      <w:jc w:val="both"/>
    </w:pPr>
    <w:rPr>
      <w:rFonts w:ascii="Times New Roman" w:eastAsia="Times New Roman" w:hAnsi="Times New Roman" w:cs="Times New Roman"/>
      <w:sz w:val="24"/>
      <w:szCs w:val="20"/>
      <w:lang w:eastAsia="sq-AL"/>
    </w:rPr>
  </w:style>
  <w:style w:type="paragraph" w:customStyle="1" w:styleId="ListNumberLevel3">
    <w:name w:val="List Number (Level 3)"/>
    <w:basedOn w:val="Normal"/>
    <w:rsid w:val="00650E6F"/>
    <w:pPr>
      <w:numPr>
        <w:ilvl w:val="2"/>
        <w:numId w:val="1"/>
      </w:numPr>
      <w:spacing w:before="120" w:after="120" w:line="240" w:lineRule="auto"/>
      <w:jc w:val="both"/>
    </w:pPr>
    <w:rPr>
      <w:rFonts w:ascii="Times New Roman" w:eastAsia="Times New Roman" w:hAnsi="Times New Roman" w:cs="Times New Roman"/>
      <w:sz w:val="24"/>
      <w:szCs w:val="20"/>
      <w:lang w:eastAsia="sq-AL"/>
    </w:rPr>
  </w:style>
  <w:style w:type="paragraph" w:customStyle="1" w:styleId="ListNumberLevel4">
    <w:name w:val="List Number (Level 4)"/>
    <w:basedOn w:val="Normal"/>
    <w:rsid w:val="00650E6F"/>
    <w:pPr>
      <w:numPr>
        <w:ilvl w:val="3"/>
        <w:numId w:val="1"/>
      </w:numPr>
      <w:spacing w:before="120" w:after="120" w:line="240" w:lineRule="auto"/>
      <w:jc w:val="both"/>
    </w:pPr>
    <w:rPr>
      <w:rFonts w:ascii="Times New Roman" w:eastAsia="Times New Roman" w:hAnsi="Times New Roman" w:cs="Times New Roman"/>
      <w:sz w:val="24"/>
      <w:szCs w:val="20"/>
      <w:lang w:eastAsia="sq-AL"/>
    </w:rPr>
  </w:style>
  <w:style w:type="paragraph" w:customStyle="1" w:styleId="AAAAAAAAAAATEX">
    <w:name w:val="AAAAAAAAAAATEX"/>
    <w:basedOn w:val="Normal"/>
    <w:qFormat/>
    <w:rsid w:val="00650E6F"/>
    <w:pPr>
      <w:spacing w:after="0" w:line="240" w:lineRule="auto"/>
      <w:ind w:firstLine="284"/>
      <w:jc w:val="both"/>
    </w:pPr>
    <w:rPr>
      <w:rFonts w:ascii="Garamond" w:eastAsia="Times New Roman" w:hAnsi="Garamond" w:cs="Times New Roman"/>
      <w:sz w:val="24"/>
      <w:szCs w:val="24"/>
      <w:lang w:eastAsia="sq-AL"/>
    </w:rPr>
  </w:style>
  <w:style w:type="character" w:customStyle="1" w:styleId="Heading2Char">
    <w:name w:val="Heading 2 Char"/>
    <w:basedOn w:val="DefaultParagraphFont"/>
    <w:link w:val="Heading2"/>
    <w:uiPriority w:val="9"/>
    <w:rsid w:val="00650E6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650E6F"/>
    <w:rPr>
      <w:rFonts w:asciiTheme="majorHAnsi" w:eastAsiaTheme="majorEastAsia" w:hAnsiTheme="majorHAnsi" w:cstheme="majorBidi"/>
      <w:b/>
      <w:bCs/>
      <w:color w:val="5B9BD5" w:themeColor="accent1"/>
    </w:rPr>
  </w:style>
  <w:style w:type="table" w:styleId="TableGrid">
    <w:name w:val="Table Grid"/>
    <w:basedOn w:val="TableNormal"/>
    <w:uiPriority w:val="59"/>
    <w:rsid w:val="00650E6F"/>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ATEX">
    <w:name w:val="AAAATEX"/>
    <w:basedOn w:val="Normal"/>
    <w:qFormat/>
    <w:rsid w:val="00650E6F"/>
    <w:pPr>
      <w:spacing w:after="0" w:line="240" w:lineRule="auto"/>
      <w:ind w:firstLine="284"/>
      <w:jc w:val="both"/>
    </w:pPr>
    <w:rPr>
      <w:rFonts w:ascii="Garamond" w:hAnsi="Garamond" w:cs="Tahoma"/>
      <w:sz w:val="24"/>
      <w:szCs w:val="24"/>
    </w:rPr>
  </w:style>
  <w:style w:type="paragraph" w:styleId="ListParagraph">
    <w:name w:val="List Paragraph"/>
    <w:basedOn w:val="Normal"/>
    <w:uiPriority w:val="34"/>
    <w:qFormat/>
    <w:rsid w:val="00650E6F"/>
    <w:pPr>
      <w:spacing w:after="200" w:line="276" w:lineRule="auto"/>
      <w:ind w:left="720"/>
      <w:contextualSpacing/>
    </w:pPr>
  </w:style>
  <w:style w:type="table" w:styleId="MediumGrid3-Accent1">
    <w:name w:val="Medium Grid 3 Accent 1"/>
    <w:basedOn w:val="TableNormal"/>
    <w:uiPriority w:val="69"/>
    <w:rsid w:val="00650E6F"/>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TableGrid1">
    <w:name w:val="Table Grid1"/>
    <w:basedOn w:val="TableNormal"/>
    <w:next w:val="TableGrid"/>
    <w:rsid w:val="00650E6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650E6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50E6F"/>
    <w:pPr>
      <w:spacing w:after="0" w:line="240" w:lineRule="auto"/>
    </w:pPr>
    <w:rPr>
      <w:rFonts w:ascii="Arial" w:hAnsi="Arial"/>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yperlink1">
    <w:name w:val="Hyperlink1"/>
    <w:basedOn w:val="Normal"/>
    <w:rsid w:val="00650E6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BodyText">
    <w:name w:val="Body Text"/>
    <w:basedOn w:val="Normal"/>
    <w:link w:val="BodyTextChar"/>
    <w:rsid w:val="00650E6F"/>
    <w:pPr>
      <w:suppressAutoHyphens/>
      <w:spacing w:after="240" w:line="240" w:lineRule="auto"/>
      <w:jc w:val="both"/>
    </w:pPr>
    <w:rPr>
      <w:rFonts w:ascii="Arial" w:eastAsia="Times New Roman" w:hAnsi="Arial" w:cs="Times New Roman"/>
      <w:sz w:val="24"/>
      <w:szCs w:val="24"/>
      <w:lang w:val="en-US" w:eastAsia="ar-SA"/>
    </w:rPr>
  </w:style>
  <w:style w:type="character" w:customStyle="1" w:styleId="BodyTextChar">
    <w:name w:val="Body Text Char"/>
    <w:basedOn w:val="DefaultParagraphFont"/>
    <w:link w:val="BodyText"/>
    <w:rsid w:val="00650E6F"/>
    <w:rPr>
      <w:rFonts w:ascii="Arial" w:eastAsia="Times New Roman" w:hAnsi="Arial" w:cs="Times New Roman"/>
      <w:sz w:val="24"/>
      <w:szCs w:val="24"/>
      <w:lang w:val="en-US" w:eastAsia="ar-SA"/>
    </w:rPr>
  </w:style>
  <w:style w:type="paragraph" w:styleId="NormalWeb">
    <w:name w:val="Normal (Web)"/>
    <w:basedOn w:val="Normal"/>
    <w:uiPriority w:val="99"/>
    <w:unhideWhenUsed/>
    <w:rsid w:val="00650E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diumGrid1-Accent21">
    <w:name w:val="Medium Grid 1 - Accent 21"/>
    <w:basedOn w:val="Normal"/>
    <w:uiPriority w:val="34"/>
    <w:qFormat/>
    <w:rsid w:val="00650E6F"/>
    <w:pPr>
      <w:spacing w:after="200" w:line="276" w:lineRule="auto"/>
      <w:ind w:left="720"/>
      <w:contextualSpacing/>
    </w:pPr>
    <w:rPr>
      <w:rFonts w:ascii="Calibri" w:eastAsia="Times New Roman" w:hAnsi="Calibri" w:cs="Times New Roman"/>
    </w:rPr>
  </w:style>
  <w:style w:type="paragraph" w:styleId="NoSpacing">
    <w:name w:val="No Spacing"/>
    <w:link w:val="NoSpacingChar"/>
    <w:uiPriority w:val="1"/>
    <w:qFormat/>
    <w:rsid w:val="00650E6F"/>
    <w:pPr>
      <w:suppressAutoHyphens/>
      <w:spacing w:after="0" w:line="240" w:lineRule="auto"/>
    </w:pPr>
    <w:rPr>
      <w:rFonts w:ascii="Calibri" w:eastAsia="MS Mincho" w:hAnsi="Calibri" w:cs="Arial"/>
      <w:lang w:val="en-US" w:eastAsia="ar-SA"/>
    </w:rPr>
  </w:style>
  <w:style w:type="character" w:customStyle="1" w:styleId="NoSpacingChar">
    <w:name w:val="No Spacing Char"/>
    <w:link w:val="NoSpacing"/>
    <w:uiPriority w:val="1"/>
    <w:rsid w:val="00650E6F"/>
    <w:rPr>
      <w:rFonts w:ascii="Calibri" w:eastAsia="MS Mincho" w:hAnsi="Calibri" w:cs="Arial"/>
      <w:lang w:val="en-US" w:eastAsia="ar-SA"/>
    </w:rPr>
  </w:style>
  <w:style w:type="table" w:styleId="MediumGrid1-Accent3">
    <w:name w:val="Medium Grid 1 Accent 3"/>
    <w:basedOn w:val="TableNormal"/>
    <w:uiPriority w:val="67"/>
    <w:rsid w:val="00650E6F"/>
    <w:pPr>
      <w:spacing w:after="0" w:line="240" w:lineRule="auto"/>
    </w:pPr>
    <w:rPr>
      <w:lang w:val="mk-MK"/>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TOC2">
    <w:name w:val="toc 2"/>
    <w:basedOn w:val="Normal"/>
    <w:next w:val="Normal"/>
    <w:autoRedefine/>
    <w:uiPriority w:val="39"/>
    <w:rsid w:val="00550DBF"/>
    <w:pPr>
      <w:tabs>
        <w:tab w:val="right" w:leader="dot" w:pos="9070"/>
      </w:tabs>
      <w:spacing w:after="0" w:line="240" w:lineRule="auto"/>
      <w:ind w:firstLine="284"/>
    </w:pPr>
    <w:rPr>
      <w:rFonts w:ascii="Garamond" w:eastAsia="Times New Roman" w:hAnsi="Garamond" w:cs="Times New Roman"/>
      <w:b/>
      <w:iCs/>
      <w:sz w:val="24"/>
      <w:szCs w:val="24"/>
      <w:lang w:eastAsia="sr-Latn-CS"/>
    </w:rPr>
  </w:style>
  <w:style w:type="paragraph" w:styleId="TOC3">
    <w:name w:val="toc 3"/>
    <w:basedOn w:val="Normal"/>
    <w:next w:val="Normal"/>
    <w:autoRedefine/>
    <w:uiPriority w:val="39"/>
    <w:rsid w:val="00650E6F"/>
    <w:pPr>
      <w:spacing w:after="0" w:line="240" w:lineRule="auto"/>
      <w:ind w:left="480"/>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stat.gov.mk/prikaziPublikacija_1.aspx?rbr=48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hart" Target="charts/chart2.xml"/><Relationship Id="rId5" Type="http://schemas.openxmlformats.org/officeDocument/2006/relationships/customXml" Target="../customXml/item5.xml"/><Relationship Id="rId15" Type="http://schemas.openxmlformats.org/officeDocument/2006/relationships/hyperlink" Target="mailto:Blerina.Naska@financa.gov.al" TargetMode="External"/><Relationship Id="rId23" Type="http://schemas.openxmlformats.org/officeDocument/2006/relationships/chart" Target="charts/chart1.xml"/><Relationship Id="rId10" Type="http://schemas.openxmlformats.org/officeDocument/2006/relationships/settings" Target="settings.xml"/><Relationship Id="rId19" Type="http://schemas.openxmlformats.org/officeDocument/2006/relationships/image" Target="media/image2.jpe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info@mfa.gov.al" TargetMode="External"/><Relationship Id="rId22" Type="http://schemas.microsoft.com/office/2007/relationships/hdphoto" Target="media/hdphoto1.wdp"/><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eas.europa.eu/headquarters/headquarters-homepage/8442/consolidated-list-sanctions_en"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omasz\Documents\CBC%20Macedonia%20-%20Albania\Data%20collection\Useful%20Tab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masz\Documents\CBC%20Macedonia%20-%20Albania\Data%20collection\Useful%20Tab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masz\Documents\CBC%20Macedonia%20-%20Albania\Data%20collection\Useful%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barChart>
        <c:barDir val="bar"/>
        <c:grouping val="percentStacked"/>
        <c:varyColors val="0"/>
        <c:ser>
          <c:idx val="0"/>
          <c:order val="0"/>
          <c:tx>
            <c:strRef>
              <c:f>Sheet2!$D$6</c:f>
              <c:strCache>
                <c:ptCount val="1"/>
                <c:pt idx="0">
                  <c:v>Agriculture, forestry, fishing</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Sheet2!$D$7:$D$14</c:f>
              <c:numCache>
                <c:formatCode>0%</c:formatCode>
                <c:ptCount val="8"/>
                <c:pt idx="0">
                  <c:v>0.10908517067933761</c:v>
                </c:pt>
                <c:pt idx="1">
                  <c:v>0.16837403088288994</c:v>
                </c:pt>
                <c:pt idx="2">
                  <c:v>0.16917498973867831</c:v>
                </c:pt>
                <c:pt idx="3">
                  <c:v>7.9415037354951604E-2</c:v>
                </c:pt>
                <c:pt idx="4">
                  <c:v>0.19000000000000006</c:v>
                </c:pt>
                <c:pt idx="5">
                  <c:v>0.34000000000000019</c:v>
                </c:pt>
                <c:pt idx="6">
                  <c:v>0.26</c:v>
                </c:pt>
                <c:pt idx="7">
                  <c:v>0.32000000000000017</c:v>
                </c:pt>
              </c:numCache>
            </c:numRef>
          </c:val>
          <c:extLst xmlns:c16r2="http://schemas.microsoft.com/office/drawing/2015/06/chart">
            <c:ext xmlns:c16="http://schemas.microsoft.com/office/drawing/2014/chart" uri="{C3380CC4-5D6E-409C-BE32-E72D297353CC}">
              <c16:uniqueId val="{00000000-759F-46D6-B7E1-062714A83C7E}"/>
            </c:ext>
          </c:extLst>
        </c:ser>
        <c:ser>
          <c:idx val="1"/>
          <c:order val="1"/>
          <c:tx>
            <c:strRef>
              <c:f>Sheet2!$E$6</c:f>
              <c:strCache>
                <c:ptCount val="1"/>
                <c:pt idx="0">
                  <c:v>Industry</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Sheet2!$E$7:$E$14</c:f>
              <c:numCache>
                <c:formatCode>0%</c:formatCode>
                <c:ptCount val="8"/>
                <c:pt idx="0">
                  <c:v>0.21632636831746174</c:v>
                </c:pt>
                <c:pt idx="1">
                  <c:v>0.3514163606296849</c:v>
                </c:pt>
                <c:pt idx="2">
                  <c:v>0.15580106717745254</c:v>
                </c:pt>
                <c:pt idx="3">
                  <c:v>0.21599109839453198</c:v>
                </c:pt>
                <c:pt idx="4">
                  <c:v>0.12000000000000002</c:v>
                </c:pt>
                <c:pt idx="5">
                  <c:v>0.13</c:v>
                </c:pt>
                <c:pt idx="6">
                  <c:v>0.2</c:v>
                </c:pt>
                <c:pt idx="7">
                  <c:v>0.19000000000000006</c:v>
                </c:pt>
              </c:numCache>
            </c:numRef>
          </c:val>
          <c:extLst xmlns:c16r2="http://schemas.microsoft.com/office/drawing/2015/06/chart">
            <c:ext xmlns:c16="http://schemas.microsoft.com/office/drawing/2014/chart" uri="{C3380CC4-5D6E-409C-BE32-E72D297353CC}">
              <c16:uniqueId val="{00000001-759F-46D6-B7E1-062714A83C7E}"/>
            </c:ext>
          </c:extLst>
        </c:ser>
        <c:ser>
          <c:idx val="2"/>
          <c:order val="2"/>
          <c:tx>
            <c:strRef>
              <c:f>Sheet2!$F$6</c:f>
              <c:strCache>
                <c:ptCount val="1"/>
                <c:pt idx="0">
                  <c:v>Construction</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Sheet2!$F$7:$F$14</c:f>
              <c:numCache>
                <c:formatCode>0%</c:formatCode>
                <c:ptCount val="8"/>
                <c:pt idx="0">
                  <c:v>7.4365295532714426E-2</c:v>
                </c:pt>
                <c:pt idx="1">
                  <c:v>6.7929471898288393E-2</c:v>
                </c:pt>
                <c:pt idx="2">
                  <c:v>7.258174852921058E-2</c:v>
                </c:pt>
                <c:pt idx="3">
                  <c:v>8.9143220473692636E-2</c:v>
                </c:pt>
                <c:pt idx="4">
                  <c:v>0.11000000000000003</c:v>
                </c:pt>
                <c:pt idx="5">
                  <c:v>4.0000000000000022E-2</c:v>
                </c:pt>
                <c:pt idx="6">
                  <c:v>5.0000000000000024E-2</c:v>
                </c:pt>
                <c:pt idx="7">
                  <c:v>5.0000000000000024E-2</c:v>
                </c:pt>
              </c:numCache>
            </c:numRef>
          </c:val>
          <c:extLst xmlns:c16r2="http://schemas.microsoft.com/office/drawing/2015/06/chart">
            <c:ext xmlns:c16="http://schemas.microsoft.com/office/drawing/2014/chart" uri="{C3380CC4-5D6E-409C-BE32-E72D297353CC}">
              <c16:uniqueId val="{00000002-759F-46D6-B7E1-062714A83C7E}"/>
            </c:ext>
          </c:extLst>
        </c:ser>
        <c:ser>
          <c:idx val="3"/>
          <c:order val="3"/>
          <c:tx>
            <c:strRef>
              <c:f>Sheet2!$G$6</c:f>
              <c:strCache>
                <c:ptCount val="1"/>
                <c:pt idx="0">
                  <c:v>Wholesale and retail market</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Sheet2!$G$7:$G$14</c:f>
              <c:numCache>
                <c:formatCode>0%</c:formatCode>
                <c:ptCount val="8"/>
                <c:pt idx="0">
                  <c:v>0.20705183005626368</c:v>
                </c:pt>
                <c:pt idx="1">
                  <c:v>0.13570860984043132</c:v>
                </c:pt>
                <c:pt idx="2">
                  <c:v>0.19749623751539228</c:v>
                </c:pt>
                <c:pt idx="3">
                  <c:v>0.23900810681926576</c:v>
                </c:pt>
                <c:pt idx="4">
                  <c:v>0.31000000000000016</c:v>
                </c:pt>
                <c:pt idx="5">
                  <c:v>0.18000000000000008</c:v>
                </c:pt>
                <c:pt idx="6">
                  <c:v>0.28000000000000008</c:v>
                </c:pt>
                <c:pt idx="7">
                  <c:v>0.18000000000000008</c:v>
                </c:pt>
              </c:numCache>
            </c:numRef>
          </c:val>
          <c:extLst xmlns:c16r2="http://schemas.microsoft.com/office/drawing/2015/06/chart">
            <c:ext xmlns:c16="http://schemas.microsoft.com/office/drawing/2014/chart" uri="{C3380CC4-5D6E-409C-BE32-E72D297353CC}">
              <c16:uniqueId val="{00000003-759F-46D6-B7E1-062714A83C7E}"/>
            </c:ext>
          </c:extLst>
        </c:ser>
        <c:ser>
          <c:idx val="4"/>
          <c:order val="4"/>
          <c:tx>
            <c:strRef>
              <c:f>Sheet2!$H$6</c:f>
              <c:strCache>
                <c:ptCount val="1"/>
                <c:pt idx="0">
                  <c:v>Financial, real estate</c:v>
                </c:pt>
              </c:strCache>
            </c:strRef>
          </c:tx>
          <c:invertIfNegative val="0"/>
          <c:dLbls>
            <c:spPr>
              <a:noFill/>
              <a:ln>
                <a:noFill/>
              </a:ln>
              <a:effectLst/>
            </c:spPr>
            <c:txPr>
              <a:bodyPr/>
              <a:lstStyle/>
              <a:p>
                <a:pPr>
                  <a:defRPr lang="en-US">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Sheet2!$H$7:$H$14</c:f>
              <c:numCache>
                <c:formatCode>0%</c:formatCode>
                <c:ptCount val="8"/>
                <c:pt idx="0">
                  <c:v>0.10589176723195301</c:v>
                </c:pt>
                <c:pt idx="1">
                  <c:v>8.80312694628783E-2</c:v>
                </c:pt>
                <c:pt idx="2">
                  <c:v>0.14088794636749227</c:v>
                </c:pt>
                <c:pt idx="3">
                  <c:v>0.1377523446192975</c:v>
                </c:pt>
                <c:pt idx="4">
                  <c:v>0.14000000000000001</c:v>
                </c:pt>
                <c:pt idx="5">
                  <c:v>0.17</c:v>
                </c:pt>
                <c:pt idx="6">
                  <c:v>0.1</c:v>
                </c:pt>
                <c:pt idx="7">
                  <c:v>0.14000000000000001</c:v>
                </c:pt>
              </c:numCache>
            </c:numRef>
          </c:val>
          <c:extLst xmlns:c16r2="http://schemas.microsoft.com/office/drawing/2015/06/chart">
            <c:ext xmlns:c16="http://schemas.microsoft.com/office/drawing/2014/chart" uri="{C3380CC4-5D6E-409C-BE32-E72D297353CC}">
              <c16:uniqueId val="{00000004-759F-46D6-B7E1-062714A83C7E}"/>
            </c:ext>
          </c:extLst>
        </c:ser>
        <c:ser>
          <c:idx val="5"/>
          <c:order val="5"/>
          <c:tx>
            <c:strRef>
              <c:f>Sheet2!$I$6</c:f>
              <c:strCache>
                <c:ptCount val="1"/>
                <c:pt idx="0">
                  <c:v>Other services</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Sheet2!$I$7:$I$14</c:f>
              <c:numCache>
                <c:formatCode>0%</c:formatCode>
                <c:ptCount val="8"/>
                <c:pt idx="0">
                  <c:v>0.29000000000000015</c:v>
                </c:pt>
                <c:pt idx="1">
                  <c:v>0.19000000000000006</c:v>
                </c:pt>
                <c:pt idx="2">
                  <c:v>0.26</c:v>
                </c:pt>
                <c:pt idx="3">
                  <c:v>0.24000000000000007</c:v>
                </c:pt>
                <c:pt idx="4">
                  <c:v>0.13</c:v>
                </c:pt>
                <c:pt idx="5">
                  <c:v>0.15000000000000008</c:v>
                </c:pt>
                <c:pt idx="6">
                  <c:v>0.11000000000000003</c:v>
                </c:pt>
                <c:pt idx="7">
                  <c:v>0.13</c:v>
                </c:pt>
              </c:numCache>
            </c:numRef>
          </c:val>
          <c:extLst xmlns:c16r2="http://schemas.microsoft.com/office/drawing/2015/06/chart">
            <c:ext xmlns:c16="http://schemas.microsoft.com/office/drawing/2014/chart" uri="{C3380CC4-5D6E-409C-BE32-E72D297353CC}">
              <c16:uniqueId val="{00000005-759F-46D6-B7E1-062714A83C7E}"/>
            </c:ext>
          </c:extLst>
        </c:ser>
        <c:dLbls>
          <c:showLegendKey val="0"/>
          <c:showVal val="0"/>
          <c:showCatName val="0"/>
          <c:showSerName val="0"/>
          <c:showPercent val="0"/>
          <c:showBubbleSize val="0"/>
        </c:dLbls>
        <c:gapWidth val="150"/>
        <c:overlap val="100"/>
        <c:axId val="196565504"/>
        <c:axId val="188886976"/>
      </c:barChart>
      <c:catAx>
        <c:axId val="196565504"/>
        <c:scaling>
          <c:orientation val="minMax"/>
        </c:scaling>
        <c:delete val="0"/>
        <c:axPos val="l"/>
        <c:numFmt formatCode="General" sourceLinked="0"/>
        <c:majorTickMark val="out"/>
        <c:minorTickMark val="none"/>
        <c:tickLblPos val="nextTo"/>
        <c:txPr>
          <a:bodyPr/>
          <a:lstStyle/>
          <a:p>
            <a:pPr>
              <a:defRPr lang="en-US" sz="900">
                <a:latin typeface="Tahoma" panose="020B0604030504040204" pitchFamily="34" charset="0"/>
                <a:ea typeface="Tahoma" panose="020B0604030504040204" pitchFamily="34" charset="0"/>
                <a:cs typeface="Tahoma" panose="020B0604030504040204" pitchFamily="34" charset="0"/>
              </a:defRPr>
            </a:pPr>
            <a:endParaRPr lang="en-US"/>
          </a:p>
        </c:txPr>
        <c:crossAx val="188886976"/>
        <c:crosses val="autoZero"/>
        <c:auto val="1"/>
        <c:lblAlgn val="ctr"/>
        <c:lblOffset val="100"/>
        <c:noMultiLvlLbl val="0"/>
      </c:catAx>
      <c:valAx>
        <c:axId val="188886976"/>
        <c:scaling>
          <c:orientation val="minMax"/>
        </c:scaling>
        <c:delete val="0"/>
        <c:axPos val="b"/>
        <c:majorGridlines/>
        <c:numFmt formatCode="0%" sourceLinked="1"/>
        <c:majorTickMark val="out"/>
        <c:minorTickMark val="none"/>
        <c:tickLblPos val="nextTo"/>
        <c:txPr>
          <a:bodyPr/>
          <a:lstStyle/>
          <a:p>
            <a:pPr>
              <a:defRPr lang="en-US"/>
            </a:pPr>
            <a:endParaRPr lang="en-US"/>
          </a:p>
        </c:txPr>
        <c:crossAx val="196565504"/>
        <c:crosses val="autoZero"/>
        <c:crossBetween val="between"/>
      </c:valAx>
    </c:plotArea>
    <c:legend>
      <c:legendPos val="b"/>
      <c:layout>
        <c:manualLayout>
          <c:xMode val="edge"/>
          <c:yMode val="edge"/>
          <c:x val="0.17558256304918407"/>
          <c:y val="0.76496229512096459"/>
          <c:w val="0.68506675795960281"/>
          <c:h val="0.21086852058900493"/>
        </c:manualLayout>
      </c:layout>
      <c:overlay val="0"/>
      <c:txPr>
        <a:bodyPr/>
        <a:lstStyle/>
        <a:p>
          <a:pPr>
            <a:defRPr lang="en-US" sz="1000">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tx>
                <c:rich>
                  <a:bodyPr/>
                  <a:lstStyle/>
                  <a:p>
                    <a:r>
                      <a:rPr lang="en-US"/>
                      <a:t>Pellagoni
39%</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DD33-4047-BEE5-2379828BD15B}"/>
                </c:ext>
                <c:ext xmlns:c15="http://schemas.microsoft.com/office/drawing/2012/chart" uri="{CE6537A1-D6FC-4f65-9D91-7224C49458BB}">
                  <c15:layout/>
                </c:ext>
              </c:extLst>
            </c:dLbl>
            <c:dLbl>
              <c:idx val="1"/>
              <c:layout/>
              <c:tx>
                <c:rich>
                  <a:bodyPr/>
                  <a:lstStyle/>
                  <a:p>
                    <a:r>
                      <a:rPr lang="en-US"/>
                      <a:t>Pollog
31%</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D33-4047-BEE5-2379828BD15B}"/>
                </c:ext>
                <c:ext xmlns:c15="http://schemas.microsoft.com/office/drawing/2012/chart" uri="{CE6537A1-D6FC-4f65-9D91-7224C49458BB}">
                  <c15:layout/>
                </c:ext>
              </c:extLst>
            </c:dLbl>
            <c:dLbl>
              <c:idx val="2"/>
              <c:layout>
                <c:manualLayout>
                  <c:x val="0.22982176008486743"/>
                  <c:y val="0.10833750046647013"/>
                </c:manualLayout>
              </c:layout>
              <c:tx>
                <c:rich>
                  <a:bodyPr/>
                  <a:lstStyle/>
                  <a:p>
                    <a:r>
                      <a:rPr lang="en-US"/>
                      <a:t>Jug perëndim
30%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DD33-4047-BEE5-2379828BD15B}"/>
                </c:ext>
                <c:ext xmlns:c15="http://schemas.microsoft.com/office/drawing/2012/chart" uri="{CE6537A1-D6FC-4f65-9D91-7224C49458BB}">
                  <c15:layout/>
                </c:ext>
              </c:extLst>
            </c:dLbl>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Sheet3!$B$9:$B$11</c:f>
              <c:strCache>
                <c:ptCount val="3"/>
                <c:pt idx="0">
                  <c:v>Pelagonia</c:v>
                </c:pt>
                <c:pt idx="1">
                  <c:v>Polog</c:v>
                </c:pt>
                <c:pt idx="2">
                  <c:v>Southwest</c:v>
                </c:pt>
              </c:strCache>
            </c:strRef>
          </c:cat>
          <c:val>
            <c:numRef>
              <c:f>Sheet3!$C$9:$C$11</c:f>
              <c:numCache>
                <c:formatCode>0%</c:formatCode>
                <c:ptCount val="3"/>
                <c:pt idx="0">
                  <c:v>0.39000000000000018</c:v>
                </c:pt>
                <c:pt idx="1">
                  <c:v>0.31000000000000016</c:v>
                </c:pt>
                <c:pt idx="2">
                  <c:v>0.30000000000000016</c:v>
                </c:pt>
              </c:numCache>
            </c:numRef>
          </c:val>
          <c:extLst xmlns:c16r2="http://schemas.microsoft.com/office/drawing/2015/06/chart">
            <c:ext xmlns:c16="http://schemas.microsoft.com/office/drawing/2014/chart" uri="{C3380CC4-5D6E-409C-BE32-E72D297353CC}">
              <c16:uniqueId val="{00000003-DD33-4047-BEE5-2379828BD15B}"/>
            </c:ext>
          </c:extLst>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manualLayout>
                  <c:x val="-6.3508646785005535E-2"/>
                  <c:y val="0.12798161423851853"/>
                </c:manualLayout>
              </c:layout>
              <c:tx>
                <c:rich>
                  <a:bodyPr/>
                  <a:lstStyle/>
                  <a:p>
                    <a:r>
                      <a:rPr lang="en-US"/>
                      <a:t>Dibër
8%</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4303-40B6-AC0C-85E3D8B94641}"/>
                </c:ext>
                <c:ext xmlns:c15="http://schemas.microsoft.com/office/drawing/2012/chart" uri="{CE6537A1-D6FC-4f65-9D91-7224C49458BB}">
                  <c15:layout/>
                </c:ext>
              </c:extLst>
            </c:dLbl>
            <c:dLbl>
              <c:idx val="2"/>
              <c:layout/>
              <c:tx>
                <c:rich>
                  <a:bodyPr/>
                  <a:lstStyle/>
                  <a:p>
                    <a:r>
                      <a:rPr lang="en-US"/>
                      <a:t>Korçë
53%</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4303-40B6-AC0C-85E3D8B94641}"/>
                </c:ext>
                <c:ext xmlns:c15="http://schemas.microsoft.com/office/drawing/2012/chart" uri="{CE6537A1-D6FC-4f65-9D91-7224C49458BB}">
                  <c15:layout/>
                </c:ext>
              </c:extLst>
            </c:dLbl>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Sheet3!$B$13:$B$15</c:f>
              <c:strCache>
                <c:ptCount val="3"/>
                <c:pt idx="0">
                  <c:v>Diber</c:v>
                </c:pt>
                <c:pt idx="1">
                  <c:v>Elbasan</c:v>
                </c:pt>
                <c:pt idx="2">
                  <c:v>Korca</c:v>
                </c:pt>
              </c:strCache>
            </c:strRef>
          </c:cat>
          <c:val>
            <c:numRef>
              <c:f>Sheet3!$C$13:$C$15</c:f>
              <c:numCache>
                <c:formatCode>0%</c:formatCode>
                <c:ptCount val="3"/>
                <c:pt idx="0">
                  <c:v>8.0000000000000043E-2</c:v>
                </c:pt>
                <c:pt idx="1">
                  <c:v>0.39000000000000018</c:v>
                </c:pt>
                <c:pt idx="2">
                  <c:v>0.53</c:v>
                </c:pt>
              </c:numCache>
            </c:numRef>
          </c:val>
          <c:extLst xmlns:c16r2="http://schemas.microsoft.com/office/drawing/2015/06/chart">
            <c:ext xmlns:c16="http://schemas.microsoft.com/office/drawing/2014/chart" uri="{C3380CC4-5D6E-409C-BE32-E72D297353CC}">
              <c16:uniqueId val="{00000002-4303-40B6-AC0C-85E3D8B94641}"/>
            </c:ext>
          </c:extLst>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0.21196</cdr:x>
      <cdr:y>0.76993</cdr:y>
    </cdr:from>
    <cdr:to>
      <cdr:x>0.52355</cdr:x>
      <cdr:y>0.82428</cdr:y>
    </cdr:to>
    <cdr:sp macro="" textlink="">
      <cdr:nvSpPr>
        <cdr:cNvPr id="2" name="Text Box 1"/>
        <cdr:cNvSpPr txBox="1"/>
      </cdr:nvSpPr>
      <cdr:spPr>
        <a:xfrm xmlns:a="http://schemas.openxmlformats.org/drawingml/2006/main">
          <a:off x="1114425" y="2428875"/>
          <a:ext cx="16383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q-AL"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13CE39A1901448AA48E52D501BF475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116</Nr_x002e__x0020_akti>
    <Data_x0020_e_x0020_Krijimit xmlns="0e656187-b300-4fb0-8bf4-3a50f872073c">2021-12-15T14:54:51Z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2021-12-14T23:00:00Z</Date_x0020_protokolli>
    <Titulli xmlns="0e656187-b300-4fb0-8bf4-3a50f872073c">Për ratifikimin e marrëveshjes së financimit ndërmjet Republikës së Shqipërisë, përfaqësuar nga Këshilli i Ministrave, Republikës së Maqedonisë së Veriut, përfaqësuar nga Sekretariati për Çështjet Europiane, dhe Komisionit Europian për Programin e Veprimit të Bashkëpunimit Ndërkufitar IPA II, Maqedoni e Veriut-Shqipëri 2014-2020, alokimet për vitin 2020</Titulli>
    <Modifikuesi xmlns="0e656187-b300-4fb0-8bf4-3a50f872073c">jorina.kryeziu</Modifikuesi>
    <Nr_x002e__x0020_prot_x0020_QBZ xmlns="0e656187-b300-4fb0-8bf4-3a50f872073c">1703/1</Nr_x002e__x0020_prot_x0020_QBZ>
    <Data_x0020_e_x0020_Modifikimit xmlns="0e656187-b300-4fb0-8bf4-3a50f872073c">2021-12-20T13:53:18Z</Data_x0020_e_x0020_Modifikimit>
    <Dekretuar xmlns="0e656187-b300-4fb0-8bf4-3a50f872073c">false</Dekretuar>
    <Data xmlns="0e656187-b300-4fb0-8bf4-3a50f872073c">2021-11-24T23:00:00Z</Data>
    <Nr_x002e__x0020_protokolli_x0020_i_x0020_aktit xmlns="0e656187-b300-4fb0-8bf4-3a50f872073c">3286/1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13CE39A1901448AA48E52D501BF475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C814A-CFFF-4915-BD89-231BC376DFC9}">
  <ds:schemaRefs>
    <ds:schemaRef ds:uri="http://schemas.microsoft.com/sharepoint/v3/contenttype/forms"/>
  </ds:schemaRefs>
</ds:datastoreItem>
</file>

<file path=customXml/itemProps2.xml><?xml version="1.0" encoding="utf-8"?>
<ds:datastoreItem xmlns:ds="http://schemas.openxmlformats.org/officeDocument/2006/customXml" ds:itemID="{117898A6-95AA-4E19-A79F-2768A2216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A40BD7-E1C2-474B-9CB7-E8336A991E6D}">
  <ds:schemaRefs>
    <ds:schemaRef ds:uri="http://schemas.openxmlformats.org/package/2006/metadata/core-properties"/>
    <ds:schemaRef ds:uri="0e656187-b300-4fb0-8bf4-3a50f872073c"/>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D54EFFAE-A8B2-4E26-9E66-75D13C4BCBFD}">
  <ds:schemaRefs>
    <ds:schemaRef ds:uri="http://schemas.microsoft.com/sharepoint/v3/contenttype/forms"/>
  </ds:schemaRefs>
</ds:datastoreItem>
</file>

<file path=customXml/itemProps5.xml><?xml version="1.0" encoding="utf-8"?>
<ds:datastoreItem xmlns:ds="http://schemas.openxmlformats.org/officeDocument/2006/customXml" ds:itemID="{ABFFB29B-C96C-4ABB-BD5D-C250CDBE6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C51F4F3-3215-4001-AE33-369F68F3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77</Pages>
  <Words>31336</Words>
  <Characters>178620</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Republikës së Maqedonisë së Veriut, përfaqësuar nga Sekretariati për Çështjet Europiane, dhe Komisionit Europian për Programin e Veprimi</vt:lpstr>
    </vt:vector>
  </TitlesOfParts>
  <Company/>
  <LinksUpToDate>false</LinksUpToDate>
  <CharactersWithSpaces>209537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Republikës së Maqedonisë së Veriut, përfaqësuar nga Sekretariati për Çështjet Europiane, dhe Komisionit Europian për Programin e Veprimit të Bashkëpunimit Ndërkufitar IPA II, Maqedoni e Veriut-Shqipëri 2014-2020, alokimet për vitin 2020</dc:title>
  <dc:creator>gazmend.hanku</dc:creator>
  <cp:lastModifiedBy>Amarilda Muja</cp:lastModifiedBy>
  <cp:revision>599</cp:revision>
  <cp:lastPrinted>2021-11-29T08:20:00Z</cp:lastPrinted>
  <dcterms:created xsi:type="dcterms:W3CDTF">2021-12-16T10:57:00Z</dcterms:created>
  <dcterms:modified xsi:type="dcterms:W3CDTF">2021-12-21T09:22:00Z</dcterms:modified>
</cp:coreProperties>
</file>