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8679C" w14:textId="77777777" w:rsidR="00420682" w:rsidRPr="00892011" w:rsidRDefault="00420682" w:rsidP="008920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92011">
        <w:rPr>
          <w:rFonts w:ascii="Garamond" w:hAnsi="Garamond" w:cs="Times New Roman"/>
          <w:b/>
          <w:sz w:val="24"/>
          <w:szCs w:val="24"/>
        </w:rPr>
        <w:t>LIGJ</w:t>
      </w:r>
    </w:p>
    <w:p w14:paraId="1BD8679E" w14:textId="77777777" w:rsidR="00420682" w:rsidRPr="00892011" w:rsidRDefault="002009A1" w:rsidP="0089201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92011">
        <w:rPr>
          <w:rFonts w:ascii="Garamond" w:hAnsi="Garamond" w:cs="Times New Roman"/>
          <w:b/>
          <w:sz w:val="24"/>
          <w:szCs w:val="24"/>
        </w:rPr>
        <w:t xml:space="preserve">Nr. </w:t>
      </w:r>
      <w:r w:rsidR="007714D4" w:rsidRPr="00892011">
        <w:rPr>
          <w:rFonts w:ascii="Garamond" w:hAnsi="Garamond" w:cs="Times New Roman"/>
          <w:b/>
          <w:sz w:val="24"/>
          <w:szCs w:val="24"/>
        </w:rPr>
        <w:t>125</w:t>
      </w:r>
      <w:r w:rsidR="006347DA" w:rsidRPr="00892011">
        <w:rPr>
          <w:rFonts w:ascii="Garamond" w:hAnsi="Garamond" w:cs="Times New Roman"/>
          <w:b/>
          <w:sz w:val="24"/>
          <w:szCs w:val="24"/>
        </w:rPr>
        <w:t>/2021</w:t>
      </w:r>
    </w:p>
    <w:p w14:paraId="1BD8679F" w14:textId="348B77D5" w:rsidR="007714D4" w:rsidRPr="00892011" w:rsidRDefault="00C91E8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1BD867A0" w14:textId="77777777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92011">
        <w:rPr>
          <w:rFonts w:ascii="Garamond" w:hAnsi="Garamond" w:cs="Times New Roman"/>
          <w:b/>
          <w:bCs/>
          <w:sz w:val="24"/>
          <w:szCs w:val="24"/>
        </w:rPr>
        <w:t xml:space="preserve">PËR RATIFIKIMIN E MARRËVESHJES NDËRMJET REPUBLIKËS </w:t>
      </w:r>
    </w:p>
    <w:p w14:paraId="1BD867A1" w14:textId="4C5D3C9D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92011">
        <w:rPr>
          <w:rFonts w:ascii="Garamond" w:hAnsi="Garamond" w:cs="Times New Roman"/>
          <w:b/>
          <w:bCs/>
          <w:sz w:val="24"/>
          <w:szCs w:val="24"/>
        </w:rPr>
        <w:t>SË SHQIPËRISË DHE MBRETËRISË SË BASHKUAR TË BRITANISË SË MADHE</w:t>
      </w:r>
      <w:r w:rsidR="002C0D9D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Pr="00892011">
        <w:rPr>
          <w:rFonts w:ascii="Garamond" w:hAnsi="Garamond" w:cs="Times New Roman"/>
          <w:b/>
          <w:bCs/>
          <w:sz w:val="24"/>
          <w:szCs w:val="24"/>
        </w:rPr>
        <w:t>DHE IRLANDËS SË VERIUT MBI TRANSFERIMIN</w:t>
      </w:r>
      <w:r w:rsidR="003F420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92011">
        <w:rPr>
          <w:rFonts w:ascii="Garamond" w:hAnsi="Garamond" w:cs="Times New Roman"/>
          <w:b/>
          <w:bCs/>
          <w:sz w:val="24"/>
          <w:szCs w:val="24"/>
        </w:rPr>
        <w:t>E PERSONAVE TË DËNUAR</w:t>
      </w:r>
    </w:p>
    <w:p w14:paraId="1BD867A2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D867A3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Në mbështetje të neneve 78, 83, pika 1, dhe 121, pika 1, të Kushtetutës, me propozimin e Këshillit të Ministrave,</w:t>
      </w:r>
    </w:p>
    <w:p w14:paraId="1BD867A4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D867A5" w14:textId="491E8518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KUVENDI</w:t>
      </w:r>
    </w:p>
    <w:p w14:paraId="1BD867A7" w14:textId="77777777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1BD867A8" w14:textId="77777777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BD867A9" w14:textId="0E0427DA" w:rsidR="007714D4" w:rsidRPr="00892011" w:rsidRDefault="00887A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VENDOS</w:t>
      </w:r>
      <w:r w:rsidR="007714D4" w:rsidRPr="00892011">
        <w:rPr>
          <w:rFonts w:ascii="Garamond" w:hAnsi="Garamond" w:cs="Times New Roman"/>
          <w:bCs/>
          <w:sz w:val="24"/>
          <w:szCs w:val="24"/>
        </w:rPr>
        <w:t>I:</w:t>
      </w:r>
    </w:p>
    <w:p w14:paraId="1BD867AA" w14:textId="6C677C12" w:rsidR="007714D4" w:rsidRPr="00892011" w:rsidRDefault="003F4207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1BD867AB" w14:textId="77777777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Neni 1</w:t>
      </w:r>
    </w:p>
    <w:p w14:paraId="1BD867AC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1BD867AD" w14:textId="063C65F1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Ratifikohet marrëveshja ndërmjet Republikës së Shqipërisë dhe Mbretërisë së Bashkuar të Britanisë së Madhe</w:t>
      </w:r>
      <w:r w:rsidR="002C0D9D">
        <w:rPr>
          <w:rFonts w:ascii="Garamond" w:hAnsi="Garamond" w:cs="Times New Roman"/>
          <w:bCs/>
          <w:sz w:val="24"/>
          <w:szCs w:val="24"/>
        </w:rPr>
        <w:t>,</w:t>
      </w:r>
      <w:r w:rsidRPr="00892011">
        <w:rPr>
          <w:rFonts w:ascii="Garamond" w:hAnsi="Garamond" w:cs="Times New Roman"/>
          <w:bCs/>
          <w:sz w:val="24"/>
          <w:szCs w:val="24"/>
        </w:rPr>
        <w:t xml:space="preserve"> dhe Irlandës së Veriut mbi transferimin e personave të dënuar</w:t>
      </w:r>
      <w:r w:rsidR="002C0D9D">
        <w:rPr>
          <w:rFonts w:ascii="Garamond" w:hAnsi="Garamond" w:cs="Times New Roman"/>
          <w:bCs/>
          <w:sz w:val="24"/>
          <w:szCs w:val="24"/>
        </w:rPr>
        <w:t>,</w:t>
      </w:r>
      <w:r w:rsidRPr="00892011">
        <w:rPr>
          <w:rFonts w:ascii="Garamond" w:hAnsi="Garamond" w:cs="Times New Roman"/>
          <w:bCs/>
          <w:sz w:val="24"/>
          <w:szCs w:val="24"/>
        </w:rPr>
        <w:t xml:space="preserve"> sipas tekstit që i bashkëlidhet këtij ligji dhe është pjesë përbërëse e tij.</w:t>
      </w:r>
    </w:p>
    <w:p w14:paraId="1BD867AE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D867AF" w14:textId="77777777" w:rsidR="007714D4" w:rsidRPr="00892011" w:rsidRDefault="007714D4" w:rsidP="0089201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Neni 2</w:t>
      </w:r>
    </w:p>
    <w:p w14:paraId="1BD867B0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1BD867B1" w14:textId="77777777" w:rsidR="007714D4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3A6438C1" w14:textId="77777777" w:rsidR="009C079C" w:rsidRPr="00892011" w:rsidRDefault="009C079C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1C7D5DD" w14:textId="77777777" w:rsidR="009C079C" w:rsidRPr="00892011" w:rsidRDefault="009C079C" w:rsidP="009C079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92011">
        <w:rPr>
          <w:rFonts w:ascii="Garamond" w:hAnsi="Garamond" w:cs="Times New Roman"/>
          <w:bCs/>
          <w:sz w:val="24"/>
          <w:szCs w:val="24"/>
        </w:rPr>
        <w:t>Miratuar në datën 16.12.2021</w:t>
      </w:r>
      <w:r>
        <w:rPr>
          <w:rFonts w:ascii="Garamond" w:hAnsi="Garamond" w:cs="Times New Roman"/>
          <w:bCs/>
          <w:sz w:val="24"/>
          <w:szCs w:val="24"/>
        </w:rPr>
        <w:t>.</w:t>
      </w:r>
    </w:p>
    <w:p w14:paraId="1BD867B3" w14:textId="77777777" w:rsidR="007714D4" w:rsidRPr="00892011" w:rsidRDefault="007714D4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D867B8" w14:textId="3DEE61B2" w:rsidR="00976A3C" w:rsidRPr="00892011" w:rsidRDefault="00892011" w:rsidP="00892011">
      <w:pPr>
        <w:spacing w:after="0" w:line="240" w:lineRule="auto"/>
        <w:ind w:firstLine="284"/>
        <w:jc w:val="both"/>
        <w:rPr>
          <w:rFonts w:ascii="Nirmala UI" w:hAnsi="Nirmala UI" w:cs="Nirmala UI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</w:t>
      </w:r>
      <w:r w:rsidR="006816B3">
        <w:rPr>
          <w:rFonts w:ascii="Garamond" w:hAnsi="Garamond" w:cs="Times New Roman"/>
          <w:b/>
          <w:bCs/>
          <w:sz w:val="24"/>
          <w:szCs w:val="24"/>
        </w:rPr>
        <w:t>r</w:t>
      </w:r>
      <w:r>
        <w:rPr>
          <w:rFonts w:ascii="Garamond" w:hAnsi="Garamond" w:cs="Times New Roman"/>
          <w:b/>
          <w:bCs/>
          <w:sz w:val="24"/>
          <w:szCs w:val="24"/>
        </w:rPr>
        <w:t xml:space="preserve"> me dekretin nr.</w:t>
      </w:r>
      <w:r w:rsidR="000E5B57">
        <w:rPr>
          <w:rFonts w:ascii="Garamond" w:hAnsi="Garamond" w:cs="Times New Roman"/>
          <w:b/>
          <w:bCs/>
          <w:sz w:val="24"/>
          <w:szCs w:val="24"/>
        </w:rPr>
        <w:t xml:space="preserve"> 13400,</w:t>
      </w:r>
      <w:r>
        <w:rPr>
          <w:rFonts w:ascii="Garamond" w:hAnsi="Garamond" w:cs="Times New Roman"/>
          <w:b/>
          <w:bCs/>
          <w:sz w:val="24"/>
          <w:szCs w:val="24"/>
        </w:rPr>
        <w:t xml:space="preserve"> datë</w:t>
      </w:r>
      <w:r w:rsidR="000E5B57">
        <w:rPr>
          <w:rFonts w:ascii="Garamond" w:hAnsi="Garamond" w:cs="Times New Roman"/>
          <w:b/>
          <w:bCs/>
          <w:sz w:val="24"/>
          <w:szCs w:val="24"/>
        </w:rPr>
        <w:t xml:space="preserve"> 24.12.2021</w:t>
      </w:r>
      <w:r w:rsidR="002C0D9D">
        <w:rPr>
          <w:rFonts w:ascii="Garamond" w:hAnsi="Garamond" w:cs="Times New Roman"/>
          <w:b/>
          <w:bCs/>
          <w:sz w:val="24"/>
          <w:szCs w:val="24"/>
        </w:rPr>
        <w:t>,</w:t>
      </w:r>
      <w:r>
        <w:rPr>
          <w:rFonts w:ascii="Garamond" w:hAnsi="Garamond" w:cs="Times New Roman"/>
          <w:b/>
          <w:bCs/>
          <w:sz w:val="24"/>
          <w:szCs w:val="24"/>
        </w:rPr>
        <w:t xml:space="preserve"> të Presidentit të Republikës së Shqipërisë, Ilir Meta</w:t>
      </w:r>
      <w:r w:rsidR="00F372D6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039F8AAF" w14:textId="77777777" w:rsidR="00892011" w:rsidRDefault="00892011" w:rsidP="0089201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AD57BB" w14:textId="77777777" w:rsidR="00932456" w:rsidRDefault="00932456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17F5A7F" wp14:editId="3FCBE696">
            <wp:extent cx="5849466" cy="42707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431" cy="427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27AE83A4" wp14:editId="1DA1F128">
            <wp:extent cx="5731312" cy="6216316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5" b="12474"/>
                    <a:stretch/>
                  </pic:blipFill>
                  <pic:spPr bwMode="auto">
                    <a:xfrm>
                      <a:off x="0" y="0"/>
                      <a:ext cx="5731510" cy="6216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867BB" w14:textId="20A1FF5D" w:rsidR="000D6789" w:rsidRDefault="00932456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1CE698E" wp14:editId="3E32A0D2">
            <wp:extent cx="5724843" cy="585537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" t="87944" r="-2099" b="2586"/>
                    <a:stretch/>
                  </pic:blipFill>
                  <pic:spPr bwMode="auto">
                    <a:xfrm>
                      <a:off x="0" y="0"/>
                      <a:ext cx="5731510" cy="586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drawing>
          <wp:inline distT="0" distB="0" distL="0" distR="0" wp14:anchorId="68996240" wp14:editId="3EF70EBA">
            <wp:extent cx="5727032" cy="7323221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03"/>
                    <a:stretch/>
                  </pic:blipFill>
                  <pic:spPr bwMode="auto">
                    <a:xfrm>
                      <a:off x="0" y="0"/>
                      <a:ext cx="5731510" cy="7328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E58FF35" wp14:editId="66702C3A">
            <wp:extent cx="5731050" cy="7828547"/>
            <wp:effectExtent l="0" t="0" r="317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2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01AD3FF" wp14:editId="74218144">
            <wp:extent cx="5731510" cy="7845425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4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265F006" wp14:editId="0DAECA60">
            <wp:extent cx="5731510" cy="77216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7092F786" wp14:editId="7A517252">
            <wp:extent cx="5731510" cy="807910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E5FB71D" wp14:editId="698674C9">
            <wp:extent cx="5731510" cy="7767320"/>
            <wp:effectExtent l="0" t="0" r="254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5F4E7EC" wp14:editId="0721FAD4">
            <wp:extent cx="5731510" cy="7347585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0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4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208DC184" wp14:editId="788B86FB">
            <wp:extent cx="5732143" cy="6737685"/>
            <wp:effectExtent l="0" t="0" r="254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10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6"/>
                    <a:stretch/>
                  </pic:blipFill>
                  <pic:spPr bwMode="auto">
                    <a:xfrm>
                      <a:off x="0" y="0"/>
                      <a:ext cx="5731510" cy="6736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94C1D88" wp14:editId="47B1728F">
            <wp:extent cx="5733469" cy="6224337"/>
            <wp:effectExtent l="0" t="0" r="635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11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6876"/>
                    <a:stretch/>
                  </pic:blipFill>
                  <pic:spPr bwMode="auto">
                    <a:xfrm>
                      <a:off x="0" y="0"/>
                      <a:ext cx="5731510" cy="622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2D670B6" wp14:editId="565E4289">
            <wp:extent cx="5731510" cy="5766435"/>
            <wp:effectExtent l="0" t="0" r="254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Page_1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D04D7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763F6619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793CBD8C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4E6E540F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799BA5C0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6332C2F0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2D6D6BB2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59C964D4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1E2DF8B4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64AAC324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060D2D4C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428F81B2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166F4F46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47410074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23BB3BAF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60ED5E5F" w14:textId="77777777" w:rsidR="001F3B42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2C2A88D2" w14:textId="77777777" w:rsidR="0037272C" w:rsidRDefault="0037272C" w:rsidP="003727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166ECB7" w14:textId="77777777" w:rsidR="0037272C" w:rsidRDefault="0037272C" w:rsidP="003727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0D7708" w14:textId="06651070" w:rsidR="0037272C" w:rsidRDefault="0037272C" w:rsidP="003727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7272C">
        <w:rPr>
          <w:rFonts w:ascii="Garamond" w:hAnsi="Garamond"/>
          <w:sz w:val="24"/>
          <w:szCs w:val="24"/>
        </w:rPr>
        <w:lastRenderedPageBreak/>
        <w:t>SHTOJCË</w:t>
      </w:r>
    </w:p>
    <w:p w14:paraId="7AEBA904" w14:textId="77777777" w:rsidR="007F501F" w:rsidRDefault="007F501F" w:rsidP="003727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6CFBCD3" w14:textId="3DBFF3B7" w:rsidR="001F3B42" w:rsidRPr="0037272C" w:rsidRDefault="0037272C" w:rsidP="0037272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272C">
        <w:rPr>
          <w:rFonts w:ascii="Garamond" w:hAnsi="Garamond"/>
          <w:sz w:val="24"/>
          <w:szCs w:val="24"/>
        </w:rPr>
        <w:t>SHPJEGIME MBI ZBATIMIN E NENIT 7 TË MARRËVESHJES PËR TRANSFERIMIN E TË BURGOSURVE (PTA) NDËRMJET QEVERISË SË MBRETËRISË SË BASHKUAR TË BRITANISË SË MADHE DHE IRLANDËS SË VERIUT</w:t>
      </w:r>
      <w:r w:rsidR="007F501F">
        <w:rPr>
          <w:rFonts w:ascii="Garamond" w:hAnsi="Garamond"/>
          <w:sz w:val="24"/>
          <w:szCs w:val="24"/>
        </w:rPr>
        <w:t>,</w:t>
      </w:r>
      <w:r w:rsidRPr="0037272C">
        <w:rPr>
          <w:rFonts w:ascii="Garamond" w:hAnsi="Garamond"/>
          <w:sz w:val="24"/>
          <w:szCs w:val="24"/>
        </w:rPr>
        <w:t xml:space="preserve"> DHE REPUBLIKËS SË SHQIPËRISË</w:t>
      </w:r>
    </w:p>
    <w:p w14:paraId="4D7ED070" w14:textId="77777777" w:rsidR="0037272C" w:rsidRPr="001F3B42" w:rsidRDefault="0037272C" w:rsidP="0037272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A8BD102" w14:textId="149009AA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7306">
        <w:rPr>
          <w:rFonts w:ascii="Garamond" w:hAnsi="Garamond"/>
          <w:sz w:val="24"/>
          <w:szCs w:val="24"/>
        </w:rPr>
        <w:t xml:space="preserve">Kjo Marrëveshje për Transferimin e të Burgosurve (PTA) parashikon transferimin e personave të dënuar ndërmjet Mbretërisë së Bashkuar dhe Shqipërisë (referuar si </w:t>
      </w:r>
      <w:r w:rsidR="00186E19">
        <w:rPr>
          <w:rFonts w:ascii="Garamond" w:hAnsi="Garamond"/>
          <w:sz w:val="24"/>
          <w:szCs w:val="24"/>
        </w:rPr>
        <w:t>“</w:t>
      </w:r>
      <w:r w:rsidRPr="00207306">
        <w:rPr>
          <w:rFonts w:ascii="Garamond" w:hAnsi="Garamond"/>
          <w:sz w:val="24"/>
          <w:szCs w:val="24"/>
        </w:rPr>
        <w:t>Marrëveshja</w:t>
      </w:r>
      <w:r w:rsidR="00186E19">
        <w:rPr>
          <w:rFonts w:ascii="Garamond" w:hAnsi="Garamond"/>
          <w:sz w:val="24"/>
          <w:szCs w:val="24"/>
        </w:rPr>
        <w:t>”</w:t>
      </w:r>
      <w:r w:rsidRPr="00207306">
        <w:rPr>
          <w:rFonts w:ascii="Garamond" w:hAnsi="Garamond"/>
          <w:sz w:val="24"/>
          <w:szCs w:val="24"/>
        </w:rPr>
        <w:t>). Neni 7 i Marrëveshjes është ndryshuar</w:t>
      </w:r>
      <w:r w:rsidR="00186E19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për shkak se Mbretëria e Bashkuar dhe Shqipëria kanë dispozita të ndryshme për lirimin e parakohshëm. Për të siguruar që të burgosurit e transferuar</w:t>
      </w:r>
      <w:r w:rsidR="00186E19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sipas Marrëveshjes të mos jenë në disavantazh të padrejtë vetëm si pasojë e transferimit, Palët në Marrëveshje kanë rënë dakord</w:t>
      </w:r>
      <w:r w:rsidR="00186E19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që Shteti pritës mund të përshtatë dënimin e përgjithshëm për të harmonizuar më mirë datën e lirimit me kusht me atë të </w:t>
      </w:r>
      <w:r w:rsidR="007E772C" w:rsidRPr="00207306">
        <w:rPr>
          <w:rFonts w:ascii="Garamond" w:hAnsi="Garamond"/>
          <w:sz w:val="24"/>
          <w:szCs w:val="24"/>
        </w:rPr>
        <w:t xml:space="preserve">Shtetit </w:t>
      </w:r>
      <w:r w:rsidRPr="00207306">
        <w:rPr>
          <w:rFonts w:ascii="Garamond" w:hAnsi="Garamond"/>
          <w:sz w:val="24"/>
          <w:szCs w:val="24"/>
        </w:rPr>
        <w:t>transferues.</w:t>
      </w:r>
    </w:p>
    <w:p w14:paraId="00DDF200" w14:textId="0E6621CD" w:rsidR="001F3B42" w:rsidRPr="00207306" w:rsidRDefault="000946C7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F3B42" w:rsidRPr="00207306">
        <w:rPr>
          <w:rFonts w:ascii="Garamond" w:hAnsi="Garamond"/>
          <w:sz w:val="24"/>
          <w:szCs w:val="24"/>
        </w:rPr>
        <w:t>Për ta bërë këtë, paragrafi 1 i nenit 7, i mundëson Shtetit pritës të zbatojë dënimin e dhënë në Shtetin transferues sikur të ishte dhënë në shtetin pritës. Kjo i mundëson Shtetit pritës të trajtojë dënimin në të njëjtën mënyrë</w:t>
      </w:r>
      <w:r w:rsidR="00BD45DE">
        <w:rPr>
          <w:rFonts w:ascii="Garamond" w:hAnsi="Garamond"/>
          <w:sz w:val="24"/>
          <w:szCs w:val="24"/>
        </w:rPr>
        <w:t>,</w:t>
      </w:r>
      <w:r w:rsidR="001F3B42" w:rsidRPr="00207306">
        <w:rPr>
          <w:rFonts w:ascii="Garamond" w:hAnsi="Garamond"/>
          <w:sz w:val="24"/>
          <w:szCs w:val="24"/>
        </w:rPr>
        <w:t xml:space="preserve"> si një dënim i brendshëm për qëllime të zbatimit të dënimit dhe në zbatimin e masave të tij të lirimit. </w:t>
      </w:r>
    </w:p>
    <w:p w14:paraId="6B99A7B4" w14:textId="494F50A3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BD45DE">
        <w:rPr>
          <w:rFonts w:ascii="Garamond" w:hAnsi="Garamond"/>
          <w:sz w:val="24"/>
          <w:szCs w:val="24"/>
        </w:rPr>
        <w:t xml:space="preserve"> </w:t>
      </w:r>
      <w:r w:rsidRPr="00207306">
        <w:rPr>
          <w:rFonts w:ascii="Garamond" w:hAnsi="Garamond"/>
          <w:sz w:val="24"/>
          <w:szCs w:val="24"/>
        </w:rPr>
        <w:t>Paragrafi 2</w:t>
      </w:r>
      <w:r w:rsidR="00BD45D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në mënyrë specifike</w:t>
      </w:r>
      <w:r w:rsidR="00BD45D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përjashton mundësinë e konvertimit të dënimit. Për këtë qëllim, konvertimi i një dënimi nënkupton një ushtrim të ri</w:t>
      </w:r>
      <w:r w:rsidR="007F501F">
        <w:rPr>
          <w:rFonts w:ascii="Garamond" w:hAnsi="Garamond"/>
          <w:sz w:val="24"/>
          <w:szCs w:val="24"/>
        </w:rPr>
        <w:t>n</w:t>
      </w:r>
      <w:r w:rsidRPr="00207306">
        <w:rPr>
          <w:rFonts w:ascii="Garamond" w:hAnsi="Garamond"/>
          <w:sz w:val="24"/>
          <w:szCs w:val="24"/>
        </w:rPr>
        <w:t xml:space="preserve">dënimit, ku Shteti pritës ka detyrimin ligjor lidhur me njohjen e fajësisë dhe </w:t>
      </w:r>
      <w:r w:rsidR="00BD45DE">
        <w:rPr>
          <w:rFonts w:ascii="Garamond" w:hAnsi="Garamond"/>
          <w:sz w:val="24"/>
          <w:szCs w:val="24"/>
        </w:rPr>
        <w:t xml:space="preserve">të </w:t>
      </w:r>
      <w:r w:rsidRPr="00207306">
        <w:rPr>
          <w:rFonts w:ascii="Garamond" w:hAnsi="Garamond"/>
          <w:sz w:val="24"/>
          <w:szCs w:val="24"/>
        </w:rPr>
        <w:t>dënimit në Shtetin transferues, por është në gjendje të zëvendësojë dënimin e dhënë në Shtetin transferues</w:t>
      </w:r>
      <w:r w:rsidR="00DE1DA8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me një dënim që do të ishte dhënë nga gjykatat e tij</w:t>
      </w:r>
      <w:r w:rsidR="00DE1DA8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nëse vepra do të ishte kryer në territorin e tij. Megjithëse konvertimi i një dënimi është i përjashtuar, paragrafi 2 përcakton rrethanat e kufizuara në të cilat një dënim mund të përshtatet ose </w:t>
      </w:r>
      <w:r w:rsidR="00DE1DA8">
        <w:rPr>
          <w:rFonts w:ascii="Garamond" w:hAnsi="Garamond"/>
          <w:sz w:val="24"/>
          <w:szCs w:val="24"/>
        </w:rPr>
        <w:t xml:space="preserve">të </w:t>
      </w:r>
      <w:r w:rsidRPr="00207306">
        <w:rPr>
          <w:rFonts w:ascii="Garamond" w:hAnsi="Garamond"/>
          <w:sz w:val="24"/>
          <w:szCs w:val="24"/>
        </w:rPr>
        <w:t>reduktohet. Përshtatja e dënimit i mundëson uljen apo ndryshimin e vendimit dënimit që njihet në rrethanat e kufizuara të përcaktuara në nënparagrafë.</w:t>
      </w:r>
      <w:r w:rsidR="003F4207">
        <w:rPr>
          <w:rFonts w:ascii="Garamond" w:hAnsi="Garamond"/>
          <w:sz w:val="24"/>
          <w:szCs w:val="24"/>
        </w:rPr>
        <w:t xml:space="preserve"> </w:t>
      </w:r>
    </w:p>
    <w:p w14:paraId="6A60860D" w14:textId="635C2DB7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17ABB">
        <w:rPr>
          <w:rFonts w:ascii="Garamond" w:hAnsi="Garamond"/>
          <w:sz w:val="24"/>
          <w:szCs w:val="24"/>
        </w:rPr>
        <w:t xml:space="preserve"> </w:t>
      </w:r>
      <w:r w:rsidRPr="00207306">
        <w:rPr>
          <w:rFonts w:ascii="Garamond" w:hAnsi="Garamond"/>
          <w:sz w:val="24"/>
          <w:szCs w:val="24"/>
        </w:rPr>
        <w:t>Paragrafi 2(a) lejon që një dënim të përshtatet</w:t>
      </w:r>
      <w:r w:rsidR="007B0861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kur dënimi i dhënë në Shtetin transferues tejkalon dënimin maksimal të parashikuar nga ligji i Shtetit pritës për të njëjtën vepër. Një përshtatje e tillë kufizohet në periudhën maksimale të përcaktuar nga ligji në shtetin pritës.</w:t>
      </w:r>
      <w:r w:rsidR="003F4207">
        <w:rPr>
          <w:rFonts w:ascii="Garamond" w:hAnsi="Garamond"/>
          <w:sz w:val="24"/>
          <w:szCs w:val="24"/>
        </w:rPr>
        <w:t xml:space="preserve"> </w:t>
      </w:r>
    </w:p>
    <w:p w14:paraId="6A4FE096" w14:textId="1A7F92E1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17ABB">
        <w:rPr>
          <w:rFonts w:ascii="Garamond" w:hAnsi="Garamond"/>
          <w:sz w:val="24"/>
          <w:szCs w:val="24"/>
        </w:rPr>
        <w:t xml:space="preserve"> </w:t>
      </w:r>
      <w:r w:rsidRPr="00207306">
        <w:rPr>
          <w:rFonts w:ascii="Garamond" w:hAnsi="Garamond"/>
          <w:sz w:val="24"/>
          <w:szCs w:val="24"/>
        </w:rPr>
        <w:t xml:space="preserve">Paragrafi 2(b) lejon Shtetin pritës të përshtatë (zvogëlojë) dënimin me atë që do të jepte një datë lirimi që është e ngjashme ose ekuivalente me atë të zbatueshme në Shtetin transferues. Për shembull, një i burgosur i dënuar me 9 vjet burgim, i cili do të lirohej automatikisht në Shtetin transferues pas vuajtjes së 4 </w:t>
      </w:r>
      <w:r w:rsidR="007B0861">
        <w:rPr>
          <w:rFonts w:ascii="Garamond" w:hAnsi="Garamond"/>
          <w:sz w:val="24"/>
          <w:szCs w:val="24"/>
        </w:rPr>
        <w:t xml:space="preserve">vjetëve </w:t>
      </w:r>
      <w:r w:rsidRPr="00207306">
        <w:rPr>
          <w:rFonts w:ascii="Garamond" w:hAnsi="Garamond"/>
          <w:sz w:val="24"/>
          <w:szCs w:val="24"/>
        </w:rPr>
        <w:t>e 6 muaj</w:t>
      </w:r>
      <w:r w:rsidR="007B0861">
        <w:rPr>
          <w:rFonts w:ascii="Garamond" w:hAnsi="Garamond"/>
          <w:sz w:val="24"/>
          <w:szCs w:val="24"/>
        </w:rPr>
        <w:t>ve</w:t>
      </w:r>
      <w:r w:rsidRPr="00207306">
        <w:rPr>
          <w:rFonts w:ascii="Garamond" w:hAnsi="Garamond"/>
          <w:sz w:val="24"/>
          <w:szCs w:val="24"/>
        </w:rPr>
        <w:t xml:space="preserve"> (gjysma e dënimit), mund të përshtatë dënimin prej 9 </w:t>
      </w:r>
      <w:r w:rsidR="007B0861">
        <w:rPr>
          <w:rFonts w:ascii="Garamond" w:hAnsi="Garamond"/>
          <w:sz w:val="24"/>
          <w:szCs w:val="24"/>
        </w:rPr>
        <w:t>vjetë</w:t>
      </w:r>
      <w:r w:rsidRPr="00207306">
        <w:rPr>
          <w:rFonts w:ascii="Garamond" w:hAnsi="Garamond"/>
          <w:sz w:val="24"/>
          <w:szCs w:val="24"/>
        </w:rPr>
        <w:t xml:space="preserve">sh me një dënim prej 7 </w:t>
      </w:r>
      <w:r w:rsidR="00442E2E">
        <w:rPr>
          <w:rFonts w:ascii="Garamond" w:hAnsi="Garamond"/>
          <w:sz w:val="24"/>
          <w:szCs w:val="24"/>
        </w:rPr>
        <w:t>vjetë</w:t>
      </w:r>
      <w:r w:rsidRPr="00207306">
        <w:rPr>
          <w:rFonts w:ascii="Garamond" w:hAnsi="Garamond"/>
          <w:sz w:val="24"/>
          <w:szCs w:val="24"/>
        </w:rPr>
        <w:t>sh në shtetin pritës</w:t>
      </w:r>
      <w:r w:rsidR="00442E2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ku lirimi është caktuar në dy të tretat, kjo do të parashikonte lirimin pas vuajtjes së 4 v</w:t>
      </w:r>
      <w:r w:rsidR="00442E2E">
        <w:rPr>
          <w:rFonts w:ascii="Garamond" w:hAnsi="Garamond"/>
          <w:sz w:val="24"/>
          <w:szCs w:val="24"/>
        </w:rPr>
        <w:t>jetëve</w:t>
      </w:r>
      <w:r w:rsidRPr="00207306">
        <w:rPr>
          <w:rFonts w:ascii="Garamond" w:hAnsi="Garamond"/>
          <w:sz w:val="24"/>
          <w:szCs w:val="24"/>
        </w:rPr>
        <w:t xml:space="preserve"> e 7 muajsh.</w:t>
      </w:r>
      <w:r w:rsidR="003F4207">
        <w:rPr>
          <w:rFonts w:ascii="Garamond" w:hAnsi="Garamond"/>
          <w:sz w:val="24"/>
          <w:szCs w:val="24"/>
        </w:rPr>
        <w:t xml:space="preserve"> </w:t>
      </w:r>
    </w:p>
    <w:p w14:paraId="47E26284" w14:textId="2E14BFE6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17ABB">
        <w:rPr>
          <w:rFonts w:ascii="Garamond" w:hAnsi="Garamond"/>
          <w:sz w:val="24"/>
          <w:szCs w:val="24"/>
        </w:rPr>
        <w:t xml:space="preserve"> </w:t>
      </w:r>
      <w:r w:rsidRPr="00207306">
        <w:rPr>
          <w:rFonts w:ascii="Garamond" w:hAnsi="Garamond"/>
          <w:sz w:val="24"/>
          <w:szCs w:val="24"/>
        </w:rPr>
        <w:t>Paragrafi 2(c) lejon që një dënim i përjetshëm të konvertohet në një dënim me afat të caktuar. Në Mbretërinë e Bashkuar, kur një gjykatë vendos një dënim me burgim të përjetshëm, cakton</w:t>
      </w:r>
      <w:r w:rsidR="00442E2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gjithashtu</w:t>
      </w:r>
      <w:r w:rsidR="00442E2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një afat minimal (i njohur gjithashtu si tarifa) </w:t>
      </w:r>
      <w:r w:rsidR="00442E2E">
        <w:rPr>
          <w:rFonts w:ascii="Garamond" w:hAnsi="Garamond"/>
          <w:sz w:val="24"/>
          <w:szCs w:val="24"/>
        </w:rPr>
        <w:t>–</w:t>
      </w:r>
      <w:r w:rsidRPr="00207306">
        <w:rPr>
          <w:rFonts w:ascii="Garamond" w:hAnsi="Garamond"/>
          <w:sz w:val="24"/>
          <w:szCs w:val="24"/>
        </w:rPr>
        <w:t xml:space="preserve"> </w:t>
      </w:r>
      <w:r w:rsidR="00442E2E">
        <w:rPr>
          <w:rFonts w:ascii="Garamond" w:hAnsi="Garamond"/>
          <w:sz w:val="24"/>
          <w:szCs w:val="24"/>
        </w:rPr>
        <w:t>“</w:t>
      </w:r>
      <w:r w:rsidRPr="00207306">
        <w:rPr>
          <w:rFonts w:ascii="Garamond" w:hAnsi="Garamond"/>
          <w:sz w:val="24"/>
          <w:szCs w:val="24"/>
        </w:rPr>
        <w:t>periudha e specifikuar</w:t>
      </w:r>
      <w:r w:rsidR="00442E2E">
        <w:rPr>
          <w:rFonts w:ascii="Garamond" w:hAnsi="Garamond"/>
          <w:sz w:val="24"/>
          <w:szCs w:val="24"/>
        </w:rPr>
        <w:t>”</w:t>
      </w:r>
      <w:r w:rsidRPr="00207306">
        <w:rPr>
          <w:rFonts w:ascii="Garamond" w:hAnsi="Garamond"/>
          <w:sz w:val="24"/>
          <w:szCs w:val="24"/>
        </w:rPr>
        <w:t>. Afati minimal është pjesa e vuajtjes së dënimit. Pasi të ketë përfunduar afati minimal, i burgosuri mund të konsiderohet për lirim. Meqenëse afati minimal në Mbretërinë e Bashkuar përcaktohet nga gjykata, është mendimi i autoriteteve britanike se çdo rritje e këtij afati do të përbënte një përkeqësim të dënimit. Ndaj, paragrafi 2(c) lejon që një dënim i përjetshëm të përshtatet me një dënim me afat të caktuar, i cili përafron periudhën e burgimit të dënimit me afatin minimal të dënimit në Mbretërinë e Bashkuar, në mënyrë që data e lirimit me kusht të mos jetë më e vogël se periudha e specifikuar.</w:t>
      </w:r>
    </w:p>
    <w:p w14:paraId="7D1C0266" w14:textId="6D12ADDF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17ABB">
        <w:rPr>
          <w:rFonts w:ascii="Garamond" w:hAnsi="Garamond"/>
          <w:sz w:val="24"/>
          <w:szCs w:val="24"/>
        </w:rPr>
        <w:t xml:space="preserve"> </w:t>
      </w:r>
      <w:r w:rsidRPr="00207306">
        <w:rPr>
          <w:rFonts w:ascii="Garamond" w:hAnsi="Garamond"/>
          <w:sz w:val="24"/>
          <w:szCs w:val="24"/>
        </w:rPr>
        <w:t>Paragrafi 3 lejon që Shteti transferues të tërheqë kërkesën për transferim</w:t>
      </w:r>
      <w:r w:rsidR="00442E2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nëse nuk pajtohet me miratimin e propozuar të dënimit. </w:t>
      </w:r>
    </w:p>
    <w:p w14:paraId="0F1ABC2C" w14:textId="2368996C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17ABB">
        <w:rPr>
          <w:rFonts w:ascii="Garamond" w:hAnsi="Garamond"/>
          <w:sz w:val="24"/>
          <w:szCs w:val="24"/>
        </w:rPr>
        <w:t xml:space="preserve"> </w:t>
      </w:r>
      <w:r w:rsidRPr="00207306">
        <w:rPr>
          <w:rFonts w:ascii="Garamond" w:hAnsi="Garamond"/>
          <w:sz w:val="24"/>
          <w:szCs w:val="24"/>
        </w:rPr>
        <w:t>Paragrafi 4 parandalon rëndimin e dënimit në çdo rrethanë.</w:t>
      </w:r>
      <w:r w:rsidR="003F4207">
        <w:rPr>
          <w:rFonts w:ascii="Garamond" w:hAnsi="Garamond"/>
          <w:sz w:val="24"/>
          <w:szCs w:val="24"/>
        </w:rPr>
        <w:t xml:space="preserve"> </w:t>
      </w:r>
    </w:p>
    <w:p w14:paraId="2D765FBC" w14:textId="50091DCA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7306">
        <w:rPr>
          <w:rFonts w:ascii="Garamond" w:hAnsi="Garamond"/>
          <w:sz w:val="24"/>
          <w:szCs w:val="24"/>
        </w:rPr>
        <w:t xml:space="preserve">Tabela e </w:t>
      </w:r>
      <w:r w:rsidR="00442E2E" w:rsidRPr="00207306">
        <w:rPr>
          <w:rFonts w:ascii="Garamond" w:hAnsi="Garamond"/>
          <w:sz w:val="24"/>
          <w:szCs w:val="24"/>
        </w:rPr>
        <w:t xml:space="preserve">përshtatjes së dënimit </w:t>
      </w:r>
      <w:r w:rsidRPr="00207306">
        <w:rPr>
          <w:rFonts w:ascii="Garamond" w:hAnsi="Garamond"/>
          <w:sz w:val="24"/>
          <w:szCs w:val="24"/>
        </w:rPr>
        <w:t xml:space="preserve">bashkangjitur më poshtë ka si qëllim të mbështesë Gjykatat në Shqipëri në caktimin e një dënimi të përshtatshëm në përputhje me kërkesat e </w:t>
      </w:r>
      <w:r w:rsidR="00442E2E" w:rsidRPr="00207306">
        <w:rPr>
          <w:rFonts w:ascii="Garamond" w:hAnsi="Garamond"/>
          <w:sz w:val="24"/>
          <w:szCs w:val="24"/>
        </w:rPr>
        <w:t xml:space="preserve">nenit </w:t>
      </w:r>
      <w:r w:rsidR="00442E2E">
        <w:rPr>
          <w:rFonts w:ascii="Garamond" w:hAnsi="Garamond"/>
          <w:sz w:val="24"/>
          <w:szCs w:val="24"/>
        </w:rPr>
        <w:t>7(1)</w:t>
      </w:r>
      <w:r w:rsidRPr="00207306">
        <w:rPr>
          <w:rFonts w:ascii="Garamond" w:hAnsi="Garamond"/>
          <w:sz w:val="24"/>
          <w:szCs w:val="24"/>
        </w:rPr>
        <w:t xml:space="preserve">(b) dhe (c) të Marrëveshjes. Synimi është që të sjellë masat e aplikueshme të lirimit në Shqipëri në </w:t>
      </w:r>
      <w:r w:rsidRPr="00207306">
        <w:rPr>
          <w:rFonts w:ascii="Garamond" w:hAnsi="Garamond"/>
          <w:sz w:val="24"/>
          <w:szCs w:val="24"/>
        </w:rPr>
        <w:lastRenderedPageBreak/>
        <w:t>harmoni të ngushtë me ato të Mbretërisë së Bashkuar</w:t>
      </w:r>
      <w:r w:rsidR="00442E2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duke përshtatur gjatësinë e masës së dënimit që do të kryhet në Shqipëri</w:t>
      </w:r>
      <w:r w:rsidR="00442E2E">
        <w:rPr>
          <w:rFonts w:ascii="Garamond" w:hAnsi="Garamond"/>
          <w:sz w:val="24"/>
          <w:szCs w:val="24"/>
        </w:rPr>
        <w:t>.</w:t>
      </w:r>
      <w:r w:rsidRPr="00207306">
        <w:rPr>
          <w:rFonts w:ascii="Garamond" w:hAnsi="Garamond"/>
          <w:sz w:val="24"/>
          <w:szCs w:val="24"/>
        </w:rPr>
        <w:t xml:space="preserve"> Nuk synon të kopjojë masat e lirimit </w:t>
      </w:r>
      <w:r w:rsidR="00442E2E" w:rsidRPr="00207306">
        <w:rPr>
          <w:rFonts w:ascii="Garamond" w:hAnsi="Garamond"/>
          <w:sz w:val="24"/>
          <w:szCs w:val="24"/>
        </w:rPr>
        <w:t xml:space="preserve">britanik </w:t>
      </w:r>
      <w:r w:rsidRPr="00207306">
        <w:rPr>
          <w:rFonts w:ascii="Garamond" w:hAnsi="Garamond"/>
          <w:sz w:val="24"/>
          <w:szCs w:val="24"/>
        </w:rPr>
        <w:t>dhe adaptimin e dënimit</w:t>
      </w:r>
      <w:r w:rsidR="00442E2E">
        <w:rPr>
          <w:rFonts w:ascii="Garamond" w:hAnsi="Garamond"/>
          <w:sz w:val="24"/>
          <w:szCs w:val="24"/>
        </w:rPr>
        <w:t xml:space="preserve">, </w:t>
      </w:r>
      <w:r w:rsidRPr="00207306">
        <w:rPr>
          <w:rFonts w:ascii="Garamond" w:hAnsi="Garamond"/>
          <w:sz w:val="24"/>
          <w:szCs w:val="24"/>
        </w:rPr>
        <w:t xml:space="preserve">në përputhje me </w:t>
      </w:r>
      <w:r w:rsidR="00442E2E" w:rsidRPr="00207306">
        <w:rPr>
          <w:rFonts w:ascii="Garamond" w:hAnsi="Garamond"/>
          <w:sz w:val="24"/>
          <w:szCs w:val="24"/>
        </w:rPr>
        <w:t xml:space="preserve">nenin </w:t>
      </w:r>
      <w:r w:rsidRPr="00207306">
        <w:rPr>
          <w:rFonts w:ascii="Garamond" w:hAnsi="Garamond"/>
          <w:sz w:val="24"/>
          <w:szCs w:val="24"/>
        </w:rPr>
        <w:t>7</w:t>
      </w:r>
      <w:r w:rsidR="00442E2E">
        <w:rPr>
          <w:rFonts w:ascii="Garamond" w:hAnsi="Garamond"/>
          <w:sz w:val="24"/>
          <w:szCs w:val="24"/>
        </w:rPr>
        <w:t>(1)</w:t>
      </w:r>
      <w:r w:rsidRPr="00207306">
        <w:rPr>
          <w:rFonts w:ascii="Garamond" w:hAnsi="Garamond"/>
          <w:sz w:val="24"/>
          <w:szCs w:val="24"/>
        </w:rPr>
        <w:t>(b) dhe (c) të kësaj marrëveshje</w:t>
      </w:r>
      <w:r w:rsidR="00442E2E">
        <w:rPr>
          <w:rFonts w:ascii="Garamond" w:hAnsi="Garamond"/>
          <w:sz w:val="24"/>
          <w:szCs w:val="24"/>
        </w:rPr>
        <w:t>,</w:t>
      </w:r>
      <w:r w:rsidRPr="00207306">
        <w:rPr>
          <w:rFonts w:ascii="Garamond" w:hAnsi="Garamond"/>
          <w:sz w:val="24"/>
          <w:szCs w:val="24"/>
        </w:rPr>
        <w:t xml:space="preserve"> mund të mos rezultojë në një kopje ekzakte të datës së lirimit me kusht në Mbretërinë e Bashkuar. </w:t>
      </w:r>
    </w:p>
    <w:p w14:paraId="31438504" w14:textId="6F78CBF1" w:rsidR="001F3B42" w:rsidRPr="00B63FB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 w:rsidRPr="00207306">
        <w:rPr>
          <w:rFonts w:ascii="Garamond" w:hAnsi="Garamond"/>
          <w:sz w:val="24"/>
          <w:szCs w:val="24"/>
        </w:rPr>
        <w:t xml:space="preserve">Asgjë në këtë </w:t>
      </w:r>
      <w:r w:rsidR="00442E2E" w:rsidRPr="00207306">
        <w:rPr>
          <w:rFonts w:ascii="Garamond" w:hAnsi="Garamond"/>
          <w:sz w:val="24"/>
          <w:szCs w:val="24"/>
        </w:rPr>
        <w:t xml:space="preserve">aneks </w:t>
      </w:r>
      <w:r w:rsidRPr="00207306">
        <w:rPr>
          <w:rFonts w:ascii="Garamond" w:hAnsi="Garamond"/>
          <w:sz w:val="24"/>
          <w:szCs w:val="24"/>
        </w:rPr>
        <w:t>nuk kërkon që Gjykata të përshtatë një dënim. Kjo mbetet çështje për t’u përcaktuar nga Gjykata rast pas rasti</w:t>
      </w:r>
      <w:r w:rsidR="00B63FB6">
        <w:rPr>
          <w:rFonts w:ascii="Garamond" w:hAnsi="Garamond"/>
          <w:sz w:val="24"/>
          <w:szCs w:val="24"/>
        </w:rPr>
        <w:t>.</w:t>
      </w:r>
    </w:p>
    <w:p w14:paraId="0652BC81" w14:textId="77777777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16505F" w14:textId="6CDE1F98" w:rsidR="001F3B42" w:rsidRPr="001F3B42" w:rsidRDefault="008E2390" w:rsidP="001F3B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1F3B42">
        <w:rPr>
          <w:rFonts w:ascii="Garamond" w:hAnsi="Garamond"/>
          <w:b/>
          <w:sz w:val="24"/>
          <w:szCs w:val="24"/>
        </w:rPr>
        <w:t>Tabela e përshtatjes së dënimit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F3B42" w:rsidRPr="00442E2E" w14:paraId="0C91942C" w14:textId="77777777" w:rsidTr="00442E2E">
        <w:tc>
          <w:tcPr>
            <w:tcW w:w="3005" w:type="dxa"/>
            <w:vAlign w:val="center"/>
          </w:tcPr>
          <w:p w14:paraId="06160623" w14:textId="77777777" w:rsidR="001F3B42" w:rsidRPr="00442E2E" w:rsidRDefault="001F3B42" w:rsidP="00442E2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b/>
                <w:sz w:val="20"/>
                <w:szCs w:val="20"/>
                <w:lang w:val="sq-AL"/>
              </w:rPr>
              <w:t>DËNIMI I DHËNË NË MBRETËRINË E BASHKUAR</w:t>
            </w:r>
          </w:p>
        </w:tc>
        <w:tc>
          <w:tcPr>
            <w:tcW w:w="3005" w:type="dxa"/>
            <w:vAlign w:val="center"/>
          </w:tcPr>
          <w:p w14:paraId="413C8A6C" w14:textId="249C821A" w:rsidR="001F3B42" w:rsidRPr="00442E2E" w:rsidRDefault="001F3B42" w:rsidP="00442E2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b/>
                <w:sz w:val="20"/>
                <w:szCs w:val="20"/>
                <w:lang w:val="sq-AL"/>
              </w:rPr>
              <w:t>PERIUDHA PËR T</w:t>
            </w:r>
            <w:r w:rsidR="00442E2E">
              <w:rPr>
                <w:rFonts w:ascii="Garamond" w:hAnsi="Garamond"/>
                <w:b/>
                <w:sz w:val="20"/>
                <w:szCs w:val="20"/>
                <w:lang w:val="sq-AL"/>
              </w:rPr>
              <w:t>’</w:t>
            </w:r>
            <w:r w:rsidRPr="00442E2E">
              <w:rPr>
                <w:rFonts w:ascii="Garamond" w:hAnsi="Garamond"/>
                <w:b/>
                <w:sz w:val="20"/>
                <w:szCs w:val="20"/>
                <w:lang w:val="sq-AL"/>
              </w:rPr>
              <w:t>U VUAJTUR DERI NË DATËN E LIRIMIT ME KUSHT NË MB</w:t>
            </w:r>
          </w:p>
          <w:p w14:paraId="15F613FB" w14:textId="4A97284D" w:rsidR="001F3B42" w:rsidRPr="00442E2E" w:rsidRDefault="001F3B42" w:rsidP="00442E2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b/>
                <w:sz w:val="20"/>
                <w:szCs w:val="20"/>
                <w:lang w:val="sq-AL"/>
              </w:rPr>
              <w:t>(gjysma e dënimit)</w:t>
            </w:r>
          </w:p>
        </w:tc>
        <w:tc>
          <w:tcPr>
            <w:tcW w:w="3006" w:type="dxa"/>
            <w:vAlign w:val="center"/>
          </w:tcPr>
          <w:p w14:paraId="1C693E8E" w14:textId="77777777" w:rsidR="001F3B42" w:rsidRPr="00442E2E" w:rsidRDefault="001F3B42" w:rsidP="00442E2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b/>
                <w:sz w:val="20"/>
                <w:szCs w:val="20"/>
                <w:lang w:val="sq-AL"/>
              </w:rPr>
              <w:t>DËNIM I PËRAFËRT EKUIVALENT NË SHQIPËRI</w:t>
            </w:r>
          </w:p>
        </w:tc>
      </w:tr>
      <w:tr w:rsidR="001F3B42" w:rsidRPr="00442E2E" w14:paraId="3242A3DB" w14:textId="77777777" w:rsidTr="0037272C">
        <w:tc>
          <w:tcPr>
            <w:tcW w:w="3005" w:type="dxa"/>
          </w:tcPr>
          <w:p w14:paraId="47EE1382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5 vite</w:t>
            </w:r>
          </w:p>
        </w:tc>
        <w:tc>
          <w:tcPr>
            <w:tcW w:w="3005" w:type="dxa"/>
          </w:tcPr>
          <w:p w14:paraId="136F2C8F" w14:textId="6C89444D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2B0D249F" w14:textId="623A98AE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</w:tr>
      <w:tr w:rsidR="001F3B42" w:rsidRPr="00442E2E" w14:paraId="2D8B55EF" w14:textId="77777777" w:rsidTr="0037272C">
        <w:tc>
          <w:tcPr>
            <w:tcW w:w="3005" w:type="dxa"/>
          </w:tcPr>
          <w:p w14:paraId="4194D5F6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vite</w:t>
            </w:r>
          </w:p>
        </w:tc>
        <w:tc>
          <w:tcPr>
            <w:tcW w:w="3005" w:type="dxa"/>
          </w:tcPr>
          <w:p w14:paraId="05E10A33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vite</w:t>
            </w:r>
          </w:p>
        </w:tc>
        <w:tc>
          <w:tcPr>
            <w:tcW w:w="3006" w:type="dxa"/>
          </w:tcPr>
          <w:p w14:paraId="2550F31D" w14:textId="0B6EC051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4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  <w:tr w:rsidR="001F3B42" w:rsidRPr="00442E2E" w14:paraId="09DA188B" w14:textId="77777777" w:rsidTr="0037272C">
        <w:tc>
          <w:tcPr>
            <w:tcW w:w="3005" w:type="dxa"/>
          </w:tcPr>
          <w:p w14:paraId="556C86B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7 vite</w:t>
            </w:r>
          </w:p>
        </w:tc>
        <w:tc>
          <w:tcPr>
            <w:tcW w:w="3005" w:type="dxa"/>
          </w:tcPr>
          <w:p w14:paraId="3F7912F7" w14:textId="23710DC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22D96A92" w14:textId="49F2B7FE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5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</w:tr>
      <w:tr w:rsidR="001F3B42" w:rsidRPr="00442E2E" w14:paraId="0FE6836E" w14:textId="77777777" w:rsidTr="0037272C">
        <w:tc>
          <w:tcPr>
            <w:tcW w:w="3005" w:type="dxa"/>
          </w:tcPr>
          <w:p w14:paraId="0EEC3423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8 vite</w:t>
            </w:r>
          </w:p>
        </w:tc>
        <w:tc>
          <w:tcPr>
            <w:tcW w:w="3005" w:type="dxa"/>
          </w:tcPr>
          <w:p w14:paraId="1698D991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4 vite</w:t>
            </w:r>
          </w:p>
        </w:tc>
        <w:tc>
          <w:tcPr>
            <w:tcW w:w="3006" w:type="dxa"/>
          </w:tcPr>
          <w:p w14:paraId="00DF41A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 xml:space="preserve">6 vite </w:t>
            </w:r>
          </w:p>
        </w:tc>
      </w:tr>
      <w:tr w:rsidR="001F3B42" w:rsidRPr="00442E2E" w14:paraId="241B0833" w14:textId="77777777" w:rsidTr="0037272C">
        <w:tc>
          <w:tcPr>
            <w:tcW w:w="3005" w:type="dxa"/>
          </w:tcPr>
          <w:p w14:paraId="194CCBAF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vite</w:t>
            </w:r>
          </w:p>
        </w:tc>
        <w:tc>
          <w:tcPr>
            <w:tcW w:w="3005" w:type="dxa"/>
          </w:tcPr>
          <w:p w14:paraId="322ECACF" w14:textId="554397D8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4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48273B4E" w14:textId="33820271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muaj</w:t>
            </w:r>
          </w:p>
        </w:tc>
      </w:tr>
      <w:tr w:rsidR="001F3B42" w:rsidRPr="00442E2E" w14:paraId="580D5CD1" w14:textId="77777777" w:rsidTr="0037272C">
        <w:tc>
          <w:tcPr>
            <w:tcW w:w="3005" w:type="dxa"/>
          </w:tcPr>
          <w:p w14:paraId="3C165B0E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10 vite</w:t>
            </w:r>
          </w:p>
        </w:tc>
        <w:tc>
          <w:tcPr>
            <w:tcW w:w="3005" w:type="dxa"/>
          </w:tcPr>
          <w:p w14:paraId="40AFE959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5 vite</w:t>
            </w:r>
          </w:p>
        </w:tc>
        <w:tc>
          <w:tcPr>
            <w:tcW w:w="3006" w:type="dxa"/>
          </w:tcPr>
          <w:p w14:paraId="3797DD30" w14:textId="46E8A86B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7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  <w:tr w:rsidR="001F3B42" w:rsidRPr="00442E2E" w14:paraId="281E95BB" w14:textId="77777777" w:rsidTr="0037272C">
        <w:tc>
          <w:tcPr>
            <w:tcW w:w="3005" w:type="dxa"/>
          </w:tcPr>
          <w:p w14:paraId="13AEAABA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11 vite</w:t>
            </w:r>
          </w:p>
        </w:tc>
        <w:tc>
          <w:tcPr>
            <w:tcW w:w="3005" w:type="dxa"/>
          </w:tcPr>
          <w:p w14:paraId="2ED84B28" w14:textId="0980FBCA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5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3AC8101A" w14:textId="4F8FB032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8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</w:tr>
      <w:tr w:rsidR="001F3B42" w:rsidRPr="00442E2E" w14:paraId="4C960207" w14:textId="77777777" w:rsidTr="0037272C">
        <w:tc>
          <w:tcPr>
            <w:tcW w:w="3005" w:type="dxa"/>
          </w:tcPr>
          <w:p w14:paraId="3862EA12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12 vite</w:t>
            </w:r>
          </w:p>
        </w:tc>
        <w:tc>
          <w:tcPr>
            <w:tcW w:w="3005" w:type="dxa"/>
          </w:tcPr>
          <w:p w14:paraId="45BA84CA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vite</w:t>
            </w:r>
          </w:p>
        </w:tc>
        <w:tc>
          <w:tcPr>
            <w:tcW w:w="3006" w:type="dxa"/>
          </w:tcPr>
          <w:p w14:paraId="1F850177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vite</w:t>
            </w:r>
          </w:p>
        </w:tc>
      </w:tr>
      <w:tr w:rsidR="001F3B42" w:rsidRPr="00442E2E" w14:paraId="48BEABF3" w14:textId="77777777" w:rsidTr="0037272C">
        <w:tc>
          <w:tcPr>
            <w:tcW w:w="3005" w:type="dxa"/>
          </w:tcPr>
          <w:p w14:paraId="31D8B18B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13 vite</w:t>
            </w:r>
          </w:p>
        </w:tc>
        <w:tc>
          <w:tcPr>
            <w:tcW w:w="3005" w:type="dxa"/>
          </w:tcPr>
          <w:p w14:paraId="611FE3A8" w14:textId="553089CA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1F6D8CC9" w14:textId="528B4E7F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muaj</w:t>
            </w:r>
          </w:p>
        </w:tc>
      </w:tr>
      <w:tr w:rsidR="001F3B42" w:rsidRPr="00442E2E" w14:paraId="523942D6" w14:textId="77777777" w:rsidTr="0037272C">
        <w:tc>
          <w:tcPr>
            <w:tcW w:w="3005" w:type="dxa"/>
          </w:tcPr>
          <w:p w14:paraId="55D75434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14 vite</w:t>
            </w:r>
          </w:p>
        </w:tc>
        <w:tc>
          <w:tcPr>
            <w:tcW w:w="3005" w:type="dxa"/>
          </w:tcPr>
          <w:p w14:paraId="40C6414E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7 vite</w:t>
            </w:r>
          </w:p>
        </w:tc>
        <w:tc>
          <w:tcPr>
            <w:tcW w:w="3006" w:type="dxa"/>
          </w:tcPr>
          <w:p w14:paraId="10C43531" w14:textId="0A3D4DD8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10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  <w:tr w:rsidR="001F3B42" w:rsidRPr="00442E2E" w14:paraId="6005050A" w14:textId="77777777" w:rsidTr="0037272C">
        <w:tc>
          <w:tcPr>
            <w:tcW w:w="3005" w:type="dxa"/>
          </w:tcPr>
          <w:p w14:paraId="79C5E1C2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15 vite</w:t>
            </w:r>
          </w:p>
        </w:tc>
        <w:tc>
          <w:tcPr>
            <w:tcW w:w="3005" w:type="dxa"/>
          </w:tcPr>
          <w:p w14:paraId="3772BD66" w14:textId="67A99342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7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47D8B783" w14:textId="1AC576F0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11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</w:tr>
      <w:tr w:rsidR="001F3B42" w:rsidRPr="00442E2E" w14:paraId="64CBCD74" w14:textId="77777777" w:rsidTr="0037272C">
        <w:tc>
          <w:tcPr>
            <w:tcW w:w="3005" w:type="dxa"/>
          </w:tcPr>
          <w:p w14:paraId="3B9F326A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16 vite</w:t>
            </w:r>
          </w:p>
        </w:tc>
        <w:tc>
          <w:tcPr>
            <w:tcW w:w="3005" w:type="dxa"/>
          </w:tcPr>
          <w:p w14:paraId="655DE7EB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8 vite</w:t>
            </w:r>
          </w:p>
        </w:tc>
        <w:tc>
          <w:tcPr>
            <w:tcW w:w="3006" w:type="dxa"/>
          </w:tcPr>
          <w:p w14:paraId="5E971349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12 vite</w:t>
            </w:r>
          </w:p>
        </w:tc>
      </w:tr>
      <w:tr w:rsidR="001F3B42" w:rsidRPr="00442E2E" w14:paraId="0E179A2F" w14:textId="77777777" w:rsidTr="0037272C">
        <w:tc>
          <w:tcPr>
            <w:tcW w:w="3005" w:type="dxa"/>
          </w:tcPr>
          <w:p w14:paraId="7995D79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17 vite</w:t>
            </w:r>
          </w:p>
        </w:tc>
        <w:tc>
          <w:tcPr>
            <w:tcW w:w="3005" w:type="dxa"/>
          </w:tcPr>
          <w:p w14:paraId="047CD71C" w14:textId="0DD5A0CF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8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44550E6F" w14:textId="6E2FD41E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12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muaj</w:t>
            </w:r>
          </w:p>
        </w:tc>
      </w:tr>
      <w:tr w:rsidR="001F3B42" w:rsidRPr="00442E2E" w14:paraId="2CDB8D79" w14:textId="77777777" w:rsidTr="0037272C">
        <w:tc>
          <w:tcPr>
            <w:tcW w:w="3005" w:type="dxa"/>
          </w:tcPr>
          <w:p w14:paraId="3A82B91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18 vite</w:t>
            </w:r>
          </w:p>
        </w:tc>
        <w:tc>
          <w:tcPr>
            <w:tcW w:w="3005" w:type="dxa"/>
          </w:tcPr>
          <w:p w14:paraId="44039427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vite</w:t>
            </w:r>
          </w:p>
        </w:tc>
        <w:tc>
          <w:tcPr>
            <w:tcW w:w="3006" w:type="dxa"/>
          </w:tcPr>
          <w:p w14:paraId="58576C1E" w14:textId="04F8F4FE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13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  <w:tr w:rsidR="001F3B42" w:rsidRPr="00442E2E" w14:paraId="439F2D35" w14:textId="77777777" w:rsidTr="0037272C">
        <w:tc>
          <w:tcPr>
            <w:tcW w:w="3005" w:type="dxa"/>
          </w:tcPr>
          <w:p w14:paraId="7DCF14E0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19 vite</w:t>
            </w:r>
          </w:p>
        </w:tc>
        <w:tc>
          <w:tcPr>
            <w:tcW w:w="3005" w:type="dxa"/>
          </w:tcPr>
          <w:p w14:paraId="0C60BEE1" w14:textId="476F882B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7687679F" w14:textId="3547DB83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14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</w:tr>
      <w:tr w:rsidR="001F3B42" w:rsidRPr="00442E2E" w14:paraId="4DBD554E" w14:textId="77777777" w:rsidTr="0037272C">
        <w:tc>
          <w:tcPr>
            <w:tcW w:w="3005" w:type="dxa"/>
          </w:tcPr>
          <w:p w14:paraId="4C961A34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20 vite</w:t>
            </w:r>
          </w:p>
        </w:tc>
        <w:tc>
          <w:tcPr>
            <w:tcW w:w="3005" w:type="dxa"/>
          </w:tcPr>
          <w:p w14:paraId="35780F76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10 vite</w:t>
            </w:r>
          </w:p>
        </w:tc>
        <w:tc>
          <w:tcPr>
            <w:tcW w:w="3006" w:type="dxa"/>
          </w:tcPr>
          <w:p w14:paraId="59F60226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 xml:space="preserve">15 vite </w:t>
            </w:r>
          </w:p>
        </w:tc>
      </w:tr>
      <w:tr w:rsidR="001F3B42" w:rsidRPr="00442E2E" w14:paraId="27552145" w14:textId="77777777" w:rsidTr="0037272C">
        <w:tc>
          <w:tcPr>
            <w:tcW w:w="3005" w:type="dxa"/>
          </w:tcPr>
          <w:p w14:paraId="737E6195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21 vite</w:t>
            </w:r>
          </w:p>
        </w:tc>
        <w:tc>
          <w:tcPr>
            <w:tcW w:w="3005" w:type="dxa"/>
          </w:tcPr>
          <w:p w14:paraId="52727F93" w14:textId="0F430FC4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10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0D94FA5B" w14:textId="67620F8B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15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muaj</w:t>
            </w:r>
          </w:p>
        </w:tc>
      </w:tr>
      <w:tr w:rsidR="001F3B42" w:rsidRPr="00442E2E" w14:paraId="2AD7EAC1" w14:textId="77777777" w:rsidTr="0037272C">
        <w:tc>
          <w:tcPr>
            <w:tcW w:w="3005" w:type="dxa"/>
          </w:tcPr>
          <w:p w14:paraId="07EA0DFD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22 vite</w:t>
            </w:r>
          </w:p>
        </w:tc>
        <w:tc>
          <w:tcPr>
            <w:tcW w:w="3005" w:type="dxa"/>
          </w:tcPr>
          <w:p w14:paraId="3927660C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11 vite</w:t>
            </w:r>
          </w:p>
        </w:tc>
        <w:tc>
          <w:tcPr>
            <w:tcW w:w="3006" w:type="dxa"/>
          </w:tcPr>
          <w:p w14:paraId="3782AA9C" w14:textId="3C6521EF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16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  <w:tr w:rsidR="001F3B42" w:rsidRPr="00442E2E" w14:paraId="783AC831" w14:textId="77777777" w:rsidTr="0037272C">
        <w:tc>
          <w:tcPr>
            <w:tcW w:w="3005" w:type="dxa"/>
          </w:tcPr>
          <w:p w14:paraId="3855BDEA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23 vite</w:t>
            </w:r>
          </w:p>
        </w:tc>
        <w:tc>
          <w:tcPr>
            <w:tcW w:w="3005" w:type="dxa"/>
          </w:tcPr>
          <w:p w14:paraId="4C637EA4" w14:textId="699A4D81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11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1FFE421B" w14:textId="07FBEFEA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17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</w:tr>
      <w:tr w:rsidR="001F3B42" w:rsidRPr="00442E2E" w14:paraId="23BFDDB2" w14:textId="77777777" w:rsidTr="0037272C">
        <w:tc>
          <w:tcPr>
            <w:tcW w:w="3005" w:type="dxa"/>
          </w:tcPr>
          <w:p w14:paraId="021EFD76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24 vite</w:t>
            </w:r>
          </w:p>
        </w:tc>
        <w:tc>
          <w:tcPr>
            <w:tcW w:w="3005" w:type="dxa"/>
          </w:tcPr>
          <w:p w14:paraId="79EE3C81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12 vite</w:t>
            </w:r>
          </w:p>
        </w:tc>
        <w:tc>
          <w:tcPr>
            <w:tcW w:w="3006" w:type="dxa"/>
          </w:tcPr>
          <w:p w14:paraId="43941A40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18 vite</w:t>
            </w:r>
          </w:p>
        </w:tc>
      </w:tr>
      <w:tr w:rsidR="001F3B42" w:rsidRPr="00442E2E" w14:paraId="3D7E62E8" w14:textId="77777777" w:rsidTr="0037272C">
        <w:tc>
          <w:tcPr>
            <w:tcW w:w="3005" w:type="dxa"/>
          </w:tcPr>
          <w:p w14:paraId="12A8C45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25 vite</w:t>
            </w:r>
          </w:p>
        </w:tc>
        <w:tc>
          <w:tcPr>
            <w:tcW w:w="3005" w:type="dxa"/>
          </w:tcPr>
          <w:p w14:paraId="6F810CCD" w14:textId="298B0DEF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12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44D51473" w14:textId="2C44000C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18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muaj</w:t>
            </w:r>
          </w:p>
        </w:tc>
      </w:tr>
      <w:tr w:rsidR="001F3B42" w:rsidRPr="00442E2E" w14:paraId="33325C72" w14:textId="77777777" w:rsidTr="0037272C">
        <w:tc>
          <w:tcPr>
            <w:tcW w:w="3005" w:type="dxa"/>
          </w:tcPr>
          <w:p w14:paraId="34A54409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26 vite</w:t>
            </w:r>
          </w:p>
        </w:tc>
        <w:tc>
          <w:tcPr>
            <w:tcW w:w="3005" w:type="dxa"/>
          </w:tcPr>
          <w:p w14:paraId="432FDA5F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13 vite</w:t>
            </w:r>
          </w:p>
        </w:tc>
        <w:tc>
          <w:tcPr>
            <w:tcW w:w="3006" w:type="dxa"/>
          </w:tcPr>
          <w:p w14:paraId="1DD944D5" w14:textId="0F103F7E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19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  <w:tr w:rsidR="001F3B42" w:rsidRPr="00442E2E" w14:paraId="4D0BBFB9" w14:textId="77777777" w:rsidTr="0037272C">
        <w:tc>
          <w:tcPr>
            <w:tcW w:w="3005" w:type="dxa"/>
          </w:tcPr>
          <w:p w14:paraId="2E115CAE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27 vite</w:t>
            </w:r>
          </w:p>
        </w:tc>
        <w:tc>
          <w:tcPr>
            <w:tcW w:w="3005" w:type="dxa"/>
          </w:tcPr>
          <w:p w14:paraId="6B1D3BD3" w14:textId="76F537CF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13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5B8D0BD5" w14:textId="7C0100E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20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</w:tr>
      <w:tr w:rsidR="001F3B42" w:rsidRPr="00442E2E" w14:paraId="182F8E48" w14:textId="77777777" w:rsidTr="0037272C">
        <w:tc>
          <w:tcPr>
            <w:tcW w:w="3005" w:type="dxa"/>
          </w:tcPr>
          <w:p w14:paraId="56C6F1C6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28 vite</w:t>
            </w:r>
          </w:p>
        </w:tc>
        <w:tc>
          <w:tcPr>
            <w:tcW w:w="3005" w:type="dxa"/>
          </w:tcPr>
          <w:p w14:paraId="2936236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14 vite</w:t>
            </w:r>
          </w:p>
        </w:tc>
        <w:tc>
          <w:tcPr>
            <w:tcW w:w="3006" w:type="dxa"/>
          </w:tcPr>
          <w:p w14:paraId="1CF90488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21 vite</w:t>
            </w:r>
          </w:p>
        </w:tc>
      </w:tr>
      <w:tr w:rsidR="001F3B42" w:rsidRPr="00442E2E" w14:paraId="19B56FB9" w14:textId="77777777" w:rsidTr="0037272C">
        <w:tc>
          <w:tcPr>
            <w:tcW w:w="3005" w:type="dxa"/>
          </w:tcPr>
          <w:p w14:paraId="73720E76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29 vite</w:t>
            </w:r>
          </w:p>
        </w:tc>
        <w:tc>
          <w:tcPr>
            <w:tcW w:w="3005" w:type="dxa"/>
          </w:tcPr>
          <w:p w14:paraId="79A1A872" w14:textId="2658BFE9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14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3006" w:type="dxa"/>
          </w:tcPr>
          <w:p w14:paraId="49C806B0" w14:textId="3126558B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21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9 muaj</w:t>
            </w:r>
          </w:p>
        </w:tc>
      </w:tr>
      <w:tr w:rsidR="001F3B42" w:rsidRPr="00442E2E" w14:paraId="5D28466D" w14:textId="77777777" w:rsidTr="0037272C">
        <w:tc>
          <w:tcPr>
            <w:tcW w:w="3005" w:type="dxa"/>
          </w:tcPr>
          <w:p w14:paraId="608BC141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30 vite</w:t>
            </w:r>
          </w:p>
        </w:tc>
        <w:tc>
          <w:tcPr>
            <w:tcW w:w="3005" w:type="dxa"/>
          </w:tcPr>
          <w:p w14:paraId="6C81CB87" w14:textId="77777777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15 vite</w:t>
            </w:r>
          </w:p>
        </w:tc>
        <w:tc>
          <w:tcPr>
            <w:tcW w:w="3006" w:type="dxa"/>
          </w:tcPr>
          <w:p w14:paraId="4A69EFFB" w14:textId="438B18DB" w:rsidR="001F3B42" w:rsidRPr="00442E2E" w:rsidRDefault="001F3B42" w:rsidP="0062436C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22 vite dhe</w:t>
            </w:r>
            <w:r w:rsidR="003F420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42E2E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</w:tr>
    </w:tbl>
    <w:p w14:paraId="6D22A00F" w14:textId="77777777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633ED5" w14:textId="77777777" w:rsidR="001F3B42" w:rsidRPr="00207306" w:rsidRDefault="001F3B42" w:rsidP="001F3B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354CD0">
        <w:rPr>
          <w:rFonts w:ascii="Garamond" w:hAnsi="Garamond"/>
          <w:sz w:val="24"/>
          <w:szCs w:val="24"/>
        </w:rPr>
        <w:t>Onr 407</w:t>
      </w:r>
    </w:p>
    <w:p w14:paraId="2A40966D" w14:textId="77777777" w:rsidR="001F3B42" w:rsidRPr="00892011" w:rsidRDefault="001F3B42" w:rsidP="0093245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sectPr w:rsidR="001F3B42" w:rsidRPr="00892011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D43B5" w14:textId="77777777" w:rsidR="009C079C" w:rsidRDefault="009C079C" w:rsidP="00420682">
      <w:pPr>
        <w:spacing w:after="0" w:line="240" w:lineRule="auto"/>
      </w:pPr>
      <w:r>
        <w:separator/>
      </w:r>
    </w:p>
  </w:endnote>
  <w:endnote w:type="continuationSeparator" w:id="0">
    <w:p w14:paraId="37BDC7EE" w14:textId="77777777" w:rsidR="009C079C" w:rsidRDefault="009C079C" w:rsidP="00420682">
      <w:pPr>
        <w:spacing w:after="0" w:line="240" w:lineRule="auto"/>
      </w:pPr>
      <w:r>
        <w:continuationSeparator/>
      </w:r>
    </w:p>
  </w:endnote>
  <w:endnote w:type="continuationNotice" w:id="1">
    <w:p w14:paraId="06E95DE9" w14:textId="77777777" w:rsidR="009C079C" w:rsidRDefault="009C07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03730" w14:textId="77777777" w:rsidR="009C079C" w:rsidRDefault="009C079C" w:rsidP="00420682">
      <w:pPr>
        <w:spacing w:after="0" w:line="240" w:lineRule="auto"/>
      </w:pPr>
      <w:r>
        <w:separator/>
      </w:r>
    </w:p>
  </w:footnote>
  <w:footnote w:type="continuationSeparator" w:id="0">
    <w:p w14:paraId="37631EB3" w14:textId="77777777" w:rsidR="009C079C" w:rsidRDefault="009C079C" w:rsidP="00420682">
      <w:pPr>
        <w:spacing w:after="0" w:line="240" w:lineRule="auto"/>
      </w:pPr>
      <w:r>
        <w:continuationSeparator/>
      </w:r>
    </w:p>
  </w:footnote>
  <w:footnote w:type="continuationNotice" w:id="1">
    <w:p w14:paraId="66DECE6A" w14:textId="77777777" w:rsidR="009C079C" w:rsidRDefault="009C07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4C47"/>
    <w:rsid w:val="00025CEC"/>
    <w:rsid w:val="000376C8"/>
    <w:rsid w:val="00055AB5"/>
    <w:rsid w:val="00060376"/>
    <w:rsid w:val="00060A44"/>
    <w:rsid w:val="000765C2"/>
    <w:rsid w:val="000933E0"/>
    <w:rsid w:val="000946C7"/>
    <w:rsid w:val="000A0EF3"/>
    <w:rsid w:val="000A3B4D"/>
    <w:rsid w:val="000D199E"/>
    <w:rsid w:val="000D6789"/>
    <w:rsid w:val="000E5B57"/>
    <w:rsid w:val="000E5BA6"/>
    <w:rsid w:val="000F1BC6"/>
    <w:rsid w:val="000F66AD"/>
    <w:rsid w:val="00106F6D"/>
    <w:rsid w:val="00124835"/>
    <w:rsid w:val="0012550D"/>
    <w:rsid w:val="0013036D"/>
    <w:rsid w:val="00146D52"/>
    <w:rsid w:val="00153CC5"/>
    <w:rsid w:val="00155BCF"/>
    <w:rsid w:val="00166898"/>
    <w:rsid w:val="001816AF"/>
    <w:rsid w:val="00186E19"/>
    <w:rsid w:val="001942D4"/>
    <w:rsid w:val="001B796E"/>
    <w:rsid w:val="001C0806"/>
    <w:rsid w:val="001C445C"/>
    <w:rsid w:val="001C5CDE"/>
    <w:rsid w:val="001C7EC0"/>
    <w:rsid w:val="001D2895"/>
    <w:rsid w:val="001F194A"/>
    <w:rsid w:val="001F3B42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77C"/>
    <w:rsid w:val="00266C06"/>
    <w:rsid w:val="00271016"/>
    <w:rsid w:val="0027151D"/>
    <w:rsid w:val="00286B86"/>
    <w:rsid w:val="002878BE"/>
    <w:rsid w:val="002A47D7"/>
    <w:rsid w:val="002C0D9D"/>
    <w:rsid w:val="002F5953"/>
    <w:rsid w:val="00312DF9"/>
    <w:rsid w:val="00354CD0"/>
    <w:rsid w:val="0037272C"/>
    <w:rsid w:val="00374775"/>
    <w:rsid w:val="0038331D"/>
    <w:rsid w:val="0039025E"/>
    <w:rsid w:val="00397541"/>
    <w:rsid w:val="003A63A5"/>
    <w:rsid w:val="003A79F9"/>
    <w:rsid w:val="003C48FF"/>
    <w:rsid w:val="003C5703"/>
    <w:rsid w:val="003F29A8"/>
    <w:rsid w:val="003F4207"/>
    <w:rsid w:val="0040769E"/>
    <w:rsid w:val="0041300C"/>
    <w:rsid w:val="00420682"/>
    <w:rsid w:val="00432A0C"/>
    <w:rsid w:val="00433BCD"/>
    <w:rsid w:val="00442E2E"/>
    <w:rsid w:val="00444DD5"/>
    <w:rsid w:val="00445610"/>
    <w:rsid w:val="00455BBA"/>
    <w:rsid w:val="00460BC4"/>
    <w:rsid w:val="004647DB"/>
    <w:rsid w:val="004676C7"/>
    <w:rsid w:val="00477804"/>
    <w:rsid w:val="0049273F"/>
    <w:rsid w:val="004A5884"/>
    <w:rsid w:val="004A6C38"/>
    <w:rsid w:val="004B60F3"/>
    <w:rsid w:val="004B61C3"/>
    <w:rsid w:val="004B6ED9"/>
    <w:rsid w:val="004B7A90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A44F2"/>
    <w:rsid w:val="005A4882"/>
    <w:rsid w:val="005B3775"/>
    <w:rsid w:val="005B6E3F"/>
    <w:rsid w:val="0062077A"/>
    <w:rsid w:val="0062436C"/>
    <w:rsid w:val="006347DA"/>
    <w:rsid w:val="006465EF"/>
    <w:rsid w:val="00646924"/>
    <w:rsid w:val="00657CAC"/>
    <w:rsid w:val="00672A34"/>
    <w:rsid w:val="0067406E"/>
    <w:rsid w:val="00677E6C"/>
    <w:rsid w:val="006816B3"/>
    <w:rsid w:val="006873CE"/>
    <w:rsid w:val="006A0FE6"/>
    <w:rsid w:val="006A7C9E"/>
    <w:rsid w:val="006F4141"/>
    <w:rsid w:val="006F4D55"/>
    <w:rsid w:val="00726525"/>
    <w:rsid w:val="00736DC8"/>
    <w:rsid w:val="007403CF"/>
    <w:rsid w:val="007654B3"/>
    <w:rsid w:val="007714D4"/>
    <w:rsid w:val="00774741"/>
    <w:rsid w:val="007A2E0E"/>
    <w:rsid w:val="007B0861"/>
    <w:rsid w:val="007C083E"/>
    <w:rsid w:val="007D742E"/>
    <w:rsid w:val="007E2515"/>
    <w:rsid w:val="007E772C"/>
    <w:rsid w:val="007F0D73"/>
    <w:rsid w:val="007F501F"/>
    <w:rsid w:val="007F56E3"/>
    <w:rsid w:val="00804514"/>
    <w:rsid w:val="00811138"/>
    <w:rsid w:val="00840462"/>
    <w:rsid w:val="0085472C"/>
    <w:rsid w:val="008620E4"/>
    <w:rsid w:val="0086360A"/>
    <w:rsid w:val="008720AB"/>
    <w:rsid w:val="0087264B"/>
    <w:rsid w:val="00887AD4"/>
    <w:rsid w:val="008914C1"/>
    <w:rsid w:val="00892011"/>
    <w:rsid w:val="00892C77"/>
    <w:rsid w:val="008A1646"/>
    <w:rsid w:val="008C159D"/>
    <w:rsid w:val="008C3B1B"/>
    <w:rsid w:val="008D12D7"/>
    <w:rsid w:val="008E2390"/>
    <w:rsid w:val="00900D7B"/>
    <w:rsid w:val="00903607"/>
    <w:rsid w:val="0091014E"/>
    <w:rsid w:val="009104DF"/>
    <w:rsid w:val="00931662"/>
    <w:rsid w:val="00932456"/>
    <w:rsid w:val="00951853"/>
    <w:rsid w:val="00951944"/>
    <w:rsid w:val="00970D95"/>
    <w:rsid w:val="00974717"/>
    <w:rsid w:val="00976A3C"/>
    <w:rsid w:val="00991D86"/>
    <w:rsid w:val="009923D1"/>
    <w:rsid w:val="0099741A"/>
    <w:rsid w:val="009A6F98"/>
    <w:rsid w:val="009C079C"/>
    <w:rsid w:val="00A06D12"/>
    <w:rsid w:val="00A15DE9"/>
    <w:rsid w:val="00A1682D"/>
    <w:rsid w:val="00A17ABB"/>
    <w:rsid w:val="00A34D9D"/>
    <w:rsid w:val="00A431DD"/>
    <w:rsid w:val="00A645A6"/>
    <w:rsid w:val="00A66C7F"/>
    <w:rsid w:val="00A77674"/>
    <w:rsid w:val="00AA32E0"/>
    <w:rsid w:val="00AA3630"/>
    <w:rsid w:val="00AC2686"/>
    <w:rsid w:val="00AD0E2A"/>
    <w:rsid w:val="00AE2EAD"/>
    <w:rsid w:val="00AF0CE9"/>
    <w:rsid w:val="00AF0EC3"/>
    <w:rsid w:val="00B01749"/>
    <w:rsid w:val="00B03A16"/>
    <w:rsid w:val="00B54D96"/>
    <w:rsid w:val="00B63FB6"/>
    <w:rsid w:val="00B6427E"/>
    <w:rsid w:val="00B67778"/>
    <w:rsid w:val="00BA1706"/>
    <w:rsid w:val="00BA5571"/>
    <w:rsid w:val="00BB15C8"/>
    <w:rsid w:val="00BD45DE"/>
    <w:rsid w:val="00BD4611"/>
    <w:rsid w:val="00C0662E"/>
    <w:rsid w:val="00C10624"/>
    <w:rsid w:val="00C324C6"/>
    <w:rsid w:val="00C37AA7"/>
    <w:rsid w:val="00C4191B"/>
    <w:rsid w:val="00C446ED"/>
    <w:rsid w:val="00C60160"/>
    <w:rsid w:val="00C60CAD"/>
    <w:rsid w:val="00C6573D"/>
    <w:rsid w:val="00C65CA7"/>
    <w:rsid w:val="00C91E84"/>
    <w:rsid w:val="00CA0828"/>
    <w:rsid w:val="00CB1478"/>
    <w:rsid w:val="00CC22ED"/>
    <w:rsid w:val="00CC7CA2"/>
    <w:rsid w:val="00CF21E9"/>
    <w:rsid w:val="00CF5B26"/>
    <w:rsid w:val="00D119F5"/>
    <w:rsid w:val="00D23C4B"/>
    <w:rsid w:val="00D30FD5"/>
    <w:rsid w:val="00D45AC2"/>
    <w:rsid w:val="00D60C6B"/>
    <w:rsid w:val="00DA47C7"/>
    <w:rsid w:val="00DA56D4"/>
    <w:rsid w:val="00DC03DB"/>
    <w:rsid w:val="00DD3B16"/>
    <w:rsid w:val="00DE1DA8"/>
    <w:rsid w:val="00DF6311"/>
    <w:rsid w:val="00E1662C"/>
    <w:rsid w:val="00E236D1"/>
    <w:rsid w:val="00E32B8C"/>
    <w:rsid w:val="00E370B3"/>
    <w:rsid w:val="00E452DA"/>
    <w:rsid w:val="00E6234F"/>
    <w:rsid w:val="00E72BC5"/>
    <w:rsid w:val="00E76B9D"/>
    <w:rsid w:val="00EB3475"/>
    <w:rsid w:val="00EC55E7"/>
    <w:rsid w:val="00EC57E8"/>
    <w:rsid w:val="00EE7E5D"/>
    <w:rsid w:val="00F00AD8"/>
    <w:rsid w:val="00F07F7F"/>
    <w:rsid w:val="00F226AE"/>
    <w:rsid w:val="00F234B6"/>
    <w:rsid w:val="00F372D6"/>
    <w:rsid w:val="00F52125"/>
    <w:rsid w:val="00F537D2"/>
    <w:rsid w:val="00F630AC"/>
    <w:rsid w:val="00F82945"/>
    <w:rsid w:val="00F84F9C"/>
    <w:rsid w:val="00FB5CED"/>
    <w:rsid w:val="00FC484A"/>
    <w:rsid w:val="00FC631E"/>
    <w:rsid w:val="00FF2798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867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A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47C7"/>
  </w:style>
  <w:style w:type="paragraph" w:styleId="Footer">
    <w:name w:val="footer"/>
    <w:basedOn w:val="Normal"/>
    <w:link w:val="FooterChar"/>
    <w:uiPriority w:val="99"/>
    <w:semiHidden/>
    <w:unhideWhenUsed/>
    <w:rsid w:val="00DA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47C7"/>
  </w:style>
  <w:style w:type="table" w:styleId="TableGrid">
    <w:name w:val="Table Grid"/>
    <w:basedOn w:val="TableNormal"/>
    <w:uiPriority w:val="39"/>
    <w:rsid w:val="001F3B42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A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47C7"/>
  </w:style>
  <w:style w:type="paragraph" w:styleId="Footer">
    <w:name w:val="footer"/>
    <w:basedOn w:val="Normal"/>
    <w:link w:val="FooterChar"/>
    <w:uiPriority w:val="99"/>
    <w:semiHidden/>
    <w:unhideWhenUsed/>
    <w:rsid w:val="00DA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47C7"/>
  </w:style>
  <w:style w:type="table" w:styleId="TableGrid">
    <w:name w:val="Table Grid"/>
    <w:basedOn w:val="TableNormal"/>
    <w:uiPriority w:val="39"/>
    <w:rsid w:val="001F3B42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2021-12-28T11:06:57Z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2021-12-27T23:00:00Z</Date_x0020_protokolli>
    <Titulli xmlns="0e656187-b300-4fb0-8bf4-3a50f872073c">Për ratifikimin e marrëveshjes ndërmjet Republikës së Shqipërisë dhe Mbretërisë së Bashkuar të Britanisë së Madhe dhe Irlandës së Veriut mbi transferimin e personave të dënuar</Titulli>
    <Modifikuesi xmlns="0e656187-b300-4fb0-8bf4-3a50f872073c">alma.lisaku</Modifikuesi>
    <Nr_x002e__x0020_prot_x0020_QBZ xmlns="0e656187-b300-4fb0-8bf4-3a50f872073c">1782/1</Nr_x002e__x0020_prot_x0020_QBZ>
    <Data_x0020_e_x0020_Modifikimit xmlns="0e656187-b300-4fb0-8bf4-3a50f872073c">2021-12-28T12:38:20Z</Data_x0020_e_x0020_Modifikimit>
    <Dekretuar xmlns="0e656187-b300-4fb0-8bf4-3a50f872073c">false</Dekretuar>
    <Data xmlns="0e656187-b300-4fb0-8bf4-3a50f872073c">2021-12-15T23:00:00Z</Data>
    <Nr_x002e__x0020_protokolli_x0020_i_x0020_aktit xmlns="0e656187-b300-4fb0-8bf4-3a50f872073c">3440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138A3A2E88472A996371F2D7841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138A3A2E88472A996371F2D7841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92FD8-3BC3-4D16-8927-5A03EE8C3A63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7FC0F39-ED2A-43C8-8641-408F01135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6D1970-CA3D-46A3-9BFF-454E4EF66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8CC53A-1E0A-4F46-8B1F-D33F146200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8EE11C-F62E-4772-9E49-3C98F902F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55921C-ADA9-47F2-A719-E15F3060A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Republikës së Shqipërisë dhe Mbretërisë së Bashkuar të Britanisë së Madhe dhe Irlandës së Veriut mbi transferimin e personave të dënuar</vt:lpstr>
    </vt:vector>
  </TitlesOfParts>
  <Company/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Republikës së Shqipërisë dhe Mbretërisë së Bashkuar të Britanisë së Madhe dhe Irlandës së Veriut mbi transferimin e personave të dënuar</dc:title>
  <dc:creator>gazmend.hanku</dc:creator>
  <cp:lastModifiedBy>Amarilda Muja</cp:lastModifiedBy>
  <cp:revision>32</cp:revision>
  <cp:lastPrinted>2021-12-13T08:43:00Z</cp:lastPrinted>
  <dcterms:created xsi:type="dcterms:W3CDTF">2021-12-28T09:37:00Z</dcterms:created>
  <dcterms:modified xsi:type="dcterms:W3CDTF">2021-12-29T08:45:00Z</dcterms:modified>
</cp:coreProperties>
</file>