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DC7FF" w14:textId="77777777" w:rsidR="00420682" w:rsidRPr="00551729" w:rsidRDefault="00420682" w:rsidP="00032E19">
      <w:pPr>
        <w:spacing w:after="0" w:line="240" w:lineRule="auto"/>
        <w:jc w:val="center"/>
        <w:rPr>
          <w:rFonts w:ascii="Garamond" w:hAnsi="Garamond" w:cs="Times New Roman"/>
          <w:b/>
          <w:sz w:val="24"/>
          <w:szCs w:val="24"/>
        </w:rPr>
      </w:pPr>
      <w:r w:rsidRPr="00551729">
        <w:rPr>
          <w:rFonts w:ascii="Garamond" w:hAnsi="Garamond" w:cs="Times New Roman"/>
          <w:b/>
          <w:sz w:val="24"/>
          <w:szCs w:val="24"/>
        </w:rPr>
        <w:t>LIGJ</w:t>
      </w:r>
    </w:p>
    <w:p w14:paraId="1BADC800" w14:textId="77777777" w:rsidR="003A4DD5" w:rsidRPr="00551729" w:rsidRDefault="002009A1" w:rsidP="00032E19">
      <w:pPr>
        <w:spacing w:after="0" w:line="240" w:lineRule="auto"/>
        <w:jc w:val="center"/>
        <w:rPr>
          <w:rFonts w:ascii="Garamond" w:hAnsi="Garamond" w:cs="Times New Roman"/>
          <w:b/>
          <w:sz w:val="24"/>
          <w:szCs w:val="24"/>
        </w:rPr>
      </w:pPr>
      <w:r w:rsidRPr="00551729">
        <w:rPr>
          <w:rFonts w:ascii="Garamond" w:hAnsi="Garamond" w:cs="Times New Roman"/>
          <w:b/>
          <w:sz w:val="24"/>
          <w:szCs w:val="24"/>
        </w:rPr>
        <w:t xml:space="preserve">Nr. </w:t>
      </w:r>
      <w:r w:rsidR="00DC561D" w:rsidRPr="00551729">
        <w:rPr>
          <w:rFonts w:ascii="Garamond" w:hAnsi="Garamond" w:cs="Times New Roman"/>
          <w:b/>
          <w:sz w:val="24"/>
          <w:szCs w:val="24"/>
        </w:rPr>
        <w:t>132</w:t>
      </w:r>
      <w:r w:rsidR="00B8668D" w:rsidRPr="00551729">
        <w:rPr>
          <w:rFonts w:ascii="Garamond" w:hAnsi="Garamond" w:cs="Times New Roman"/>
          <w:b/>
          <w:sz w:val="24"/>
          <w:szCs w:val="24"/>
        </w:rPr>
        <w:t>/2021</w:t>
      </w:r>
    </w:p>
    <w:p w14:paraId="1BADC801" w14:textId="77777777" w:rsidR="00342E37" w:rsidRPr="00551729" w:rsidRDefault="00342E37" w:rsidP="00032E19">
      <w:pPr>
        <w:spacing w:after="0" w:line="240" w:lineRule="auto"/>
        <w:jc w:val="both"/>
        <w:rPr>
          <w:rFonts w:ascii="Garamond" w:hAnsi="Garamond" w:cs="Times New Roman"/>
          <w:bCs/>
          <w:sz w:val="24"/>
          <w:szCs w:val="24"/>
        </w:rPr>
      </w:pPr>
    </w:p>
    <w:p w14:paraId="1BADC802" w14:textId="22B31071" w:rsidR="00DC561D" w:rsidRPr="00551729" w:rsidRDefault="00DC561D" w:rsidP="00032E19">
      <w:pPr>
        <w:spacing w:after="0" w:line="240" w:lineRule="auto"/>
        <w:jc w:val="center"/>
        <w:rPr>
          <w:rFonts w:ascii="Garamond" w:hAnsi="Garamond" w:cs="Times New Roman"/>
          <w:b/>
          <w:bCs/>
          <w:sz w:val="24"/>
          <w:szCs w:val="24"/>
        </w:rPr>
      </w:pPr>
      <w:r w:rsidRPr="00551729">
        <w:rPr>
          <w:rFonts w:ascii="Garamond" w:hAnsi="Garamond" w:cs="Times New Roman"/>
          <w:b/>
          <w:bCs/>
          <w:sz w:val="24"/>
          <w:szCs w:val="24"/>
        </w:rPr>
        <w:t>PËR RATIFIKIMIN E MARRËVESHJES SË FINANCIMIT NDËRMJET REPUBLIKËS SË SHQIPËRISË, PËRFAQËSUAR NGA KËSHILLI I MINISTRAVE, MALIT TË ZI, PËRFAQËSUAR NGA ZYRA E INTEGRIMIT E</w:t>
      </w:r>
      <w:r w:rsidR="00C521D5" w:rsidRPr="00551729">
        <w:rPr>
          <w:rFonts w:ascii="Garamond" w:hAnsi="Garamond" w:cs="Times New Roman"/>
          <w:b/>
          <w:bCs/>
          <w:sz w:val="24"/>
          <w:szCs w:val="24"/>
        </w:rPr>
        <w:t>V</w:t>
      </w:r>
      <w:r w:rsidRPr="00551729">
        <w:rPr>
          <w:rFonts w:ascii="Garamond" w:hAnsi="Garamond" w:cs="Times New Roman"/>
          <w:b/>
          <w:bCs/>
          <w:sz w:val="24"/>
          <w:szCs w:val="24"/>
        </w:rPr>
        <w:t>ROPIAN, DHE KOMISIONIT E</w:t>
      </w:r>
      <w:r w:rsidR="00C521D5" w:rsidRPr="00551729">
        <w:rPr>
          <w:rFonts w:ascii="Garamond" w:hAnsi="Garamond" w:cs="Times New Roman"/>
          <w:b/>
          <w:bCs/>
          <w:sz w:val="24"/>
          <w:szCs w:val="24"/>
        </w:rPr>
        <w:t>V</w:t>
      </w:r>
      <w:r w:rsidRPr="00551729">
        <w:rPr>
          <w:rFonts w:ascii="Garamond" w:hAnsi="Garamond" w:cs="Times New Roman"/>
          <w:b/>
          <w:bCs/>
          <w:sz w:val="24"/>
          <w:szCs w:val="24"/>
        </w:rPr>
        <w:t>ROPIAN PËR PROGRAMIN E VEPRIMIT TË BASHKËPUNIMI</w:t>
      </w:r>
      <w:r w:rsidR="00B27400">
        <w:rPr>
          <w:rFonts w:ascii="Garamond" w:hAnsi="Garamond" w:cs="Times New Roman"/>
          <w:b/>
          <w:bCs/>
          <w:sz w:val="24"/>
          <w:szCs w:val="24"/>
        </w:rPr>
        <w:t>T NDËRKUFITAR IPA II, MALI I ZI–</w:t>
      </w:r>
      <w:r w:rsidRPr="00551729">
        <w:rPr>
          <w:rFonts w:ascii="Garamond" w:hAnsi="Garamond" w:cs="Times New Roman"/>
          <w:b/>
          <w:bCs/>
          <w:sz w:val="24"/>
          <w:szCs w:val="24"/>
        </w:rPr>
        <w:t>SHQIPËRI</w:t>
      </w:r>
      <w:r w:rsidR="00B27400">
        <w:rPr>
          <w:rFonts w:ascii="Garamond" w:hAnsi="Garamond" w:cs="Times New Roman"/>
          <w:b/>
          <w:bCs/>
          <w:sz w:val="24"/>
          <w:szCs w:val="24"/>
        </w:rPr>
        <w:t>,</w:t>
      </w:r>
      <w:r w:rsidRPr="00551729">
        <w:rPr>
          <w:rFonts w:ascii="Garamond" w:hAnsi="Garamond" w:cs="Times New Roman"/>
          <w:b/>
          <w:bCs/>
          <w:sz w:val="24"/>
          <w:szCs w:val="24"/>
        </w:rPr>
        <w:t xml:space="preserve"> 2014</w:t>
      </w:r>
      <w:r w:rsidR="00B27400">
        <w:rPr>
          <w:rFonts w:ascii="Garamond" w:hAnsi="Garamond" w:cs="Times New Roman"/>
          <w:b/>
          <w:bCs/>
          <w:sz w:val="24"/>
          <w:szCs w:val="24"/>
        </w:rPr>
        <w:t>–</w:t>
      </w:r>
      <w:r w:rsidRPr="00551729">
        <w:rPr>
          <w:rFonts w:ascii="Garamond" w:hAnsi="Garamond" w:cs="Times New Roman"/>
          <w:b/>
          <w:bCs/>
          <w:sz w:val="24"/>
          <w:szCs w:val="24"/>
        </w:rPr>
        <w:t xml:space="preserve">2020, </w:t>
      </w:r>
    </w:p>
    <w:p w14:paraId="1BADC803" w14:textId="77777777" w:rsidR="00DC561D" w:rsidRPr="00551729" w:rsidRDefault="00DC561D" w:rsidP="00032E19">
      <w:pPr>
        <w:spacing w:after="0" w:line="240" w:lineRule="auto"/>
        <w:jc w:val="center"/>
        <w:rPr>
          <w:rFonts w:ascii="Garamond" w:hAnsi="Garamond" w:cs="Times New Roman"/>
          <w:b/>
          <w:bCs/>
          <w:sz w:val="24"/>
          <w:szCs w:val="24"/>
        </w:rPr>
      </w:pPr>
      <w:r w:rsidRPr="00551729">
        <w:rPr>
          <w:rFonts w:ascii="Garamond" w:hAnsi="Garamond" w:cs="Times New Roman"/>
          <w:b/>
          <w:bCs/>
          <w:sz w:val="24"/>
          <w:szCs w:val="24"/>
        </w:rPr>
        <w:t>ALOKIMET PËR VITIN 2020</w:t>
      </w:r>
    </w:p>
    <w:p w14:paraId="1BADC804" w14:textId="77777777" w:rsidR="00DC561D" w:rsidRPr="00551729" w:rsidRDefault="00DC561D" w:rsidP="00032E19">
      <w:pPr>
        <w:spacing w:after="0" w:line="240" w:lineRule="auto"/>
        <w:jc w:val="both"/>
        <w:rPr>
          <w:rFonts w:ascii="Garamond" w:hAnsi="Garamond" w:cs="Times New Roman"/>
          <w:bCs/>
          <w:sz w:val="24"/>
          <w:szCs w:val="24"/>
        </w:rPr>
      </w:pPr>
    </w:p>
    <w:p w14:paraId="1BADC805" w14:textId="07D5605F" w:rsidR="00DC561D" w:rsidRPr="00551729" w:rsidRDefault="00DC561D" w:rsidP="00B27400">
      <w:pPr>
        <w:spacing w:after="0" w:line="240" w:lineRule="auto"/>
        <w:ind w:firstLine="288"/>
        <w:jc w:val="both"/>
        <w:rPr>
          <w:rFonts w:ascii="Garamond" w:hAnsi="Garamond" w:cs="Times New Roman"/>
          <w:bCs/>
          <w:sz w:val="24"/>
          <w:szCs w:val="24"/>
        </w:rPr>
      </w:pPr>
      <w:r w:rsidRPr="00551729">
        <w:rPr>
          <w:rFonts w:ascii="Garamond" w:hAnsi="Garamond" w:cs="Times New Roman"/>
          <w:bCs/>
          <w:sz w:val="24"/>
          <w:szCs w:val="24"/>
        </w:rPr>
        <w:t>Në mbështetje të neneve 78, 83, pika 1, dhe 121, pika 1, të Kushtetutës, me propozimin e</w:t>
      </w:r>
      <w:r w:rsidR="00C521D5" w:rsidRPr="00551729">
        <w:rPr>
          <w:rFonts w:ascii="Garamond" w:hAnsi="Garamond" w:cs="Times New Roman"/>
          <w:bCs/>
          <w:sz w:val="24"/>
          <w:szCs w:val="24"/>
        </w:rPr>
        <w:t xml:space="preserve"> </w:t>
      </w:r>
      <w:r w:rsidRPr="00551729">
        <w:rPr>
          <w:rFonts w:ascii="Garamond" w:hAnsi="Garamond" w:cs="Times New Roman"/>
          <w:bCs/>
          <w:sz w:val="24"/>
          <w:szCs w:val="24"/>
        </w:rPr>
        <w:t xml:space="preserve">Këshillit të Ministrave, </w:t>
      </w:r>
    </w:p>
    <w:p w14:paraId="1BADC806" w14:textId="77777777" w:rsidR="00DC561D" w:rsidRPr="00551729" w:rsidRDefault="00DC561D" w:rsidP="00032E19">
      <w:pPr>
        <w:spacing w:after="0" w:line="240" w:lineRule="auto"/>
        <w:jc w:val="both"/>
        <w:rPr>
          <w:rFonts w:ascii="Garamond" w:hAnsi="Garamond" w:cs="Times New Roman"/>
          <w:bCs/>
          <w:sz w:val="24"/>
          <w:szCs w:val="24"/>
        </w:rPr>
      </w:pPr>
    </w:p>
    <w:p w14:paraId="1BADC807" w14:textId="77777777" w:rsidR="00DC561D" w:rsidRPr="00551729" w:rsidRDefault="00DC561D" w:rsidP="00032E19">
      <w:pPr>
        <w:spacing w:after="0" w:line="240" w:lineRule="auto"/>
        <w:jc w:val="center"/>
        <w:rPr>
          <w:rFonts w:ascii="Garamond" w:hAnsi="Garamond" w:cs="Times New Roman"/>
          <w:bCs/>
          <w:sz w:val="24"/>
          <w:szCs w:val="24"/>
        </w:rPr>
      </w:pPr>
      <w:r w:rsidRPr="00551729">
        <w:rPr>
          <w:rFonts w:ascii="Garamond" w:hAnsi="Garamond" w:cs="Times New Roman"/>
          <w:bCs/>
          <w:sz w:val="24"/>
          <w:szCs w:val="24"/>
        </w:rPr>
        <w:t>KUVENDI</w:t>
      </w:r>
    </w:p>
    <w:p w14:paraId="1BADC808" w14:textId="77777777" w:rsidR="00DC561D" w:rsidRPr="00551729" w:rsidRDefault="00DC561D" w:rsidP="00032E19">
      <w:pPr>
        <w:spacing w:after="0" w:line="240" w:lineRule="auto"/>
        <w:jc w:val="center"/>
        <w:rPr>
          <w:rFonts w:ascii="Garamond" w:hAnsi="Garamond" w:cs="Times New Roman"/>
          <w:bCs/>
          <w:sz w:val="24"/>
          <w:szCs w:val="24"/>
        </w:rPr>
      </w:pPr>
      <w:r w:rsidRPr="00551729">
        <w:rPr>
          <w:rFonts w:ascii="Garamond" w:hAnsi="Garamond" w:cs="Times New Roman"/>
          <w:bCs/>
          <w:sz w:val="24"/>
          <w:szCs w:val="24"/>
        </w:rPr>
        <w:t>I REPUBLIKËS SË SHQIPËRISË</w:t>
      </w:r>
    </w:p>
    <w:p w14:paraId="1BADC809" w14:textId="77777777" w:rsidR="00DC561D" w:rsidRPr="00551729" w:rsidRDefault="00DC561D" w:rsidP="00032E19">
      <w:pPr>
        <w:spacing w:after="0" w:line="240" w:lineRule="auto"/>
        <w:jc w:val="center"/>
        <w:rPr>
          <w:rFonts w:ascii="Garamond" w:hAnsi="Garamond" w:cs="Times New Roman"/>
          <w:bCs/>
          <w:sz w:val="24"/>
          <w:szCs w:val="24"/>
        </w:rPr>
      </w:pPr>
    </w:p>
    <w:p w14:paraId="1BADC80A" w14:textId="77777777" w:rsidR="00DC561D" w:rsidRPr="00551729" w:rsidRDefault="00032E19" w:rsidP="00032E19">
      <w:pPr>
        <w:spacing w:after="0" w:line="240" w:lineRule="auto"/>
        <w:jc w:val="center"/>
        <w:rPr>
          <w:rFonts w:ascii="Garamond" w:hAnsi="Garamond" w:cs="Times New Roman"/>
          <w:bCs/>
          <w:sz w:val="24"/>
          <w:szCs w:val="24"/>
        </w:rPr>
      </w:pPr>
      <w:r w:rsidRPr="00551729">
        <w:rPr>
          <w:rFonts w:ascii="Garamond" w:hAnsi="Garamond" w:cs="Times New Roman"/>
          <w:bCs/>
          <w:sz w:val="24"/>
          <w:szCs w:val="24"/>
        </w:rPr>
        <w:t>VENDOS</w:t>
      </w:r>
      <w:r w:rsidR="00DC561D" w:rsidRPr="00551729">
        <w:rPr>
          <w:rFonts w:ascii="Garamond" w:hAnsi="Garamond" w:cs="Times New Roman"/>
          <w:bCs/>
          <w:sz w:val="24"/>
          <w:szCs w:val="24"/>
        </w:rPr>
        <w:t>I:</w:t>
      </w:r>
    </w:p>
    <w:p w14:paraId="1BADC80B" w14:textId="77777777" w:rsidR="00DC561D" w:rsidRPr="00551729" w:rsidRDefault="00DC561D" w:rsidP="00032E19">
      <w:pPr>
        <w:spacing w:after="0" w:line="240" w:lineRule="auto"/>
        <w:jc w:val="both"/>
        <w:rPr>
          <w:rFonts w:ascii="Garamond" w:hAnsi="Garamond" w:cs="Times New Roman"/>
          <w:bCs/>
          <w:sz w:val="24"/>
          <w:szCs w:val="24"/>
        </w:rPr>
      </w:pPr>
    </w:p>
    <w:p w14:paraId="1BADC80C" w14:textId="77777777" w:rsidR="00DC561D" w:rsidRPr="00551729" w:rsidRDefault="00DC561D" w:rsidP="00032E19">
      <w:pPr>
        <w:spacing w:after="0" w:line="240" w:lineRule="auto"/>
        <w:jc w:val="center"/>
        <w:rPr>
          <w:rFonts w:ascii="Garamond" w:hAnsi="Garamond" w:cs="Times New Roman"/>
          <w:bCs/>
          <w:sz w:val="24"/>
          <w:szCs w:val="24"/>
        </w:rPr>
      </w:pPr>
      <w:r w:rsidRPr="00551729">
        <w:rPr>
          <w:rFonts w:ascii="Garamond" w:hAnsi="Garamond" w:cs="Times New Roman"/>
          <w:bCs/>
          <w:sz w:val="24"/>
          <w:szCs w:val="24"/>
        </w:rPr>
        <w:t>Neni 1</w:t>
      </w:r>
    </w:p>
    <w:p w14:paraId="1BADC80D" w14:textId="77777777" w:rsidR="00DC561D" w:rsidRPr="00551729" w:rsidRDefault="00DC561D" w:rsidP="00032E19">
      <w:pPr>
        <w:spacing w:after="0" w:line="240" w:lineRule="auto"/>
        <w:jc w:val="both"/>
        <w:rPr>
          <w:rFonts w:ascii="Garamond" w:hAnsi="Garamond" w:cs="Times New Roman"/>
          <w:bCs/>
          <w:sz w:val="24"/>
          <w:szCs w:val="24"/>
        </w:rPr>
      </w:pPr>
    </w:p>
    <w:p w14:paraId="1BADC80E" w14:textId="54BAA543" w:rsidR="00DC561D" w:rsidRPr="00551729" w:rsidRDefault="00DC561D" w:rsidP="00B27400">
      <w:pPr>
        <w:spacing w:after="0" w:line="240" w:lineRule="auto"/>
        <w:ind w:firstLine="288"/>
        <w:jc w:val="both"/>
        <w:rPr>
          <w:rFonts w:ascii="Garamond" w:hAnsi="Garamond" w:cs="Times New Roman"/>
          <w:bCs/>
          <w:sz w:val="24"/>
          <w:szCs w:val="24"/>
        </w:rPr>
      </w:pPr>
      <w:r w:rsidRPr="00551729">
        <w:rPr>
          <w:rFonts w:ascii="Garamond" w:hAnsi="Garamond" w:cs="Times New Roman"/>
          <w:bCs/>
          <w:sz w:val="24"/>
          <w:szCs w:val="24"/>
        </w:rPr>
        <w:t>Ratifikohet marrëveshja e financimit ndërmjet Republikës së Shqipërisë, përfaqësuar nga Këshilli i Ministrave, Malit të Zi, përfaqësuar nga Zyra e Integrimit E</w:t>
      </w:r>
      <w:r w:rsidR="00C521D5" w:rsidRPr="00551729">
        <w:rPr>
          <w:rFonts w:ascii="Garamond" w:hAnsi="Garamond" w:cs="Times New Roman"/>
          <w:bCs/>
          <w:sz w:val="24"/>
          <w:szCs w:val="24"/>
        </w:rPr>
        <w:t>v</w:t>
      </w:r>
      <w:r w:rsidRPr="00551729">
        <w:rPr>
          <w:rFonts w:ascii="Garamond" w:hAnsi="Garamond" w:cs="Times New Roman"/>
          <w:bCs/>
          <w:sz w:val="24"/>
          <w:szCs w:val="24"/>
        </w:rPr>
        <w:t>ropian, dhe Komisionit E</w:t>
      </w:r>
      <w:r w:rsidR="00C521D5" w:rsidRPr="00551729">
        <w:rPr>
          <w:rFonts w:ascii="Garamond" w:hAnsi="Garamond" w:cs="Times New Roman"/>
          <w:bCs/>
          <w:sz w:val="24"/>
          <w:szCs w:val="24"/>
        </w:rPr>
        <w:t>v</w:t>
      </w:r>
      <w:r w:rsidRPr="00551729">
        <w:rPr>
          <w:rFonts w:ascii="Garamond" w:hAnsi="Garamond" w:cs="Times New Roman"/>
          <w:bCs/>
          <w:sz w:val="24"/>
          <w:szCs w:val="24"/>
        </w:rPr>
        <w:t xml:space="preserve">ropian për Programin e Veprimit të Bashkëpunimit Ndërkufitar IPA II, Mali </w:t>
      </w:r>
      <w:r w:rsidR="00B27400">
        <w:rPr>
          <w:rFonts w:ascii="Garamond" w:hAnsi="Garamond" w:cs="Times New Roman"/>
          <w:bCs/>
          <w:sz w:val="24"/>
          <w:szCs w:val="24"/>
        </w:rPr>
        <w:t>i Zi–</w:t>
      </w:r>
      <w:r w:rsidRPr="00551729">
        <w:rPr>
          <w:rFonts w:ascii="Garamond" w:hAnsi="Garamond" w:cs="Times New Roman"/>
          <w:bCs/>
          <w:sz w:val="24"/>
          <w:szCs w:val="24"/>
        </w:rPr>
        <w:t>Shqipëri</w:t>
      </w:r>
      <w:r w:rsidR="00B27400">
        <w:rPr>
          <w:rFonts w:ascii="Garamond" w:hAnsi="Garamond" w:cs="Times New Roman"/>
          <w:bCs/>
          <w:sz w:val="24"/>
          <w:szCs w:val="24"/>
        </w:rPr>
        <w:t>,</w:t>
      </w:r>
      <w:r w:rsidRPr="00551729">
        <w:rPr>
          <w:rFonts w:ascii="Garamond" w:hAnsi="Garamond" w:cs="Times New Roman"/>
          <w:bCs/>
          <w:sz w:val="24"/>
          <w:szCs w:val="24"/>
        </w:rPr>
        <w:t xml:space="preserve"> 2014</w:t>
      </w:r>
      <w:r w:rsidR="00B27400">
        <w:rPr>
          <w:rFonts w:ascii="Garamond" w:hAnsi="Garamond" w:cs="Times New Roman"/>
          <w:bCs/>
          <w:sz w:val="24"/>
          <w:szCs w:val="24"/>
        </w:rPr>
        <w:t>–</w:t>
      </w:r>
      <w:r w:rsidRPr="00551729">
        <w:rPr>
          <w:rFonts w:ascii="Garamond" w:hAnsi="Garamond" w:cs="Times New Roman"/>
          <w:bCs/>
          <w:sz w:val="24"/>
          <w:szCs w:val="24"/>
        </w:rPr>
        <w:t xml:space="preserve">2020, alokimet për vitin 2020, sipas tekstit bashkëlidhur këtij ligji. </w:t>
      </w:r>
    </w:p>
    <w:p w14:paraId="1BADC80F" w14:textId="77777777" w:rsidR="00DC561D" w:rsidRPr="00551729" w:rsidRDefault="00DC561D" w:rsidP="00032E19">
      <w:pPr>
        <w:spacing w:after="0" w:line="240" w:lineRule="auto"/>
        <w:jc w:val="both"/>
        <w:rPr>
          <w:rFonts w:ascii="Garamond" w:hAnsi="Garamond" w:cs="Times New Roman"/>
          <w:bCs/>
          <w:sz w:val="24"/>
          <w:szCs w:val="24"/>
        </w:rPr>
      </w:pPr>
    </w:p>
    <w:p w14:paraId="1BADC810" w14:textId="77777777" w:rsidR="00DC561D" w:rsidRPr="00551729" w:rsidRDefault="00DC561D" w:rsidP="00032E19">
      <w:pPr>
        <w:spacing w:after="0" w:line="240" w:lineRule="auto"/>
        <w:jc w:val="center"/>
        <w:rPr>
          <w:rFonts w:ascii="Garamond" w:hAnsi="Garamond" w:cs="Times New Roman"/>
          <w:bCs/>
          <w:sz w:val="24"/>
          <w:szCs w:val="24"/>
        </w:rPr>
      </w:pPr>
      <w:r w:rsidRPr="00551729">
        <w:rPr>
          <w:rFonts w:ascii="Garamond" w:hAnsi="Garamond" w:cs="Times New Roman"/>
          <w:bCs/>
          <w:sz w:val="24"/>
          <w:szCs w:val="24"/>
        </w:rPr>
        <w:t>Neni 2</w:t>
      </w:r>
    </w:p>
    <w:p w14:paraId="1BADC811" w14:textId="77777777" w:rsidR="00DC561D" w:rsidRPr="00551729" w:rsidRDefault="00DC561D" w:rsidP="00032E19">
      <w:pPr>
        <w:spacing w:after="0" w:line="240" w:lineRule="auto"/>
        <w:jc w:val="both"/>
        <w:rPr>
          <w:rFonts w:ascii="Garamond" w:hAnsi="Garamond" w:cs="Times New Roman"/>
          <w:bCs/>
          <w:sz w:val="24"/>
          <w:szCs w:val="24"/>
        </w:rPr>
      </w:pPr>
    </w:p>
    <w:p w14:paraId="1BADC812" w14:textId="77777777" w:rsidR="00DC561D" w:rsidRPr="00551729" w:rsidRDefault="00DC561D" w:rsidP="00B27400">
      <w:pPr>
        <w:spacing w:after="0" w:line="240" w:lineRule="auto"/>
        <w:ind w:firstLine="288"/>
        <w:jc w:val="both"/>
        <w:rPr>
          <w:rFonts w:ascii="Garamond" w:hAnsi="Garamond" w:cs="Times New Roman"/>
          <w:bCs/>
          <w:sz w:val="24"/>
          <w:szCs w:val="24"/>
        </w:rPr>
      </w:pPr>
      <w:r w:rsidRPr="00551729">
        <w:rPr>
          <w:rFonts w:ascii="Garamond" w:hAnsi="Garamond" w:cs="Times New Roman"/>
          <w:bCs/>
          <w:sz w:val="24"/>
          <w:szCs w:val="24"/>
        </w:rPr>
        <w:t>Ky ligj hyn në fuqi 15 ditë pas botimit në Fletoren Zyrtare.</w:t>
      </w:r>
      <w:r w:rsidR="00976A3C" w:rsidRPr="00551729">
        <w:rPr>
          <w:rFonts w:ascii="Garamond" w:hAnsi="Garamond" w:cs="Times New Roman"/>
          <w:bCs/>
          <w:sz w:val="24"/>
          <w:szCs w:val="24"/>
        </w:rPr>
        <w:t xml:space="preserve"> </w:t>
      </w:r>
    </w:p>
    <w:p w14:paraId="1BADC813" w14:textId="77777777" w:rsidR="00DC561D" w:rsidRPr="00551729" w:rsidRDefault="00DC561D" w:rsidP="00032E19">
      <w:pPr>
        <w:spacing w:after="0" w:line="240" w:lineRule="auto"/>
        <w:jc w:val="both"/>
        <w:rPr>
          <w:rFonts w:ascii="Garamond" w:hAnsi="Garamond" w:cs="Times New Roman"/>
          <w:bCs/>
          <w:sz w:val="24"/>
          <w:szCs w:val="24"/>
        </w:rPr>
      </w:pPr>
    </w:p>
    <w:p w14:paraId="5A191272" w14:textId="0EE59042" w:rsidR="00C521D5" w:rsidRPr="00551729" w:rsidRDefault="00C521D5" w:rsidP="00B27400">
      <w:pPr>
        <w:spacing w:after="0" w:line="240" w:lineRule="auto"/>
        <w:ind w:firstLine="288"/>
        <w:jc w:val="both"/>
        <w:rPr>
          <w:rFonts w:ascii="Garamond" w:hAnsi="Garamond" w:cs="Times New Roman"/>
          <w:bCs/>
          <w:sz w:val="24"/>
          <w:szCs w:val="24"/>
        </w:rPr>
      </w:pPr>
      <w:r w:rsidRPr="00551729">
        <w:rPr>
          <w:rFonts w:ascii="Garamond" w:hAnsi="Garamond" w:cs="Times New Roman"/>
          <w:bCs/>
          <w:sz w:val="24"/>
          <w:szCs w:val="24"/>
        </w:rPr>
        <w:t>Miratuar në datën 20.12.2021.</w:t>
      </w:r>
    </w:p>
    <w:p w14:paraId="17DBFC96" w14:textId="77777777" w:rsidR="00C521D5" w:rsidRPr="00551729" w:rsidRDefault="00C521D5" w:rsidP="00032E19">
      <w:pPr>
        <w:spacing w:after="0" w:line="240" w:lineRule="auto"/>
        <w:jc w:val="both"/>
        <w:rPr>
          <w:rFonts w:ascii="Garamond" w:hAnsi="Garamond" w:cs="Times New Roman"/>
          <w:b/>
          <w:bCs/>
          <w:sz w:val="24"/>
          <w:szCs w:val="24"/>
        </w:rPr>
      </w:pPr>
    </w:p>
    <w:p w14:paraId="1BADC814" w14:textId="550EA42B" w:rsidR="00976A3C" w:rsidRPr="00551729" w:rsidRDefault="00032E19" w:rsidP="00032E19">
      <w:pPr>
        <w:spacing w:after="0" w:line="240" w:lineRule="auto"/>
        <w:jc w:val="both"/>
        <w:rPr>
          <w:rFonts w:ascii="Garamond" w:hAnsi="Garamond" w:cs="Times New Roman"/>
          <w:b/>
          <w:bCs/>
          <w:sz w:val="24"/>
          <w:szCs w:val="24"/>
        </w:rPr>
      </w:pPr>
      <w:r w:rsidRPr="00551729">
        <w:rPr>
          <w:rFonts w:ascii="Garamond" w:hAnsi="Garamond" w:cs="Times New Roman"/>
          <w:b/>
          <w:bCs/>
          <w:sz w:val="24"/>
          <w:szCs w:val="24"/>
        </w:rPr>
        <w:t>Shpallur me dekretin nr.</w:t>
      </w:r>
      <w:r w:rsidR="00C521D5" w:rsidRPr="00551729">
        <w:rPr>
          <w:rFonts w:ascii="Garamond" w:hAnsi="Garamond" w:cs="Times New Roman"/>
          <w:b/>
          <w:bCs/>
          <w:sz w:val="24"/>
          <w:szCs w:val="24"/>
        </w:rPr>
        <w:t xml:space="preserve"> </w:t>
      </w:r>
      <w:r w:rsidR="00452A6C">
        <w:rPr>
          <w:rFonts w:ascii="Garamond" w:hAnsi="Garamond" w:cs="Times New Roman"/>
          <w:b/>
          <w:bCs/>
          <w:sz w:val="24"/>
          <w:szCs w:val="24"/>
        </w:rPr>
        <w:t xml:space="preserve">13404 </w:t>
      </w:r>
      <w:r w:rsidRPr="00551729">
        <w:rPr>
          <w:rFonts w:ascii="Garamond" w:hAnsi="Garamond" w:cs="Times New Roman"/>
          <w:b/>
          <w:bCs/>
          <w:sz w:val="24"/>
          <w:szCs w:val="24"/>
        </w:rPr>
        <w:t xml:space="preserve">datë </w:t>
      </w:r>
      <w:r w:rsidR="00452A6C">
        <w:rPr>
          <w:rFonts w:ascii="Garamond" w:hAnsi="Garamond" w:cs="Times New Roman"/>
          <w:b/>
          <w:bCs/>
          <w:sz w:val="24"/>
          <w:szCs w:val="24"/>
        </w:rPr>
        <w:t xml:space="preserve">24.12.2021 </w:t>
      </w:r>
      <w:r w:rsidRPr="00551729">
        <w:rPr>
          <w:rFonts w:ascii="Garamond" w:hAnsi="Garamond" w:cs="Times New Roman"/>
          <w:b/>
          <w:bCs/>
          <w:sz w:val="24"/>
          <w:szCs w:val="24"/>
        </w:rPr>
        <w:t>të Presidentit të Republikës së Shqipërisë, Ilir Meta</w:t>
      </w:r>
    </w:p>
    <w:p w14:paraId="1BADC815" w14:textId="77777777" w:rsidR="00CF4189" w:rsidRPr="00551729" w:rsidRDefault="00CF4189" w:rsidP="00032E19">
      <w:pPr>
        <w:spacing w:after="0" w:line="240" w:lineRule="auto"/>
        <w:jc w:val="both"/>
        <w:rPr>
          <w:rFonts w:ascii="Garamond" w:hAnsi="Garamond" w:cs="Times New Roman"/>
          <w:b/>
          <w:bCs/>
          <w:sz w:val="24"/>
          <w:szCs w:val="24"/>
        </w:rPr>
      </w:pPr>
    </w:p>
    <w:p w14:paraId="1BADC817" w14:textId="77777777" w:rsidR="00E21A56" w:rsidRPr="00551729" w:rsidRDefault="00E21A56" w:rsidP="00032E19">
      <w:pPr>
        <w:spacing w:after="0" w:line="240" w:lineRule="auto"/>
        <w:rPr>
          <w:rFonts w:ascii="Garamond" w:eastAsia="Times New Roman" w:hAnsi="Garamond" w:cs="Times New Roman"/>
          <w:sz w:val="20"/>
          <w:szCs w:val="20"/>
        </w:rPr>
      </w:pPr>
    </w:p>
    <w:p w14:paraId="1BADC818" w14:textId="5B764D1C" w:rsidR="00446633" w:rsidRPr="00551729" w:rsidRDefault="00446633" w:rsidP="00446633">
      <w:pPr>
        <w:spacing w:after="0" w:line="240" w:lineRule="auto"/>
        <w:ind w:firstLine="284"/>
        <w:jc w:val="center"/>
        <w:rPr>
          <w:rFonts w:ascii="Garamond" w:hAnsi="Garamond"/>
          <w:sz w:val="24"/>
        </w:rPr>
      </w:pPr>
      <w:r w:rsidRPr="00551729">
        <w:rPr>
          <w:rFonts w:ascii="Garamond" w:hAnsi="Garamond"/>
          <w:sz w:val="24"/>
        </w:rPr>
        <w:t xml:space="preserve">MARRËVESHJA E </w:t>
      </w:r>
      <w:r w:rsidR="00C521D5" w:rsidRPr="00551729">
        <w:rPr>
          <w:rFonts w:ascii="Garamond" w:hAnsi="Garamond"/>
          <w:sz w:val="24"/>
          <w:szCs w:val="24"/>
        </w:rPr>
        <w:t>FINANCIMIT</w:t>
      </w:r>
    </w:p>
    <w:p w14:paraId="1BADC819" w14:textId="77777777" w:rsidR="00446633" w:rsidRPr="00551729" w:rsidRDefault="00446633" w:rsidP="00446633">
      <w:pPr>
        <w:spacing w:after="0" w:line="240" w:lineRule="auto"/>
        <w:ind w:firstLine="284"/>
        <w:jc w:val="center"/>
        <w:rPr>
          <w:rFonts w:ascii="Garamond" w:hAnsi="Garamond"/>
          <w:sz w:val="24"/>
        </w:rPr>
      </w:pPr>
      <w:r w:rsidRPr="00551729">
        <w:rPr>
          <w:rFonts w:ascii="Garamond" w:hAnsi="Garamond"/>
          <w:sz w:val="24"/>
        </w:rPr>
        <w:t>KUSHTET E VEÇANTA</w:t>
      </w:r>
    </w:p>
    <w:p w14:paraId="1BADC81A" w14:textId="77777777" w:rsidR="00446633" w:rsidRPr="00551729" w:rsidRDefault="00446633" w:rsidP="00446633">
      <w:pPr>
        <w:spacing w:after="0" w:line="240" w:lineRule="auto"/>
        <w:ind w:firstLine="284"/>
        <w:jc w:val="both"/>
        <w:rPr>
          <w:rFonts w:ascii="Garamond" w:hAnsi="Garamond"/>
          <w:sz w:val="24"/>
          <w:szCs w:val="24"/>
        </w:rPr>
      </w:pPr>
    </w:p>
    <w:p w14:paraId="1BADC81F" w14:textId="2333D806"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Komisioni Evropian, në vijim i referuar si </w:t>
      </w:r>
      <w:r w:rsidR="00C521D5" w:rsidRPr="00551729">
        <w:rPr>
          <w:rFonts w:ascii="Garamond" w:hAnsi="Garamond"/>
          <w:sz w:val="24"/>
          <w:szCs w:val="24"/>
        </w:rPr>
        <w:t>“</w:t>
      </w:r>
      <w:r w:rsidRPr="00551729">
        <w:rPr>
          <w:rFonts w:ascii="Garamond" w:hAnsi="Garamond"/>
          <w:sz w:val="24"/>
          <w:szCs w:val="24"/>
        </w:rPr>
        <w:t>Komisioni</w:t>
      </w:r>
      <w:r w:rsidR="00C521D5" w:rsidRPr="00551729">
        <w:rPr>
          <w:rFonts w:ascii="Garamond" w:hAnsi="Garamond"/>
          <w:sz w:val="24"/>
          <w:szCs w:val="24"/>
        </w:rPr>
        <w:t>”</w:t>
      </w:r>
      <w:r w:rsidRPr="00551729">
        <w:rPr>
          <w:rFonts w:ascii="Garamond" w:hAnsi="Garamond"/>
          <w:sz w:val="24"/>
          <w:szCs w:val="24"/>
        </w:rPr>
        <w:t xml:space="preserve"> ose </w:t>
      </w:r>
      <w:r w:rsidR="00C521D5" w:rsidRPr="00551729">
        <w:rPr>
          <w:rFonts w:ascii="Garamond" w:hAnsi="Garamond"/>
          <w:sz w:val="24"/>
          <w:szCs w:val="24"/>
        </w:rPr>
        <w:t>“</w:t>
      </w:r>
      <w:r w:rsidRPr="00551729">
        <w:rPr>
          <w:rFonts w:ascii="Garamond" w:hAnsi="Garamond"/>
          <w:sz w:val="24"/>
          <w:szCs w:val="24"/>
        </w:rPr>
        <w:t>pala</w:t>
      </w:r>
      <w:r w:rsidR="00C521D5" w:rsidRPr="00551729">
        <w:rPr>
          <w:rFonts w:ascii="Garamond" w:hAnsi="Garamond"/>
          <w:sz w:val="24"/>
          <w:szCs w:val="24"/>
        </w:rPr>
        <w:t>”</w:t>
      </w:r>
      <w:r w:rsidRPr="00551729">
        <w:rPr>
          <w:rFonts w:ascii="Garamond" w:hAnsi="Garamond"/>
          <w:sz w:val="24"/>
          <w:szCs w:val="24"/>
        </w:rPr>
        <w:t xml:space="preserve"> e cila vepron në emër të Bashkimit Evropian, në vijim</w:t>
      </w:r>
      <w:r w:rsidR="00C521D5" w:rsidRPr="00551729">
        <w:rPr>
          <w:rFonts w:ascii="Garamond" w:hAnsi="Garamond"/>
          <w:sz w:val="24"/>
          <w:szCs w:val="24"/>
        </w:rPr>
        <w:t xml:space="preserve"> </w:t>
      </w:r>
      <w:r w:rsidRPr="00551729">
        <w:rPr>
          <w:rFonts w:ascii="Garamond" w:hAnsi="Garamond"/>
          <w:sz w:val="24"/>
          <w:szCs w:val="24"/>
        </w:rPr>
        <w:t xml:space="preserve">i referuar si </w:t>
      </w:r>
      <w:r w:rsidR="00C521D5" w:rsidRPr="00551729">
        <w:rPr>
          <w:rFonts w:ascii="Garamond" w:hAnsi="Garamond"/>
          <w:sz w:val="24"/>
          <w:szCs w:val="24"/>
        </w:rPr>
        <w:t>“</w:t>
      </w:r>
      <w:r w:rsidRPr="00551729">
        <w:rPr>
          <w:rFonts w:ascii="Garamond" w:hAnsi="Garamond"/>
          <w:sz w:val="24"/>
          <w:szCs w:val="24"/>
        </w:rPr>
        <w:t>Bashkimi</w:t>
      </w:r>
      <w:r w:rsidR="00C521D5" w:rsidRPr="00551729">
        <w:rPr>
          <w:rFonts w:ascii="Garamond" w:hAnsi="Garamond"/>
          <w:sz w:val="24"/>
          <w:szCs w:val="24"/>
        </w:rPr>
        <w:t>”</w:t>
      </w:r>
      <w:r w:rsidRPr="00551729">
        <w:rPr>
          <w:rFonts w:ascii="Garamond" w:hAnsi="Garamond"/>
          <w:sz w:val="24"/>
          <w:szCs w:val="24"/>
        </w:rPr>
        <w:t>,</w:t>
      </w:r>
      <w:r w:rsidR="00C559DE">
        <w:rPr>
          <w:rFonts w:ascii="Garamond" w:hAnsi="Garamond"/>
          <w:sz w:val="24"/>
          <w:szCs w:val="24"/>
        </w:rPr>
        <w:t xml:space="preserve"> </w:t>
      </w:r>
      <w:r w:rsidRPr="00551729">
        <w:rPr>
          <w:rFonts w:ascii="Garamond" w:hAnsi="Garamond"/>
          <w:sz w:val="24"/>
          <w:szCs w:val="24"/>
        </w:rPr>
        <w:t>nga njëra anë</w:t>
      </w:r>
      <w:r w:rsidR="00C559DE">
        <w:rPr>
          <w:rFonts w:ascii="Garamond" w:hAnsi="Garamond"/>
          <w:sz w:val="24"/>
          <w:szCs w:val="24"/>
        </w:rPr>
        <w:t>,</w:t>
      </w:r>
      <w:r w:rsidRPr="00551729">
        <w:rPr>
          <w:rFonts w:ascii="Garamond" w:hAnsi="Garamond"/>
          <w:sz w:val="24"/>
          <w:szCs w:val="24"/>
        </w:rPr>
        <w:t xml:space="preserve"> dhe</w:t>
      </w:r>
      <w:r w:rsidR="00C559DE">
        <w:rPr>
          <w:rFonts w:ascii="Garamond" w:hAnsi="Garamond"/>
          <w:sz w:val="24"/>
          <w:szCs w:val="24"/>
        </w:rPr>
        <w:t xml:space="preserve"> </w:t>
      </w:r>
      <w:r w:rsidRPr="00551729">
        <w:rPr>
          <w:rFonts w:ascii="Garamond" w:hAnsi="Garamond"/>
          <w:sz w:val="24"/>
          <w:szCs w:val="24"/>
        </w:rPr>
        <w:t xml:space="preserve">Mali i Zi i përfaqësuar nga Qeveria e Malit të Zi </w:t>
      </w:r>
      <w:r w:rsidR="00C559DE">
        <w:rPr>
          <w:rFonts w:ascii="Garamond" w:hAnsi="Garamond"/>
          <w:sz w:val="24"/>
          <w:szCs w:val="24"/>
        </w:rPr>
        <w:t>–</w:t>
      </w:r>
      <w:r w:rsidRPr="00551729">
        <w:rPr>
          <w:rFonts w:ascii="Garamond" w:hAnsi="Garamond"/>
          <w:sz w:val="24"/>
          <w:szCs w:val="24"/>
        </w:rPr>
        <w:t xml:space="preserve"> Zyra e Integrimit Evropian dhe Republika e Shqipërisë, e përfaqësuar nga Këshilli i Ministrave,</w:t>
      </w:r>
      <w:r w:rsidRPr="00551729" w:rsidDel="004A60B0">
        <w:rPr>
          <w:rFonts w:ascii="Garamond" w:hAnsi="Garamond"/>
          <w:sz w:val="24"/>
          <w:szCs w:val="24"/>
        </w:rPr>
        <w:t xml:space="preserve"> </w:t>
      </w:r>
      <w:r w:rsidRPr="00551729">
        <w:rPr>
          <w:rFonts w:ascii="Garamond" w:hAnsi="Garamond"/>
          <w:sz w:val="24"/>
          <w:szCs w:val="24"/>
        </w:rPr>
        <w:t xml:space="preserve">që në vijim referohen bashkërisht si </w:t>
      </w:r>
      <w:r w:rsidR="00C521D5" w:rsidRPr="00551729">
        <w:rPr>
          <w:rFonts w:ascii="Garamond" w:hAnsi="Garamond"/>
          <w:sz w:val="24"/>
          <w:szCs w:val="24"/>
        </w:rPr>
        <w:t>“</w:t>
      </w:r>
      <w:r w:rsidR="00273B87" w:rsidRPr="00551729">
        <w:rPr>
          <w:rFonts w:ascii="Garamond" w:hAnsi="Garamond"/>
          <w:sz w:val="24"/>
          <w:szCs w:val="24"/>
        </w:rPr>
        <w:t xml:space="preserve">përfituesit </w:t>
      </w:r>
      <w:r w:rsidRPr="00551729">
        <w:rPr>
          <w:rFonts w:ascii="Garamond" w:hAnsi="Garamond"/>
          <w:sz w:val="24"/>
          <w:szCs w:val="24"/>
        </w:rPr>
        <w:t>e IPA II</w:t>
      </w:r>
      <w:r w:rsidR="00C521D5" w:rsidRPr="00551729">
        <w:rPr>
          <w:rFonts w:ascii="Garamond" w:hAnsi="Garamond"/>
          <w:sz w:val="24"/>
          <w:szCs w:val="24"/>
        </w:rPr>
        <w:t>”</w:t>
      </w:r>
      <w:r w:rsidRPr="00551729">
        <w:rPr>
          <w:rFonts w:ascii="Garamond" w:hAnsi="Garamond"/>
          <w:sz w:val="24"/>
          <w:szCs w:val="24"/>
        </w:rPr>
        <w:t xml:space="preserve"> ose veçmas si </w:t>
      </w:r>
      <w:r w:rsidR="00C521D5" w:rsidRPr="00551729">
        <w:rPr>
          <w:rFonts w:ascii="Garamond" w:hAnsi="Garamond"/>
          <w:sz w:val="24"/>
          <w:szCs w:val="24"/>
        </w:rPr>
        <w:t>“</w:t>
      </w:r>
      <w:r w:rsidRPr="00551729">
        <w:rPr>
          <w:rFonts w:ascii="Garamond" w:hAnsi="Garamond"/>
          <w:sz w:val="24"/>
          <w:szCs w:val="24"/>
        </w:rPr>
        <w:t>përfituesja e IPA II</w:t>
      </w:r>
      <w:r w:rsidR="00C521D5" w:rsidRPr="00551729">
        <w:rPr>
          <w:rFonts w:ascii="Garamond" w:hAnsi="Garamond"/>
          <w:sz w:val="24"/>
          <w:szCs w:val="24"/>
        </w:rPr>
        <w:t>”</w:t>
      </w:r>
      <w:r w:rsidRPr="00551729">
        <w:rPr>
          <w:rFonts w:ascii="Garamond" w:hAnsi="Garamond"/>
          <w:sz w:val="24"/>
          <w:szCs w:val="24"/>
        </w:rPr>
        <w:t xml:space="preserve"> ose </w:t>
      </w:r>
      <w:r w:rsidR="00C521D5" w:rsidRPr="00551729">
        <w:rPr>
          <w:rFonts w:ascii="Garamond" w:hAnsi="Garamond"/>
          <w:sz w:val="24"/>
          <w:szCs w:val="24"/>
        </w:rPr>
        <w:t>“</w:t>
      </w:r>
      <w:r w:rsidRPr="00551729">
        <w:rPr>
          <w:rFonts w:ascii="Garamond" w:hAnsi="Garamond"/>
          <w:sz w:val="24"/>
          <w:szCs w:val="24"/>
        </w:rPr>
        <w:t>pala</w:t>
      </w:r>
      <w:r w:rsidR="00C521D5" w:rsidRPr="00551729">
        <w:rPr>
          <w:rFonts w:ascii="Garamond" w:hAnsi="Garamond"/>
          <w:sz w:val="24"/>
          <w:szCs w:val="24"/>
        </w:rPr>
        <w:t>”</w:t>
      </w:r>
      <w:r w:rsidRPr="00551729">
        <w:rPr>
          <w:rFonts w:ascii="Garamond" w:hAnsi="Garamond"/>
          <w:sz w:val="24"/>
          <w:szCs w:val="24"/>
        </w:rPr>
        <w:t>,</w:t>
      </w:r>
      <w:r w:rsidR="00C559DE">
        <w:rPr>
          <w:rFonts w:ascii="Garamond" w:hAnsi="Garamond"/>
          <w:sz w:val="24"/>
          <w:szCs w:val="24"/>
        </w:rPr>
        <w:t xml:space="preserve"> </w:t>
      </w:r>
      <w:r w:rsidRPr="00551729">
        <w:rPr>
          <w:rFonts w:ascii="Garamond" w:hAnsi="Garamond"/>
          <w:sz w:val="24"/>
          <w:szCs w:val="24"/>
        </w:rPr>
        <w:t>nga ana tjetër,</w:t>
      </w:r>
      <w:r w:rsidR="00C559DE">
        <w:rPr>
          <w:rFonts w:ascii="Garamond" w:hAnsi="Garamond"/>
          <w:sz w:val="24"/>
          <w:szCs w:val="24"/>
        </w:rPr>
        <w:t xml:space="preserve"> </w:t>
      </w:r>
      <w:r w:rsidRPr="00551729">
        <w:rPr>
          <w:rFonts w:ascii="Garamond" w:hAnsi="Garamond"/>
          <w:sz w:val="24"/>
          <w:szCs w:val="24"/>
        </w:rPr>
        <w:t xml:space="preserve">dhe bashkërisht të referuara si </w:t>
      </w:r>
      <w:r w:rsidR="00C521D5" w:rsidRPr="00551729">
        <w:rPr>
          <w:rFonts w:ascii="Garamond" w:hAnsi="Garamond"/>
          <w:sz w:val="24"/>
          <w:szCs w:val="24"/>
        </w:rPr>
        <w:t>“</w:t>
      </w:r>
      <w:r w:rsidRPr="00551729">
        <w:rPr>
          <w:rFonts w:ascii="Garamond" w:hAnsi="Garamond"/>
          <w:sz w:val="24"/>
          <w:szCs w:val="24"/>
        </w:rPr>
        <w:t>Palët</w:t>
      </w:r>
      <w:r w:rsidR="00C521D5" w:rsidRPr="00551729">
        <w:rPr>
          <w:rFonts w:ascii="Garamond" w:hAnsi="Garamond"/>
          <w:sz w:val="24"/>
          <w:szCs w:val="24"/>
        </w:rPr>
        <w:t>”</w:t>
      </w:r>
      <w:r w:rsidR="00C559DE">
        <w:rPr>
          <w:rFonts w:ascii="Garamond" w:hAnsi="Garamond"/>
          <w:sz w:val="24"/>
          <w:szCs w:val="24"/>
        </w:rPr>
        <w:t>,</w:t>
      </w:r>
    </w:p>
    <w:p w14:paraId="1BADC820"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kanë rënë dakord si më poshtë:</w:t>
      </w:r>
    </w:p>
    <w:p w14:paraId="1BADC821" w14:textId="77777777" w:rsidR="00446633" w:rsidRPr="00551729" w:rsidRDefault="00446633" w:rsidP="00446633">
      <w:pPr>
        <w:spacing w:after="0" w:line="240" w:lineRule="auto"/>
        <w:ind w:firstLine="284"/>
        <w:jc w:val="both"/>
        <w:rPr>
          <w:rFonts w:ascii="Garamond" w:hAnsi="Garamond"/>
          <w:sz w:val="24"/>
          <w:szCs w:val="24"/>
        </w:rPr>
      </w:pPr>
    </w:p>
    <w:p w14:paraId="1BADC822" w14:textId="338EBCF8" w:rsidR="00446633" w:rsidRPr="00551729" w:rsidRDefault="00446633" w:rsidP="002A3C4B">
      <w:pPr>
        <w:spacing w:after="0" w:line="240" w:lineRule="auto"/>
        <w:jc w:val="center"/>
        <w:rPr>
          <w:rFonts w:ascii="Garamond" w:hAnsi="Garamond"/>
          <w:sz w:val="24"/>
          <w:szCs w:val="24"/>
        </w:rPr>
      </w:pPr>
      <w:r w:rsidRPr="00551729">
        <w:rPr>
          <w:rFonts w:ascii="Garamond" w:hAnsi="Garamond"/>
          <w:sz w:val="24"/>
          <w:szCs w:val="24"/>
        </w:rPr>
        <w:t>Neni 1</w:t>
      </w:r>
    </w:p>
    <w:p w14:paraId="1BADC823" w14:textId="77777777" w:rsidR="00446633" w:rsidRPr="00551729" w:rsidRDefault="00446633" w:rsidP="002A3C4B">
      <w:pPr>
        <w:spacing w:after="0" w:line="240" w:lineRule="auto"/>
        <w:jc w:val="center"/>
        <w:rPr>
          <w:rFonts w:ascii="Garamond" w:hAnsi="Garamond"/>
          <w:b/>
          <w:sz w:val="24"/>
          <w:szCs w:val="24"/>
        </w:rPr>
      </w:pPr>
      <w:r w:rsidRPr="00551729">
        <w:rPr>
          <w:rFonts w:ascii="Garamond" w:hAnsi="Garamond"/>
          <w:b/>
          <w:sz w:val="24"/>
          <w:szCs w:val="24"/>
        </w:rPr>
        <w:t>Programi i Veprimit</w:t>
      </w:r>
    </w:p>
    <w:p w14:paraId="1BADC824" w14:textId="77777777" w:rsidR="00446633" w:rsidRPr="00551729" w:rsidRDefault="00446633" w:rsidP="00446633">
      <w:pPr>
        <w:spacing w:after="0" w:line="240" w:lineRule="auto"/>
        <w:ind w:firstLine="284"/>
        <w:jc w:val="both"/>
        <w:rPr>
          <w:rFonts w:ascii="Garamond" w:hAnsi="Garamond"/>
          <w:sz w:val="24"/>
          <w:szCs w:val="24"/>
        </w:rPr>
      </w:pPr>
    </w:p>
    <w:p w14:paraId="1BADC826" w14:textId="4011D16B"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1. Bashkimi bie dakord të financojë dhe përfituesit e IPA II bien dakord të pranojnë financimin për alokimet e vitit 2020 të Programit të Veprimit në vijim, siç përshkruhet në </w:t>
      </w:r>
      <w:r w:rsidR="00D5528A" w:rsidRPr="00551729">
        <w:rPr>
          <w:rFonts w:ascii="Garamond" w:hAnsi="Garamond"/>
          <w:sz w:val="24"/>
          <w:szCs w:val="24"/>
        </w:rPr>
        <w:lastRenderedPageBreak/>
        <w:t xml:space="preserve">shtojcën </w:t>
      </w:r>
      <w:r w:rsidRPr="00551729">
        <w:rPr>
          <w:rFonts w:ascii="Garamond" w:hAnsi="Garamond"/>
          <w:sz w:val="24"/>
          <w:szCs w:val="24"/>
        </w:rPr>
        <w:t>I:</w:t>
      </w:r>
      <w:r w:rsidR="00D5528A">
        <w:rPr>
          <w:rFonts w:ascii="Garamond" w:hAnsi="Garamond"/>
          <w:sz w:val="24"/>
          <w:szCs w:val="24"/>
        </w:rPr>
        <w:t xml:space="preserve"> </w:t>
      </w:r>
      <w:r w:rsidRPr="00551729">
        <w:rPr>
          <w:rFonts w:ascii="Garamond" w:hAnsi="Garamond"/>
          <w:sz w:val="24"/>
          <w:szCs w:val="24"/>
        </w:rPr>
        <w:t>Programi i Veprimit të Bashkëpunimi Ndërk</w:t>
      </w:r>
      <w:r w:rsidR="00D5528A">
        <w:rPr>
          <w:rFonts w:ascii="Garamond" w:hAnsi="Garamond"/>
          <w:sz w:val="24"/>
          <w:szCs w:val="24"/>
        </w:rPr>
        <w:t>ufitar Mali i Zi për vitet 2018–</w:t>
      </w:r>
      <w:r w:rsidRPr="00551729">
        <w:rPr>
          <w:rFonts w:ascii="Garamond" w:hAnsi="Garamond"/>
          <w:sz w:val="24"/>
          <w:szCs w:val="24"/>
        </w:rPr>
        <w:t>2020. (Numri i angazhimit (CRIS): 2020 / 041-471)</w:t>
      </w:r>
      <w:r w:rsidR="00D5528A">
        <w:rPr>
          <w:rFonts w:ascii="Garamond" w:hAnsi="Garamond"/>
          <w:sz w:val="24"/>
          <w:szCs w:val="24"/>
        </w:rPr>
        <w:t>.</w:t>
      </w:r>
    </w:p>
    <w:p w14:paraId="1BADC827" w14:textId="58E884CF" w:rsidR="00446633" w:rsidRPr="000B2F9D" w:rsidRDefault="00446633" w:rsidP="00446633">
      <w:pPr>
        <w:spacing w:after="0" w:line="240" w:lineRule="auto"/>
        <w:ind w:firstLine="284"/>
        <w:jc w:val="both"/>
        <w:rPr>
          <w:rFonts w:ascii="Garamond" w:hAnsi="Garamond"/>
          <w:sz w:val="24"/>
          <w:szCs w:val="24"/>
        </w:rPr>
      </w:pPr>
      <w:r w:rsidRPr="000B2F9D">
        <w:rPr>
          <w:rFonts w:ascii="Garamond" w:hAnsi="Garamond"/>
          <w:sz w:val="24"/>
          <w:szCs w:val="24"/>
        </w:rPr>
        <w:t xml:space="preserve">Ky Program Veprimi financohet nga </w:t>
      </w:r>
      <w:r w:rsidR="00336633" w:rsidRPr="000B2F9D">
        <w:rPr>
          <w:rFonts w:ascii="Garamond" w:hAnsi="Garamond"/>
          <w:sz w:val="24"/>
          <w:szCs w:val="24"/>
        </w:rPr>
        <w:t xml:space="preserve">buxheti </w:t>
      </w:r>
      <w:r w:rsidRPr="000B2F9D">
        <w:rPr>
          <w:rFonts w:ascii="Garamond" w:hAnsi="Garamond"/>
          <w:sz w:val="24"/>
          <w:szCs w:val="24"/>
        </w:rPr>
        <w:t>i Bashkimit në bazë të aktit themelor në vijim: In</w:t>
      </w:r>
      <w:r w:rsidR="00336633">
        <w:rPr>
          <w:rFonts w:ascii="Garamond" w:hAnsi="Garamond"/>
          <w:sz w:val="24"/>
          <w:szCs w:val="24"/>
        </w:rPr>
        <w:t>strumenti për Asistencën e Paraa</w:t>
      </w:r>
      <w:r w:rsidRPr="000B2F9D">
        <w:rPr>
          <w:rFonts w:ascii="Garamond" w:hAnsi="Garamond"/>
          <w:sz w:val="24"/>
          <w:szCs w:val="24"/>
        </w:rPr>
        <w:t>nëtarësimit (IPA II)</w:t>
      </w:r>
      <w:r w:rsidRPr="00336633">
        <w:rPr>
          <w:rFonts w:ascii="Garamond" w:hAnsi="Garamond"/>
          <w:sz w:val="24"/>
          <w:szCs w:val="24"/>
          <w:vertAlign w:val="superscript"/>
        </w:rPr>
        <w:footnoteReference w:id="2"/>
      </w:r>
      <w:r w:rsidRPr="000B2F9D">
        <w:rPr>
          <w:rFonts w:ascii="Garamond" w:hAnsi="Garamond"/>
          <w:sz w:val="24"/>
          <w:szCs w:val="24"/>
        </w:rPr>
        <w:t>.</w:t>
      </w:r>
    </w:p>
    <w:p w14:paraId="1BADC828" w14:textId="7A1DB085" w:rsidR="00446633" w:rsidRPr="000B2F9D" w:rsidRDefault="00446633" w:rsidP="00446633">
      <w:pPr>
        <w:spacing w:after="0" w:line="240" w:lineRule="auto"/>
        <w:ind w:firstLine="284"/>
        <w:jc w:val="both"/>
        <w:rPr>
          <w:rFonts w:ascii="Garamond" w:hAnsi="Garamond"/>
          <w:sz w:val="24"/>
          <w:szCs w:val="24"/>
        </w:rPr>
      </w:pPr>
      <w:r w:rsidRPr="000B2F9D">
        <w:rPr>
          <w:rFonts w:ascii="Garamond" w:hAnsi="Garamond"/>
          <w:sz w:val="24"/>
          <w:szCs w:val="24"/>
        </w:rPr>
        <w:t xml:space="preserve">2. Kostoja totale e llogaritur për fondet e vitit 2020 për këtë Program të Veprimit është 1,800,000 </w:t>
      </w:r>
      <w:r w:rsidR="00336633" w:rsidRPr="000B2F9D">
        <w:rPr>
          <w:rFonts w:ascii="Garamond" w:hAnsi="Garamond"/>
          <w:sz w:val="24"/>
          <w:szCs w:val="24"/>
        </w:rPr>
        <w:t xml:space="preserve">euro </w:t>
      </w:r>
      <w:r w:rsidRPr="000B2F9D">
        <w:rPr>
          <w:rFonts w:ascii="Garamond" w:hAnsi="Garamond"/>
          <w:sz w:val="24"/>
          <w:szCs w:val="24"/>
        </w:rPr>
        <w:t xml:space="preserve">dhe kontributi maksimal i Bashkimit në këtë Program të Veprimit është 1,530,000 </w:t>
      </w:r>
      <w:r w:rsidR="00336633" w:rsidRPr="000B2F9D">
        <w:rPr>
          <w:rFonts w:ascii="Garamond" w:hAnsi="Garamond"/>
          <w:sz w:val="24"/>
          <w:szCs w:val="24"/>
        </w:rPr>
        <w:t>euro</w:t>
      </w:r>
      <w:r w:rsidRPr="000B2F9D">
        <w:rPr>
          <w:rFonts w:ascii="Garamond" w:hAnsi="Garamond"/>
          <w:sz w:val="24"/>
          <w:szCs w:val="24"/>
        </w:rPr>
        <w:t>.</w:t>
      </w:r>
    </w:p>
    <w:p w14:paraId="1BADC829" w14:textId="77777777" w:rsidR="00446633" w:rsidRPr="00551729" w:rsidRDefault="00446633" w:rsidP="00446633">
      <w:pPr>
        <w:spacing w:after="0" w:line="240" w:lineRule="auto"/>
        <w:ind w:firstLine="284"/>
        <w:jc w:val="both"/>
        <w:rPr>
          <w:rFonts w:ascii="Garamond" w:hAnsi="Garamond"/>
          <w:sz w:val="24"/>
          <w:szCs w:val="24"/>
        </w:rPr>
      </w:pPr>
      <w:r w:rsidRPr="000B2F9D">
        <w:rPr>
          <w:rFonts w:ascii="Garamond" w:hAnsi="Garamond"/>
          <w:sz w:val="24"/>
          <w:szCs w:val="24"/>
        </w:rPr>
        <w:t>Nuk kërkohet kontribut financiar nga përfituesit e vendeve IPA II.</w:t>
      </w:r>
      <w:r w:rsidRPr="00551729">
        <w:rPr>
          <w:rFonts w:ascii="Garamond" w:hAnsi="Garamond"/>
          <w:sz w:val="24"/>
          <w:szCs w:val="24"/>
        </w:rPr>
        <w:t xml:space="preserve"> </w:t>
      </w:r>
    </w:p>
    <w:p w14:paraId="1BADC82A" w14:textId="77777777" w:rsidR="00446633" w:rsidRPr="00551729" w:rsidRDefault="00446633" w:rsidP="00446633">
      <w:pPr>
        <w:spacing w:after="0" w:line="240" w:lineRule="auto"/>
        <w:ind w:firstLine="284"/>
        <w:jc w:val="both"/>
        <w:rPr>
          <w:rFonts w:ascii="Garamond" w:hAnsi="Garamond"/>
          <w:sz w:val="24"/>
          <w:szCs w:val="24"/>
        </w:rPr>
      </w:pPr>
    </w:p>
    <w:p w14:paraId="1BADC82B" w14:textId="77777777" w:rsidR="00446633" w:rsidRPr="00551729" w:rsidRDefault="00446633" w:rsidP="00446633">
      <w:pPr>
        <w:spacing w:after="0" w:line="240" w:lineRule="auto"/>
        <w:ind w:firstLine="284"/>
        <w:jc w:val="both"/>
        <w:rPr>
          <w:rFonts w:ascii="Garamond" w:hAnsi="Garamond"/>
          <w:sz w:val="24"/>
          <w:szCs w:val="24"/>
        </w:rPr>
      </w:pPr>
      <w:bookmarkStart w:id="0" w:name="page2"/>
      <w:bookmarkEnd w:id="0"/>
    </w:p>
    <w:p w14:paraId="1BADC82C" w14:textId="77777777" w:rsidR="00446633" w:rsidRPr="00551729" w:rsidRDefault="00446633" w:rsidP="00446633">
      <w:pPr>
        <w:spacing w:after="0" w:line="240" w:lineRule="auto"/>
        <w:ind w:firstLine="284"/>
        <w:jc w:val="center"/>
        <w:rPr>
          <w:rFonts w:ascii="Garamond" w:hAnsi="Garamond"/>
          <w:sz w:val="24"/>
          <w:szCs w:val="24"/>
        </w:rPr>
      </w:pPr>
      <w:r w:rsidRPr="00551729">
        <w:rPr>
          <w:rFonts w:ascii="Garamond" w:hAnsi="Garamond"/>
          <w:sz w:val="24"/>
          <w:szCs w:val="24"/>
        </w:rPr>
        <w:t>Neni 2</w:t>
      </w:r>
    </w:p>
    <w:p w14:paraId="1BADC82D" w14:textId="77777777" w:rsidR="00446633" w:rsidRPr="00551729" w:rsidRDefault="00446633" w:rsidP="00446633">
      <w:pPr>
        <w:spacing w:after="0" w:line="240" w:lineRule="auto"/>
        <w:ind w:firstLine="284"/>
        <w:jc w:val="center"/>
        <w:rPr>
          <w:rFonts w:ascii="Garamond" w:hAnsi="Garamond"/>
          <w:b/>
          <w:sz w:val="24"/>
          <w:szCs w:val="24"/>
        </w:rPr>
      </w:pPr>
      <w:r w:rsidRPr="00551729">
        <w:rPr>
          <w:rFonts w:ascii="Garamond" w:hAnsi="Garamond"/>
          <w:b/>
          <w:sz w:val="24"/>
          <w:szCs w:val="24"/>
        </w:rPr>
        <w:t>Periudha e ekzekutimit dhe periudha e zbatimit operacional</w:t>
      </w:r>
    </w:p>
    <w:p w14:paraId="1BADC82E" w14:textId="77777777" w:rsidR="00446633" w:rsidRPr="00551729" w:rsidRDefault="00446633" w:rsidP="00446633">
      <w:pPr>
        <w:spacing w:after="0" w:line="240" w:lineRule="auto"/>
        <w:ind w:firstLine="284"/>
        <w:jc w:val="both"/>
        <w:rPr>
          <w:rFonts w:ascii="Garamond" w:hAnsi="Garamond"/>
          <w:sz w:val="24"/>
          <w:szCs w:val="24"/>
        </w:rPr>
      </w:pPr>
    </w:p>
    <w:p w14:paraId="1BADC82F" w14:textId="5E701982"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1. Siç përcaktohet në nenin 1(1) të </w:t>
      </w:r>
      <w:r w:rsidR="00336633" w:rsidRPr="00551729">
        <w:rPr>
          <w:rFonts w:ascii="Garamond" w:hAnsi="Garamond"/>
          <w:sz w:val="24"/>
          <w:szCs w:val="24"/>
        </w:rPr>
        <w:t xml:space="preserve">shtojcës </w:t>
      </w:r>
      <w:r w:rsidRPr="00551729">
        <w:rPr>
          <w:rFonts w:ascii="Garamond" w:hAnsi="Garamond"/>
          <w:sz w:val="24"/>
          <w:szCs w:val="24"/>
        </w:rPr>
        <w:t xml:space="preserve">II, periudha e ekzekutimit të kësaj Marrëveshjeje Financimi është caktuar 12 vjet nga hyrja në fuqi e kësaj Marrëveshjeje Financimi. </w:t>
      </w:r>
    </w:p>
    <w:p w14:paraId="1BADC830" w14:textId="099B504C"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2. Siç përcaktohet në nenin 1(2) të </w:t>
      </w:r>
      <w:r w:rsidR="00336633" w:rsidRPr="00551729">
        <w:rPr>
          <w:rFonts w:ascii="Garamond" w:hAnsi="Garamond"/>
          <w:sz w:val="24"/>
          <w:szCs w:val="24"/>
        </w:rPr>
        <w:t xml:space="preserve">shtojcës </w:t>
      </w:r>
      <w:r w:rsidRPr="00551729">
        <w:rPr>
          <w:rFonts w:ascii="Garamond" w:hAnsi="Garamond"/>
          <w:sz w:val="24"/>
          <w:szCs w:val="24"/>
        </w:rPr>
        <w:t xml:space="preserve">II, periudha e zbatimit operacional të kësaj Marrëveshjeje Financimi është caktuar 6 vjet nga hyrja në fuqi e kësaj Marrëveshjeje Financimi. </w:t>
      </w:r>
    </w:p>
    <w:p w14:paraId="1BADC831" w14:textId="77777777" w:rsidR="00446633" w:rsidRPr="00551729" w:rsidRDefault="00446633" w:rsidP="00446633">
      <w:pPr>
        <w:spacing w:after="0" w:line="240" w:lineRule="auto"/>
        <w:ind w:firstLine="284"/>
        <w:jc w:val="both"/>
        <w:rPr>
          <w:rFonts w:ascii="Garamond" w:hAnsi="Garamond"/>
          <w:sz w:val="24"/>
          <w:szCs w:val="24"/>
        </w:rPr>
      </w:pPr>
    </w:p>
    <w:p w14:paraId="1BADC832" w14:textId="77777777" w:rsidR="00446633" w:rsidRPr="00551729" w:rsidRDefault="00446633" w:rsidP="00446633">
      <w:pPr>
        <w:spacing w:after="0" w:line="240" w:lineRule="auto"/>
        <w:ind w:firstLine="284"/>
        <w:jc w:val="center"/>
        <w:rPr>
          <w:rFonts w:ascii="Garamond" w:hAnsi="Garamond"/>
          <w:sz w:val="24"/>
          <w:szCs w:val="24"/>
        </w:rPr>
      </w:pPr>
      <w:r w:rsidRPr="00551729">
        <w:rPr>
          <w:rFonts w:ascii="Garamond" w:hAnsi="Garamond"/>
          <w:sz w:val="24"/>
          <w:szCs w:val="24"/>
        </w:rPr>
        <w:t>Neni 3</w:t>
      </w:r>
    </w:p>
    <w:p w14:paraId="1BADC833" w14:textId="17E4EFCE" w:rsidR="00446633" w:rsidRPr="00551729" w:rsidRDefault="00446633" w:rsidP="00446633">
      <w:pPr>
        <w:spacing w:after="0" w:line="240" w:lineRule="auto"/>
        <w:ind w:firstLine="284"/>
        <w:jc w:val="center"/>
        <w:rPr>
          <w:rFonts w:ascii="Garamond" w:hAnsi="Garamond"/>
          <w:b/>
          <w:sz w:val="24"/>
          <w:szCs w:val="24"/>
        </w:rPr>
      </w:pPr>
      <w:r w:rsidRPr="00551729">
        <w:rPr>
          <w:rFonts w:ascii="Garamond" w:hAnsi="Garamond"/>
          <w:b/>
          <w:sz w:val="24"/>
          <w:szCs w:val="24"/>
        </w:rPr>
        <w:t xml:space="preserve">Adresat dhe </w:t>
      </w:r>
      <w:r w:rsidR="00336633" w:rsidRPr="00551729">
        <w:rPr>
          <w:rFonts w:ascii="Garamond" w:hAnsi="Garamond"/>
          <w:b/>
          <w:sz w:val="24"/>
          <w:szCs w:val="24"/>
        </w:rPr>
        <w:t>komunikimi</w:t>
      </w:r>
    </w:p>
    <w:p w14:paraId="1BADC834" w14:textId="77777777" w:rsidR="00446633" w:rsidRPr="00551729" w:rsidRDefault="00446633" w:rsidP="00446633">
      <w:pPr>
        <w:spacing w:after="0" w:line="240" w:lineRule="auto"/>
        <w:ind w:firstLine="284"/>
        <w:jc w:val="both"/>
        <w:rPr>
          <w:rFonts w:ascii="Garamond" w:hAnsi="Garamond"/>
          <w:sz w:val="24"/>
          <w:szCs w:val="24"/>
        </w:rPr>
      </w:pPr>
    </w:p>
    <w:p w14:paraId="1BADC835"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I gjithë komunikimi në lidhje me zbatimin e kësaj Marrëveshjeje Financimi duhet të jenë në formë të shkruar, duke iu referuar shprehimisht Programit të Veprimit, siç identifikohet në nenin 1(1) dhe do të dërgohet në adresat e mëposhtme:</w:t>
      </w:r>
    </w:p>
    <w:p w14:paraId="1BADC836" w14:textId="77777777" w:rsidR="00963E30" w:rsidRPr="00551729" w:rsidRDefault="00963E30" w:rsidP="00446633">
      <w:pPr>
        <w:spacing w:after="0" w:line="240" w:lineRule="auto"/>
        <w:ind w:firstLine="284"/>
        <w:jc w:val="both"/>
        <w:rPr>
          <w:rFonts w:ascii="Garamond" w:hAnsi="Garamond"/>
          <w:b/>
          <w:sz w:val="24"/>
          <w:szCs w:val="24"/>
        </w:rPr>
      </w:pPr>
    </w:p>
    <w:p w14:paraId="1BADC837" w14:textId="0E380CC9" w:rsidR="00446633" w:rsidRPr="00551729" w:rsidRDefault="00336633" w:rsidP="00446633">
      <w:pPr>
        <w:spacing w:after="0" w:line="240" w:lineRule="auto"/>
        <w:ind w:firstLine="284"/>
        <w:jc w:val="both"/>
        <w:rPr>
          <w:rFonts w:ascii="Garamond" w:hAnsi="Garamond"/>
          <w:b/>
          <w:sz w:val="24"/>
          <w:szCs w:val="24"/>
        </w:rPr>
      </w:pPr>
      <w:r w:rsidRPr="00551729">
        <w:rPr>
          <w:rFonts w:ascii="Garamond" w:hAnsi="Garamond"/>
          <w:b/>
          <w:sz w:val="24"/>
          <w:szCs w:val="24"/>
        </w:rPr>
        <w:t xml:space="preserve">Për </w:t>
      </w:r>
      <w:r w:rsidR="00446633" w:rsidRPr="00551729">
        <w:rPr>
          <w:rFonts w:ascii="Garamond" w:hAnsi="Garamond"/>
          <w:b/>
          <w:sz w:val="24"/>
          <w:szCs w:val="24"/>
        </w:rPr>
        <w:t xml:space="preserve">Komisionin </w:t>
      </w:r>
    </w:p>
    <w:p w14:paraId="1BADC838"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Znj. Genoveva Ruiz Calavera </w:t>
      </w:r>
    </w:p>
    <w:p w14:paraId="1BADC839"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Drejtoria D, Ballkani Perëndimor</w:t>
      </w:r>
    </w:p>
    <w:p w14:paraId="1BADC83A"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Drejtoria e Përgjithshme për Negociatat e Zgjerimit dhe Fqinjësinë, Komisioni Europian</w:t>
      </w:r>
    </w:p>
    <w:p w14:paraId="1BADC83B"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15, Rue de la Loi, B – 1049 Bruksel, Belgjikë E-mail: </w:t>
      </w:r>
      <w:hyperlink r:id="rId15" w:history="1">
        <w:r w:rsidRPr="00551729">
          <w:rPr>
            <w:rStyle w:val="Hyperlink"/>
            <w:rFonts w:ascii="Garamond" w:hAnsi="Garamond"/>
            <w:sz w:val="24"/>
            <w:szCs w:val="24"/>
            <w:u w:val="none"/>
          </w:rPr>
          <w:t xml:space="preserve"> NEAR-D1@ec.europa.e</w:t>
        </w:r>
      </w:hyperlink>
      <w:r w:rsidRPr="00551729">
        <w:rPr>
          <w:rFonts w:ascii="Garamond" w:hAnsi="Garamond"/>
          <w:sz w:val="24"/>
          <w:szCs w:val="24"/>
        </w:rPr>
        <w:t>u</w:t>
      </w:r>
    </w:p>
    <w:p w14:paraId="1BADC83C" w14:textId="77777777" w:rsidR="00446633" w:rsidRPr="00551729" w:rsidRDefault="00446633" w:rsidP="00446633">
      <w:pPr>
        <w:spacing w:after="0" w:line="240" w:lineRule="auto"/>
        <w:ind w:firstLine="284"/>
        <w:jc w:val="both"/>
        <w:rPr>
          <w:rFonts w:ascii="Garamond" w:hAnsi="Garamond"/>
          <w:sz w:val="24"/>
          <w:szCs w:val="24"/>
        </w:rPr>
      </w:pPr>
    </w:p>
    <w:p w14:paraId="1BADC83D" w14:textId="2FCE7C70" w:rsidR="00446633" w:rsidRPr="00551729" w:rsidRDefault="00336633" w:rsidP="00446633">
      <w:pPr>
        <w:spacing w:after="0" w:line="240" w:lineRule="auto"/>
        <w:ind w:firstLine="284"/>
        <w:jc w:val="both"/>
        <w:rPr>
          <w:rFonts w:ascii="Garamond" w:hAnsi="Garamond"/>
          <w:b/>
          <w:sz w:val="24"/>
          <w:szCs w:val="24"/>
        </w:rPr>
      </w:pPr>
      <w:r w:rsidRPr="00551729">
        <w:rPr>
          <w:rFonts w:ascii="Garamond" w:hAnsi="Garamond"/>
          <w:b/>
          <w:sz w:val="24"/>
          <w:szCs w:val="24"/>
        </w:rPr>
        <w:t xml:space="preserve">Për </w:t>
      </w:r>
      <w:r w:rsidR="00273B87" w:rsidRPr="00551729">
        <w:rPr>
          <w:rFonts w:ascii="Garamond" w:hAnsi="Garamond"/>
          <w:b/>
          <w:sz w:val="24"/>
          <w:szCs w:val="24"/>
        </w:rPr>
        <w:t xml:space="preserve">përfituesit </w:t>
      </w:r>
      <w:r w:rsidR="00446633" w:rsidRPr="00551729">
        <w:rPr>
          <w:rFonts w:ascii="Garamond" w:hAnsi="Garamond"/>
          <w:b/>
          <w:sz w:val="24"/>
          <w:szCs w:val="24"/>
        </w:rPr>
        <w:t>e IPA II</w:t>
      </w:r>
    </w:p>
    <w:p w14:paraId="1BADC83E" w14:textId="77777777" w:rsidR="00446633" w:rsidRPr="00551729" w:rsidRDefault="00446633" w:rsidP="00446633">
      <w:pPr>
        <w:spacing w:after="0" w:line="240" w:lineRule="auto"/>
        <w:ind w:firstLine="284"/>
        <w:jc w:val="both"/>
        <w:rPr>
          <w:rFonts w:ascii="Garamond" w:hAnsi="Garamond"/>
          <w:sz w:val="24"/>
          <w:szCs w:val="24"/>
        </w:rPr>
      </w:pPr>
    </w:p>
    <w:p w14:paraId="1BADC83F" w14:textId="77777777" w:rsidR="00446633" w:rsidRPr="00551729" w:rsidRDefault="00446633" w:rsidP="00446633">
      <w:pPr>
        <w:spacing w:after="0" w:line="240" w:lineRule="auto"/>
        <w:ind w:firstLine="284"/>
        <w:jc w:val="both"/>
        <w:rPr>
          <w:rFonts w:ascii="Garamond" w:hAnsi="Garamond"/>
          <w:b/>
          <w:sz w:val="24"/>
          <w:szCs w:val="24"/>
        </w:rPr>
      </w:pPr>
      <w:r w:rsidRPr="00551729">
        <w:rPr>
          <w:rFonts w:ascii="Garamond" w:hAnsi="Garamond"/>
          <w:b/>
          <w:sz w:val="24"/>
          <w:szCs w:val="24"/>
        </w:rPr>
        <w:t>Për Malin e Zi:</w:t>
      </w:r>
    </w:p>
    <w:p w14:paraId="1BADC840"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Z. Zorka Kordić </w:t>
      </w:r>
    </w:p>
    <w:p w14:paraId="1BADC841" w14:textId="4BED4E6E"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Krye-Negociator dhe Koordinator Kombëtar i IPA-s</w:t>
      </w:r>
      <w:r w:rsidR="004E2CEC">
        <w:rPr>
          <w:rFonts w:ascii="Garamond" w:hAnsi="Garamond"/>
          <w:sz w:val="24"/>
          <w:szCs w:val="24"/>
        </w:rPr>
        <w:t>ë</w:t>
      </w:r>
    </w:p>
    <w:p w14:paraId="1BADC842"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Qeveria e Malit të Zi</w:t>
      </w:r>
    </w:p>
    <w:p w14:paraId="1BADC843"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Zyra e Integrimit Evropian</w:t>
      </w:r>
    </w:p>
    <w:p w14:paraId="1BADC844"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Bulevar Revolucije 15</w:t>
      </w:r>
    </w:p>
    <w:p w14:paraId="1BADC845"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81000, Podgoricë, Mali i Zi</w:t>
      </w:r>
    </w:p>
    <w:p w14:paraId="1BADC846"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E-mail: aleksandar.drlievic@,gsv.gov.me</w:t>
      </w:r>
    </w:p>
    <w:p w14:paraId="1BADC847" w14:textId="77777777" w:rsidR="00446633" w:rsidRPr="00551729" w:rsidRDefault="00446633" w:rsidP="00446633">
      <w:pPr>
        <w:spacing w:after="0" w:line="240" w:lineRule="auto"/>
        <w:ind w:firstLine="284"/>
        <w:jc w:val="both"/>
        <w:rPr>
          <w:rFonts w:ascii="Garamond" w:hAnsi="Garamond"/>
          <w:sz w:val="24"/>
          <w:szCs w:val="24"/>
        </w:rPr>
      </w:pPr>
    </w:p>
    <w:p w14:paraId="1BADC848"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b/>
          <w:sz w:val="24"/>
          <w:szCs w:val="24"/>
        </w:rPr>
        <w:t>Për Republikën e Shqipërisë</w:t>
      </w:r>
      <w:r w:rsidRPr="00551729">
        <w:rPr>
          <w:rFonts w:ascii="Garamond" w:hAnsi="Garamond"/>
          <w:sz w:val="24"/>
          <w:szCs w:val="24"/>
        </w:rPr>
        <w:t>::</w:t>
      </w:r>
    </w:p>
    <w:p w14:paraId="1BADC84A"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Ministria për Evropën dhe Punët e Jashtme </w:t>
      </w:r>
    </w:p>
    <w:p w14:paraId="1BADC84B"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Drejtoria e Bashkëpunimit Territorial</w:t>
      </w:r>
    </w:p>
    <w:p w14:paraId="1BADC84C" w14:textId="082EAB05"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Bulevardi </w:t>
      </w:r>
      <w:r w:rsidR="00A33C30">
        <w:rPr>
          <w:rFonts w:ascii="Garamond" w:hAnsi="Garamond"/>
          <w:sz w:val="24"/>
          <w:szCs w:val="24"/>
        </w:rPr>
        <w:t>“</w:t>
      </w:r>
      <w:r w:rsidRPr="00551729">
        <w:rPr>
          <w:rFonts w:ascii="Garamond" w:hAnsi="Garamond"/>
          <w:sz w:val="24"/>
          <w:szCs w:val="24"/>
        </w:rPr>
        <w:t>Gjergj Fishta</w:t>
      </w:r>
      <w:r w:rsidR="00A33C30">
        <w:rPr>
          <w:rFonts w:ascii="Garamond" w:hAnsi="Garamond"/>
          <w:sz w:val="24"/>
          <w:szCs w:val="24"/>
        </w:rPr>
        <w:t>”</w:t>
      </w:r>
      <w:r w:rsidRPr="00551729">
        <w:rPr>
          <w:rFonts w:ascii="Garamond" w:hAnsi="Garamond"/>
          <w:sz w:val="24"/>
          <w:szCs w:val="24"/>
        </w:rPr>
        <w:t xml:space="preserve">, </w:t>
      </w:r>
      <w:r w:rsidR="00A33C30" w:rsidRPr="00551729">
        <w:rPr>
          <w:rFonts w:ascii="Garamond" w:hAnsi="Garamond"/>
          <w:sz w:val="24"/>
          <w:szCs w:val="24"/>
        </w:rPr>
        <w:t>nr</w:t>
      </w:r>
      <w:r w:rsidRPr="00551729">
        <w:rPr>
          <w:rFonts w:ascii="Garamond" w:hAnsi="Garamond"/>
          <w:sz w:val="24"/>
          <w:szCs w:val="24"/>
        </w:rPr>
        <w:t>. 6</w:t>
      </w:r>
    </w:p>
    <w:p w14:paraId="1BADC84D"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Tiranë, Shqipëri</w:t>
      </w:r>
    </w:p>
    <w:p w14:paraId="1BADC84F"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i/>
          <w:sz w:val="24"/>
          <w:szCs w:val="24"/>
        </w:rPr>
        <w:t>E-mail:</w:t>
      </w:r>
      <w:r w:rsidRPr="00551729">
        <w:rPr>
          <w:rFonts w:ascii="Garamond" w:hAnsi="Garamond"/>
          <w:sz w:val="24"/>
          <w:szCs w:val="24"/>
        </w:rPr>
        <w:t xml:space="preserve"> info@mfa.gov.al</w:t>
      </w:r>
      <w:r w:rsidRPr="00551729" w:rsidDel="004A60B0">
        <w:rPr>
          <w:rFonts w:ascii="Garamond" w:hAnsi="Garamond"/>
          <w:sz w:val="24"/>
          <w:szCs w:val="24"/>
        </w:rPr>
        <w:t xml:space="preserve"> </w:t>
      </w:r>
    </w:p>
    <w:p w14:paraId="1BADC850" w14:textId="77777777" w:rsidR="00446633" w:rsidRPr="00551729" w:rsidRDefault="00446633" w:rsidP="00446633">
      <w:pPr>
        <w:spacing w:after="0" w:line="240" w:lineRule="auto"/>
        <w:ind w:firstLine="284"/>
        <w:jc w:val="both"/>
        <w:rPr>
          <w:rFonts w:ascii="Garamond" w:hAnsi="Garamond"/>
          <w:sz w:val="24"/>
          <w:szCs w:val="24"/>
        </w:rPr>
      </w:pPr>
      <w:bookmarkStart w:id="1" w:name="page3"/>
      <w:bookmarkEnd w:id="1"/>
    </w:p>
    <w:p w14:paraId="1BADC851" w14:textId="77777777" w:rsidR="00963E30" w:rsidRPr="00551729" w:rsidRDefault="00963E30" w:rsidP="00963E30">
      <w:pPr>
        <w:spacing w:after="0" w:line="240" w:lineRule="auto"/>
        <w:ind w:firstLine="284"/>
        <w:jc w:val="center"/>
        <w:rPr>
          <w:rFonts w:ascii="Garamond" w:hAnsi="Garamond"/>
          <w:sz w:val="24"/>
          <w:szCs w:val="24"/>
        </w:rPr>
      </w:pPr>
      <w:r w:rsidRPr="00551729">
        <w:rPr>
          <w:rFonts w:ascii="Garamond" w:hAnsi="Garamond"/>
          <w:sz w:val="24"/>
          <w:szCs w:val="24"/>
        </w:rPr>
        <w:t>Neni 4</w:t>
      </w:r>
    </w:p>
    <w:p w14:paraId="1BADC852" w14:textId="77777777" w:rsidR="00446633" w:rsidRPr="00551729" w:rsidRDefault="00446633" w:rsidP="00963E30">
      <w:pPr>
        <w:spacing w:after="0" w:line="240" w:lineRule="auto"/>
        <w:ind w:firstLine="284"/>
        <w:jc w:val="center"/>
        <w:rPr>
          <w:rFonts w:ascii="Garamond" w:hAnsi="Garamond"/>
          <w:b/>
          <w:sz w:val="24"/>
          <w:szCs w:val="24"/>
        </w:rPr>
      </w:pPr>
      <w:r w:rsidRPr="00551729">
        <w:rPr>
          <w:rFonts w:ascii="Garamond" w:hAnsi="Garamond"/>
          <w:b/>
          <w:sz w:val="24"/>
          <w:szCs w:val="24"/>
        </w:rPr>
        <w:t>Pikat e kontaktit të OLAF-it</w:t>
      </w:r>
    </w:p>
    <w:p w14:paraId="1BADC853" w14:textId="77777777" w:rsidR="00446633" w:rsidRPr="00551729" w:rsidRDefault="00446633" w:rsidP="00446633">
      <w:pPr>
        <w:spacing w:after="0" w:line="240" w:lineRule="auto"/>
        <w:ind w:firstLine="284"/>
        <w:jc w:val="both"/>
        <w:rPr>
          <w:rFonts w:ascii="Garamond" w:hAnsi="Garamond"/>
          <w:sz w:val="24"/>
          <w:szCs w:val="24"/>
        </w:rPr>
      </w:pPr>
    </w:p>
    <w:p w14:paraId="1BADC854" w14:textId="6275393F"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Pika e kontaktit të </w:t>
      </w:r>
      <w:r w:rsidR="00273B87" w:rsidRPr="00551729">
        <w:rPr>
          <w:rFonts w:ascii="Garamond" w:hAnsi="Garamond"/>
          <w:sz w:val="24"/>
          <w:szCs w:val="24"/>
        </w:rPr>
        <w:t xml:space="preserve">përfituesit </w:t>
      </w:r>
      <w:r w:rsidRPr="00551729">
        <w:rPr>
          <w:rFonts w:ascii="Garamond" w:hAnsi="Garamond"/>
          <w:sz w:val="24"/>
          <w:szCs w:val="24"/>
        </w:rPr>
        <w:t>të IPA II që ka kompetencat e duhura për të bashkëpunuar drejtpërdrejt me Zyrën Evropiane Kundër Mashtrimit (OLAF), në mënyrë që të lehtësojë aktivitetet operacionale të OLAF-it do të jenë:</w:t>
      </w:r>
    </w:p>
    <w:p w14:paraId="1BADC855" w14:textId="77777777" w:rsidR="00446633" w:rsidRPr="00551729" w:rsidRDefault="00446633" w:rsidP="00446633">
      <w:pPr>
        <w:spacing w:after="0" w:line="240" w:lineRule="auto"/>
        <w:ind w:firstLine="284"/>
        <w:jc w:val="both"/>
        <w:rPr>
          <w:rFonts w:ascii="Garamond" w:hAnsi="Garamond"/>
          <w:sz w:val="24"/>
          <w:szCs w:val="24"/>
        </w:rPr>
      </w:pPr>
    </w:p>
    <w:p w14:paraId="1BADC856" w14:textId="77777777" w:rsidR="00446633" w:rsidRPr="00551729" w:rsidRDefault="00446633" w:rsidP="00446633">
      <w:pPr>
        <w:spacing w:after="0" w:line="240" w:lineRule="auto"/>
        <w:ind w:firstLine="284"/>
        <w:jc w:val="both"/>
        <w:rPr>
          <w:rFonts w:ascii="Garamond" w:hAnsi="Garamond"/>
          <w:b/>
          <w:sz w:val="24"/>
          <w:szCs w:val="24"/>
        </w:rPr>
      </w:pPr>
      <w:r w:rsidRPr="00551729">
        <w:rPr>
          <w:rFonts w:ascii="Garamond" w:hAnsi="Garamond"/>
          <w:b/>
          <w:sz w:val="24"/>
          <w:szCs w:val="24"/>
        </w:rPr>
        <w:t>Për Malin e Zi:</w:t>
      </w:r>
    </w:p>
    <w:p w14:paraId="1BADC857" w14:textId="4F7D658C" w:rsidR="00446633" w:rsidRPr="00551729" w:rsidRDefault="002A3C4B" w:rsidP="00446633">
      <w:pPr>
        <w:spacing w:after="0" w:line="240" w:lineRule="auto"/>
        <w:ind w:firstLine="284"/>
        <w:jc w:val="both"/>
        <w:rPr>
          <w:rFonts w:ascii="Garamond" w:hAnsi="Garamond"/>
          <w:sz w:val="24"/>
          <w:szCs w:val="24"/>
        </w:rPr>
      </w:pPr>
      <w:r w:rsidRPr="00551729">
        <w:rPr>
          <w:rFonts w:ascii="Garamond" w:hAnsi="Garamond"/>
          <w:sz w:val="24"/>
          <w:szCs w:val="24"/>
        </w:rPr>
        <w:t>AFCOS pikë kontakti/</w:t>
      </w:r>
      <w:r w:rsidR="00446633" w:rsidRPr="00551729">
        <w:rPr>
          <w:rFonts w:ascii="Garamond" w:hAnsi="Garamond"/>
          <w:sz w:val="24"/>
          <w:szCs w:val="24"/>
        </w:rPr>
        <w:t>zyra e AFCOS</w:t>
      </w:r>
    </w:p>
    <w:p w14:paraId="1BADC858"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Znj. Nataša Kovačević</w:t>
      </w:r>
    </w:p>
    <w:p w14:paraId="1BADC859"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Ministria e Financave e Malit të Zi</w:t>
      </w:r>
    </w:p>
    <w:p w14:paraId="1BADC85A"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Stanka Dragojevića 2, 81000, Podgoricë, Mali i Zi</w:t>
      </w:r>
    </w:p>
    <w:p w14:paraId="1BADC85B" w14:textId="77777777" w:rsidR="00446633" w:rsidRPr="00551729" w:rsidRDefault="008274CD" w:rsidP="00446633">
      <w:pPr>
        <w:spacing w:after="0" w:line="240" w:lineRule="auto"/>
        <w:ind w:firstLine="284"/>
        <w:jc w:val="both"/>
        <w:rPr>
          <w:rFonts w:ascii="Garamond" w:hAnsi="Garamond"/>
          <w:sz w:val="24"/>
          <w:szCs w:val="24"/>
        </w:rPr>
      </w:pPr>
      <w:hyperlink r:id="rId16" w:history="1">
        <w:r w:rsidR="00446633" w:rsidRPr="00551729">
          <w:rPr>
            <w:rStyle w:val="Hyperlink"/>
            <w:rFonts w:ascii="Garamond" w:hAnsi="Garamond"/>
            <w:sz w:val="24"/>
            <w:szCs w:val="24"/>
            <w:u w:val="none"/>
          </w:rPr>
          <w:t>Natasa.kovacevic@mif.gov.me</w:t>
        </w:r>
      </w:hyperlink>
      <w:r w:rsidR="00446633" w:rsidRPr="00551729">
        <w:rPr>
          <w:rFonts w:ascii="Garamond" w:hAnsi="Garamond"/>
          <w:sz w:val="24"/>
          <w:szCs w:val="24"/>
        </w:rPr>
        <w:t xml:space="preserve"> </w:t>
      </w:r>
    </w:p>
    <w:p w14:paraId="1BADC85C" w14:textId="77777777" w:rsidR="00446633" w:rsidRPr="00551729" w:rsidRDefault="00446633" w:rsidP="00446633">
      <w:pPr>
        <w:spacing w:after="0" w:line="240" w:lineRule="auto"/>
        <w:ind w:firstLine="284"/>
        <w:jc w:val="both"/>
        <w:rPr>
          <w:rFonts w:ascii="Garamond" w:hAnsi="Garamond"/>
          <w:sz w:val="24"/>
          <w:szCs w:val="24"/>
        </w:rPr>
      </w:pPr>
    </w:p>
    <w:p w14:paraId="1BADC85D" w14:textId="77777777" w:rsidR="00446633" w:rsidRPr="00551729" w:rsidRDefault="00446633" w:rsidP="00446633">
      <w:pPr>
        <w:spacing w:after="0" w:line="240" w:lineRule="auto"/>
        <w:ind w:firstLine="284"/>
        <w:jc w:val="both"/>
        <w:rPr>
          <w:rFonts w:ascii="Garamond" w:hAnsi="Garamond"/>
          <w:b/>
          <w:sz w:val="24"/>
          <w:szCs w:val="24"/>
        </w:rPr>
      </w:pPr>
      <w:r w:rsidRPr="00551729">
        <w:rPr>
          <w:rFonts w:ascii="Garamond" w:hAnsi="Garamond"/>
          <w:b/>
          <w:sz w:val="24"/>
          <w:szCs w:val="24"/>
        </w:rPr>
        <w:t>Për Shqipërinë:</w:t>
      </w:r>
    </w:p>
    <w:p w14:paraId="1BADC85E"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Z. Bejko Late</w:t>
      </w:r>
    </w:p>
    <w:p w14:paraId="1BADC85F"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Drejtor i Sektorit të Inspektimit Financiar</w:t>
      </w:r>
    </w:p>
    <w:p w14:paraId="1BADC860" w14:textId="50A0E624"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Bulevardi </w:t>
      </w:r>
      <w:r w:rsidR="00C521D5" w:rsidRPr="00551729">
        <w:rPr>
          <w:rFonts w:ascii="Garamond" w:hAnsi="Garamond"/>
          <w:sz w:val="24"/>
          <w:szCs w:val="24"/>
        </w:rPr>
        <w:t>“</w:t>
      </w:r>
      <w:r w:rsidRPr="00551729">
        <w:rPr>
          <w:rFonts w:ascii="Garamond" w:hAnsi="Garamond"/>
          <w:sz w:val="24"/>
          <w:szCs w:val="24"/>
        </w:rPr>
        <w:t>Dëshmorët e Kombit</w:t>
      </w:r>
      <w:r w:rsidR="00C521D5" w:rsidRPr="00551729">
        <w:rPr>
          <w:rFonts w:ascii="Garamond" w:hAnsi="Garamond"/>
          <w:sz w:val="24"/>
          <w:szCs w:val="24"/>
        </w:rPr>
        <w:t>”</w:t>
      </w:r>
      <w:r w:rsidRPr="00551729">
        <w:rPr>
          <w:rFonts w:ascii="Garamond" w:hAnsi="Garamond"/>
          <w:sz w:val="24"/>
          <w:szCs w:val="24"/>
        </w:rPr>
        <w:t xml:space="preserve">, </w:t>
      </w:r>
      <w:r w:rsidR="004656AC" w:rsidRPr="00551729">
        <w:rPr>
          <w:rFonts w:ascii="Garamond" w:hAnsi="Garamond"/>
          <w:sz w:val="24"/>
          <w:szCs w:val="24"/>
        </w:rPr>
        <w:t>nr</w:t>
      </w:r>
      <w:r w:rsidRPr="00551729">
        <w:rPr>
          <w:rFonts w:ascii="Garamond" w:hAnsi="Garamond"/>
          <w:sz w:val="24"/>
          <w:szCs w:val="24"/>
        </w:rPr>
        <w:t>. 3, Tiranë, Republika e Shqipërisë</w:t>
      </w:r>
    </w:p>
    <w:p w14:paraId="1BADC861" w14:textId="77777777" w:rsidR="00446633" w:rsidRPr="00551729" w:rsidRDefault="008274CD" w:rsidP="00446633">
      <w:pPr>
        <w:spacing w:after="0" w:line="240" w:lineRule="auto"/>
        <w:ind w:firstLine="284"/>
        <w:jc w:val="both"/>
        <w:rPr>
          <w:rFonts w:ascii="Garamond" w:hAnsi="Garamond"/>
          <w:sz w:val="24"/>
          <w:szCs w:val="24"/>
        </w:rPr>
      </w:pPr>
      <w:hyperlink r:id="rId17" w:history="1">
        <w:r w:rsidR="00446633" w:rsidRPr="00551729">
          <w:rPr>
            <w:rStyle w:val="Hyperlink"/>
            <w:rFonts w:ascii="Garamond" w:hAnsi="Garamond"/>
            <w:sz w:val="24"/>
            <w:szCs w:val="24"/>
            <w:u w:val="none"/>
          </w:rPr>
          <w:t>Bejko.late@financa.gov.al</w:t>
        </w:r>
      </w:hyperlink>
      <w:r w:rsidR="00446633" w:rsidRPr="00551729">
        <w:rPr>
          <w:rFonts w:ascii="Garamond" w:hAnsi="Garamond"/>
          <w:sz w:val="24"/>
          <w:szCs w:val="24"/>
        </w:rPr>
        <w:t xml:space="preserve"> </w:t>
      </w:r>
    </w:p>
    <w:p w14:paraId="1BADC862" w14:textId="77777777" w:rsidR="00446633" w:rsidRPr="00551729" w:rsidRDefault="00446633" w:rsidP="00446633">
      <w:pPr>
        <w:spacing w:after="0" w:line="240" w:lineRule="auto"/>
        <w:ind w:firstLine="284"/>
        <w:jc w:val="both"/>
        <w:rPr>
          <w:rFonts w:ascii="Garamond" w:hAnsi="Garamond"/>
          <w:sz w:val="24"/>
          <w:szCs w:val="24"/>
        </w:rPr>
      </w:pPr>
    </w:p>
    <w:p w14:paraId="1BADC863" w14:textId="77777777" w:rsidR="00963E30" w:rsidRPr="00551729" w:rsidRDefault="00963E30" w:rsidP="00963E30">
      <w:pPr>
        <w:spacing w:after="0" w:line="240" w:lineRule="auto"/>
        <w:ind w:firstLine="284"/>
        <w:jc w:val="center"/>
        <w:rPr>
          <w:rFonts w:ascii="Garamond" w:hAnsi="Garamond"/>
          <w:sz w:val="24"/>
          <w:szCs w:val="24"/>
        </w:rPr>
      </w:pPr>
      <w:r w:rsidRPr="00551729">
        <w:rPr>
          <w:rFonts w:ascii="Garamond" w:hAnsi="Garamond"/>
          <w:sz w:val="24"/>
          <w:szCs w:val="24"/>
        </w:rPr>
        <w:t>Neni 5</w:t>
      </w:r>
    </w:p>
    <w:p w14:paraId="1BADC864" w14:textId="77777777" w:rsidR="00446633" w:rsidRPr="00551729" w:rsidRDefault="00446633" w:rsidP="00963E30">
      <w:pPr>
        <w:spacing w:after="0" w:line="240" w:lineRule="auto"/>
        <w:ind w:firstLine="284"/>
        <w:jc w:val="center"/>
        <w:rPr>
          <w:rFonts w:ascii="Garamond" w:hAnsi="Garamond"/>
          <w:b/>
          <w:sz w:val="24"/>
          <w:szCs w:val="24"/>
        </w:rPr>
      </w:pPr>
      <w:r w:rsidRPr="00551729">
        <w:rPr>
          <w:rFonts w:ascii="Garamond" w:hAnsi="Garamond"/>
          <w:b/>
          <w:sz w:val="24"/>
          <w:szCs w:val="24"/>
        </w:rPr>
        <w:t>Marrëveshjet Kuadër</w:t>
      </w:r>
    </w:p>
    <w:p w14:paraId="1BADC865" w14:textId="77777777" w:rsidR="00446633" w:rsidRPr="00551729" w:rsidRDefault="00446633" w:rsidP="00963E30">
      <w:pPr>
        <w:spacing w:after="0" w:line="240" w:lineRule="auto"/>
        <w:ind w:firstLine="284"/>
        <w:jc w:val="center"/>
        <w:rPr>
          <w:rFonts w:ascii="Garamond" w:hAnsi="Garamond"/>
          <w:sz w:val="24"/>
          <w:szCs w:val="24"/>
        </w:rPr>
      </w:pPr>
    </w:p>
    <w:p w14:paraId="1BADC866" w14:textId="566B68FB"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Programi i Veprimit do të zbatohet në përputhje me dispozitat e Marrëveshjes Kuadër ndërmjet Komisionit Evropian dhe Malit të Zi mbi marrëveshjet për zbatimin e asistencës financiare të Bashkimit për Malin e Zi nën Instrumentin e Asistencës së Para</w:t>
      </w:r>
      <w:r w:rsidR="00E21307">
        <w:rPr>
          <w:rFonts w:ascii="Garamond" w:hAnsi="Garamond"/>
          <w:sz w:val="24"/>
          <w:szCs w:val="24"/>
        </w:rPr>
        <w:t>a</w:t>
      </w:r>
      <w:r w:rsidRPr="00551729">
        <w:rPr>
          <w:rFonts w:ascii="Garamond" w:hAnsi="Garamond"/>
          <w:sz w:val="24"/>
          <w:szCs w:val="24"/>
        </w:rPr>
        <w:t xml:space="preserve">nëtarësimit (IPA </w:t>
      </w:r>
      <w:r w:rsidR="00320CCE">
        <w:rPr>
          <w:rFonts w:ascii="Garamond" w:hAnsi="Garamond"/>
          <w:sz w:val="24"/>
          <w:szCs w:val="24"/>
        </w:rPr>
        <w:t xml:space="preserve">II), e cila ka hyrë në fuqi më </w:t>
      </w:r>
      <w:r w:rsidRPr="00551729">
        <w:rPr>
          <w:rFonts w:ascii="Garamond" w:hAnsi="Garamond"/>
          <w:sz w:val="24"/>
          <w:szCs w:val="24"/>
        </w:rPr>
        <w:t>4 qershor 2015 dhe në përputhje me dispozitat e Marrëveshjes Kuadër ndërmjet Komisionit Evropian dhe Republikës së Shqipërisë mbi marrëveshjet për zbatimin e asistencës financiare të Bashkimit në Shqipëri nën Instrumentin e asistencës së Para</w:t>
      </w:r>
      <w:r w:rsidR="00047208">
        <w:rPr>
          <w:rFonts w:ascii="Garamond" w:hAnsi="Garamond"/>
          <w:sz w:val="24"/>
          <w:szCs w:val="24"/>
        </w:rPr>
        <w:t>a</w:t>
      </w:r>
      <w:r w:rsidRPr="00551729">
        <w:rPr>
          <w:rFonts w:ascii="Garamond" w:hAnsi="Garamond"/>
          <w:sz w:val="24"/>
          <w:szCs w:val="24"/>
        </w:rPr>
        <w:t>nëtarësimit (IPA II), e cila k</w:t>
      </w:r>
      <w:r w:rsidR="0081449E">
        <w:rPr>
          <w:rFonts w:ascii="Garamond" w:hAnsi="Garamond"/>
          <w:sz w:val="24"/>
          <w:szCs w:val="24"/>
        </w:rPr>
        <w:t>a hyrë në fuqi më 16 prill 2015</w:t>
      </w:r>
      <w:r w:rsidRPr="00551729">
        <w:rPr>
          <w:rFonts w:ascii="Garamond" w:hAnsi="Garamond"/>
          <w:sz w:val="24"/>
          <w:szCs w:val="24"/>
        </w:rPr>
        <w:t xml:space="preserve"> (e referuar në vijim si </w:t>
      </w:r>
      <w:r w:rsidR="00C521D5" w:rsidRPr="00551729">
        <w:rPr>
          <w:rFonts w:ascii="Garamond" w:hAnsi="Garamond"/>
          <w:sz w:val="24"/>
          <w:szCs w:val="24"/>
        </w:rPr>
        <w:t>“</w:t>
      </w:r>
      <w:r w:rsidRPr="00551729">
        <w:rPr>
          <w:rFonts w:ascii="Garamond" w:hAnsi="Garamond"/>
          <w:sz w:val="24"/>
          <w:szCs w:val="24"/>
        </w:rPr>
        <w:t>Marrëveshja</w:t>
      </w:r>
      <w:r w:rsidR="002A3C4B" w:rsidRPr="00551729">
        <w:rPr>
          <w:rFonts w:ascii="Garamond" w:hAnsi="Garamond"/>
          <w:sz w:val="24"/>
          <w:szCs w:val="24"/>
        </w:rPr>
        <w:t>/</w:t>
      </w:r>
      <w:r w:rsidRPr="00551729">
        <w:rPr>
          <w:rFonts w:ascii="Garamond" w:hAnsi="Garamond"/>
          <w:sz w:val="24"/>
          <w:szCs w:val="24"/>
        </w:rPr>
        <w:t xml:space="preserve">et </w:t>
      </w:r>
      <w:r w:rsidR="002A3C4B" w:rsidRPr="00551729">
        <w:rPr>
          <w:rFonts w:ascii="Garamond" w:hAnsi="Garamond"/>
          <w:sz w:val="24"/>
          <w:szCs w:val="24"/>
        </w:rPr>
        <w:t>kuadër</w:t>
      </w:r>
      <w:r w:rsidR="00C521D5" w:rsidRPr="00551729">
        <w:rPr>
          <w:rFonts w:ascii="Garamond" w:hAnsi="Garamond"/>
          <w:sz w:val="24"/>
          <w:szCs w:val="24"/>
        </w:rPr>
        <w:t>”</w:t>
      </w:r>
      <w:r w:rsidRPr="00551729">
        <w:rPr>
          <w:rFonts w:ascii="Garamond" w:hAnsi="Garamond"/>
          <w:sz w:val="24"/>
          <w:szCs w:val="24"/>
        </w:rPr>
        <w:t>).</w:t>
      </w:r>
    </w:p>
    <w:p w14:paraId="1BADC867" w14:textId="77777777"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Kjo Marrëveshje Financimi plotëson dispozitat e Marrëveshjeve Kuadër të lartpërmendura. Në rast konflikti, nga njëra anë, të dispozitave të kësaj Marrëveshjeje Financimi dhe nga ana tjetër, dispozitave të Marrëveshjes Kuadër përkatëse, këto të fundit do të kenë përparësi.</w:t>
      </w:r>
    </w:p>
    <w:p w14:paraId="1BADC868" w14:textId="77777777" w:rsidR="00446633" w:rsidRPr="00551729" w:rsidRDefault="00446633" w:rsidP="00446633">
      <w:pPr>
        <w:spacing w:after="0" w:line="240" w:lineRule="auto"/>
        <w:ind w:firstLine="284"/>
        <w:jc w:val="both"/>
        <w:rPr>
          <w:rFonts w:ascii="Garamond" w:hAnsi="Garamond"/>
          <w:sz w:val="24"/>
          <w:szCs w:val="24"/>
        </w:rPr>
      </w:pPr>
    </w:p>
    <w:p w14:paraId="1BADC869" w14:textId="77777777" w:rsidR="00963E30" w:rsidRPr="00551729" w:rsidRDefault="00963E30" w:rsidP="00963E30">
      <w:pPr>
        <w:spacing w:after="0" w:line="240" w:lineRule="auto"/>
        <w:ind w:firstLine="284"/>
        <w:jc w:val="center"/>
        <w:rPr>
          <w:rFonts w:ascii="Garamond" w:hAnsi="Garamond"/>
          <w:sz w:val="24"/>
          <w:szCs w:val="24"/>
        </w:rPr>
      </w:pPr>
      <w:r w:rsidRPr="00551729">
        <w:rPr>
          <w:rFonts w:ascii="Garamond" w:hAnsi="Garamond"/>
          <w:sz w:val="24"/>
          <w:szCs w:val="24"/>
        </w:rPr>
        <w:t>Neni 6</w:t>
      </w:r>
    </w:p>
    <w:p w14:paraId="1BADC86A" w14:textId="77777777" w:rsidR="00446633" w:rsidRPr="00551729" w:rsidRDefault="00446633" w:rsidP="00963E30">
      <w:pPr>
        <w:spacing w:after="0" w:line="240" w:lineRule="auto"/>
        <w:ind w:firstLine="284"/>
        <w:jc w:val="center"/>
        <w:rPr>
          <w:rFonts w:ascii="Garamond" w:hAnsi="Garamond"/>
          <w:b/>
          <w:sz w:val="24"/>
          <w:szCs w:val="24"/>
        </w:rPr>
      </w:pPr>
      <w:r w:rsidRPr="00551729">
        <w:rPr>
          <w:rFonts w:ascii="Garamond" w:hAnsi="Garamond"/>
          <w:b/>
          <w:sz w:val="24"/>
          <w:szCs w:val="24"/>
        </w:rPr>
        <w:t>Shtojcat</w:t>
      </w:r>
    </w:p>
    <w:p w14:paraId="1BADC86B" w14:textId="77777777" w:rsidR="00446633" w:rsidRPr="00551729" w:rsidRDefault="00446633" w:rsidP="00446633">
      <w:pPr>
        <w:spacing w:after="0" w:line="240" w:lineRule="auto"/>
        <w:ind w:firstLine="284"/>
        <w:jc w:val="both"/>
        <w:rPr>
          <w:rFonts w:ascii="Garamond" w:hAnsi="Garamond"/>
          <w:sz w:val="24"/>
          <w:szCs w:val="24"/>
        </w:rPr>
      </w:pPr>
    </w:p>
    <w:p w14:paraId="1BADC86C" w14:textId="05B42510" w:rsidR="00446633" w:rsidRPr="00551729" w:rsidRDefault="00963E30" w:rsidP="00446633">
      <w:pPr>
        <w:spacing w:after="0" w:line="240" w:lineRule="auto"/>
        <w:ind w:firstLine="284"/>
        <w:jc w:val="both"/>
        <w:rPr>
          <w:rFonts w:ascii="Garamond" w:hAnsi="Garamond"/>
          <w:sz w:val="24"/>
          <w:szCs w:val="24"/>
        </w:rPr>
      </w:pPr>
      <w:r w:rsidRPr="00551729">
        <w:rPr>
          <w:rFonts w:ascii="Garamond" w:hAnsi="Garamond"/>
          <w:sz w:val="24"/>
          <w:szCs w:val="24"/>
        </w:rPr>
        <w:t>1</w:t>
      </w:r>
      <w:r w:rsidR="005A1BBF">
        <w:rPr>
          <w:rFonts w:ascii="Garamond" w:hAnsi="Garamond"/>
          <w:sz w:val="24"/>
          <w:szCs w:val="24"/>
        </w:rPr>
        <w:t>.</w:t>
      </w:r>
      <w:r w:rsidRPr="00551729">
        <w:rPr>
          <w:rFonts w:ascii="Garamond" w:hAnsi="Garamond"/>
          <w:sz w:val="24"/>
          <w:szCs w:val="24"/>
        </w:rPr>
        <w:t xml:space="preserve"> </w:t>
      </w:r>
      <w:r w:rsidR="00446633" w:rsidRPr="00551729">
        <w:rPr>
          <w:rFonts w:ascii="Garamond" w:hAnsi="Garamond"/>
          <w:sz w:val="24"/>
          <w:szCs w:val="24"/>
        </w:rPr>
        <w:t>Kjo Marrëveshje Financimi përbëhet nga:</w:t>
      </w:r>
    </w:p>
    <w:p w14:paraId="1BADC86D" w14:textId="77777777" w:rsidR="00446633" w:rsidRPr="00551729" w:rsidRDefault="00963E30"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a) </w:t>
      </w:r>
      <w:r w:rsidR="00446633" w:rsidRPr="00551729">
        <w:rPr>
          <w:rFonts w:ascii="Garamond" w:hAnsi="Garamond"/>
          <w:sz w:val="24"/>
          <w:szCs w:val="24"/>
        </w:rPr>
        <w:t xml:space="preserve">këto Kushte të Veçanta; </w:t>
      </w:r>
    </w:p>
    <w:p w14:paraId="1BADC86E" w14:textId="1086AA14" w:rsidR="00446633" w:rsidRPr="00551729" w:rsidRDefault="00963E30"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b) </w:t>
      </w:r>
      <w:r w:rsidR="00446633" w:rsidRPr="00551729">
        <w:rPr>
          <w:rFonts w:ascii="Garamond" w:hAnsi="Garamond"/>
          <w:sz w:val="24"/>
          <w:szCs w:val="24"/>
        </w:rPr>
        <w:t>Shtojca I: Programi i Veprimit CBC Mali i Zi – Republika e Shqipërisë për vitet 2018</w:t>
      </w:r>
      <w:r w:rsidR="005A1BBF">
        <w:rPr>
          <w:rFonts w:ascii="Garamond" w:hAnsi="Garamond"/>
          <w:sz w:val="24"/>
          <w:szCs w:val="24"/>
        </w:rPr>
        <w:t>–</w:t>
      </w:r>
      <w:r w:rsidR="00446633" w:rsidRPr="00551729">
        <w:rPr>
          <w:rFonts w:ascii="Garamond" w:hAnsi="Garamond"/>
          <w:sz w:val="24"/>
          <w:szCs w:val="24"/>
        </w:rPr>
        <w:t xml:space="preserve">2020; </w:t>
      </w:r>
    </w:p>
    <w:p w14:paraId="1BADC86F" w14:textId="526AE32A" w:rsidR="00446633" w:rsidRPr="00551729" w:rsidRDefault="00963E30" w:rsidP="00446633">
      <w:pPr>
        <w:spacing w:after="0" w:line="240" w:lineRule="auto"/>
        <w:ind w:firstLine="284"/>
        <w:jc w:val="both"/>
        <w:rPr>
          <w:rFonts w:ascii="Garamond" w:hAnsi="Garamond"/>
          <w:sz w:val="24"/>
          <w:szCs w:val="24"/>
        </w:rPr>
      </w:pPr>
      <w:bookmarkStart w:id="2" w:name="page4"/>
      <w:bookmarkEnd w:id="2"/>
      <w:r w:rsidRPr="00551729">
        <w:rPr>
          <w:rFonts w:ascii="Garamond" w:hAnsi="Garamond"/>
          <w:sz w:val="24"/>
          <w:szCs w:val="24"/>
        </w:rPr>
        <w:t xml:space="preserve">c) </w:t>
      </w:r>
      <w:r w:rsidR="00446633" w:rsidRPr="00551729">
        <w:rPr>
          <w:rFonts w:ascii="Garamond" w:hAnsi="Garamond"/>
          <w:sz w:val="24"/>
          <w:szCs w:val="24"/>
        </w:rPr>
        <w:t>Shtojca IA: Programi IPA II BNK 2014</w:t>
      </w:r>
      <w:r w:rsidR="005A1BBF">
        <w:rPr>
          <w:rFonts w:ascii="Garamond" w:hAnsi="Garamond"/>
          <w:sz w:val="24"/>
          <w:szCs w:val="24"/>
        </w:rPr>
        <w:t>–</w:t>
      </w:r>
      <w:r w:rsidR="00446633" w:rsidRPr="00551729">
        <w:rPr>
          <w:rFonts w:ascii="Garamond" w:hAnsi="Garamond"/>
          <w:sz w:val="24"/>
          <w:szCs w:val="24"/>
        </w:rPr>
        <w:t xml:space="preserve">2020 ndërmjet Malit të Zi dhe Shqipërisë; </w:t>
      </w:r>
    </w:p>
    <w:p w14:paraId="1BADC870" w14:textId="42EEE57D" w:rsidR="00446633" w:rsidRPr="00551729" w:rsidRDefault="00963E30"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d) </w:t>
      </w:r>
      <w:r w:rsidR="00446633" w:rsidRPr="00551729">
        <w:rPr>
          <w:rFonts w:ascii="Garamond" w:hAnsi="Garamond"/>
          <w:sz w:val="24"/>
          <w:szCs w:val="24"/>
        </w:rPr>
        <w:t xml:space="preserve">Shtojca II: Kushtet e </w:t>
      </w:r>
      <w:r w:rsidR="005A1BBF" w:rsidRPr="00551729">
        <w:rPr>
          <w:rFonts w:ascii="Garamond" w:hAnsi="Garamond"/>
          <w:sz w:val="24"/>
          <w:szCs w:val="24"/>
        </w:rPr>
        <w:t>përgjithshme</w:t>
      </w:r>
      <w:r w:rsidR="00446633" w:rsidRPr="00551729">
        <w:rPr>
          <w:rFonts w:ascii="Garamond" w:hAnsi="Garamond"/>
          <w:sz w:val="24"/>
          <w:szCs w:val="24"/>
        </w:rPr>
        <w:t>;</w:t>
      </w:r>
    </w:p>
    <w:p w14:paraId="1BADC871" w14:textId="6999B1E4"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 </w:t>
      </w:r>
      <w:r w:rsidR="00963E30" w:rsidRPr="00551729">
        <w:rPr>
          <w:rFonts w:ascii="Garamond" w:hAnsi="Garamond"/>
          <w:sz w:val="24"/>
          <w:szCs w:val="24"/>
        </w:rPr>
        <w:t xml:space="preserve">e) </w:t>
      </w:r>
      <w:r w:rsidRPr="00551729">
        <w:rPr>
          <w:rFonts w:ascii="Garamond" w:hAnsi="Garamond"/>
          <w:sz w:val="24"/>
          <w:szCs w:val="24"/>
        </w:rPr>
        <w:t>Shtojca III: Model i Raportit Vjetor BNK për zbatimin e asistencës IPA II</w:t>
      </w:r>
      <w:r w:rsidR="005A1BBF">
        <w:rPr>
          <w:rFonts w:ascii="Garamond" w:hAnsi="Garamond"/>
          <w:sz w:val="24"/>
          <w:szCs w:val="24"/>
        </w:rPr>
        <w:t>,</w:t>
      </w:r>
      <w:r w:rsidRPr="00551729">
        <w:rPr>
          <w:rFonts w:ascii="Garamond" w:hAnsi="Garamond"/>
          <w:sz w:val="24"/>
          <w:szCs w:val="24"/>
        </w:rPr>
        <w:t xml:space="preserve"> në përputhje me nenin 80 të Marrëveshjes Kuadër; </w:t>
      </w:r>
    </w:p>
    <w:p w14:paraId="1BADC872" w14:textId="316C73D2" w:rsidR="00446633" w:rsidRPr="00551729" w:rsidRDefault="00963E30"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f) </w:t>
      </w:r>
      <w:r w:rsidR="00446633" w:rsidRPr="00551729">
        <w:rPr>
          <w:rFonts w:ascii="Garamond" w:hAnsi="Garamond"/>
          <w:sz w:val="24"/>
          <w:szCs w:val="24"/>
        </w:rPr>
        <w:t>Shtojca IIIA: Modeli i Raportit Vjetor për zbatimin e asistencës IPA II</w:t>
      </w:r>
      <w:r w:rsidR="00EB67F0">
        <w:rPr>
          <w:rFonts w:ascii="Garamond" w:hAnsi="Garamond"/>
          <w:sz w:val="24"/>
          <w:szCs w:val="24"/>
        </w:rPr>
        <w:t>,</w:t>
      </w:r>
      <w:r w:rsidR="00446633" w:rsidRPr="00551729">
        <w:rPr>
          <w:rFonts w:ascii="Garamond" w:hAnsi="Garamond"/>
          <w:sz w:val="24"/>
          <w:szCs w:val="24"/>
        </w:rPr>
        <w:t xml:space="preserve"> në përputhje me nenin 58 dhe 59(1) të Marrëveshjes Kuadër;</w:t>
      </w:r>
    </w:p>
    <w:p w14:paraId="1BADC873" w14:textId="28A41D40" w:rsidR="00446633" w:rsidRPr="00551729" w:rsidRDefault="00963E30"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g) </w:t>
      </w:r>
      <w:r w:rsidR="00446633" w:rsidRPr="00551729">
        <w:rPr>
          <w:rFonts w:ascii="Garamond" w:hAnsi="Garamond"/>
          <w:sz w:val="24"/>
          <w:szCs w:val="24"/>
        </w:rPr>
        <w:t>Shtojca IV: Modeli i Raportit Financiar</w:t>
      </w:r>
      <w:r w:rsidR="00EB67F0">
        <w:rPr>
          <w:rFonts w:ascii="Garamond" w:hAnsi="Garamond"/>
          <w:sz w:val="24"/>
          <w:szCs w:val="24"/>
        </w:rPr>
        <w:t>,</w:t>
      </w:r>
      <w:r w:rsidR="00446633" w:rsidRPr="00551729">
        <w:rPr>
          <w:rFonts w:ascii="Garamond" w:hAnsi="Garamond"/>
          <w:sz w:val="24"/>
          <w:szCs w:val="24"/>
        </w:rPr>
        <w:t xml:space="preserve"> sipas nenit 59(2) të Marrëveshjes Kuadër;</w:t>
      </w:r>
    </w:p>
    <w:p w14:paraId="1BADC874" w14:textId="5FB7000C" w:rsidR="00446633" w:rsidRPr="00551729" w:rsidRDefault="00963E30" w:rsidP="00446633">
      <w:pPr>
        <w:spacing w:after="0" w:line="240" w:lineRule="auto"/>
        <w:ind w:firstLine="284"/>
        <w:jc w:val="both"/>
        <w:rPr>
          <w:rFonts w:ascii="Garamond" w:hAnsi="Garamond"/>
          <w:sz w:val="24"/>
          <w:szCs w:val="24"/>
        </w:rPr>
      </w:pPr>
      <w:r w:rsidRPr="00551729">
        <w:rPr>
          <w:rFonts w:ascii="Garamond" w:hAnsi="Garamond"/>
          <w:sz w:val="24"/>
          <w:szCs w:val="24"/>
        </w:rPr>
        <w:t xml:space="preserve">h) </w:t>
      </w:r>
      <w:r w:rsidR="00446633" w:rsidRPr="00551729">
        <w:rPr>
          <w:rFonts w:ascii="Garamond" w:hAnsi="Garamond"/>
          <w:sz w:val="24"/>
          <w:szCs w:val="24"/>
        </w:rPr>
        <w:t xml:space="preserve">Shtojca V: Specifikimet </w:t>
      </w:r>
      <w:r w:rsidR="00EB67F0" w:rsidRPr="00551729">
        <w:rPr>
          <w:rFonts w:ascii="Garamond" w:hAnsi="Garamond"/>
          <w:sz w:val="24"/>
          <w:szCs w:val="24"/>
        </w:rPr>
        <w:t>minimale të sistemit të kontabilitetit me bazë akruale</w:t>
      </w:r>
      <w:r w:rsidR="00EB67F0">
        <w:rPr>
          <w:rFonts w:ascii="Garamond" w:hAnsi="Garamond"/>
          <w:sz w:val="24"/>
          <w:szCs w:val="24"/>
        </w:rPr>
        <w:t>.</w:t>
      </w:r>
    </w:p>
    <w:p w14:paraId="1BADC875" w14:textId="7591639D"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2</w:t>
      </w:r>
      <w:r w:rsidR="00CC1ADB" w:rsidRPr="00551729">
        <w:rPr>
          <w:rFonts w:ascii="Garamond" w:hAnsi="Garamond"/>
          <w:sz w:val="24"/>
          <w:szCs w:val="24"/>
        </w:rPr>
        <w:t>.</w:t>
      </w:r>
      <w:r w:rsidRPr="00551729">
        <w:rPr>
          <w:rFonts w:ascii="Garamond" w:hAnsi="Garamond"/>
          <w:sz w:val="24"/>
          <w:szCs w:val="24"/>
        </w:rPr>
        <w:t xml:space="preserve"> Në rast të një konflikti, nga njëra anë e dispozitave të </w:t>
      </w:r>
      <w:r w:rsidR="00EB67F0" w:rsidRPr="00551729">
        <w:rPr>
          <w:rFonts w:ascii="Garamond" w:hAnsi="Garamond"/>
          <w:sz w:val="24"/>
          <w:szCs w:val="24"/>
        </w:rPr>
        <w:t xml:space="preserve">shtojcave </w:t>
      </w:r>
      <w:r w:rsidRPr="00551729">
        <w:rPr>
          <w:rFonts w:ascii="Garamond" w:hAnsi="Garamond"/>
          <w:sz w:val="24"/>
          <w:szCs w:val="24"/>
        </w:rPr>
        <w:t xml:space="preserve">dhe nga ana tjetër e dispozitave të këtyre </w:t>
      </w:r>
      <w:r w:rsidR="00EC0B50" w:rsidRPr="00551729">
        <w:rPr>
          <w:rFonts w:ascii="Garamond" w:hAnsi="Garamond"/>
          <w:sz w:val="24"/>
          <w:szCs w:val="24"/>
        </w:rPr>
        <w:t xml:space="preserve">kushteve të veçanta, këto </w:t>
      </w:r>
      <w:r w:rsidRPr="00551729">
        <w:rPr>
          <w:rFonts w:ascii="Garamond" w:hAnsi="Garamond"/>
          <w:sz w:val="24"/>
          <w:szCs w:val="24"/>
        </w:rPr>
        <w:t xml:space="preserve">të fundit do të kenë përparësi. Në rast të një konflikti, nga njëra anë, të dispozitave të </w:t>
      </w:r>
      <w:r w:rsidR="00EC0B50" w:rsidRPr="00551729">
        <w:rPr>
          <w:rFonts w:ascii="Garamond" w:hAnsi="Garamond"/>
          <w:sz w:val="24"/>
          <w:szCs w:val="24"/>
        </w:rPr>
        <w:t xml:space="preserve">shtojcës </w:t>
      </w:r>
      <w:r w:rsidRPr="00551729">
        <w:rPr>
          <w:rFonts w:ascii="Garamond" w:hAnsi="Garamond"/>
          <w:sz w:val="24"/>
          <w:szCs w:val="24"/>
        </w:rPr>
        <w:t xml:space="preserve">I dhe </w:t>
      </w:r>
      <w:r w:rsidR="00EC0B50" w:rsidRPr="00551729">
        <w:rPr>
          <w:rFonts w:ascii="Garamond" w:hAnsi="Garamond"/>
          <w:sz w:val="24"/>
          <w:szCs w:val="24"/>
        </w:rPr>
        <w:t xml:space="preserve">shtojcës </w:t>
      </w:r>
      <w:r w:rsidRPr="00551729">
        <w:rPr>
          <w:rFonts w:ascii="Garamond" w:hAnsi="Garamond"/>
          <w:sz w:val="24"/>
          <w:szCs w:val="24"/>
        </w:rPr>
        <w:t xml:space="preserve">IA dhe e dispozitave të </w:t>
      </w:r>
      <w:r w:rsidR="00EC0B50" w:rsidRPr="00551729">
        <w:rPr>
          <w:rFonts w:ascii="Garamond" w:hAnsi="Garamond"/>
          <w:sz w:val="24"/>
          <w:szCs w:val="24"/>
        </w:rPr>
        <w:t xml:space="preserve">shtojcës </w:t>
      </w:r>
      <w:r w:rsidRPr="00551729">
        <w:rPr>
          <w:rFonts w:ascii="Garamond" w:hAnsi="Garamond"/>
          <w:sz w:val="24"/>
          <w:szCs w:val="24"/>
        </w:rPr>
        <w:t>II</w:t>
      </w:r>
      <w:r w:rsidR="00EC0B50">
        <w:rPr>
          <w:rFonts w:ascii="Garamond" w:hAnsi="Garamond"/>
          <w:sz w:val="24"/>
          <w:szCs w:val="24"/>
        </w:rPr>
        <w:t>,</w:t>
      </w:r>
      <w:r w:rsidRPr="00551729">
        <w:rPr>
          <w:rFonts w:ascii="Garamond" w:hAnsi="Garamond"/>
          <w:sz w:val="24"/>
          <w:szCs w:val="24"/>
        </w:rPr>
        <w:t xml:space="preserve"> nga ana tjetër, këto të fundit do të kenë përparësi. Në rast konflikti ndërmjet dispozitave të </w:t>
      </w:r>
      <w:r w:rsidR="00A55064" w:rsidRPr="00551729">
        <w:rPr>
          <w:rFonts w:ascii="Garamond" w:hAnsi="Garamond"/>
          <w:sz w:val="24"/>
          <w:szCs w:val="24"/>
        </w:rPr>
        <w:t xml:space="preserve">shtojcës </w:t>
      </w:r>
      <w:r w:rsidRPr="00551729">
        <w:rPr>
          <w:rFonts w:ascii="Garamond" w:hAnsi="Garamond"/>
          <w:sz w:val="24"/>
          <w:szCs w:val="24"/>
        </w:rPr>
        <w:t xml:space="preserve">I, nga njëra anë, dhe dispozitave të </w:t>
      </w:r>
      <w:r w:rsidR="00A55064" w:rsidRPr="00551729">
        <w:rPr>
          <w:rFonts w:ascii="Garamond" w:hAnsi="Garamond"/>
          <w:sz w:val="24"/>
          <w:szCs w:val="24"/>
        </w:rPr>
        <w:t xml:space="preserve">shtojcës </w:t>
      </w:r>
      <w:r w:rsidRPr="00551729">
        <w:rPr>
          <w:rFonts w:ascii="Garamond" w:hAnsi="Garamond"/>
          <w:sz w:val="24"/>
          <w:szCs w:val="24"/>
        </w:rPr>
        <w:t>IA</w:t>
      </w:r>
      <w:r w:rsidR="00A55064">
        <w:rPr>
          <w:rFonts w:ascii="Garamond" w:hAnsi="Garamond"/>
          <w:sz w:val="24"/>
          <w:szCs w:val="24"/>
        </w:rPr>
        <w:t>,</w:t>
      </w:r>
      <w:r w:rsidRPr="00551729">
        <w:rPr>
          <w:rFonts w:ascii="Garamond" w:hAnsi="Garamond"/>
          <w:sz w:val="24"/>
          <w:szCs w:val="24"/>
        </w:rPr>
        <w:t xml:space="preserve"> nga ana tjetër, këto të fundit do të kenë përparësi. </w:t>
      </w:r>
    </w:p>
    <w:p w14:paraId="1BADC876" w14:textId="77777777" w:rsidR="00446633" w:rsidRPr="00551729" w:rsidRDefault="00446633" w:rsidP="00446633">
      <w:pPr>
        <w:spacing w:after="0" w:line="240" w:lineRule="auto"/>
        <w:ind w:firstLine="284"/>
        <w:jc w:val="both"/>
        <w:rPr>
          <w:rFonts w:ascii="Garamond" w:hAnsi="Garamond"/>
          <w:sz w:val="24"/>
          <w:szCs w:val="24"/>
        </w:rPr>
      </w:pPr>
    </w:p>
    <w:p w14:paraId="1BADC877" w14:textId="77777777" w:rsidR="00963E30" w:rsidRPr="00551729" w:rsidRDefault="00963E30" w:rsidP="00963E30">
      <w:pPr>
        <w:spacing w:after="0" w:line="240" w:lineRule="auto"/>
        <w:ind w:firstLine="284"/>
        <w:jc w:val="center"/>
        <w:rPr>
          <w:rFonts w:ascii="Garamond" w:hAnsi="Garamond"/>
          <w:sz w:val="24"/>
          <w:szCs w:val="24"/>
        </w:rPr>
      </w:pPr>
      <w:r w:rsidRPr="00551729">
        <w:rPr>
          <w:rFonts w:ascii="Garamond" w:hAnsi="Garamond"/>
          <w:sz w:val="24"/>
          <w:szCs w:val="24"/>
        </w:rPr>
        <w:t>Neni 7</w:t>
      </w:r>
    </w:p>
    <w:p w14:paraId="1BADC878" w14:textId="77777777" w:rsidR="00446633" w:rsidRPr="00551729" w:rsidRDefault="00446633" w:rsidP="00963E30">
      <w:pPr>
        <w:spacing w:after="0" w:line="240" w:lineRule="auto"/>
        <w:ind w:firstLine="284"/>
        <w:jc w:val="center"/>
        <w:rPr>
          <w:rFonts w:ascii="Garamond" w:hAnsi="Garamond"/>
          <w:b/>
          <w:sz w:val="24"/>
          <w:szCs w:val="24"/>
        </w:rPr>
      </w:pPr>
      <w:r w:rsidRPr="00551729">
        <w:rPr>
          <w:rFonts w:ascii="Garamond" w:hAnsi="Garamond"/>
          <w:b/>
          <w:sz w:val="24"/>
          <w:szCs w:val="24"/>
        </w:rPr>
        <w:t>Hyrja në fuqi</w:t>
      </w:r>
    </w:p>
    <w:p w14:paraId="1BADC879" w14:textId="77777777" w:rsidR="00446633" w:rsidRPr="00551729" w:rsidRDefault="00446633" w:rsidP="00446633">
      <w:pPr>
        <w:spacing w:after="0" w:line="240" w:lineRule="auto"/>
        <w:ind w:firstLine="284"/>
        <w:jc w:val="both"/>
        <w:rPr>
          <w:rFonts w:ascii="Garamond" w:hAnsi="Garamond"/>
          <w:sz w:val="24"/>
          <w:szCs w:val="24"/>
        </w:rPr>
      </w:pPr>
    </w:p>
    <w:p w14:paraId="1BADC87A" w14:textId="7FED22E2" w:rsidR="00446633" w:rsidRPr="00551729" w:rsidRDefault="00446633" w:rsidP="00915CA3">
      <w:pPr>
        <w:pStyle w:val="TEKSTIII"/>
      </w:pPr>
      <w:r w:rsidRPr="00551729">
        <w:t xml:space="preserve">Kjo Marrëveshje Financimi hyn në fuqi në datën kur Komisioni merr njoftim nga vendi i fundit përfitues i IPA II, i cili konfirmon përfundimin e </w:t>
      </w:r>
      <w:r w:rsidR="00E566A7" w:rsidRPr="00551729">
        <w:t>procedurave</w:t>
      </w:r>
      <w:r w:rsidRPr="00551729">
        <w:t xml:space="preserve"> të brendshme të nevojshme për hyrjen në fuqi. Komisioni duhet të informojë përfituesit IPA II për datën e marrjes së këtij njoftimi. Nëse Komisioni nuk merr njoftim deri më 31 dhjetor 2020, Marrëveshja e Financimit nuk hyn në fuqi.</w:t>
      </w:r>
    </w:p>
    <w:p w14:paraId="1BADC87B" w14:textId="37101EA3" w:rsidR="00446633" w:rsidRPr="00551729" w:rsidRDefault="00446633" w:rsidP="00446633">
      <w:pPr>
        <w:spacing w:after="0" w:line="240" w:lineRule="auto"/>
        <w:ind w:firstLine="284"/>
        <w:jc w:val="both"/>
        <w:rPr>
          <w:rFonts w:ascii="Garamond" w:hAnsi="Garamond"/>
          <w:sz w:val="24"/>
          <w:szCs w:val="24"/>
        </w:rPr>
      </w:pPr>
      <w:r w:rsidRPr="00551729">
        <w:rPr>
          <w:rFonts w:ascii="Garamond" w:hAnsi="Garamond"/>
          <w:sz w:val="24"/>
          <w:szCs w:val="24"/>
        </w:rPr>
        <w:t>Kjo Marrëveshje është hartuar në tr</w:t>
      </w:r>
      <w:r w:rsidR="00242233">
        <w:rPr>
          <w:rFonts w:ascii="Garamond" w:hAnsi="Garamond"/>
          <w:sz w:val="24"/>
          <w:szCs w:val="24"/>
        </w:rPr>
        <w:t>i</w:t>
      </w:r>
      <w:r w:rsidRPr="00551729">
        <w:rPr>
          <w:rFonts w:ascii="Garamond" w:hAnsi="Garamond"/>
          <w:sz w:val="24"/>
          <w:szCs w:val="24"/>
        </w:rPr>
        <w:t xml:space="preserve"> kopje origjinale në gjuhën angleze, nga të cilat një do </w:t>
      </w:r>
      <w:r w:rsidR="00E566A7">
        <w:rPr>
          <w:rFonts w:ascii="Garamond" w:hAnsi="Garamond"/>
          <w:sz w:val="24"/>
          <w:szCs w:val="24"/>
        </w:rPr>
        <w:t>t’</w:t>
      </w:r>
      <w:r w:rsidRPr="00551729">
        <w:rPr>
          <w:rFonts w:ascii="Garamond" w:hAnsi="Garamond"/>
          <w:sz w:val="24"/>
          <w:szCs w:val="24"/>
        </w:rPr>
        <w:t xml:space="preserve">i dorëzohet Komisionit dhe dy të tjerat përfituesve IPA II. </w:t>
      </w:r>
    </w:p>
    <w:p w14:paraId="1BADC87C" w14:textId="77777777" w:rsidR="00446633" w:rsidRPr="00551729" w:rsidRDefault="00446633" w:rsidP="00446633">
      <w:pPr>
        <w:spacing w:after="0" w:line="240" w:lineRule="auto"/>
        <w:ind w:firstLine="284"/>
        <w:jc w:val="both"/>
        <w:rPr>
          <w:rFonts w:ascii="Garamond" w:hAnsi="Garamond"/>
          <w:sz w:val="24"/>
          <w:szCs w:val="24"/>
        </w:rPr>
      </w:pPr>
    </w:p>
    <w:tbl>
      <w:tblPr>
        <w:tblW w:w="7054" w:type="dxa"/>
        <w:tblLook w:val="04A0" w:firstRow="1" w:lastRow="0" w:firstColumn="1" w:lastColumn="0" w:noHBand="0" w:noVBand="1"/>
      </w:tblPr>
      <w:tblGrid>
        <w:gridCol w:w="3510"/>
        <w:gridCol w:w="3544"/>
      </w:tblGrid>
      <w:tr w:rsidR="00446633" w:rsidRPr="00551729" w14:paraId="1BADC898" w14:textId="77777777" w:rsidTr="00381062">
        <w:tc>
          <w:tcPr>
            <w:tcW w:w="3510" w:type="dxa"/>
            <w:shd w:val="clear" w:color="auto" w:fill="auto"/>
          </w:tcPr>
          <w:p w14:paraId="1BADC87D" w14:textId="77777777" w:rsidR="00446633" w:rsidRPr="00551729" w:rsidRDefault="00446633" w:rsidP="00745726">
            <w:pPr>
              <w:spacing w:after="0" w:line="240" w:lineRule="auto"/>
              <w:jc w:val="both"/>
              <w:rPr>
                <w:rFonts w:ascii="Garamond" w:hAnsi="Garamond"/>
                <w:b/>
                <w:sz w:val="20"/>
                <w:szCs w:val="24"/>
                <w:highlight w:val="yellow"/>
              </w:rPr>
            </w:pPr>
            <w:r w:rsidRPr="00551729">
              <w:rPr>
                <w:rFonts w:ascii="Garamond" w:hAnsi="Garamond"/>
                <w:b/>
                <w:sz w:val="20"/>
                <w:szCs w:val="24"/>
              </w:rPr>
              <w:t>Për përfituesin IPA II:</w:t>
            </w:r>
            <w:r w:rsidR="00124F91" w:rsidRPr="00551729">
              <w:rPr>
                <w:rFonts w:ascii="Garamond" w:hAnsi="Garamond"/>
                <w:b/>
                <w:sz w:val="20"/>
                <w:szCs w:val="24"/>
              </w:rPr>
              <w:t xml:space="preserve"> </w:t>
            </w:r>
          </w:p>
          <w:p w14:paraId="1BADC87E" w14:textId="77777777" w:rsidR="00446633" w:rsidRPr="00551729" w:rsidRDefault="00446633" w:rsidP="00745726">
            <w:pPr>
              <w:spacing w:after="0" w:line="240" w:lineRule="auto"/>
              <w:jc w:val="both"/>
              <w:rPr>
                <w:rFonts w:ascii="Garamond" w:hAnsi="Garamond"/>
                <w:sz w:val="20"/>
                <w:szCs w:val="24"/>
              </w:rPr>
            </w:pPr>
          </w:p>
          <w:p w14:paraId="1BADC87F"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Për Malin e Zi:</w:t>
            </w:r>
          </w:p>
          <w:p w14:paraId="1BADC880"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Z. Zorka Kordić</w:t>
            </w:r>
            <w:r w:rsidR="00124F91" w:rsidRPr="00551729">
              <w:rPr>
                <w:rFonts w:ascii="Garamond" w:hAnsi="Garamond"/>
                <w:sz w:val="20"/>
                <w:szCs w:val="24"/>
              </w:rPr>
              <w:t xml:space="preserve"> </w:t>
            </w:r>
          </w:p>
          <w:p w14:paraId="1BADC881"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Krye-Negociator</w:t>
            </w:r>
          </w:p>
          <w:p w14:paraId="1BADC882" w14:textId="0CE1C272"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dhe Koordinatori Kombëtar i IPA-s</w:t>
            </w:r>
            <w:r w:rsidR="004E2CEC">
              <w:rPr>
                <w:rFonts w:ascii="Garamond" w:hAnsi="Garamond"/>
                <w:sz w:val="20"/>
                <w:szCs w:val="24"/>
              </w:rPr>
              <w:t>ë</w:t>
            </w:r>
          </w:p>
          <w:p w14:paraId="1BADC883"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Qeveria e Malit të Zi</w:t>
            </w:r>
          </w:p>
          <w:p w14:paraId="1BADC884"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Zyra e Integrimit Evropian</w:t>
            </w:r>
          </w:p>
          <w:p w14:paraId="1BADC885" w14:textId="77777777" w:rsidR="00446633" w:rsidRPr="00551729" w:rsidRDefault="00446633" w:rsidP="00745726">
            <w:pPr>
              <w:spacing w:after="0" w:line="240" w:lineRule="auto"/>
              <w:jc w:val="both"/>
              <w:rPr>
                <w:rFonts w:ascii="Garamond" w:hAnsi="Garamond"/>
                <w:sz w:val="20"/>
                <w:szCs w:val="24"/>
              </w:rPr>
            </w:pPr>
          </w:p>
          <w:p w14:paraId="1BADC886" w14:textId="1E9290CF"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 xml:space="preserve">Podgoricë, </w:t>
            </w:r>
            <w:r w:rsidR="00273B87" w:rsidRPr="00551729">
              <w:rPr>
                <w:rFonts w:ascii="Garamond" w:hAnsi="Garamond"/>
                <w:sz w:val="20"/>
                <w:szCs w:val="24"/>
              </w:rPr>
              <w:t xml:space="preserve">data </w:t>
            </w:r>
            <w:r w:rsidRPr="00551729">
              <w:rPr>
                <w:rFonts w:ascii="Garamond" w:hAnsi="Garamond"/>
                <w:sz w:val="20"/>
                <w:szCs w:val="24"/>
              </w:rPr>
              <w:t>26 korrik 2021</w:t>
            </w:r>
          </w:p>
          <w:p w14:paraId="1BADC887" w14:textId="77777777" w:rsidR="00446633" w:rsidRPr="00551729" w:rsidRDefault="00446633" w:rsidP="00745726">
            <w:pPr>
              <w:spacing w:after="0" w:line="240" w:lineRule="auto"/>
              <w:jc w:val="both"/>
              <w:rPr>
                <w:rFonts w:ascii="Garamond" w:hAnsi="Garamond"/>
                <w:sz w:val="20"/>
                <w:szCs w:val="24"/>
              </w:rPr>
            </w:pPr>
          </w:p>
          <w:p w14:paraId="1BADC888" w14:textId="77777777" w:rsidR="00446633" w:rsidRPr="00551729" w:rsidRDefault="00446633" w:rsidP="00745726">
            <w:pPr>
              <w:spacing w:after="0" w:line="240" w:lineRule="auto"/>
              <w:jc w:val="both"/>
              <w:rPr>
                <w:rFonts w:ascii="Garamond" w:hAnsi="Garamond"/>
                <w:b/>
                <w:sz w:val="20"/>
                <w:szCs w:val="24"/>
              </w:rPr>
            </w:pPr>
            <w:r w:rsidRPr="00551729">
              <w:rPr>
                <w:rFonts w:ascii="Garamond" w:hAnsi="Garamond"/>
                <w:b/>
                <w:sz w:val="20"/>
                <w:szCs w:val="24"/>
              </w:rPr>
              <w:t>Për Shqipërinë:</w:t>
            </w:r>
          </w:p>
          <w:p w14:paraId="1BADC889"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Z. Zef Mazi</w:t>
            </w:r>
          </w:p>
          <w:p w14:paraId="1BADC88A" w14:textId="77777777" w:rsidR="00446633" w:rsidRPr="00551729" w:rsidRDefault="00446633" w:rsidP="00745726">
            <w:pPr>
              <w:spacing w:after="0" w:line="240" w:lineRule="auto"/>
              <w:jc w:val="both"/>
              <w:rPr>
                <w:rFonts w:ascii="Garamond" w:hAnsi="Garamond"/>
                <w:sz w:val="20"/>
                <w:szCs w:val="24"/>
              </w:rPr>
            </w:pPr>
          </w:p>
          <w:p w14:paraId="1BADC88B" w14:textId="50E55BC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Koordinatori Kombëtar i IPA-s</w:t>
            </w:r>
            <w:r w:rsidR="00CC1ADB" w:rsidRPr="00551729">
              <w:rPr>
                <w:rFonts w:ascii="Garamond" w:hAnsi="Garamond"/>
                <w:sz w:val="20"/>
                <w:szCs w:val="24"/>
              </w:rPr>
              <w:t>ë</w:t>
            </w:r>
          </w:p>
          <w:p w14:paraId="1BADC88C" w14:textId="6DC09FD3"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 xml:space="preserve">Tiranë, </w:t>
            </w:r>
            <w:r w:rsidR="00273B87" w:rsidRPr="00551729">
              <w:rPr>
                <w:rFonts w:ascii="Garamond" w:hAnsi="Garamond"/>
                <w:sz w:val="20"/>
                <w:szCs w:val="24"/>
              </w:rPr>
              <w:t xml:space="preserve">datë </w:t>
            </w:r>
            <w:r w:rsidRPr="00551729">
              <w:rPr>
                <w:rFonts w:ascii="Garamond" w:hAnsi="Garamond"/>
                <w:sz w:val="20"/>
                <w:szCs w:val="24"/>
              </w:rPr>
              <w:t>2.12.2021</w:t>
            </w:r>
          </w:p>
        </w:tc>
        <w:tc>
          <w:tcPr>
            <w:tcW w:w="3544" w:type="dxa"/>
            <w:shd w:val="clear" w:color="auto" w:fill="auto"/>
          </w:tcPr>
          <w:p w14:paraId="1BADC88D"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b/>
                <w:sz w:val="20"/>
                <w:szCs w:val="24"/>
              </w:rPr>
              <w:t>Për Komisionin</w:t>
            </w:r>
            <w:r w:rsidRPr="00551729">
              <w:rPr>
                <w:rFonts w:ascii="Garamond" w:hAnsi="Garamond"/>
                <w:sz w:val="20"/>
                <w:szCs w:val="24"/>
              </w:rPr>
              <w:t>:</w:t>
            </w:r>
          </w:p>
          <w:p w14:paraId="1BADC88E" w14:textId="77777777" w:rsidR="00446633" w:rsidRPr="00551729" w:rsidRDefault="00446633" w:rsidP="00745726">
            <w:pPr>
              <w:spacing w:after="0" w:line="240" w:lineRule="auto"/>
              <w:jc w:val="both"/>
              <w:rPr>
                <w:rFonts w:ascii="Garamond" w:hAnsi="Garamond"/>
                <w:sz w:val="20"/>
                <w:szCs w:val="24"/>
              </w:rPr>
            </w:pPr>
          </w:p>
          <w:p w14:paraId="1BADC88F"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Znj. Genoveva Ruiz Calavera</w:t>
            </w:r>
            <w:r w:rsidR="00124F91" w:rsidRPr="00551729">
              <w:rPr>
                <w:rFonts w:ascii="Garamond" w:hAnsi="Garamond"/>
                <w:sz w:val="20"/>
                <w:szCs w:val="24"/>
              </w:rPr>
              <w:t xml:space="preserve"> </w:t>
            </w:r>
          </w:p>
          <w:p w14:paraId="1BADC890"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Drejtore D, Ballkani Perëndimor</w:t>
            </w:r>
          </w:p>
          <w:p w14:paraId="1BADC891" w14:textId="77777777"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Drejtoria e Përgjithshme për Negociatat e Zgjerimit dhe Fqinjësinë</w:t>
            </w:r>
          </w:p>
          <w:p w14:paraId="1BADC892" w14:textId="412C3D88" w:rsidR="00446633" w:rsidRPr="00551729" w:rsidRDefault="00273B87" w:rsidP="00745726">
            <w:pPr>
              <w:spacing w:after="0" w:line="240" w:lineRule="auto"/>
              <w:jc w:val="both"/>
              <w:rPr>
                <w:rFonts w:ascii="Garamond" w:hAnsi="Garamond"/>
                <w:sz w:val="20"/>
                <w:szCs w:val="24"/>
              </w:rPr>
            </w:pPr>
            <w:r w:rsidRPr="00551729">
              <w:rPr>
                <w:rFonts w:ascii="Garamond" w:hAnsi="Garamond"/>
                <w:sz w:val="20"/>
                <w:szCs w:val="24"/>
              </w:rPr>
              <w:t>Komisioni</w:t>
            </w:r>
            <w:r w:rsidR="00446633" w:rsidRPr="00551729">
              <w:rPr>
                <w:rFonts w:ascii="Garamond" w:hAnsi="Garamond"/>
                <w:sz w:val="20"/>
                <w:szCs w:val="24"/>
              </w:rPr>
              <w:t xml:space="preserve"> Evropian</w:t>
            </w:r>
          </w:p>
          <w:p w14:paraId="1BADC893" w14:textId="77777777" w:rsidR="00446633" w:rsidRPr="00551729" w:rsidRDefault="00446633" w:rsidP="00745726">
            <w:pPr>
              <w:spacing w:after="0" w:line="240" w:lineRule="auto"/>
              <w:jc w:val="both"/>
              <w:rPr>
                <w:rFonts w:ascii="Garamond" w:hAnsi="Garamond"/>
                <w:sz w:val="20"/>
                <w:szCs w:val="24"/>
              </w:rPr>
            </w:pPr>
          </w:p>
          <w:p w14:paraId="1BADC894" w14:textId="77777777" w:rsidR="00446633" w:rsidRPr="00551729" w:rsidRDefault="00446633" w:rsidP="00745726">
            <w:pPr>
              <w:spacing w:after="0" w:line="240" w:lineRule="auto"/>
              <w:jc w:val="both"/>
              <w:rPr>
                <w:rFonts w:ascii="Garamond" w:hAnsi="Garamond"/>
                <w:sz w:val="20"/>
                <w:szCs w:val="24"/>
              </w:rPr>
            </w:pPr>
          </w:p>
          <w:p w14:paraId="1BADC895" w14:textId="2A58C753" w:rsidR="00446633" w:rsidRPr="00551729" w:rsidRDefault="00C521D5" w:rsidP="00745726">
            <w:pPr>
              <w:spacing w:after="0" w:line="240" w:lineRule="auto"/>
              <w:jc w:val="both"/>
              <w:rPr>
                <w:rFonts w:ascii="Garamond" w:hAnsi="Garamond"/>
                <w:sz w:val="20"/>
                <w:szCs w:val="24"/>
              </w:rPr>
            </w:pPr>
            <w:r w:rsidRPr="00551729">
              <w:rPr>
                <w:rFonts w:ascii="Garamond" w:hAnsi="Garamond"/>
                <w:sz w:val="20"/>
                <w:szCs w:val="24"/>
              </w:rPr>
              <w:t xml:space="preserve"> </w:t>
            </w:r>
          </w:p>
          <w:p w14:paraId="1BADC896" w14:textId="77777777" w:rsidR="00446633" w:rsidRPr="00551729" w:rsidRDefault="00446633" w:rsidP="00745726">
            <w:pPr>
              <w:spacing w:after="0" w:line="240" w:lineRule="auto"/>
              <w:jc w:val="both"/>
              <w:rPr>
                <w:rFonts w:ascii="Garamond" w:hAnsi="Garamond"/>
                <w:sz w:val="20"/>
                <w:szCs w:val="24"/>
              </w:rPr>
            </w:pPr>
          </w:p>
          <w:p w14:paraId="1BADC897" w14:textId="5B526FBB" w:rsidR="00446633" w:rsidRPr="00551729" w:rsidRDefault="00446633" w:rsidP="00745726">
            <w:pPr>
              <w:spacing w:after="0" w:line="240" w:lineRule="auto"/>
              <w:jc w:val="both"/>
              <w:rPr>
                <w:rFonts w:ascii="Garamond" w:hAnsi="Garamond"/>
                <w:sz w:val="20"/>
                <w:szCs w:val="24"/>
              </w:rPr>
            </w:pPr>
            <w:r w:rsidRPr="00551729">
              <w:rPr>
                <w:rFonts w:ascii="Garamond" w:hAnsi="Garamond"/>
                <w:sz w:val="20"/>
                <w:szCs w:val="24"/>
              </w:rPr>
              <w:t xml:space="preserve">Bruksel, </w:t>
            </w:r>
            <w:r w:rsidR="00CC1ADB" w:rsidRPr="00551729">
              <w:rPr>
                <w:rFonts w:ascii="Garamond" w:hAnsi="Garamond"/>
                <w:sz w:val="20"/>
                <w:szCs w:val="24"/>
              </w:rPr>
              <w:t xml:space="preserve">data </w:t>
            </w:r>
            <w:r w:rsidRPr="00551729">
              <w:rPr>
                <w:rFonts w:ascii="Garamond" w:hAnsi="Garamond"/>
                <w:sz w:val="20"/>
                <w:szCs w:val="24"/>
              </w:rPr>
              <w:t>22 qershor 2020</w:t>
            </w:r>
          </w:p>
        </w:tc>
      </w:tr>
    </w:tbl>
    <w:p w14:paraId="1BADC899" w14:textId="77777777" w:rsidR="00085D0E" w:rsidRPr="00551729" w:rsidRDefault="00085D0E" w:rsidP="006B57CD">
      <w:pPr>
        <w:spacing w:after="0" w:line="240" w:lineRule="auto"/>
        <w:ind w:firstLine="284"/>
        <w:jc w:val="both"/>
        <w:rPr>
          <w:rFonts w:ascii="Garamond" w:eastAsia="Times New Roman" w:hAnsi="Garamond" w:cs="Times New Roman"/>
          <w:sz w:val="20"/>
          <w:szCs w:val="20"/>
        </w:rPr>
      </w:pPr>
    </w:p>
    <w:p w14:paraId="1BADC89A" w14:textId="77777777" w:rsidR="006B57CD" w:rsidRPr="00551729" w:rsidRDefault="006B57CD" w:rsidP="006B57CD">
      <w:pPr>
        <w:spacing w:after="0" w:line="240" w:lineRule="auto"/>
        <w:ind w:firstLine="284"/>
        <w:jc w:val="both"/>
        <w:rPr>
          <w:rFonts w:ascii="Garamond" w:eastAsia="Times New Roman" w:hAnsi="Garamond" w:cs="Times New Roman"/>
          <w:sz w:val="20"/>
          <w:szCs w:val="20"/>
        </w:rPr>
      </w:pPr>
    </w:p>
    <w:p w14:paraId="1BADC89B" w14:textId="49CF4DBE" w:rsidR="00915CA3" w:rsidRPr="00D2455C" w:rsidRDefault="00D2455C" w:rsidP="00915CA3">
      <w:pPr>
        <w:widowControl w:val="0"/>
        <w:autoSpaceDE w:val="0"/>
        <w:autoSpaceDN w:val="0"/>
        <w:adjustRightInd w:val="0"/>
        <w:spacing w:after="0" w:line="240" w:lineRule="auto"/>
        <w:ind w:left="120"/>
        <w:jc w:val="center"/>
        <w:rPr>
          <w:rFonts w:ascii="Garamond" w:hAnsi="Garamond"/>
          <w:bCs/>
          <w:sz w:val="24"/>
          <w:szCs w:val="24"/>
        </w:rPr>
      </w:pPr>
      <w:r w:rsidRPr="00D2455C">
        <w:rPr>
          <w:rFonts w:ascii="Garamond" w:hAnsi="Garamond"/>
          <w:bCs/>
          <w:sz w:val="24"/>
          <w:szCs w:val="24"/>
        </w:rPr>
        <w:t>SHTOJCA I</w:t>
      </w:r>
    </w:p>
    <w:p w14:paraId="1BADC89D" w14:textId="0EBCA62B" w:rsidR="00915CA3" w:rsidRPr="00D2455C" w:rsidRDefault="00D2455C" w:rsidP="00915CA3">
      <w:pPr>
        <w:widowControl w:val="0"/>
        <w:autoSpaceDE w:val="0"/>
        <w:autoSpaceDN w:val="0"/>
        <w:adjustRightInd w:val="0"/>
        <w:spacing w:after="0" w:line="240" w:lineRule="auto"/>
        <w:jc w:val="center"/>
        <w:rPr>
          <w:rFonts w:ascii="Garamond" w:hAnsi="Garamond"/>
          <w:sz w:val="24"/>
          <w:szCs w:val="24"/>
        </w:rPr>
      </w:pPr>
      <w:r w:rsidRPr="00D2455C">
        <w:rPr>
          <w:rFonts w:ascii="Garamond" w:hAnsi="Garamond"/>
          <w:sz w:val="24"/>
          <w:szCs w:val="24"/>
        </w:rPr>
        <w:t>PROGRAMI SHUMËVJEÇAR I PUNËS</w:t>
      </w:r>
    </w:p>
    <w:p w14:paraId="1BADC89E" w14:textId="2AA64251" w:rsidR="00915CA3" w:rsidRPr="00D2455C" w:rsidRDefault="00D2455C" w:rsidP="00915CA3">
      <w:pPr>
        <w:widowControl w:val="0"/>
        <w:autoSpaceDE w:val="0"/>
        <w:autoSpaceDN w:val="0"/>
        <w:adjustRightInd w:val="0"/>
        <w:spacing w:after="0" w:line="240" w:lineRule="auto"/>
        <w:jc w:val="center"/>
        <w:rPr>
          <w:rFonts w:ascii="Garamond" w:hAnsi="Garamond"/>
          <w:sz w:val="24"/>
          <w:szCs w:val="24"/>
        </w:rPr>
      </w:pPr>
      <w:r w:rsidRPr="00D2455C">
        <w:rPr>
          <w:rFonts w:ascii="Garamond" w:hAnsi="Garamond"/>
          <w:sz w:val="24"/>
          <w:szCs w:val="24"/>
        </w:rPr>
        <w:t>KY DOKUMENT PËRBËN PROGRAMIN SHUMËVJEÇAR TË PUNËS NË KUPTIMIN E NENIT 110 (2) TË RREGULLORES (BE, EURATOM) 2018/1046</w:t>
      </w:r>
    </w:p>
    <w:p w14:paraId="1BADC89F" w14:textId="77777777" w:rsidR="00915CA3" w:rsidRPr="00551729" w:rsidRDefault="00915CA3" w:rsidP="00915CA3">
      <w:pPr>
        <w:widowControl w:val="0"/>
        <w:autoSpaceDE w:val="0"/>
        <w:autoSpaceDN w:val="0"/>
        <w:adjustRightInd w:val="0"/>
        <w:spacing w:after="0" w:line="240" w:lineRule="auto"/>
        <w:ind w:left="120"/>
        <w:jc w:val="center"/>
        <w:rPr>
          <w:rFonts w:ascii="Garamond" w:hAnsi="Garamond"/>
          <w:sz w:val="24"/>
          <w:szCs w:val="24"/>
        </w:rPr>
      </w:pPr>
    </w:p>
    <w:p w14:paraId="1BADC8A0" w14:textId="77777777" w:rsidR="00915CA3" w:rsidRPr="00551729" w:rsidRDefault="00915CA3" w:rsidP="00915CA3">
      <w:pPr>
        <w:widowControl w:val="0"/>
        <w:autoSpaceDE w:val="0"/>
        <w:autoSpaceDN w:val="0"/>
        <w:adjustRightInd w:val="0"/>
        <w:spacing w:after="0" w:line="240" w:lineRule="auto"/>
        <w:rPr>
          <w:rFonts w:ascii="Garamond" w:hAnsi="Garamond"/>
          <w:sz w:val="24"/>
          <w:szCs w:val="24"/>
        </w:rPr>
      </w:pPr>
    </w:p>
    <w:p w14:paraId="1BADC8A1" w14:textId="77777777" w:rsidR="00915CA3" w:rsidRPr="00551729" w:rsidRDefault="00915CA3" w:rsidP="00915CA3">
      <w:pPr>
        <w:pStyle w:val="TEKSTIII"/>
        <w:rPr>
          <w:b/>
        </w:rPr>
      </w:pPr>
      <w:r w:rsidRPr="00551729">
        <w:rPr>
          <w:b/>
        </w:rPr>
        <w:t>1. IDENTIFIKIMI</w:t>
      </w:r>
    </w:p>
    <w:p w14:paraId="1BADC8A2" w14:textId="77777777" w:rsidR="00915CA3" w:rsidRPr="00551729" w:rsidRDefault="00915CA3" w:rsidP="00915CA3">
      <w:pPr>
        <w:widowControl w:val="0"/>
        <w:tabs>
          <w:tab w:val="left" w:pos="520"/>
        </w:tabs>
        <w:autoSpaceDE w:val="0"/>
        <w:autoSpaceDN w:val="0"/>
        <w:adjustRightInd w:val="0"/>
        <w:spacing w:after="0" w:line="240" w:lineRule="auto"/>
        <w:rPr>
          <w:rFonts w:ascii="Garamond" w:hAnsi="Garamond"/>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520"/>
      </w:tblGrid>
      <w:tr w:rsidR="00915CA3" w:rsidRPr="00551729" w14:paraId="1BADC8A5" w14:textId="77777777" w:rsidTr="00B628D7">
        <w:tc>
          <w:tcPr>
            <w:tcW w:w="3227" w:type="dxa"/>
          </w:tcPr>
          <w:p w14:paraId="1BADC8A3"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Përfituesit</w:t>
            </w:r>
          </w:p>
        </w:tc>
        <w:tc>
          <w:tcPr>
            <w:tcW w:w="6520" w:type="dxa"/>
          </w:tcPr>
          <w:p w14:paraId="1BADC8A4" w14:textId="77777777" w:rsidR="00915CA3" w:rsidRPr="00551729" w:rsidRDefault="00915CA3" w:rsidP="00B628D7">
            <w:pPr>
              <w:spacing w:after="0" w:line="240" w:lineRule="auto"/>
              <w:jc w:val="both"/>
              <w:rPr>
                <w:rFonts w:ascii="Garamond" w:hAnsi="Garamond"/>
                <w:i/>
                <w:sz w:val="20"/>
                <w:szCs w:val="24"/>
              </w:rPr>
            </w:pPr>
            <w:r w:rsidRPr="00551729">
              <w:rPr>
                <w:rFonts w:ascii="Garamond" w:hAnsi="Garamond"/>
                <w:sz w:val="20"/>
                <w:szCs w:val="24"/>
              </w:rPr>
              <w:t>Mali i Zi, Republika e Shqipërisë</w:t>
            </w:r>
          </w:p>
        </w:tc>
      </w:tr>
      <w:tr w:rsidR="00915CA3" w:rsidRPr="00551729" w14:paraId="1BADC8AC" w14:textId="77777777" w:rsidTr="00B628D7">
        <w:tc>
          <w:tcPr>
            <w:tcW w:w="3227" w:type="dxa"/>
          </w:tcPr>
          <w:p w14:paraId="1BADC8A6" w14:textId="591661A5" w:rsidR="00915CA3" w:rsidRPr="00551729" w:rsidRDefault="00915CA3" w:rsidP="00B628D7">
            <w:pPr>
              <w:spacing w:after="0" w:line="240" w:lineRule="auto"/>
              <w:jc w:val="both"/>
              <w:rPr>
                <w:rFonts w:ascii="Garamond" w:hAnsi="Garamond"/>
                <w:sz w:val="20"/>
                <w:szCs w:val="24"/>
              </w:rPr>
            </w:pPr>
            <w:r w:rsidRPr="00551729">
              <w:rPr>
                <w:rFonts w:ascii="Garamond" w:hAnsi="Garamond"/>
                <w:sz w:val="20"/>
                <w:szCs w:val="24"/>
              </w:rPr>
              <w:t>Referencat e angazhimit të CRIS/ ABAC</w:t>
            </w:r>
          </w:p>
          <w:p w14:paraId="1BADC8A7" w14:textId="77777777" w:rsidR="00915CA3" w:rsidRPr="00551729" w:rsidRDefault="00915CA3" w:rsidP="00B628D7">
            <w:pPr>
              <w:spacing w:after="0" w:line="240" w:lineRule="auto"/>
              <w:jc w:val="both"/>
              <w:rPr>
                <w:rFonts w:ascii="Garamond" w:hAnsi="Garamond"/>
                <w:sz w:val="20"/>
                <w:szCs w:val="24"/>
              </w:rPr>
            </w:pPr>
            <w:r w:rsidRPr="00551729">
              <w:rPr>
                <w:rFonts w:ascii="Garamond" w:hAnsi="Garamond"/>
                <w:sz w:val="20"/>
                <w:szCs w:val="24"/>
              </w:rPr>
              <w:t>Kontributi i Unionit</w:t>
            </w:r>
          </w:p>
          <w:p w14:paraId="1BADC8A8" w14:textId="77777777" w:rsidR="00915CA3" w:rsidRPr="00551729" w:rsidRDefault="00915CA3" w:rsidP="00B628D7">
            <w:pPr>
              <w:spacing w:after="0" w:line="240" w:lineRule="auto"/>
              <w:jc w:val="both"/>
              <w:rPr>
                <w:rFonts w:ascii="Garamond" w:hAnsi="Garamond"/>
                <w:b/>
                <w:sz w:val="20"/>
                <w:szCs w:val="24"/>
              </w:rPr>
            </w:pPr>
            <w:r w:rsidRPr="00551729">
              <w:rPr>
                <w:rFonts w:ascii="Garamond" w:hAnsi="Garamond"/>
                <w:sz w:val="20"/>
                <w:szCs w:val="24"/>
              </w:rPr>
              <w:t>Linja e buxhetit</w:t>
            </w:r>
            <w:r w:rsidRPr="00551729">
              <w:rPr>
                <w:rFonts w:ascii="Garamond" w:hAnsi="Garamond"/>
                <w:b/>
                <w:sz w:val="20"/>
                <w:szCs w:val="24"/>
              </w:rPr>
              <w:t xml:space="preserve"> </w:t>
            </w:r>
          </w:p>
        </w:tc>
        <w:tc>
          <w:tcPr>
            <w:tcW w:w="6520" w:type="dxa"/>
          </w:tcPr>
          <w:p w14:paraId="1BADC8A9" w14:textId="3499B1E1" w:rsidR="00915CA3" w:rsidRPr="00551729" w:rsidRDefault="00915CA3" w:rsidP="00B628D7">
            <w:pPr>
              <w:spacing w:after="0" w:line="240" w:lineRule="auto"/>
              <w:jc w:val="both"/>
              <w:rPr>
                <w:rFonts w:ascii="Garamond" w:hAnsi="Garamond"/>
                <w:sz w:val="20"/>
                <w:szCs w:val="24"/>
              </w:rPr>
            </w:pPr>
            <w:r w:rsidRPr="00551729">
              <w:rPr>
                <w:rFonts w:ascii="Garamond" w:hAnsi="Garamond"/>
                <w:sz w:val="20"/>
                <w:szCs w:val="24"/>
              </w:rPr>
              <w:t xml:space="preserve">2018/ 041-468 </w:t>
            </w:r>
            <w:r w:rsidR="00C47FED" w:rsidRPr="00551729">
              <w:rPr>
                <w:rFonts w:ascii="Garamond" w:hAnsi="Garamond"/>
                <w:sz w:val="20"/>
                <w:szCs w:val="24"/>
              </w:rPr>
              <w:t xml:space="preserve">euro </w:t>
            </w:r>
            <w:r w:rsidRPr="00551729">
              <w:rPr>
                <w:rFonts w:ascii="Garamond" w:hAnsi="Garamond"/>
                <w:sz w:val="20"/>
                <w:szCs w:val="24"/>
              </w:rPr>
              <w:t>1,700,000 22.020401</w:t>
            </w:r>
          </w:p>
          <w:p w14:paraId="1BADC8AA" w14:textId="53A99E9E" w:rsidR="00915CA3" w:rsidRPr="00551729" w:rsidRDefault="00915CA3" w:rsidP="00B628D7">
            <w:pPr>
              <w:spacing w:after="0" w:line="240" w:lineRule="auto"/>
              <w:jc w:val="both"/>
              <w:rPr>
                <w:rFonts w:ascii="Garamond" w:hAnsi="Garamond"/>
                <w:sz w:val="20"/>
                <w:szCs w:val="24"/>
              </w:rPr>
            </w:pPr>
            <w:r w:rsidRPr="00551729">
              <w:rPr>
                <w:rFonts w:ascii="Garamond" w:hAnsi="Garamond"/>
                <w:sz w:val="20"/>
                <w:szCs w:val="24"/>
              </w:rPr>
              <w:t xml:space="preserve">2019/ 041-470 </w:t>
            </w:r>
            <w:r w:rsidR="00C47FED" w:rsidRPr="00551729">
              <w:rPr>
                <w:rFonts w:ascii="Garamond" w:hAnsi="Garamond"/>
                <w:sz w:val="20"/>
                <w:szCs w:val="24"/>
              </w:rPr>
              <w:t xml:space="preserve">euro </w:t>
            </w:r>
            <w:r w:rsidRPr="00551729">
              <w:rPr>
                <w:rFonts w:ascii="Garamond" w:hAnsi="Garamond"/>
                <w:sz w:val="20"/>
                <w:szCs w:val="24"/>
              </w:rPr>
              <w:t>1,700,000 22.020401</w:t>
            </w:r>
          </w:p>
          <w:p w14:paraId="1BADC8AB" w14:textId="5E1348E1" w:rsidR="00915CA3" w:rsidRPr="00551729" w:rsidRDefault="00915CA3" w:rsidP="00B628D7">
            <w:pPr>
              <w:spacing w:after="0" w:line="240" w:lineRule="auto"/>
              <w:jc w:val="both"/>
              <w:rPr>
                <w:rFonts w:ascii="Garamond" w:hAnsi="Garamond"/>
                <w:i/>
                <w:sz w:val="20"/>
                <w:szCs w:val="24"/>
              </w:rPr>
            </w:pPr>
            <w:r w:rsidRPr="00551729">
              <w:rPr>
                <w:rFonts w:ascii="Garamond" w:hAnsi="Garamond"/>
                <w:sz w:val="20"/>
                <w:szCs w:val="24"/>
              </w:rPr>
              <w:t xml:space="preserve">2020/ 041-175 </w:t>
            </w:r>
            <w:r w:rsidR="00C47FED" w:rsidRPr="00551729">
              <w:rPr>
                <w:rFonts w:ascii="Garamond" w:hAnsi="Garamond"/>
                <w:sz w:val="20"/>
                <w:szCs w:val="24"/>
              </w:rPr>
              <w:t xml:space="preserve">euro </w:t>
            </w:r>
            <w:r w:rsidRPr="00551729">
              <w:rPr>
                <w:rFonts w:ascii="Garamond" w:hAnsi="Garamond"/>
                <w:sz w:val="20"/>
                <w:szCs w:val="24"/>
              </w:rPr>
              <w:t>1,530,000 22.020401</w:t>
            </w:r>
          </w:p>
        </w:tc>
      </w:tr>
      <w:tr w:rsidR="00915CA3" w:rsidRPr="00551729" w14:paraId="1BADC8B5" w14:textId="77777777" w:rsidTr="00B628D7">
        <w:tc>
          <w:tcPr>
            <w:tcW w:w="3227" w:type="dxa"/>
          </w:tcPr>
          <w:p w14:paraId="1BADC8AD" w14:textId="77777777" w:rsidR="00915CA3" w:rsidRPr="00551729" w:rsidRDefault="00915CA3" w:rsidP="00B628D7">
            <w:pPr>
              <w:autoSpaceDE w:val="0"/>
              <w:autoSpaceDN w:val="0"/>
              <w:adjustRightInd w:val="0"/>
              <w:spacing w:after="0" w:line="240" w:lineRule="auto"/>
              <w:rPr>
                <w:rFonts w:ascii="Garamond" w:hAnsi="Garamond"/>
                <w:b/>
                <w:bCs/>
                <w:sz w:val="20"/>
                <w:szCs w:val="24"/>
              </w:rPr>
            </w:pPr>
            <w:r w:rsidRPr="00551729">
              <w:rPr>
                <w:rFonts w:ascii="Garamond" w:hAnsi="Garamond"/>
                <w:b/>
                <w:bCs/>
                <w:sz w:val="20"/>
                <w:szCs w:val="24"/>
              </w:rPr>
              <w:t xml:space="preserve">Mënyra e menaxhimit </w:t>
            </w:r>
          </w:p>
          <w:p w14:paraId="1BADC8AE" w14:textId="77777777" w:rsidR="00915CA3" w:rsidRPr="00551729" w:rsidRDefault="00915CA3" w:rsidP="00B628D7">
            <w:pPr>
              <w:autoSpaceDE w:val="0"/>
              <w:autoSpaceDN w:val="0"/>
              <w:adjustRightInd w:val="0"/>
              <w:spacing w:after="0" w:line="240" w:lineRule="auto"/>
              <w:rPr>
                <w:rFonts w:ascii="Garamond" w:hAnsi="Garamond"/>
                <w:b/>
                <w:bCs/>
                <w:sz w:val="20"/>
                <w:szCs w:val="24"/>
              </w:rPr>
            </w:pPr>
          </w:p>
          <w:p w14:paraId="1BADC8AF" w14:textId="77777777" w:rsidR="00915CA3" w:rsidRPr="00551729" w:rsidRDefault="00915CA3" w:rsidP="00B628D7">
            <w:pPr>
              <w:spacing w:after="0" w:line="240" w:lineRule="auto"/>
              <w:rPr>
                <w:rFonts w:ascii="Garamond" w:hAnsi="Garamond"/>
                <w:b/>
                <w:bCs/>
                <w:sz w:val="20"/>
                <w:szCs w:val="24"/>
              </w:rPr>
            </w:pPr>
          </w:p>
          <w:p w14:paraId="1BADC8B0"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bCs/>
                <w:sz w:val="20"/>
                <w:szCs w:val="24"/>
              </w:rPr>
              <w:t xml:space="preserve">Strukturat përgjegjëse </w:t>
            </w:r>
          </w:p>
        </w:tc>
        <w:tc>
          <w:tcPr>
            <w:tcW w:w="6520" w:type="dxa"/>
          </w:tcPr>
          <w:p w14:paraId="1BADC8B1" w14:textId="77777777" w:rsidR="00915CA3" w:rsidRPr="00551729" w:rsidRDefault="00915CA3" w:rsidP="00B628D7">
            <w:pPr>
              <w:spacing w:after="0" w:line="240" w:lineRule="auto"/>
              <w:jc w:val="both"/>
              <w:rPr>
                <w:rFonts w:ascii="Garamond" w:hAnsi="Garamond"/>
                <w:sz w:val="20"/>
                <w:szCs w:val="24"/>
              </w:rPr>
            </w:pPr>
            <w:r w:rsidRPr="00551729">
              <w:rPr>
                <w:rFonts w:ascii="Garamond" w:hAnsi="Garamond"/>
                <w:sz w:val="20"/>
                <w:szCs w:val="24"/>
              </w:rPr>
              <w:t>Menaxhimi i tërthortë nga Mali i Zi</w:t>
            </w:r>
          </w:p>
          <w:p w14:paraId="1BADC8B2" w14:textId="3EC996D3" w:rsidR="00915CA3" w:rsidRPr="00551729" w:rsidRDefault="00915CA3" w:rsidP="00B628D7">
            <w:pPr>
              <w:autoSpaceDE w:val="0"/>
              <w:autoSpaceDN w:val="0"/>
              <w:adjustRightInd w:val="0"/>
              <w:spacing w:after="0" w:line="240" w:lineRule="auto"/>
              <w:rPr>
                <w:rFonts w:ascii="Garamond" w:hAnsi="Garamond"/>
                <w:sz w:val="20"/>
                <w:szCs w:val="24"/>
              </w:rPr>
            </w:pPr>
            <w:r w:rsidRPr="00551729">
              <w:rPr>
                <w:rFonts w:ascii="Garamond" w:hAnsi="Garamond"/>
                <w:sz w:val="20"/>
                <w:szCs w:val="24"/>
              </w:rPr>
              <w:t xml:space="preserve">Struktura </w:t>
            </w:r>
            <w:r w:rsidR="00EF041C" w:rsidRPr="00551729">
              <w:rPr>
                <w:rFonts w:ascii="Garamond" w:hAnsi="Garamond"/>
                <w:sz w:val="20"/>
                <w:szCs w:val="24"/>
              </w:rPr>
              <w:t xml:space="preserve">operuese </w:t>
            </w:r>
            <w:r w:rsidRPr="00551729">
              <w:rPr>
                <w:rFonts w:ascii="Garamond" w:hAnsi="Garamond"/>
                <w:sz w:val="20"/>
                <w:szCs w:val="24"/>
              </w:rPr>
              <w:t>përgjegjëse për zbatimin e projekteve është: Zyra e Integrimit Evropian</w:t>
            </w:r>
          </w:p>
          <w:p w14:paraId="1BADC8B3" w14:textId="77777777"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Autoriteti Kontraktues është Drejtoria për Financimin dhe Kontraktimin e Ndihmës së BE-së (CFCU) në Ministrinë e Financave</w:t>
            </w:r>
          </w:p>
          <w:p w14:paraId="1BADC8B4" w14:textId="77777777" w:rsidR="00915CA3" w:rsidRPr="00551729" w:rsidRDefault="00915CA3" w:rsidP="00B628D7">
            <w:pPr>
              <w:spacing w:after="0" w:line="240" w:lineRule="auto"/>
              <w:rPr>
                <w:rFonts w:ascii="Garamond" w:hAnsi="Garamond"/>
                <w:sz w:val="20"/>
                <w:szCs w:val="24"/>
              </w:rPr>
            </w:pPr>
            <w:r w:rsidRPr="00551729">
              <w:rPr>
                <w:rFonts w:ascii="Garamond" w:hAnsi="Garamond"/>
                <w:iCs/>
                <w:sz w:val="20"/>
                <w:szCs w:val="24"/>
              </w:rPr>
              <w:t>Struktura Operuese partnere në Republikën e Shqipërisë është: Ministria për Evropën dhe Punët e Jashtme</w:t>
            </w:r>
          </w:p>
        </w:tc>
      </w:tr>
      <w:tr w:rsidR="00915CA3" w:rsidRPr="00551729" w14:paraId="1BADC8C2" w14:textId="77777777" w:rsidTr="00B628D7">
        <w:tc>
          <w:tcPr>
            <w:tcW w:w="3227" w:type="dxa"/>
          </w:tcPr>
          <w:p w14:paraId="1BADC8B6"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Data përfundimtare për</w:t>
            </w:r>
          </w:p>
          <w:p w14:paraId="1BADC8B7"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 xml:space="preserve">miratimin e </w:t>
            </w:r>
          </w:p>
          <w:p w14:paraId="1BADC8B8"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Marrëveshjes/ve</w:t>
            </w:r>
          </w:p>
          <w:p w14:paraId="1BADC8B9"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Financiare me vendet</w:t>
            </w:r>
          </w:p>
          <w:p w14:paraId="1BADC8BA"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përfituese të IPA II</w:t>
            </w:r>
          </w:p>
          <w:p w14:paraId="1BADC8BB" w14:textId="72CBF814" w:rsidR="00915CA3" w:rsidRPr="00551729" w:rsidRDefault="00915CA3" w:rsidP="00EF041C">
            <w:pPr>
              <w:spacing w:after="0" w:line="240" w:lineRule="auto"/>
              <w:rPr>
                <w:rFonts w:ascii="Garamond" w:hAnsi="Garamond"/>
                <w:b/>
                <w:sz w:val="20"/>
                <w:szCs w:val="24"/>
              </w:rPr>
            </w:pPr>
            <w:r w:rsidRPr="00551729">
              <w:rPr>
                <w:rFonts w:ascii="Garamond" w:hAnsi="Garamond"/>
                <w:b/>
                <w:sz w:val="20"/>
                <w:szCs w:val="24"/>
              </w:rPr>
              <w:t>(tr</w:t>
            </w:r>
            <w:r w:rsidR="00EF041C">
              <w:rPr>
                <w:rFonts w:ascii="Garamond" w:hAnsi="Garamond"/>
                <w:b/>
                <w:sz w:val="20"/>
                <w:szCs w:val="24"/>
              </w:rPr>
              <w:t>e</w:t>
            </w:r>
            <w:r w:rsidRPr="00551729">
              <w:rPr>
                <w:rFonts w:ascii="Garamond" w:hAnsi="Garamond"/>
                <w:b/>
                <w:sz w:val="20"/>
                <w:szCs w:val="24"/>
              </w:rPr>
              <w:t>palëshe)</w:t>
            </w:r>
          </w:p>
        </w:tc>
        <w:tc>
          <w:tcPr>
            <w:tcW w:w="6520" w:type="dxa"/>
          </w:tcPr>
          <w:p w14:paraId="1BADC8BC" w14:textId="56ABF96A"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Për angazhimin buxhetor të vitit 2018</w:t>
            </w:r>
            <w:r w:rsidR="00EF041C">
              <w:rPr>
                <w:rFonts w:ascii="Garamond" w:hAnsi="Garamond"/>
                <w:sz w:val="20"/>
                <w:szCs w:val="24"/>
              </w:rPr>
              <w:t>,</w:t>
            </w:r>
          </w:p>
          <w:p w14:paraId="1BADC8BD" w14:textId="77777777"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maksimumi brenda datës 31 dhjetor 2019</w:t>
            </w:r>
          </w:p>
          <w:p w14:paraId="1BADC8BE" w14:textId="7295B3F7"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Për angazhimin buxhetor të vitit 2019</w:t>
            </w:r>
            <w:r w:rsidR="00EF041C">
              <w:rPr>
                <w:rFonts w:ascii="Garamond" w:hAnsi="Garamond"/>
                <w:sz w:val="20"/>
                <w:szCs w:val="24"/>
              </w:rPr>
              <w:t>,</w:t>
            </w:r>
            <w:r w:rsidRPr="00551729">
              <w:rPr>
                <w:rFonts w:ascii="Garamond" w:hAnsi="Garamond"/>
                <w:sz w:val="20"/>
                <w:szCs w:val="24"/>
              </w:rPr>
              <w:t xml:space="preserve"> </w:t>
            </w:r>
          </w:p>
          <w:p w14:paraId="1BADC8BF" w14:textId="77777777"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maksimumi brenda datës 31 dhjetor 2020</w:t>
            </w:r>
          </w:p>
          <w:p w14:paraId="1BADC8C0" w14:textId="7030E3E5"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Për angazhimin buxhetor të vitit 2020</w:t>
            </w:r>
            <w:r w:rsidR="00CF3199">
              <w:rPr>
                <w:rFonts w:ascii="Garamond" w:hAnsi="Garamond"/>
                <w:sz w:val="20"/>
                <w:szCs w:val="24"/>
              </w:rPr>
              <w:t>,</w:t>
            </w:r>
          </w:p>
          <w:p w14:paraId="1BADC8C1" w14:textId="77777777" w:rsidR="00915CA3" w:rsidRPr="00551729" w:rsidRDefault="00915CA3" w:rsidP="00B628D7">
            <w:pPr>
              <w:spacing w:after="0" w:line="240" w:lineRule="auto"/>
              <w:rPr>
                <w:rFonts w:ascii="Garamond" w:hAnsi="Garamond"/>
                <w:b/>
                <w:i/>
                <w:sz w:val="20"/>
                <w:szCs w:val="24"/>
              </w:rPr>
            </w:pPr>
            <w:r w:rsidRPr="00551729">
              <w:rPr>
                <w:rFonts w:ascii="Garamond" w:hAnsi="Garamond"/>
                <w:sz w:val="20"/>
                <w:szCs w:val="24"/>
              </w:rPr>
              <w:t>maksimumi brenda datës 31 dhjetor 2021</w:t>
            </w:r>
          </w:p>
        </w:tc>
      </w:tr>
      <w:tr w:rsidR="00915CA3" w:rsidRPr="00551729" w14:paraId="1BADC8C7" w14:textId="77777777" w:rsidTr="00B628D7">
        <w:tc>
          <w:tcPr>
            <w:tcW w:w="3227" w:type="dxa"/>
          </w:tcPr>
          <w:p w14:paraId="1BADC8C3"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Data përfundimtare për</w:t>
            </w:r>
          </w:p>
          <w:p w14:paraId="1BADC8C4" w14:textId="2AE38D33"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mbylljen</w:t>
            </w:r>
            <w:r w:rsidR="00C521D5" w:rsidRPr="00551729">
              <w:rPr>
                <w:rFonts w:ascii="Garamond" w:hAnsi="Garamond"/>
                <w:b/>
                <w:sz w:val="20"/>
                <w:szCs w:val="24"/>
              </w:rPr>
              <w:t xml:space="preserve"> </w:t>
            </w:r>
            <w:r w:rsidRPr="00551729">
              <w:rPr>
                <w:rFonts w:ascii="Garamond" w:hAnsi="Garamond"/>
                <w:b/>
                <w:sz w:val="20"/>
                <w:szCs w:val="24"/>
              </w:rPr>
              <w:t>e kontratave të</w:t>
            </w:r>
          </w:p>
          <w:p w14:paraId="1BADC8C5"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 xml:space="preserve">granteve, duke përfshirë përfundimin e marrëveshjeve të kontributit/delegimit </w:t>
            </w:r>
          </w:p>
        </w:tc>
        <w:tc>
          <w:tcPr>
            <w:tcW w:w="6520" w:type="dxa"/>
          </w:tcPr>
          <w:p w14:paraId="1BADC8C6" w14:textId="49036526" w:rsidR="00915CA3" w:rsidRPr="00551729" w:rsidRDefault="00915CA3" w:rsidP="00B628D7">
            <w:pPr>
              <w:spacing w:after="0" w:line="240" w:lineRule="auto"/>
              <w:jc w:val="both"/>
              <w:rPr>
                <w:rFonts w:ascii="Garamond" w:hAnsi="Garamond"/>
                <w:b/>
                <w:i/>
                <w:sz w:val="20"/>
                <w:szCs w:val="24"/>
              </w:rPr>
            </w:pPr>
            <w:r w:rsidRPr="00551729">
              <w:rPr>
                <w:rFonts w:ascii="Garamond" w:hAnsi="Garamond"/>
                <w:sz w:val="20"/>
                <w:szCs w:val="24"/>
              </w:rPr>
              <w:t>3 vjet pas datës së nënshkrimit të Marrëveshjes së Financimit, me përjashtim të ras</w:t>
            </w:r>
            <w:r w:rsidR="00CF3199">
              <w:rPr>
                <w:rFonts w:ascii="Garamond" w:hAnsi="Garamond"/>
                <w:sz w:val="20"/>
                <w:szCs w:val="24"/>
              </w:rPr>
              <w:t>teve të renditura në nenin 189(</w:t>
            </w:r>
            <w:r w:rsidRPr="00551729">
              <w:rPr>
                <w:rFonts w:ascii="Garamond" w:hAnsi="Garamond"/>
                <w:sz w:val="20"/>
                <w:szCs w:val="24"/>
              </w:rPr>
              <w:t>2) të Rregullores Financiare</w:t>
            </w:r>
          </w:p>
        </w:tc>
      </w:tr>
      <w:tr w:rsidR="00915CA3" w:rsidRPr="00551729" w14:paraId="1BADC8CA" w14:textId="77777777" w:rsidTr="00B628D7">
        <w:tc>
          <w:tcPr>
            <w:tcW w:w="3227" w:type="dxa"/>
          </w:tcPr>
          <w:p w14:paraId="1BADC8C8"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Data përfundimtare për zbatimin e projekteve</w:t>
            </w:r>
          </w:p>
        </w:tc>
        <w:tc>
          <w:tcPr>
            <w:tcW w:w="6520" w:type="dxa"/>
          </w:tcPr>
          <w:p w14:paraId="1BADC8C9" w14:textId="77777777"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 xml:space="preserve">6 vjet pas datës së nënshkrimit të Marrëveshjes së Financimit </w:t>
            </w:r>
          </w:p>
        </w:tc>
      </w:tr>
      <w:tr w:rsidR="00915CA3" w:rsidRPr="00551729" w14:paraId="1BADC8D0" w14:textId="77777777" w:rsidTr="00B628D7">
        <w:tc>
          <w:tcPr>
            <w:tcW w:w="3227" w:type="dxa"/>
          </w:tcPr>
          <w:p w14:paraId="1BADC8CB" w14:textId="77777777" w:rsidR="00915CA3" w:rsidRPr="00551729" w:rsidRDefault="00915CA3" w:rsidP="00B628D7">
            <w:pPr>
              <w:spacing w:after="0" w:line="240" w:lineRule="auto"/>
              <w:rPr>
                <w:rFonts w:ascii="Garamond" w:hAnsi="Garamond"/>
                <w:b/>
                <w:sz w:val="20"/>
                <w:szCs w:val="24"/>
              </w:rPr>
            </w:pPr>
            <w:r w:rsidRPr="00551729">
              <w:rPr>
                <w:rFonts w:ascii="Garamond" w:hAnsi="Garamond"/>
                <w:b/>
                <w:sz w:val="20"/>
                <w:szCs w:val="24"/>
              </w:rPr>
              <w:t>Data përfundimtare për zbatimin e Marrëveshjes së Financimit</w:t>
            </w:r>
          </w:p>
          <w:p w14:paraId="1BADC8CC" w14:textId="77777777"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(datë në të cilën ky program</w:t>
            </w:r>
          </w:p>
          <w:p w14:paraId="1BADC8CD" w14:textId="77777777" w:rsidR="00915CA3" w:rsidRPr="00551729" w:rsidRDefault="00915CA3" w:rsidP="00B628D7">
            <w:pPr>
              <w:spacing w:after="0" w:line="240" w:lineRule="auto"/>
              <w:rPr>
                <w:rFonts w:ascii="Garamond" w:hAnsi="Garamond"/>
                <w:b/>
                <w:sz w:val="20"/>
                <w:szCs w:val="24"/>
              </w:rPr>
            </w:pPr>
            <w:r w:rsidRPr="00551729">
              <w:rPr>
                <w:rFonts w:ascii="Garamond" w:hAnsi="Garamond"/>
                <w:sz w:val="20"/>
                <w:szCs w:val="24"/>
              </w:rPr>
              <w:t xml:space="preserve">duhet të jetë mbyllur dhe të jetë përfunduar angazhimi i fondeve) pas pranimit të shpenzimeve </w:t>
            </w:r>
          </w:p>
        </w:tc>
        <w:tc>
          <w:tcPr>
            <w:tcW w:w="6520" w:type="dxa"/>
          </w:tcPr>
          <w:p w14:paraId="1BADC8CE" w14:textId="77777777" w:rsidR="00915CA3" w:rsidRPr="00551729" w:rsidRDefault="00915CA3" w:rsidP="00B628D7">
            <w:pPr>
              <w:spacing w:after="0" w:line="240" w:lineRule="auto"/>
              <w:rPr>
                <w:rFonts w:ascii="Garamond" w:hAnsi="Garamond"/>
                <w:sz w:val="20"/>
                <w:szCs w:val="24"/>
              </w:rPr>
            </w:pPr>
            <w:r w:rsidRPr="00551729">
              <w:rPr>
                <w:rFonts w:ascii="Garamond" w:hAnsi="Garamond"/>
                <w:sz w:val="20"/>
                <w:szCs w:val="24"/>
              </w:rPr>
              <w:t>12 vjet pas nënshkrimit të Marrëveshjes së Financimit</w:t>
            </w:r>
          </w:p>
          <w:p w14:paraId="1BADC8CF" w14:textId="77777777" w:rsidR="00915CA3" w:rsidRPr="00551729" w:rsidRDefault="00915CA3" w:rsidP="00B628D7">
            <w:pPr>
              <w:spacing w:after="0" w:line="240" w:lineRule="auto"/>
              <w:rPr>
                <w:rFonts w:ascii="Garamond" w:hAnsi="Garamond"/>
                <w:b/>
                <w:sz w:val="20"/>
                <w:szCs w:val="24"/>
              </w:rPr>
            </w:pPr>
          </w:p>
        </w:tc>
      </w:tr>
    </w:tbl>
    <w:p w14:paraId="1BADC8D1" w14:textId="77777777" w:rsidR="00915CA3" w:rsidRPr="00551729" w:rsidRDefault="00915CA3" w:rsidP="00915CA3">
      <w:pPr>
        <w:pStyle w:val="TEKSTIII"/>
      </w:pPr>
    </w:p>
    <w:p w14:paraId="1BADC8D2" w14:textId="77777777" w:rsidR="00915CA3" w:rsidRPr="00BD0D0A" w:rsidRDefault="00915CA3" w:rsidP="00915CA3">
      <w:pPr>
        <w:pStyle w:val="TEKSTIII"/>
      </w:pPr>
      <w:r w:rsidRPr="00BD0D0A">
        <w:rPr>
          <w:bCs/>
        </w:rPr>
        <w:t>2.</w:t>
      </w:r>
      <w:r w:rsidRPr="00BD0D0A">
        <w:t xml:space="preserve"> </w:t>
      </w:r>
      <w:r w:rsidRPr="00BD0D0A">
        <w:rPr>
          <w:bCs/>
        </w:rPr>
        <w:t>PËRSHKRIMI I PROGRAMIT TË VEPRIMIT</w:t>
      </w:r>
    </w:p>
    <w:p w14:paraId="1BADC8D4" w14:textId="79899B76" w:rsidR="00915CA3" w:rsidRPr="00BD0D0A" w:rsidRDefault="00915CA3" w:rsidP="00915CA3">
      <w:pPr>
        <w:pStyle w:val="TEKSTIII"/>
      </w:pPr>
      <w:r w:rsidRPr="00BD0D0A">
        <w:rPr>
          <w:bCs/>
        </w:rPr>
        <w:t>2.1</w:t>
      </w:r>
      <w:r w:rsidR="00AF444E" w:rsidRPr="00BD0D0A">
        <w:rPr>
          <w:bCs/>
        </w:rPr>
        <w:t xml:space="preserve"> </w:t>
      </w:r>
      <w:r w:rsidRPr="00BD0D0A">
        <w:rPr>
          <w:bCs/>
        </w:rPr>
        <w:t>PËRMBLEDHJA E PROGRAMIT TË BASHKËPUNIMIT NDËRKUFITAR 2014</w:t>
      </w:r>
      <w:r w:rsidR="00CC1ADB" w:rsidRPr="00BD0D0A">
        <w:rPr>
          <w:bCs/>
        </w:rPr>
        <w:t>–</w:t>
      </w:r>
      <w:r w:rsidRPr="00BD0D0A">
        <w:rPr>
          <w:bCs/>
        </w:rPr>
        <w:t xml:space="preserve">2020 </w:t>
      </w:r>
    </w:p>
    <w:p w14:paraId="1BADC8D6" w14:textId="4A6E518E" w:rsidR="00915CA3" w:rsidRPr="00551729" w:rsidRDefault="00915CA3" w:rsidP="00915CA3">
      <w:pPr>
        <w:pStyle w:val="TEKSTIII"/>
      </w:pPr>
      <w:r w:rsidRPr="00551729">
        <w:t>Programi i BNK-së (Bashkëpunimi Ndërkufitar) Mali i Zi – Republika e Shqipërisë 2014</w:t>
      </w:r>
      <w:r w:rsidR="00037B24" w:rsidRPr="00551729">
        <w:t>–</w:t>
      </w:r>
      <w:r w:rsidRPr="00551729">
        <w:t xml:space="preserve">2020 është miratuar me </w:t>
      </w:r>
      <w:r w:rsidR="00037B24" w:rsidRPr="00551729">
        <w:t xml:space="preserve">vendimin zbatues </w:t>
      </w:r>
      <w:r w:rsidR="00037B24">
        <w:t>të Komisionit C</w:t>
      </w:r>
      <w:r w:rsidRPr="00551729">
        <w:t xml:space="preserve">(2014) 9352 të datës 10 dhjetor </w:t>
      </w:r>
      <w:r w:rsidRPr="00551729">
        <w:rPr>
          <w:iCs/>
        </w:rPr>
        <w:t>2014.</w:t>
      </w:r>
      <w:r w:rsidRPr="00551729">
        <w:rPr>
          <w:iCs/>
          <w:vertAlign w:val="superscript"/>
        </w:rPr>
        <w:footnoteReference w:id="3"/>
      </w:r>
      <w:r w:rsidRPr="00551729">
        <w:t xml:space="preserve"> Programi i miratuar 2014</w:t>
      </w:r>
      <w:r w:rsidR="00037B24" w:rsidRPr="00551729">
        <w:t>–</w:t>
      </w:r>
      <w:r w:rsidRPr="00551729">
        <w:t>2020 përbën strategjinë e bashkëpunimit të BNK për rajonin kufitar, duke përcaktuar ndër të tjera edhe listën e zonave gjeografike të pranueshme, kontekstin e zonës, prioritetet tematike të programit dhe alokimet buxhetore indikative për periudhën 7</w:t>
      </w:r>
      <w:r w:rsidR="00B0440D">
        <w:t>-</w:t>
      </w:r>
      <w:r w:rsidRPr="00551729">
        <w:t>vjeçare.</w:t>
      </w:r>
    </w:p>
    <w:p w14:paraId="1BADC8D7" w14:textId="55C33644" w:rsidR="00915CA3" w:rsidRPr="00551729" w:rsidRDefault="00915CA3" w:rsidP="00915CA3">
      <w:pPr>
        <w:pStyle w:val="TEKSTIII"/>
      </w:pPr>
      <w:r w:rsidRPr="00551729">
        <w:t>Programi BNK Mal i Zi – Republika e Shqipërisë 2014</w:t>
      </w:r>
      <w:r w:rsidR="00FC0874" w:rsidRPr="00551729">
        <w:t>–</w:t>
      </w:r>
      <w:r w:rsidRPr="00551729">
        <w:t>2020 shërben</w:t>
      </w:r>
      <w:r w:rsidR="00FC0874">
        <w:t>,</w:t>
      </w:r>
      <w:r w:rsidRPr="00551729">
        <w:t xml:space="preserve"> gjithashtu</w:t>
      </w:r>
      <w:r w:rsidR="00FC0874">
        <w:t>,</w:t>
      </w:r>
      <w:r w:rsidRPr="00551729">
        <w:t xml:space="preserve"> si referencë për miratimin e programeve të veprimit BNK. Programi i veprimit BNK 2018</w:t>
      </w:r>
      <w:r w:rsidR="00FC0874" w:rsidRPr="00551729">
        <w:t>–</w:t>
      </w:r>
      <w:r w:rsidRPr="00551729">
        <w:t>2020 synon sigurimin e asistencës për bashkëpunim ndërkufitar në fushat tematike, të parashikuar në programin 2014</w:t>
      </w:r>
      <w:r w:rsidR="00FC0874" w:rsidRPr="00551729">
        <w:t>–</w:t>
      </w:r>
      <w:r w:rsidRPr="00551729">
        <w:t>2020 (siç tregohet në seksionin 2.2).</w:t>
      </w:r>
    </w:p>
    <w:p w14:paraId="1BADC8D8" w14:textId="01CE6737" w:rsidR="00915CA3" w:rsidRPr="00551729" w:rsidRDefault="00915CA3" w:rsidP="00915CA3">
      <w:pPr>
        <w:pStyle w:val="TEKSTIII"/>
      </w:pPr>
      <w:r w:rsidRPr="00551729">
        <w:t xml:space="preserve">Më 6 shkurt 2018, Komisioni Evropian miratoi Komunikatën me temë </w:t>
      </w:r>
      <w:r w:rsidR="00C521D5" w:rsidRPr="00551729">
        <w:t>“</w:t>
      </w:r>
      <w:r w:rsidRPr="00551729">
        <w:t>Një perspektivë e besueshme e zgjerimit për angazhim të zgjeruar të BE-së me Ballkanin Perëndimor</w:t>
      </w:r>
      <w:r w:rsidR="00C521D5" w:rsidRPr="00551729">
        <w:t>”</w:t>
      </w:r>
      <w:r w:rsidRPr="00551729">
        <w:rPr>
          <w:rStyle w:val="FootnoteReference"/>
          <w:iCs/>
        </w:rPr>
        <w:footnoteReference w:id="4"/>
      </w:r>
      <w:r w:rsidRPr="00551729">
        <w:t>. Kjo komunikatë synon të avancojë më tej reformën në Ballkanin Perëndimor dhe të sigurojë një angazhim të dukshëm për zgjerimin e BE-së për të mbështetur më mirë përgatitjet e tyre në rrugën evropiane. Komunikata përcakton orientimet e reja strategjike, veçanërisht</w:t>
      </w:r>
      <w:r w:rsidR="00531659">
        <w:t>,</w:t>
      </w:r>
      <w:r w:rsidRPr="00551729">
        <w:t xml:space="preserve"> në lidhje me zbatimin e gjashtë iniciativave kryesore.</w:t>
      </w:r>
    </w:p>
    <w:p w14:paraId="1BADC8D9" w14:textId="77777777" w:rsidR="00915CA3" w:rsidRPr="00551729" w:rsidRDefault="00915CA3" w:rsidP="00915CA3">
      <w:pPr>
        <w:pStyle w:val="TEKSTIII"/>
      </w:pPr>
      <w:r w:rsidRPr="00551729">
        <w:t>Në veçanti, bashkëpunimi ndërkufitar është një mjet kyç për nxitjen e pajtimit dhe trajtimin e trashëgimisë së të kaluarës në Ballkanin Perëndimor, në përputhje me iniciativën kyçe 6 (mbështetje për pajtimin dhe marrëdhëniet e fqinjësisë së mirë) dhe për zhvillimin e qëndrueshëm lokal, në përputhje me iniciativën kyçe 3 (mbështetje e zhvillimit socio-ekonomik).</w:t>
      </w:r>
    </w:p>
    <w:p w14:paraId="1BADC8DB" w14:textId="77777777" w:rsidR="00915CA3" w:rsidRPr="00551729" w:rsidRDefault="00915CA3" w:rsidP="00915CA3">
      <w:pPr>
        <w:pStyle w:val="TEKSTIII"/>
        <w:rPr>
          <w:b/>
        </w:rPr>
      </w:pPr>
      <w:r w:rsidRPr="00551729">
        <w:rPr>
          <w:b/>
        </w:rPr>
        <w:t xml:space="preserve">Lista e zonave gjeografike të pranueshme </w:t>
      </w:r>
    </w:p>
    <w:p w14:paraId="1BADC8DC" w14:textId="77777777" w:rsidR="00915CA3" w:rsidRPr="00551729" w:rsidRDefault="00915CA3" w:rsidP="00915CA3">
      <w:pPr>
        <w:pStyle w:val="TEKSTIII"/>
      </w:pPr>
      <w:r w:rsidRPr="00551729">
        <w:t xml:space="preserve">Në Malin e Zi zonat e lejueshme janë: Andrijevica, Berane, Petnjica, Plavë, Gucia, Rozhajë, Podgoricë, Cetinje, Danilovgrad, Budva, Bar dhe Ulqin. Në Republikën e Shqipërisë zonat e lejueshme janë: Shkodra, Lezha dhe Bashkia e Tropojës. </w:t>
      </w:r>
    </w:p>
    <w:p w14:paraId="1BADC8DD" w14:textId="77777777" w:rsidR="00915CA3" w:rsidRPr="00551729" w:rsidRDefault="00915CA3" w:rsidP="00915CA3">
      <w:pPr>
        <w:pStyle w:val="TEKSTIII"/>
        <w:rPr>
          <w:b/>
        </w:rPr>
      </w:pPr>
      <w:r w:rsidRPr="00551729">
        <w:rPr>
          <w:b/>
        </w:rPr>
        <w:t xml:space="preserve">Bashkëpunimi ndërkufitar (BNK) në kontekstin e zonës përfituese </w:t>
      </w:r>
    </w:p>
    <w:p w14:paraId="1BADC8DE" w14:textId="77777777" w:rsidR="00915CA3" w:rsidRPr="00551729" w:rsidRDefault="00915CA3" w:rsidP="00915CA3">
      <w:pPr>
        <w:pStyle w:val="TEKSTIII"/>
      </w:pPr>
      <w:r w:rsidRPr="00551729">
        <w:t xml:space="preserve">Zona e Programit është e ndryshme, por ka disa karakteristika të përbashkëta të lidhura për shembull me natyrën, pozitën gjeografike, tendencat demografike, ekonominë dhe kapitalin njerëzor që mund të gjenerojnë sinergji dhe të jenë një mundësi e mirë për zhvillimin dhe zbatimin e iniciativave të BNK-së. </w:t>
      </w:r>
    </w:p>
    <w:p w14:paraId="1BADC8DF" w14:textId="77777777" w:rsidR="00915CA3" w:rsidRPr="00551729" w:rsidRDefault="00915CA3" w:rsidP="00915CA3">
      <w:pPr>
        <w:pStyle w:val="TEKSTIII"/>
      </w:pPr>
      <w:r w:rsidRPr="00551729">
        <w:t>Gjithashtu, Programi duhet të ndërtohet mbi karakteristikat dhe veprimet e sakta, të përcaktuara në kuadër të Strategjisë së BE-së për Rajonin e Adriatikut dhe Jonit (EUSAIR) COM (2014) 357, në të cilën marrin pjesë të dyja vendet përfituese.</w:t>
      </w:r>
    </w:p>
    <w:p w14:paraId="1BADC8E0" w14:textId="35592131" w:rsidR="00915CA3" w:rsidRPr="00551729" w:rsidRDefault="00915CA3" w:rsidP="00915CA3">
      <w:pPr>
        <w:pStyle w:val="TEKSTIII"/>
      </w:pPr>
      <w:r w:rsidRPr="00551729">
        <w:t>Analiza e situatës së bërë për përgatitjen e programit tregoi disa sfida dhe mundësi kryesore për t</w:t>
      </w:r>
      <w:r w:rsidR="00365069">
        <w:t>’</w:t>
      </w:r>
      <w:r w:rsidRPr="00551729">
        <w:t>u trajtuar dhe mbështetur përmes bashkëpunimit ndërkufitar.</w:t>
      </w:r>
    </w:p>
    <w:p w14:paraId="1BADC8E1" w14:textId="62A30A7D" w:rsidR="00915CA3" w:rsidRPr="00551729" w:rsidRDefault="00734DFF" w:rsidP="00915CA3">
      <w:pPr>
        <w:pStyle w:val="TEKSTIII"/>
      </w:pPr>
      <w:r>
        <w:rPr>
          <w:i/>
        </w:rPr>
        <w:t>-</w:t>
      </w:r>
      <w:r w:rsidR="00915CA3" w:rsidRPr="00551729">
        <w:rPr>
          <w:i/>
        </w:rPr>
        <w:t>Karakteristika ekonomike të të dy</w:t>
      </w:r>
      <w:r w:rsidR="00143E8B">
        <w:rPr>
          <w:i/>
        </w:rPr>
        <w:t>ja</w:t>
      </w:r>
      <w:r w:rsidR="00915CA3" w:rsidRPr="00551729">
        <w:rPr>
          <w:i/>
        </w:rPr>
        <w:t xml:space="preserve"> vendeve tregojnë tendenca të ngjashme</w:t>
      </w:r>
      <w:r w:rsidR="00915CA3" w:rsidRPr="00551729">
        <w:t>: të dy</w:t>
      </w:r>
      <w:r w:rsidR="00143E8B">
        <w:t>ja</w:t>
      </w:r>
      <w:r w:rsidR="00915CA3" w:rsidRPr="00551729">
        <w:t xml:space="preserve"> vendet janë klasifikuar si ekonomi me të ardhura mesatare-të larta nga Banka Botërore. Struktura e ekonomisë është e ndryshme në të dy</w:t>
      </w:r>
      <w:r w:rsidR="00A11C63">
        <w:t>ja</w:t>
      </w:r>
      <w:r w:rsidR="00915CA3" w:rsidRPr="00551729">
        <w:t xml:space="preserve"> anët e kufirit. </w:t>
      </w:r>
    </w:p>
    <w:p w14:paraId="1BADC8E2" w14:textId="23D63707" w:rsidR="00915CA3" w:rsidRPr="00551729" w:rsidRDefault="00734DFF" w:rsidP="00915CA3">
      <w:pPr>
        <w:pStyle w:val="TEKSTIII"/>
      </w:pPr>
      <w:r>
        <w:rPr>
          <w:i/>
        </w:rPr>
        <w:t>-</w:t>
      </w:r>
      <w:r w:rsidR="00915CA3" w:rsidRPr="00551729">
        <w:rPr>
          <w:i/>
        </w:rPr>
        <w:t>Konkurrueshmëria është e ulët në të dyja anët e kufirit</w:t>
      </w:r>
      <w:r w:rsidR="00915CA3" w:rsidRPr="00551729">
        <w:t>. Produktivitet më i lartë, investime të mëtejshme në njohuritë teknike dhe përdorimi i teknologjive të inovacionit dhe di</w:t>
      </w:r>
      <w:r w:rsidR="0028403A" w:rsidRPr="00551729">
        <w:t>gj</w:t>
      </w:r>
      <w:r w:rsidR="00915CA3" w:rsidRPr="00551729">
        <w:t>itale janë një parakusht për t</w:t>
      </w:r>
      <w:r w:rsidR="000E024D">
        <w:t>’</w:t>
      </w:r>
      <w:r w:rsidR="00915CA3" w:rsidRPr="00551729">
        <w:t xml:space="preserve">u bërë më konkurruese në nivel kombëtar, rajonal dhe ndërkombëtar. </w:t>
      </w:r>
    </w:p>
    <w:p w14:paraId="1BADC8E3" w14:textId="6C09C44F" w:rsidR="00915CA3" w:rsidRPr="00551729" w:rsidRDefault="00734DFF" w:rsidP="00915CA3">
      <w:pPr>
        <w:pStyle w:val="TEKSTIII"/>
      </w:pPr>
      <w:r>
        <w:rPr>
          <w:i/>
        </w:rPr>
        <w:t>-</w:t>
      </w:r>
      <w:r w:rsidR="00915CA3" w:rsidRPr="00551729">
        <w:rPr>
          <w:i/>
        </w:rPr>
        <w:t>Forcimi i rrjeteve të ndërmarrjeve të vogla dhe të mesme (NVM) dhe lidhjeve të shërbimit (përfshirë di</w:t>
      </w:r>
      <w:r w:rsidR="00CC1ADB" w:rsidRPr="00551729">
        <w:rPr>
          <w:i/>
        </w:rPr>
        <w:t>gj</w:t>
      </w:r>
      <w:r w:rsidR="00915CA3" w:rsidRPr="00551729">
        <w:rPr>
          <w:i/>
        </w:rPr>
        <w:t>italizimin dhe zgjerimin e aksesit)</w:t>
      </w:r>
      <w:r w:rsidR="000E024D">
        <w:rPr>
          <w:i/>
        </w:rPr>
        <w:t>,</w:t>
      </w:r>
      <w:r w:rsidR="00915CA3" w:rsidRPr="00551729">
        <w:rPr>
          <w:i/>
        </w:rPr>
        <w:t xml:space="preserve"> që ekziston në zonat kufitare, është një potencial që përdoret pak</w:t>
      </w:r>
      <w:r w:rsidR="00915CA3" w:rsidRPr="00551729">
        <w:t xml:space="preserve">. Mbi 97% e NVM të regjistruara kanë më pak se katër persona të punësuar. Niveli i bashkëpunimit ndërkufitar është minimal. </w:t>
      </w:r>
    </w:p>
    <w:p w14:paraId="1BADC8E4" w14:textId="4DBCF074" w:rsidR="00915CA3" w:rsidRPr="00551729" w:rsidRDefault="00734DFF" w:rsidP="00915CA3">
      <w:pPr>
        <w:pStyle w:val="TEKSTIII"/>
      </w:pPr>
      <w:r>
        <w:rPr>
          <w:i/>
        </w:rPr>
        <w:t>-</w:t>
      </w:r>
      <w:r w:rsidR="00915CA3" w:rsidRPr="00551729">
        <w:rPr>
          <w:i/>
        </w:rPr>
        <w:t>Të dyja anët e zonës së programit po bëhen gjithnjë e më tërheqëse për investitorët e huaj</w:t>
      </w:r>
      <w:r w:rsidR="00915CA3" w:rsidRPr="00551729">
        <w:t>, por</w:t>
      </w:r>
      <w:r w:rsidR="00C521D5" w:rsidRPr="00551729">
        <w:t xml:space="preserve"> </w:t>
      </w:r>
      <w:r w:rsidR="00915CA3" w:rsidRPr="00551729">
        <w:t>kushtet nga të dyja anët duhet të përmirësohen dhe</w:t>
      </w:r>
      <w:r w:rsidR="000E024D">
        <w:t>,</w:t>
      </w:r>
      <w:r w:rsidR="00915CA3" w:rsidRPr="00551729">
        <w:t xml:space="preserve"> veçanërisht</w:t>
      </w:r>
      <w:r w:rsidR="000E024D">
        <w:t>,</w:t>
      </w:r>
      <w:r w:rsidR="00915CA3" w:rsidRPr="00551729">
        <w:t xml:space="preserve"> ato të infrastrukturës për të bërë biznes. </w:t>
      </w:r>
    </w:p>
    <w:p w14:paraId="1BADC8E5" w14:textId="64615F64" w:rsidR="00915CA3" w:rsidRPr="00551729" w:rsidRDefault="00734DFF" w:rsidP="00915CA3">
      <w:pPr>
        <w:pStyle w:val="TEKSTIII"/>
      </w:pPr>
      <w:r>
        <w:rPr>
          <w:i/>
        </w:rPr>
        <w:t>-</w:t>
      </w:r>
      <w:r w:rsidR="00915CA3" w:rsidRPr="00551729">
        <w:rPr>
          <w:i/>
        </w:rPr>
        <w:t>Bujqësia është një potencial i madh ekonomik në zonën e programit, por e nënvlerësuar.</w:t>
      </w:r>
      <w:r w:rsidR="00915CA3" w:rsidRPr="00551729">
        <w:t xml:space="preserve"> Papunësia mbetet një problem madhor për popullatën e zonës së programit, veçanërisht për grupet sensitive sociale</w:t>
      </w:r>
      <w:r w:rsidR="00DB4F2A">
        <w:t>,</w:t>
      </w:r>
      <w:r w:rsidR="00915CA3" w:rsidRPr="00551729">
        <w:t xml:space="preserve"> siç janë të rinjtë, popullsia rurale, si dhe gratë. </w:t>
      </w:r>
    </w:p>
    <w:p w14:paraId="1BADC8E6" w14:textId="06956396" w:rsidR="00915CA3" w:rsidRPr="00551729" w:rsidRDefault="00734DFF" w:rsidP="00915CA3">
      <w:pPr>
        <w:pStyle w:val="TEKSTIII"/>
      </w:pPr>
      <w:r>
        <w:rPr>
          <w:i/>
        </w:rPr>
        <w:t>-</w:t>
      </w:r>
      <w:r w:rsidR="00915CA3" w:rsidRPr="00551729">
        <w:rPr>
          <w:i/>
        </w:rPr>
        <w:t>Mbrojtja e mjedisit ka nevojë për vëmendje serioze në planet e ardhshme të zhvillimit të zonës së programit.</w:t>
      </w:r>
      <w:r w:rsidR="00915CA3" w:rsidRPr="00551729">
        <w:t xml:space="preserve"> Me zhvillimin e përgjithshëm të zonës së programit</w:t>
      </w:r>
      <w:r w:rsidR="00DB4F2A">
        <w:t>,</w:t>
      </w:r>
      <w:r w:rsidR="00915CA3" w:rsidRPr="00551729">
        <w:t xml:space="preserve"> e cila mbështetet kryesisht në burimet natyrore, mbrojtja e mjedisit dhe ruajtja e këtyre burimeve janë vendimtare për zhvillimin e qëndrueshëm të zonës. </w:t>
      </w:r>
    </w:p>
    <w:p w14:paraId="1BADC8E7" w14:textId="2C1A2651" w:rsidR="00915CA3" w:rsidRPr="00551729" w:rsidRDefault="00734DFF" w:rsidP="00915CA3">
      <w:pPr>
        <w:pStyle w:val="TEKSTIII"/>
      </w:pPr>
      <w:r>
        <w:rPr>
          <w:i/>
        </w:rPr>
        <w:t>-</w:t>
      </w:r>
      <w:r w:rsidR="00915CA3" w:rsidRPr="00551729">
        <w:rPr>
          <w:i/>
        </w:rPr>
        <w:t>Infrastruktura e dobët është një sfidë e rëndësishme për zhvillimin ekonomik dhe social të zonës së programit.</w:t>
      </w:r>
      <w:r w:rsidR="00915CA3" w:rsidRPr="00551729">
        <w:t xml:space="preserve"> Zhvillimi i qëndrueshëm dhe përmirësimi i transportit dhe infrastrukturës publike mund të kontribuojnë në zhvillimin e qëndrueshëm ekonomik dhe rritjen e përgjithshme të </w:t>
      </w:r>
      <w:r w:rsidR="0028403A" w:rsidRPr="00551729">
        <w:t>mirëqenies</w:t>
      </w:r>
      <w:r w:rsidR="00915CA3" w:rsidRPr="00551729">
        <w:t xml:space="preserve"> në zonën e programit. </w:t>
      </w:r>
    </w:p>
    <w:p w14:paraId="1BADC8E8" w14:textId="023CCD71" w:rsidR="00915CA3" w:rsidRPr="00551729" w:rsidRDefault="00734DFF" w:rsidP="00915CA3">
      <w:pPr>
        <w:pStyle w:val="TEKSTIII"/>
      </w:pPr>
      <w:r>
        <w:rPr>
          <w:i/>
        </w:rPr>
        <w:t>-</w:t>
      </w:r>
      <w:r w:rsidR="00915CA3" w:rsidRPr="00551729">
        <w:rPr>
          <w:i/>
        </w:rPr>
        <w:t>Zona e programit ka potencial të lartë turistik</w:t>
      </w:r>
      <w:r w:rsidR="00915CA3" w:rsidRPr="00551729">
        <w:t xml:space="preserve">. Megjithatë, këto mundësi turistike shfrytëzohen kryesisht në anën malazeze, ndërsa turizmi në anën shqiptare ka zhvillim të dobët, pavarësisht potencialit të madh. Gjithashtu, trashëgimia e pasur historike-kulturore-artistike në zonën kufitare duhet të ruhet. </w:t>
      </w:r>
    </w:p>
    <w:p w14:paraId="1BADC8E9" w14:textId="71A21D9F" w:rsidR="00915CA3" w:rsidRPr="00551729" w:rsidRDefault="00734DFF" w:rsidP="00915CA3">
      <w:pPr>
        <w:pStyle w:val="TEKSTIII"/>
      </w:pPr>
      <w:r>
        <w:rPr>
          <w:i/>
        </w:rPr>
        <w:t>-</w:t>
      </w:r>
      <w:r w:rsidR="00915CA3" w:rsidRPr="00551729">
        <w:rPr>
          <w:i/>
        </w:rPr>
        <w:t>Përmirësimi i cilësisë së sistemit arsimor dhe infrastrukturës shkollore</w:t>
      </w:r>
      <w:r w:rsidR="00915CA3" w:rsidRPr="00551729">
        <w:t xml:space="preserve"> është një sfidë dhe prioritet për zonën e programit, veçanërisht në zonat rurale. </w:t>
      </w:r>
    </w:p>
    <w:p w14:paraId="1BADC8EA" w14:textId="73575818" w:rsidR="00915CA3" w:rsidRPr="00551729" w:rsidRDefault="00734DFF" w:rsidP="00915CA3">
      <w:pPr>
        <w:pStyle w:val="TEKSTIII"/>
      </w:pPr>
      <w:r>
        <w:rPr>
          <w:i/>
        </w:rPr>
        <w:t>-</w:t>
      </w:r>
      <w:r w:rsidR="00915CA3" w:rsidRPr="00551729">
        <w:rPr>
          <w:i/>
        </w:rPr>
        <w:t>Sektori i shëndetësisë është i dobët dhe i zhvilluar në mënyrë të pabarabartë.</w:t>
      </w:r>
      <w:r w:rsidR="00915CA3" w:rsidRPr="00551729">
        <w:t xml:space="preserve"> Gjithashtu, mungesa e një kuadri të duhur ligjor në anën shqiptare të kufirit për sigurim shëndetësor në zonat rurale është ende pengesë në zhvillimin e saj. </w:t>
      </w:r>
    </w:p>
    <w:p w14:paraId="1BADC8EB" w14:textId="78DB80E2" w:rsidR="00915CA3" w:rsidRPr="00551729" w:rsidRDefault="00734DFF" w:rsidP="00915CA3">
      <w:pPr>
        <w:pStyle w:val="TEKSTIII"/>
        <w:rPr>
          <w:i/>
        </w:rPr>
      </w:pPr>
      <w:r>
        <w:t>-</w:t>
      </w:r>
      <w:r w:rsidR="00915CA3" w:rsidRPr="00551729">
        <w:t xml:space="preserve">Ekziston nevoja për inkurajimin e </w:t>
      </w:r>
      <w:r w:rsidR="00915CA3" w:rsidRPr="00551729">
        <w:rPr>
          <w:i/>
        </w:rPr>
        <w:t xml:space="preserve">rrjeteve rajonale të Organizatave të Shoqërisë Civile (OSHC). </w:t>
      </w:r>
    </w:p>
    <w:p w14:paraId="1BADC8EC" w14:textId="17EC5B29" w:rsidR="00915CA3" w:rsidRPr="00551729" w:rsidRDefault="00734DFF" w:rsidP="00915CA3">
      <w:pPr>
        <w:pStyle w:val="TEKSTIII"/>
      </w:pPr>
      <w:r>
        <w:rPr>
          <w:i/>
        </w:rPr>
        <w:t>-</w:t>
      </w:r>
      <w:r w:rsidR="00915CA3" w:rsidRPr="00551729">
        <w:rPr>
          <w:i/>
        </w:rPr>
        <w:t>Hulumtimi, zhvillimi dhe depërtimi i Teknologjisë Informative dhe Komunikacionit (TIK)</w:t>
      </w:r>
      <w:r w:rsidR="00915CA3" w:rsidRPr="00551729">
        <w:t xml:space="preserve"> është në disproporcion të lartë midis vendeve dhe</w:t>
      </w:r>
      <w:r w:rsidR="00345C84">
        <w:t>,</w:t>
      </w:r>
      <w:r w:rsidR="00915CA3" w:rsidRPr="00551729">
        <w:t xml:space="preserve"> në veçanti</w:t>
      </w:r>
      <w:r w:rsidR="00345C84">
        <w:t>,</w:t>
      </w:r>
      <w:r w:rsidR="00915CA3" w:rsidRPr="00551729">
        <w:t xml:space="preserve"> në nivel lokal në zonën e programit. </w:t>
      </w:r>
    </w:p>
    <w:p w14:paraId="1BADC8EE" w14:textId="6171ED83" w:rsidR="00915CA3" w:rsidRPr="00551729" w:rsidRDefault="00734DFF" w:rsidP="00915CA3">
      <w:pPr>
        <w:pStyle w:val="TEKSTIII"/>
      </w:pPr>
      <w:r>
        <w:rPr>
          <w:i/>
        </w:rPr>
        <w:t>-</w:t>
      </w:r>
      <w:r w:rsidR="00915CA3" w:rsidRPr="00551729">
        <w:rPr>
          <w:i/>
        </w:rPr>
        <w:t>Qeveritë lokale dhe rajonale janë përgjithësisht të dobëta financiarisht</w:t>
      </w:r>
      <w:r w:rsidR="00915CA3" w:rsidRPr="00551729">
        <w:t xml:space="preserve"> dhe nuk mund ta nxisin zhvillimin lokal. </w:t>
      </w:r>
    </w:p>
    <w:p w14:paraId="1BADC8EF" w14:textId="77777777" w:rsidR="00915CA3" w:rsidRPr="00551729" w:rsidRDefault="00915CA3" w:rsidP="00915CA3">
      <w:pPr>
        <w:pStyle w:val="TEKSTIII"/>
        <w:rPr>
          <w:b/>
        </w:rPr>
      </w:pPr>
      <w:r w:rsidRPr="00551729">
        <w:rPr>
          <w:b/>
        </w:rPr>
        <w:t xml:space="preserve">Përmbledhje e përvojave të kaluara dhe atyre në vazhdim të BNK-së, duke përfshirë mësimet e nxjerra </w:t>
      </w:r>
    </w:p>
    <w:p w14:paraId="1BADC8F0" w14:textId="472EDC9B" w:rsidR="00915CA3" w:rsidRPr="00551729" w:rsidRDefault="00915CA3" w:rsidP="00915CA3">
      <w:pPr>
        <w:pStyle w:val="TEKSTIII"/>
      </w:pPr>
      <w:r w:rsidRPr="00551729">
        <w:t>Në zhvillimin e këtij programi janë marrë parasysh rekomandimet kryesore nga vlerësimet e përkohshme dhe auditimet e programeve të BNK-së në periudhën 2007</w:t>
      </w:r>
      <w:r w:rsidR="00345C84" w:rsidRPr="00551729">
        <w:t>–</w:t>
      </w:r>
      <w:r w:rsidRPr="00551729">
        <w:t>2013. Kështu, programet e BNK 2014</w:t>
      </w:r>
      <w:r w:rsidR="00074010" w:rsidRPr="00551729">
        <w:t>–</w:t>
      </w:r>
      <w:r w:rsidRPr="00551729">
        <w:t xml:space="preserve">2020 janë më të fokusuara për sa i përket numrit të prioriteteve tematike të trajtuara dhe shtrirjes gjeografike, e cila do të ndihmojë për të arritur rezultate më të mira dhe ndikim më të lartë. Përveç kësaj, zbatimi i </w:t>
      </w:r>
      <w:bookmarkStart w:id="3" w:name="page5"/>
      <w:bookmarkEnd w:id="3"/>
      <w:r w:rsidRPr="00551729">
        <w:t>programeve të BNK-së është thjeshtuar kryesisht duke pasur një autoritet të vetëm kontraktues dhe një paketë të vetme financiare për programin.</w:t>
      </w:r>
    </w:p>
    <w:p w14:paraId="1BADC8F1" w14:textId="57FDE734" w:rsidR="00915CA3" w:rsidRPr="00551729" w:rsidRDefault="00915CA3" w:rsidP="00915CA3">
      <w:pPr>
        <w:pStyle w:val="TEKSTIII"/>
      </w:pPr>
      <w:r w:rsidRPr="00551729">
        <w:t xml:space="preserve">Mësimet kryesore u identifikuan edhe nga vlerësimi përfundimtar i Instrumentit për Asistencën e </w:t>
      </w:r>
      <w:r w:rsidR="009C06AC">
        <w:t>Paraanëtarësimit</w:t>
      </w:r>
      <w:r w:rsidRPr="00551729">
        <w:t xml:space="preserve"> (IPA) Programet BNK 2007</w:t>
      </w:r>
      <w:r w:rsidR="009C06AC">
        <w:t>–</w:t>
      </w:r>
      <w:r w:rsidRPr="00551729">
        <w:t>2013</w:t>
      </w:r>
      <w:r w:rsidR="009C06AC">
        <w:t>,</w:t>
      </w:r>
      <w:r w:rsidRPr="00551729">
        <w:t xml:space="preserve"> që u realizua midis viteve 2016 dhe 2017. Mësimet e nxjerra dhe rekomandimet u diskutuan me palët e interesuara të BNK-së në Ballkanin Perëndimor dhe masat për ndjekje u identifikuan për periudhën afatshkurtër dhe afatmesme, si për programet BNK 2014</w:t>
      </w:r>
      <w:r w:rsidR="0028403A" w:rsidRPr="00551729">
        <w:t>–</w:t>
      </w:r>
      <w:r w:rsidRPr="00551729">
        <w:t>2020 në vijim, ashtu edhe për programet e ardhshme BNK 2021</w:t>
      </w:r>
      <w:r w:rsidR="0028403A" w:rsidRPr="00551729">
        <w:t>–</w:t>
      </w:r>
      <w:r w:rsidRPr="00551729">
        <w:t>2027. Rekomandimet kryesore</w:t>
      </w:r>
      <w:r w:rsidR="009C06AC">
        <w:t>,</w:t>
      </w:r>
      <w:r w:rsidRPr="00551729">
        <w:t xml:space="preserve"> në lidhje me të gjitha programet BNK në nivelin e Ballkanit Perëndimor</w:t>
      </w:r>
      <w:r w:rsidR="009C06AC">
        <w:t>,</w:t>
      </w:r>
      <w:r w:rsidRPr="00551729">
        <w:t xml:space="preserve"> përfshijnë:</w:t>
      </w:r>
    </w:p>
    <w:p w14:paraId="1BADC8F2" w14:textId="131C3181" w:rsidR="00915CA3" w:rsidRPr="00551729" w:rsidRDefault="00915CA3" w:rsidP="00915CA3">
      <w:pPr>
        <w:pStyle w:val="TEKSTIII"/>
      </w:pPr>
      <w:r w:rsidRPr="00551729">
        <w:t>-</w:t>
      </w:r>
      <w:r w:rsidR="0028403A" w:rsidRPr="00551729">
        <w:t xml:space="preserve"> </w:t>
      </w:r>
      <w:r w:rsidRPr="00551729">
        <w:t>Objektivi kryesor për të promovuar marrëdhëniet e fqinjësisë së mirë duhet të reflektohet qartë në projektet e BNK-së.</w:t>
      </w:r>
    </w:p>
    <w:p w14:paraId="1BADC8F3" w14:textId="429BA22A" w:rsidR="00915CA3" w:rsidRPr="00551729" w:rsidRDefault="00915CA3" w:rsidP="00915CA3">
      <w:pPr>
        <w:pStyle w:val="TEKSTIII"/>
      </w:pPr>
      <w:r w:rsidRPr="00551729">
        <w:t>-</w:t>
      </w:r>
      <w:r w:rsidR="0028403A" w:rsidRPr="00551729">
        <w:t xml:space="preserve"> </w:t>
      </w:r>
      <w:r w:rsidRPr="00551729">
        <w:t>Thirrjet për propozime duhet të përqendrohen më shumë në pak çështje prioritare</w:t>
      </w:r>
      <w:r w:rsidR="009C06AC">
        <w:t>,</w:t>
      </w:r>
      <w:r w:rsidRPr="00551729">
        <w:t xml:space="preserve"> që kanë interes të lartë ndërkufitar.</w:t>
      </w:r>
    </w:p>
    <w:p w14:paraId="1BADC8F4" w14:textId="67A8EACA" w:rsidR="00915CA3" w:rsidRPr="00551729" w:rsidRDefault="00915CA3" w:rsidP="00915CA3">
      <w:pPr>
        <w:pStyle w:val="TEKSTIII"/>
      </w:pPr>
      <w:r w:rsidRPr="00551729">
        <w:t>-</w:t>
      </w:r>
      <w:r w:rsidR="0028403A" w:rsidRPr="00551729">
        <w:t xml:space="preserve"> </w:t>
      </w:r>
      <w:r w:rsidRPr="00551729">
        <w:t>Logjika e veprimit të programeve dhe sistemet e raportimit dhe monitorimit duhet të përmirësohen</w:t>
      </w:r>
      <w:r w:rsidR="009C06AC">
        <w:t>,</w:t>
      </w:r>
      <w:r w:rsidRPr="00551729">
        <w:t xml:space="preserve"> pasi nuk janë të strukturuara për të vendosur një bazë të qartë për matjen e rezultateve në nivelin rajonal.</w:t>
      </w:r>
    </w:p>
    <w:p w14:paraId="1BADC8F5" w14:textId="00785D35" w:rsidR="00915CA3" w:rsidRPr="00551729" w:rsidRDefault="00915CA3" w:rsidP="00915CA3">
      <w:pPr>
        <w:pStyle w:val="TEKSTIII"/>
      </w:pPr>
      <w:r w:rsidRPr="00551729">
        <w:t>-</w:t>
      </w:r>
      <w:r w:rsidR="0028403A" w:rsidRPr="00551729">
        <w:t xml:space="preserve"> </w:t>
      </w:r>
      <w:r w:rsidRPr="00551729">
        <w:t>Ekziston nevoja për të vazhduar me aktivitetet për rritjen e kapaciteteve për strukturat operuese dhe sekretari</w:t>
      </w:r>
      <w:r w:rsidR="00ED3ABA">
        <w:t>a</w:t>
      </w:r>
      <w:r w:rsidRPr="00551729">
        <w:t>tet e përbashkëta teknike/antenat.</w:t>
      </w:r>
    </w:p>
    <w:p w14:paraId="1BADC8F6" w14:textId="33704557" w:rsidR="00915CA3" w:rsidRPr="00551729" w:rsidRDefault="00915CA3" w:rsidP="00915CA3">
      <w:pPr>
        <w:pStyle w:val="TEKSTIII"/>
      </w:pPr>
      <w:r w:rsidRPr="00551729">
        <w:t>-</w:t>
      </w:r>
      <w:r w:rsidR="0028403A" w:rsidRPr="00551729">
        <w:t xml:space="preserve"> </w:t>
      </w:r>
      <w:r w:rsidRPr="00551729">
        <w:t>Ekziston nevoja për përmirësimin e sinergjive me politika dhe donator</w:t>
      </w:r>
      <w:r w:rsidR="009D078A">
        <w:t>ë</w:t>
      </w:r>
      <w:r w:rsidRPr="00551729">
        <w:t xml:space="preserve"> të tjerë, kapitalizimin dhe shkëmbimin e përvojave me instrumentet e tjera të BNK-së (si p.sh. INTERREG (Programi i Bashkëpunimit Ndërrajonal) dhe Programet BNK nën Instrumentin Evropian të Fqinjësisë (ENI).</w:t>
      </w:r>
    </w:p>
    <w:p w14:paraId="1BADC8F7" w14:textId="77777777" w:rsidR="00915CA3" w:rsidRPr="00551729" w:rsidRDefault="00915CA3" w:rsidP="00915CA3">
      <w:pPr>
        <w:pStyle w:val="TEKSTIII"/>
      </w:pPr>
      <w:r w:rsidRPr="00551729">
        <w:t>Për sa i përket këtij programi, bashkëpunimi i ngushtë midis dy vendeve përfituese gjatë secilit hap të zbatimit të programit ka qenë thelbësor dhe do të duhet të sigurohet edhe në periudhën 2018-2020.</w:t>
      </w:r>
    </w:p>
    <w:p w14:paraId="1BADC8F8" w14:textId="161D50BF" w:rsidR="00915CA3" w:rsidRPr="00551729" w:rsidRDefault="00915CA3" w:rsidP="00915CA3">
      <w:pPr>
        <w:pStyle w:val="TEKSTIII"/>
      </w:pPr>
      <w:r w:rsidRPr="00551729">
        <w:t>Duke ndjekur përvojën e fituar në periudhën prej vitit 2007 deri 2013, Komiteti i Përbashkët i Monitorimit (KPM) u kthye në organin vendimmarrës t</w:t>
      </w:r>
      <w:r w:rsidR="00E93565">
        <w:t>ë</w:t>
      </w:r>
      <w:r w:rsidRPr="00551729">
        <w:t xml:space="preserve"> programit ndërkufitar, për të mbikëqyrur efektivitetin dhe cilësinë e zbatimit të programit. Roli i KPM-së i referohet programimit të përgjithshëm dhe monitorimit të programit të BNK-së, ndërsa përzgjedhja e projekteve do të jetë nën përgjegjësinë e Autoritetit Kontraktues.</w:t>
      </w:r>
    </w:p>
    <w:p w14:paraId="1BADC8F9" w14:textId="77777777" w:rsidR="00915CA3" w:rsidRPr="00551729" w:rsidRDefault="00915CA3" w:rsidP="00915CA3">
      <w:pPr>
        <w:pStyle w:val="TEKSTIII"/>
      </w:pPr>
      <w:r w:rsidRPr="00551729">
        <w:t>Përvoja e viteve të mëparshme ka treguar që nga njëra anë numri i aplikantëve të interesuar është në rritje të vazhdueshme, duke arritur kështu një larmi të gjerë të palëve të interesuara si edhe njësive të vogla - dhe nga ana tjetër që pjesëmarrësit ende kërkojnë mbështetje intensive për ndërtimin e kapaciteteve, në mënyrë që aplikantët e mundshëm të ardhshëm të mund të përfshijnë më mirë elemente të praktikës më të mirë dhe veçori të tjera në veprimet e tyre. Më tej, programet e mëparshme promovuan krijimin e partneriteteve ndërkufitare, bashkëpunimi afatgjatë i të cilave duhet të inkurajohet me qëllim nxitjen e zhvillimit lokal. Projektet e bashkëpunimit ndërkufitar kanë treguar se janë një instrument i fuqishëm për proceset e zhvillimit lokal, duke bashkuar njerëzit dhe institucionet, duke trajtuar nevoja tepër konkrete dhe lokale të zhvillimit.</w:t>
      </w:r>
    </w:p>
    <w:p w14:paraId="1BADC8FA" w14:textId="323677D6" w:rsidR="00915CA3" w:rsidRPr="00551729" w:rsidRDefault="00915CA3" w:rsidP="00915CA3">
      <w:pPr>
        <w:pStyle w:val="TEKSTIII"/>
      </w:pPr>
      <w:r w:rsidRPr="00551729">
        <w:t>Strukturat përgjegjëse në nivel kombëtar për zbatimin e këtij programi bashkëpunimi ndërkufitar nën modalitetin e menaxhimit të tërthortë kanë fituar përvojë gjatë ekzekutimit të katër viteve të para të periudhës aktuale financiare nga viti 2014 deri në 2020. Pritet që ky proces të vijojë me rritjen e efi</w:t>
      </w:r>
      <w:r w:rsidR="0028403A" w:rsidRPr="00551729">
        <w:t>ci</w:t>
      </w:r>
      <w:r w:rsidRPr="00551729">
        <w:t xml:space="preserve">encës në menaxhimin e </w:t>
      </w:r>
      <w:r w:rsidR="00CE1D0F">
        <w:t>thirrjeve përkatëse për projekt</w:t>
      </w:r>
      <w:r w:rsidRPr="00551729">
        <w:t>propozime dhe kontratave të granteve nën menaxhim të tërthortët. Gjithashtu, kjo mënyrë e tërthortë e menaxhimit nën drejtimin e Malit të Zi dhe në partneritet të ngushtë me Republikën e Shqipërisë krijon një stimul të fuqishëm për forcimin e bashkëpunimit dhe besimit rajonal.</w:t>
      </w:r>
    </w:p>
    <w:p w14:paraId="1BADC8FB" w14:textId="77777777" w:rsidR="00915CA3" w:rsidRPr="00551729" w:rsidRDefault="00915CA3" w:rsidP="00915CA3">
      <w:pPr>
        <w:widowControl w:val="0"/>
        <w:autoSpaceDE w:val="0"/>
        <w:autoSpaceDN w:val="0"/>
        <w:adjustRightInd w:val="0"/>
        <w:spacing w:after="0" w:line="240" w:lineRule="auto"/>
        <w:jc w:val="both"/>
        <w:rPr>
          <w:rFonts w:ascii="Garamond" w:hAnsi="Garamond"/>
          <w:sz w:val="24"/>
          <w:szCs w:val="24"/>
        </w:rPr>
      </w:pPr>
    </w:p>
    <w:p w14:paraId="0389E735" w14:textId="77777777" w:rsidR="001F4A20" w:rsidRDefault="001F4A20" w:rsidP="00915CA3">
      <w:pPr>
        <w:pStyle w:val="TEKSTIII"/>
      </w:pPr>
    </w:p>
    <w:p w14:paraId="5C77A1B6" w14:textId="77777777" w:rsidR="001F4A20" w:rsidRDefault="001F4A20" w:rsidP="00915CA3">
      <w:pPr>
        <w:pStyle w:val="TEKSTIII"/>
      </w:pPr>
    </w:p>
    <w:p w14:paraId="7483AB90" w14:textId="77777777" w:rsidR="001F4A20" w:rsidRDefault="001F4A20" w:rsidP="00915CA3">
      <w:pPr>
        <w:pStyle w:val="TEKSTIII"/>
      </w:pPr>
    </w:p>
    <w:p w14:paraId="1BADC8FC" w14:textId="77777777" w:rsidR="00915CA3" w:rsidRPr="009D078A" w:rsidRDefault="00915CA3" w:rsidP="00915CA3">
      <w:pPr>
        <w:pStyle w:val="TEKSTIII"/>
      </w:pPr>
      <w:r w:rsidRPr="009D078A">
        <w:t xml:space="preserve">2.2 PËRSHKRIMI DHE ZBATIMI I PROJEKTEVE </w:t>
      </w:r>
    </w:p>
    <w:p w14:paraId="1BADC8FD" w14:textId="77777777" w:rsidR="00915CA3" w:rsidRPr="00551729" w:rsidRDefault="00915CA3" w:rsidP="00915CA3">
      <w:pPr>
        <w:pStyle w:val="TEKSTII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961"/>
        <w:gridCol w:w="2183"/>
      </w:tblGrid>
      <w:tr w:rsidR="00915CA3" w:rsidRPr="00551729" w14:paraId="1BADC901" w14:textId="77777777" w:rsidTr="00915CA3">
        <w:tc>
          <w:tcPr>
            <w:tcW w:w="1384" w:type="dxa"/>
            <w:shd w:val="clear" w:color="auto" w:fill="D9D9D9"/>
          </w:tcPr>
          <w:p w14:paraId="1BADC8FE" w14:textId="77777777" w:rsidR="00915CA3" w:rsidRPr="00551729" w:rsidRDefault="00915CA3" w:rsidP="00915CA3">
            <w:pPr>
              <w:autoSpaceDE w:val="0"/>
              <w:autoSpaceDN w:val="0"/>
              <w:adjustRightInd w:val="0"/>
              <w:spacing w:after="0" w:line="240" w:lineRule="auto"/>
              <w:jc w:val="both"/>
              <w:rPr>
                <w:rFonts w:ascii="Garamond" w:hAnsi="Garamond"/>
                <w:b/>
                <w:iCs/>
                <w:sz w:val="24"/>
                <w:szCs w:val="24"/>
              </w:rPr>
            </w:pPr>
            <w:r w:rsidRPr="00551729">
              <w:rPr>
                <w:rFonts w:ascii="Garamond" w:hAnsi="Garamond"/>
                <w:b/>
                <w:iCs/>
                <w:sz w:val="24"/>
                <w:szCs w:val="24"/>
              </w:rPr>
              <w:t>Veprimi 1</w:t>
            </w:r>
          </w:p>
        </w:tc>
        <w:tc>
          <w:tcPr>
            <w:tcW w:w="4961" w:type="dxa"/>
            <w:shd w:val="clear" w:color="auto" w:fill="D9D9D9"/>
          </w:tcPr>
          <w:p w14:paraId="1BADC8FF" w14:textId="77777777" w:rsidR="00915CA3" w:rsidRPr="00551729" w:rsidRDefault="00915CA3" w:rsidP="00915CA3">
            <w:pPr>
              <w:autoSpaceDE w:val="0"/>
              <w:autoSpaceDN w:val="0"/>
              <w:adjustRightInd w:val="0"/>
              <w:spacing w:after="0" w:line="240" w:lineRule="auto"/>
              <w:jc w:val="both"/>
              <w:rPr>
                <w:rFonts w:ascii="Garamond" w:hAnsi="Garamond"/>
                <w:b/>
                <w:iCs/>
                <w:sz w:val="24"/>
                <w:szCs w:val="24"/>
              </w:rPr>
            </w:pPr>
            <w:r w:rsidRPr="00551729">
              <w:rPr>
                <w:rFonts w:ascii="Garamond" w:hAnsi="Garamond"/>
                <w:b/>
                <w:iCs/>
                <w:sz w:val="24"/>
                <w:szCs w:val="24"/>
              </w:rPr>
              <w:t>Projektet e Bashkëpunimit Ndërkufitar</w:t>
            </w:r>
          </w:p>
        </w:tc>
        <w:tc>
          <w:tcPr>
            <w:tcW w:w="2183" w:type="dxa"/>
            <w:shd w:val="clear" w:color="auto" w:fill="D9D9D9"/>
          </w:tcPr>
          <w:p w14:paraId="1BADC900" w14:textId="08ED5204" w:rsidR="00915CA3" w:rsidRPr="00551729" w:rsidRDefault="00915CA3" w:rsidP="00915CA3">
            <w:pPr>
              <w:autoSpaceDE w:val="0"/>
              <w:autoSpaceDN w:val="0"/>
              <w:adjustRightInd w:val="0"/>
              <w:spacing w:after="0" w:line="240" w:lineRule="auto"/>
              <w:jc w:val="both"/>
              <w:rPr>
                <w:rFonts w:ascii="Garamond" w:hAnsi="Garamond"/>
                <w:b/>
                <w:iCs/>
                <w:sz w:val="24"/>
                <w:szCs w:val="24"/>
              </w:rPr>
            </w:pPr>
            <w:r w:rsidRPr="00551729">
              <w:rPr>
                <w:rFonts w:ascii="Garamond" w:hAnsi="Garamond"/>
                <w:b/>
                <w:iCs/>
                <w:sz w:val="24"/>
                <w:szCs w:val="24"/>
              </w:rPr>
              <w:t xml:space="preserve">4,930,000 </w:t>
            </w:r>
            <w:r w:rsidR="009D078A" w:rsidRPr="00551729">
              <w:rPr>
                <w:rFonts w:ascii="Garamond" w:hAnsi="Garamond"/>
                <w:b/>
                <w:iCs/>
                <w:sz w:val="24"/>
                <w:szCs w:val="24"/>
              </w:rPr>
              <w:t>euro</w:t>
            </w:r>
          </w:p>
        </w:tc>
      </w:tr>
    </w:tbl>
    <w:p w14:paraId="1BADC902" w14:textId="77777777" w:rsidR="00915CA3" w:rsidRPr="00551729" w:rsidRDefault="00915CA3" w:rsidP="00915CA3">
      <w:pPr>
        <w:widowControl w:val="0"/>
        <w:overflowPunct w:val="0"/>
        <w:autoSpaceDE w:val="0"/>
        <w:autoSpaceDN w:val="0"/>
        <w:adjustRightInd w:val="0"/>
        <w:spacing w:after="0" w:line="240" w:lineRule="auto"/>
        <w:jc w:val="both"/>
        <w:rPr>
          <w:rFonts w:ascii="Garamond" w:hAnsi="Garamond"/>
          <w:b/>
          <w:bCs/>
          <w:sz w:val="24"/>
          <w:szCs w:val="24"/>
        </w:rPr>
      </w:pPr>
    </w:p>
    <w:p w14:paraId="1BADC903" w14:textId="77777777" w:rsidR="00915CA3" w:rsidRPr="00551729" w:rsidRDefault="00915CA3" w:rsidP="00915CA3">
      <w:pPr>
        <w:pStyle w:val="TEKSTIII"/>
      </w:pPr>
      <w:r w:rsidRPr="00551729">
        <w:t>Ndihma e parashikuar për Malin e Zi dhe Republikën e Shqipërisë do të ndjekë kushtet dhe procedurat e përcaktuara nga masat kufizuese të miratuara në bazë të nenit 215 TFEU</w:t>
      </w:r>
      <w:r w:rsidRPr="00551729">
        <w:rPr>
          <w:vertAlign w:val="superscript"/>
        </w:rPr>
        <w:footnoteReference w:id="5"/>
      </w:r>
      <w:r w:rsidRPr="00551729">
        <w:t>.</w:t>
      </w:r>
    </w:p>
    <w:p w14:paraId="1BADC904" w14:textId="1F5C5E42" w:rsidR="00915CA3" w:rsidRPr="00551729" w:rsidRDefault="00915CA3" w:rsidP="00915CA3">
      <w:pPr>
        <w:pStyle w:val="TEKSTIII"/>
        <w:rPr>
          <w:b/>
        </w:rPr>
      </w:pPr>
      <w:r w:rsidRPr="00551729">
        <w:rPr>
          <w:b/>
        </w:rPr>
        <w:t>1</w:t>
      </w:r>
      <w:r w:rsidR="0028403A" w:rsidRPr="00551729">
        <w:rPr>
          <w:b/>
        </w:rPr>
        <w:t>.</w:t>
      </w:r>
      <w:r w:rsidRPr="00551729">
        <w:rPr>
          <w:b/>
        </w:rPr>
        <w:t xml:space="preserve"> Përshkrimi i veprimit, objektivi, rezultatet e pritshme</w:t>
      </w:r>
    </w:p>
    <w:p w14:paraId="1BADC905" w14:textId="77777777" w:rsidR="00915CA3" w:rsidRPr="00551729" w:rsidRDefault="00915CA3" w:rsidP="00915CA3">
      <w:pPr>
        <w:pStyle w:val="TEKSTIII"/>
      </w:pPr>
      <w:r w:rsidRPr="00551729">
        <w:rPr>
          <w:i/>
          <w:iCs/>
        </w:rPr>
        <w:t xml:space="preserve">Përshkrimi i veprimit: </w:t>
      </w:r>
      <w:r w:rsidRPr="00551729">
        <w:t>Projektet e Bashkëpunimit Ndërkufitar në rajonin kufitar, në</w:t>
      </w:r>
      <w:r w:rsidRPr="00551729">
        <w:rPr>
          <w:i/>
          <w:iCs/>
        </w:rPr>
        <w:t xml:space="preserve"> </w:t>
      </w:r>
      <w:r w:rsidRPr="00551729">
        <w:t>fushën e punësimit, lëvizshmërisë për punë dhe përfshirjes sociale e kulturore, mjedisit, përshtatjes ndaj ndryshimeve klimatike, si dhe zbutjes, parandalimit të rrezikut dhe menaxhimit të turizmit dhe trashëgimisë kulturore dhe natyrore.</w:t>
      </w:r>
    </w:p>
    <w:p w14:paraId="1BADC906" w14:textId="77777777" w:rsidR="00915CA3" w:rsidRPr="00551729" w:rsidRDefault="00915CA3" w:rsidP="00915CA3">
      <w:pPr>
        <w:pStyle w:val="TEKSTIII"/>
      </w:pPr>
      <w:r w:rsidRPr="00551729">
        <w:rPr>
          <w:i/>
          <w:iCs/>
        </w:rPr>
        <w:t xml:space="preserve">Objektivi: </w:t>
      </w:r>
      <w:r w:rsidRPr="00551729">
        <w:t>Zhvillimi socio-ekonomik dhe forcimi i marrëdhënieve të fqinjësisë në zonën</w:t>
      </w:r>
      <w:r w:rsidRPr="00551729">
        <w:rPr>
          <w:i/>
          <w:iCs/>
        </w:rPr>
        <w:t xml:space="preserve"> </w:t>
      </w:r>
      <w:r w:rsidRPr="00551729">
        <w:t>ndërkufitare përmes zbatimit të projekteve të bashkëpunimit ndërkufitar që synojnë:</w:t>
      </w:r>
    </w:p>
    <w:p w14:paraId="1BADC907" w14:textId="0284E8B5" w:rsidR="00915CA3" w:rsidRPr="00551729" w:rsidRDefault="00915CA3" w:rsidP="00915CA3">
      <w:pPr>
        <w:pStyle w:val="TEKSTIII"/>
      </w:pPr>
      <w:r w:rsidRPr="00551729">
        <w:t>a) promovimin e punësimit, lëvizjen e fuqisë punëtore dhe përfshirjen sociale dhe kulturore përtej kufijve, midis të tjerash: integrimin e tregjeve ndërkufitare të punës, duke përfshirë edhe lëvizshmërinë ndërkufitare; iniciativa të përbashkëta të punësimit lokal; informacion dhe shërbime këshilluese dhe trajnime të përbashkëta (duke përfshirë projekte që trajtojnë mungesën e literaturës di</w:t>
      </w:r>
      <w:r w:rsidR="0028403A" w:rsidRPr="00551729">
        <w:t>gj</w:t>
      </w:r>
      <w:r w:rsidRPr="00551729">
        <w:t xml:space="preserve">itale); barazinë gjinore; mundësi të barabarta; integrimin e komuniteteve të emigrantëve dhe grupeve të cenueshme; investimin në shërbimin e punësimit publik dhe mbështetjen e investimeve në shëndetin publik dhe shërbimet sociale; </w:t>
      </w:r>
    </w:p>
    <w:p w14:paraId="1BADC908" w14:textId="7253C315" w:rsidR="00915CA3" w:rsidRPr="00551729" w:rsidRDefault="00915CA3" w:rsidP="00915CA3">
      <w:pPr>
        <w:pStyle w:val="TEKSTIII"/>
      </w:pPr>
      <w:r w:rsidRPr="00551729">
        <w:t>b) mbrojtjen e mjedisit dhe promovimin e përshtatjes ndaj ndryshimeve klimatike dhe zbutjen, parandalimin dhe menaxhimin e risku</w:t>
      </w:r>
      <w:r w:rsidR="00FC768D">
        <w:t>t</w:t>
      </w:r>
      <w:r w:rsidRPr="00551729">
        <w:t xml:space="preserve"> përmes, ndër të tjera: veprimeve të përbashkëta për mbrojtjen e mjedisit; promovimin e përdorimit të qëndrueshëm të burimeve natyrore, efi</w:t>
      </w:r>
      <w:r w:rsidR="0028403A" w:rsidRPr="00551729">
        <w:t>ci</w:t>
      </w:r>
      <w:r w:rsidRPr="00551729">
        <w:t xml:space="preserve">encën e burimeve, përdorimin e burimeve të rinovueshme të energjisë dhe ndryshim drejt një ekonomie me karbon të ulët, të qëndrueshme dhe të sigurt; promovimin e investimeve për rreziqet specifike, duke siguruar aftësinë e përballimit të katastrofave dhe zhvillimin e sistemeve të menaxhimit të fatkeqësive dhe gatishmërisë për emergjenca; </w:t>
      </w:r>
    </w:p>
    <w:p w14:paraId="1BADC909" w14:textId="77777777" w:rsidR="00915CA3" w:rsidRPr="00551729" w:rsidRDefault="00915CA3" w:rsidP="00915CA3">
      <w:pPr>
        <w:pStyle w:val="TEKSTIII"/>
      </w:pPr>
      <w:r w:rsidRPr="00551729">
        <w:t xml:space="preserve">c) inkurajimin e turizmit dhe trashëgimisë kulturore dhe natyrore, ndër të tjera përmes: mbështetjes për shkëmbimet sociale dhe kulturore; promovimi i turizmit të qëndrueshëm </w:t>
      </w:r>
      <w:bookmarkStart w:id="4" w:name="page6"/>
      <w:bookmarkEnd w:id="4"/>
      <w:r w:rsidRPr="00551729">
        <w:t>dhe valorizimi i trashëgimisë kulturore të zonës, duke përfshirë përmirësimin e cilësisë së shërbimeve, krijimin e rrjeteve dhe partneriteteve ndërmjet pushtetit vendor dhe palëve të interesuara lokale për të promovuar faqet e përbashkëta turistike; ruajtjen e trashëgimisë kulturore; rritjen e shkëmbimeve kulturore, vlerave historike dhe diversitetit kulturor.</w:t>
      </w:r>
    </w:p>
    <w:p w14:paraId="1BADC90A" w14:textId="1997F80E" w:rsidR="00915CA3" w:rsidRPr="00551729" w:rsidRDefault="00915CA3" w:rsidP="00915CA3">
      <w:pPr>
        <w:pStyle w:val="TEKSTIII"/>
      </w:pPr>
      <w:r w:rsidRPr="00551729">
        <w:t>Kur është e mundur, veprimet që lidhe</w:t>
      </w:r>
      <w:r w:rsidR="00FC768D">
        <w:t>n me objektivat e lartpërmendur</w:t>
      </w:r>
      <w:r w:rsidRPr="00551729">
        <w:t xml:space="preserve">, siç janë zhvilluar në Planin e Veprimit të strategjisë makrorajonale të Adriatikut dhe Jonit, ku marrin pjesë të dyja vendet, duhet të merren parasysh. </w:t>
      </w:r>
    </w:p>
    <w:p w14:paraId="1BADC90B" w14:textId="77777777" w:rsidR="00915CA3" w:rsidRPr="00551729" w:rsidRDefault="00915CA3" w:rsidP="00676C26">
      <w:pPr>
        <w:pStyle w:val="TEKSTIII"/>
      </w:pPr>
      <w:r w:rsidRPr="00551729">
        <w:rPr>
          <w:b/>
          <w:bCs/>
          <w:i/>
          <w:iCs/>
        </w:rPr>
        <w:t>Rezultatet e pritshme:</w:t>
      </w:r>
    </w:p>
    <w:p w14:paraId="1BADC90C" w14:textId="148EB66F" w:rsidR="00915CA3" w:rsidRPr="00551729" w:rsidRDefault="00676C26" w:rsidP="00676C26">
      <w:pPr>
        <w:pStyle w:val="TEKSTIII"/>
      </w:pPr>
      <w:r w:rsidRPr="00551729">
        <w:t xml:space="preserve">a) </w:t>
      </w:r>
      <w:r w:rsidR="00055239" w:rsidRPr="00551729">
        <w:t xml:space="preserve">cilësia </w:t>
      </w:r>
      <w:r w:rsidR="00915CA3" w:rsidRPr="00551729">
        <w:t xml:space="preserve">e shërbimeve dhe produkteve të turizmit është </w:t>
      </w:r>
      <w:r w:rsidR="004E618F" w:rsidRPr="00551729">
        <w:t>përmirësuar</w:t>
      </w:r>
      <w:r w:rsidR="00055239">
        <w:t>;</w:t>
      </w:r>
    </w:p>
    <w:p w14:paraId="1BADC90D" w14:textId="1B9F9CD8" w:rsidR="00915CA3" w:rsidRPr="00551729" w:rsidRDefault="00676C26" w:rsidP="00676C26">
      <w:pPr>
        <w:pStyle w:val="TEKSTIII"/>
      </w:pPr>
      <w:r w:rsidRPr="00551729">
        <w:t xml:space="preserve">b) </w:t>
      </w:r>
      <w:r w:rsidR="00055239" w:rsidRPr="00551729">
        <w:t xml:space="preserve">bashkëpunimi </w:t>
      </w:r>
      <w:r w:rsidR="00915CA3" w:rsidRPr="00551729">
        <w:t>në fushën e ruajtjes së trashëgimisë kult</w:t>
      </w:r>
      <w:r w:rsidR="00055239">
        <w:t>urore dhe natyrore është rritur;</w:t>
      </w:r>
    </w:p>
    <w:p w14:paraId="1BADC90E" w14:textId="7808FE6A" w:rsidR="00915CA3" w:rsidRPr="00551729" w:rsidRDefault="00055239" w:rsidP="00676C26">
      <w:pPr>
        <w:pStyle w:val="TEKSTIII"/>
      </w:pPr>
      <w:r w:rsidRPr="00551729">
        <w:t xml:space="preserve">c) ndërgjegjësimi </w:t>
      </w:r>
      <w:r w:rsidR="00915CA3" w:rsidRPr="00551729">
        <w:t>i përdorimit të qëndrueshëm të burimeve mjedisore në liqen dhe zonat alpine ka avancuar</w:t>
      </w:r>
      <w:r>
        <w:t>;</w:t>
      </w:r>
      <w:r w:rsidR="00915CA3" w:rsidRPr="00551729">
        <w:t xml:space="preserve"> </w:t>
      </w:r>
    </w:p>
    <w:p w14:paraId="1BADC90F" w14:textId="180CF438" w:rsidR="00915CA3" w:rsidRPr="00551729" w:rsidRDefault="00676C26" w:rsidP="00676C26">
      <w:pPr>
        <w:pStyle w:val="TEKSTIII"/>
      </w:pPr>
      <w:r w:rsidRPr="00551729">
        <w:t xml:space="preserve">d) </w:t>
      </w:r>
      <w:r w:rsidR="00055239" w:rsidRPr="00551729">
        <w:t xml:space="preserve">qasja </w:t>
      </w:r>
      <w:r w:rsidR="00915CA3" w:rsidRPr="00551729">
        <w:t xml:space="preserve">në tregun e punës është përmirësuar, veçanërisht për grupet e cenueshme. </w:t>
      </w:r>
    </w:p>
    <w:p w14:paraId="1BADC912" w14:textId="4D776727" w:rsidR="00915CA3" w:rsidRPr="00551729" w:rsidRDefault="00915CA3" w:rsidP="00676C26">
      <w:pPr>
        <w:pStyle w:val="TEKSTIII"/>
      </w:pPr>
      <w:r w:rsidRPr="00551729">
        <w:t>Objektivat dhe rezultatet e pritshme do të arrihen gjatë periudhës së zbatimit të këtij programi, nga viti 2014 deri në vitin 2020. Programi i Veprimit BNK 2018</w:t>
      </w:r>
      <w:r w:rsidR="00055239">
        <w:t>–</w:t>
      </w:r>
      <w:r w:rsidRPr="00551729">
        <w:t>2020 do të kontribuojë në arritjen e objektivave të përgjithsh</w:t>
      </w:r>
      <w:r w:rsidR="00055239">
        <w:t>ë</w:t>
      </w:r>
      <w:r w:rsidRPr="00551729">
        <w:t>m dhe rezultatet e pritshme të përcaktuara në programin BNK 2014</w:t>
      </w:r>
      <w:r w:rsidR="00055239">
        <w:t>–</w:t>
      </w:r>
      <w:r w:rsidRPr="00551729">
        <w:t>2020. Për detaje të mëtejshme shihni seksionin 3.2 të programit BNK 2014-2020 (</w:t>
      </w:r>
      <w:r w:rsidR="00055239" w:rsidRPr="00551729">
        <w:t xml:space="preserve">aneksi </w:t>
      </w:r>
      <w:r w:rsidRPr="00551729">
        <w:t xml:space="preserve">2 i </w:t>
      </w:r>
      <w:r w:rsidR="00055239" w:rsidRPr="00551729">
        <w:t xml:space="preserve">vendimit zbatues </w:t>
      </w:r>
      <w:r w:rsidRPr="00551729">
        <w:t>të Komisionit C (2014) 9352 të dat</w:t>
      </w:r>
      <w:r w:rsidR="00055239">
        <w:t>ë</w:t>
      </w:r>
      <w:r w:rsidRPr="00551729">
        <w:t>s 10 dhjetor 2014).</w:t>
      </w:r>
      <w:r w:rsidRPr="00551729">
        <w:rPr>
          <w:rStyle w:val="FootnoteReference"/>
          <w:iCs/>
        </w:rPr>
        <w:footnoteReference w:id="6"/>
      </w:r>
    </w:p>
    <w:p w14:paraId="1BADC913" w14:textId="609C783A" w:rsidR="00915CA3" w:rsidRPr="00551729" w:rsidRDefault="00915CA3" w:rsidP="00676C26">
      <w:pPr>
        <w:pStyle w:val="TEKSTIII"/>
      </w:pPr>
      <w:r w:rsidRPr="00551729">
        <w:rPr>
          <w:b/>
          <w:bCs/>
          <w:i/>
          <w:iCs/>
        </w:rPr>
        <w:t>2</w:t>
      </w:r>
      <w:r w:rsidR="004E618F" w:rsidRPr="00551729">
        <w:rPr>
          <w:b/>
          <w:bCs/>
          <w:i/>
          <w:iCs/>
        </w:rPr>
        <w:t>.</w:t>
      </w:r>
      <w:r w:rsidRPr="00551729">
        <w:rPr>
          <w:b/>
          <w:bCs/>
          <w:i/>
          <w:iCs/>
        </w:rPr>
        <w:t xml:space="preserve"> Supozimet dhe kushtet</w:t>
      </w:r>
    </w:p>
    <w:p w14:paraId="1BADC914" w14:textId="77777777" w:rsidR="00915CA3" w:rsidRPr="001B00B2" w:rsidRDefault="00915CA3" w:rsidP="00676C26">
      <w:pPr>
        <w:pStyle w:val="TEKSTIII"/>
      </w:pPr>
      <w:r w:rsidRPr="00551729">
        <w:t xml:space="preserve">Si kusht i nevojshëm për menaxhimin efektiv të programit, vendet pjesëmarrëse do të ngrenë një Komitet të Përbashkët Monitorues dhe do të sigurojnë zyrat dhe stafin e duhur për </w:t>
      </w:r>
      <w:r w:rsidRPr="001B00B2">
        <w:t>Sekretariatin e Përbashkët Teknik (që do të ngrihet me një vendim të veçantë financimi) dhe antenën në funksion, në rast se kjo e fundit do të ngrihet.</w:t>
      </w:r>
    </w:p>
    <w:p w14:paraId="1BADC915" w14:textId="1644D2E9" w:rsidR="00915CA3" w:rsidRPr="00551729" w:rsidRDefault="00915CA3" w:rsidP="00676C26">
      <w:pPr>
        <w:pStyle w:val="TEKSTIII"/>
      </w:pPr>
      <w:r w:rsidRPr="001B00B2">
        <w:t>Nën menaxhimin e tërthortë, vendet pjesëmarrëse duhet të nënshkruajnë një marrëveshje dypalëshe për të gjithë kohëzgjatjen e programit, e cila përcakton përgjegjësitë e tyre përkatëse</w:t>
      </w:r>
      <w:r w:rsidRPr="00551729">
        <w:t xml:space="preserve"> për zbatimin e programit. Kjo marrëveshje bilaterale lidhet midis dy vendeve pjesëmarrëse dhe mbetet e vlefshme për të gjithë kohen e zbatimit të programit.</w:t>
      </w:r>
    </w:p>
    <w:p w14:paraId="1BADC916" w14:textId="7007C895" w:rsidR="00915CA3" w:rsidRPr="00551729" w:rsidRDefault="00915CA3" w:rsidP="00676C26">
      <w:pPr>
        <w:pStyle w:val="TEKSTIII"/>
      </w:pPr>
      <w:r w:rsidRPr="00551729">
        <w:t>Deri më tani, përfituesit janë pajtuar me supozimet dhe kushtet e mësipërme, duke përfshirë krijimin e Sekretariatit të Përbashkët Teknik në Podgoricë dhe Zyrën e Antenës në Shkodër. Këto struktura financohen plotësisht nga Masa Mbështetëse për Asistencë Teknike për programet e bashkëpunimit ndërkufitar ndërmjet përfituesve të IPA II</w:t>
      </w:r>
      <w:r w:rsidR="007E6019">
        <w:t>,</w:t>
      </w:r>
      <w:r w:rsidRPr="00551729">
        <w:t xml:space="preserve"> në kuadër të Instrumentit për </w:t>
      </w:r>
      <w:r w:rsidR="004E618F" w:rsidRPr="00551729">
        <w:t>Asistencë</w:t>
      </w:r>
      <w:r w:rsidRPr="00551729">
        <w:t xml:space="preserve"> e Para</w:t>
      </w:r>
      <w:r w:rsidR="004E618F" w:rsidRPr="00551729">
        <w:t>a</w:t>
      </w:r>
      <w:r w:rsidRPr="00551729">
        <w:t>derimit (IPA II) për vitin 2014 C(2014)37629</w:t>
      </w:r>
      <w:r w:rsidRPr="00551729">
        <w:rPr>
          <w:rStyle w:val="FootnoteReference"/>
        </w:rPr>
        <w:footnoteReference w:id="7"/>
      </w:r>
      <w:r w:rsidRPr="00551729">
        <w:t>.</w:t>
      </w:r>
    </w:p>
    <w:p w14:paraId="1BADC917" w14:textId="77777777" w:rsidR="00915CA3" w:rsidRPr="00551729" w:rsidRDefault="00915CA3" w:rsidP="00676C26">
      <w:pPr>
        <w:pStyle w:val="TEKSTIII"/>
      </w:pPr>
      <w:r w:rsidRPr="00551729">
        <w:t>Mbështetja e mëtejshme financiare do të programohet nga Komisioni Evropian për vazhdimin e ofrimit të mbështetjes për Sekretariatin e Përbashkët Teknik dhe Zyrën e Antenës nga viti 2020 e në vazhdim.</w:t>
      </w:r>
    </w:p>
    <w:p w14:paraId="1BADC918" w14:textId="1E654615" w:rsidR="00915CA3" w:rsidRPr="00551729" w:rsidRDefault="00915CA3" w:rsidP="00676C26">
      <w:pPr>
        <w:pStyle w:val="TEKSTIII"/>
      </w:pPr>
      <w:r w:rsidRPr="00551729">
        <w:t>Mosrespektimi i kërkesave të lartpërmendura mund të çojë në kthimin mbrapsht të fondeve</w:t>
      </w:r>
      <w:r w:rsidR="007E6019">
        <w:t>,</w:t>
      </w:r>
      <w:r w:rsidRPr="00551729">
        <w:t xml:space="preserve"> në kuadër të këtij programi dhe/ose rialokimin e fondeve të ardhshme.</w:t>
      </w:r>
    </w:p>
    <w:p w14:paraId="1BADC919" w14:textId="02D993E2" w:rsidR="00915CA3" w:rsidRPr="00551729" w:rsidRDefault="00915CA3" w:rsidP="00676C26">
      <w:pPr>
        <w:pStyle w:val="TEKSTIII"/>
        <w:rPr>
          <w:b/>
          <w:bCs/>
          <w:i/>
          <w:iCs/>
        </w:rPr>
      </w:pPr>
      <w:r w:rsidRPr="00551729">
        <w:rPr>
          <w:b/>
          <w:bCs/>
          <w:i/>
          <w:iCs/>
        </w:rPr>
        <w:t>3. Modalitetet e zbatimit</w:t>
      </w:r>
    </w:p>
    <w:p w14:paraId="1BADC91A" w14:textId="023696DE" w:rsidR="00915CA3" w:rsidRPr="00551729" w:rsidRDefault="00912834" w:rsidP="00676C26">
      <w:pPr>
        <w:pStyle w:val="TEKSTIII"/>
        <w:rPr>
          <w:b/>
          <w:bCs/>
          <w:i/>
          <w:iCs/>
        </w:rPr>
      </w:pPr>
      <w:r w:rsidRPr="00551729">
        <w:rPr>
          <w:b/>
          <w:bCs/>
          <w:i/>
          <w:iCs/>
        </w:rPr>
        <w:t>3.</w:t>
      </w:r>
      <w:r w:rsidR="0088543C">
        <w:rPr>
          <w:b/>
          <w:bCs/>
          <w:i/>
          <w:iCs/>
        </w:rPr>
        <w:t xml:space="preserve"> </w:t>
      </w:r>
      <w:r w:rsidR="00915CA3" w:rsidRPr="00551729">
        <w:rPr>
          <w:b/>
          <w:bCs/>
          <w:i/>
          <w:iCs/>
        </w:rPr>
        <w:t>a) Menaxhimi i tërthortë me Malin e Zi</w:t>
      </w:r>
    </w:p>
    <w:p w14:paraId="1BADC91B" w14:textId="77777777" w:rsidR="00915CA3" w:rsidRPr="00551729" w:rsidRDefault="00915CA3" w:rsidP="00676C26">
      <w:pPr>
        <w:pStyle w:val="TEKSTIII"/>
        <w:rPr>
          <w:b/>
          <w:bCs/>
          <w:i/>
          <w:iCs/>
        </w:rPr>
      </w:pPr>
      <w:r w:rsidRPr="00551729">
        <w:rPr>
          <w:b/>
          <w:bCs/>
          <w:i/>
          <w:iCs/>
        </w:rPr>
        <w:t>Përshkrimi i shkurtër i detyrave të besuara</w:t>
      </w:r>
    </w:p>
    <w:p w14:paraId="1BADC91C" w14:textId="3B1B1EBB" w:rsidR="00915CA3" w:rsidRPr="00551729" w:rsidRDefault="00915CA3" w:rsidP="00676C26">
      <w:pPr>
        <w:pStyle w:val="TEKSTIII"/>
      </w:pPr>
      <w:r w:rsidRPr="00551729">
        <w:t xml:space="preserve">Strukturat operuese të Malit të Zi dhe Republikës së Shqipërisë kanë përgatitur </w:t>
      </w:r>
      <w:r w:rsidR="0088543C" w:rsidRPr="00551729">
        <w:t>bashkërisht</w:t>
      </w:r>
      <w:r w:rsidRPr="00551729">
        <w:t xml:space="preserve"> programin e bashkëpunimit ndërkufitar 2014</w:t>
      </w:r>
      <w:r w:rsidR="0088543C">
        <w:t>–</w:t>
      </w:r>
      <w:r w:rsidRPr="00551729">
        <w:t>2020 dhe kanë rënë dakord mbi masat e nevojshme për menaxhimin dhe zbatimin e programit, duke përfshirë krijimin e një sistemi për monitorimin e zbatimit.</w:t>
      </w:r>
    </w:p>
    <w:p w14:paraId="1BADC91D" w14:textId="09385ACF" w:rsidR="00915CA3" w:rsidRPr="00551729" w:rsidRDefault="00915CA3" w:rsidP="00676C26">
      <w:pPr>
        <w:pStyle w:val="TEKSTIII"/>
      </w:pPr>
      <w:r w:rsidRPr="00551729">
        <w:t xml:space="preserve">Struktura operuese e Malit të Zi duhet të organizojë procedurat e prokurimit dhe </w:t>
      </w:r>
      <w:r w:rsidR="00BD3B8A">
        <w:t xml:space="preserve">të </w:t>
      </w:r>
      <w:r w:rsidRPr="00551729">
        <w:t>dhënies së grantit për prioritetet t</w:t>
      </w:r>
      <w:r w:rsidR="00A33172">
        <w:t>e</w:t>
      </w:r>
      <w:r w:rsidRPr="00551729">
        <w:t xml:space="preserve">matike të përzgjedhura të programit. Për sa </w:t>
      </w:r>
      <w:r w:rsidR="00F1565E">
        <w:t>u</w:t>
      </w:r>
      <w:r w:rsidRPr="00551729">
        <w:t xml:space="preserve"> përket thirrjeve për propozime, detyrat e besuara përfshijnë hartimin e udhëzimeve për aplikantët, shpalljen e thirrjeve, përzgjedhjen e përfituesve të granteve dhe nënshkrimin e kontratave të</w:t>
      </w:r>
      <w:bookmarkStart w:id="5" w:name="page7"/>
      <w:bookmarkEnd w:id="5"/>
      <w:r w:rsidRPr="00551729">
        <w:t xml:space="preserve"> granteve. Detyrat e besuara përfshijnë edhe aktivitete të lidhura me menaxhimin financiar dhe zbatimin e programit</w:t>
      </w:r>
      <w:r w:rsidR="002003D4">
        <w:t>,</w:t>
      </w:r>
      <w:r w:rsidRPr="00551729">
        <w:t xml:space="preserve"> si monitorimi, vlerësimi, pagesat, kthimi i fondeve, verifikimi i shpenzimeve, duke siguruar auditim të brendshëm, raportim të parregullsive dhe krijimin e masave të duhura kundër mashtrimit.</w:t>
      </w:r>
    </w:p>
    <w:p w14:paraId="1BADC91E" w14:textId="2F8D80CA" w:rsidR="00915CA3" w:rsidRPr="00551729" w:rsidRDefault="00915CA3" w:rsidP="00676C26">
      <w:pPr>
        <w:pStyle w:val="TEKSTIII"/>
      </w:pPr>
      <w:r w:rsidRPr="00551729">
        <w:rPr>
          <w:b/>
          <w:bCs/>
          <w:i/>
          <w:iCs/>
        </w:rPr>
        <w:t>Element</w:t>
      </w:r>
      <w:r w:rsidR="00912834" w:rsidRPr="00551729">
        <w:rPr>
          <w:b/>
          <w:bCs/>
          <w:i/>
          <w:iCs/>
        </w:rPr>
        <w:t>e</w:t>
      </w:r>
      <w:r w:rsidRPr="00551729">
        <w:rPr>
          <w:b/>
          <w:bCs/>
          <w:i/>
          <w:iCs/>
        </w:rPr>
        <w:t>t thelbësor</w:t>
      </w:r>
      <w:r w:rsidR="00320F7C" w:rsidRPr="00551729">
        <w:rPr>
          <w:b/>
          <w:bCs/>
          <w:i/>
          <w:iCs/>
        </w:rPr>
        <w:t>e</w:t>
      </w:r>
      <w:r w:rsidRPr="00551729">
        <w:rPr>
          <w:b/>
          <w:bCs/>
          <w:i/>
          <w:iCs/>
        </w:rPr>
        <w:t xml:space="preserve"> të veprimit</w:t>
      </w:r>
    </w:p>
    <w:p w14:paraId="1BADC91F" w14:textId="52006CEC" w:rsidR="00915CA3" w:rsidRPr="00551729" w:rsidRDefault="00915CA3" w:rsidP="00676C26">
      <w:pPr>
        <w:pStyle w:val="TEKSTIII"/>
      </w:pPr>
      <w:r w:rsidRPr="00551729">
        <w:rPr>
          <w:b/>
          <w:bCs/>
        </w:rPr>
        <w:t xml:space="preserve">Granti – Thirrja për projektpropozim/e: </w:t>
      </w:r>
      <w:r w:rsidRPr="00551729">
        <w:t xml:space="preserve">4,930,000 </w:t>
      </w:r>
      <w:r w:rsidR="00912834" w:rsidRPr="00551729">
        <w:t>euro</w:t>
      </w:r>
    </w:p>
    <w:p w14:paraId="1BADC920" w14:textId="727E858F" w:rsidR="00915CA3" w:rsidRPr="00551729" w:rsidRDefault="00915CA3" w:rsidP="00676C26">
      <w:pPr>
        <w:pStyle w:val="TEKSTIII"/>
      </w:pPr>
      <w:r w:rsidRPr="00551729">
        <w:t>a)</w:t>
      </w:r>
      <w:r w:rsidR="00C521D5" w:rsidRPr="00551729">
        <w:t xml:space="preserve"> </w:t>
      </w:r>
      <w:r w:rsidRPr="00551729">
        <w:t>Kriteret thelbësore të pranueshmërisë:</w:t>
      </w:r>
    </w:p>
    <w:p w14:paraId="1BADC921" w14:textId="0D61BB4F" w:rsidR="00915CA3" w:rsidRPr="00551729" w:rsidRDefault="00915CA3" w:rsidP="00676C26">
      <w:pPr>
        <w:pStyle w:val="TEKSTIII"/>
      </w:pPr>
      <w:r w:rsidRPr="00551729">
        <w:t>Lista e aktiviteteve të pranueshme është përcaktuar në nenin 3.2</w:t>
      </w:r>
      <w:r w:rsidR="002003D4">
        <w:t>,</w:t>
      </w:r>
      <w:r w:rsidRPr="00551729">
        <w:t xml:space="preserve"> të </w:t>
      </w:r>
      <w:r w:rsidR="00F37FF0" w:rsidRPr="00551729">
        <w:t>shtojës 2</w:t>
      </w:r>
      <w:r w:rsidR="002003D4">
        <w:t>,</w:t>
      </w:r>
      <w:r w:rsidR="00F37FF0" w:rsidRPr="00551729">
        <w:t xml:space="preserve"> të vendimit </w:t>
      </w:r>
      <w:r w:rsidR="002003D4" w:rsidRPr="00551729">
        <w:t xml:space="preserve">zbatues të komisionit </w:t>
      </w:r>
      <w:r w:rsidR="002003D4">
        <w:t>C</w:t>
      </w:r>
      <w:r w:rsidRPr="00551729">
        <w:t xml:space="preserve">(2014) 9352, datë 10 dhjetor 2014. Lista e mëposhtme është një përmbledhje që tregon aktivitetet/projektet kryesore të pranueshme: </w:t>
      </w:r>
    </w:p>
    <w:p w14:paraId="1BADC922" w14:textId="1CD17CB7" w:rsidR="00915CA3" w:rsidRPr="00551729" w:rsidRDefault="00915CA3" w:rsidP="00676C26">
      <w:pPr>
        <w:pStyle w:val="TEKSTIII"/>
      </w:pPr>
      <w:r w:rsidRPr="00551729">
        <w:t xml:space="preserve">inkurajimi i sipërmarrjes dhe </w:t>
      </w:r>
      <w:r w:rsidR="002003D4">
        <w:t xml:space="preserve">i </w:t>
      </w:r>
      <w:r w:rsidRPr="00551729">
        <w:t>konkurrueshmërisë në sektorin e turizmit; iniciativa për trajnime të përbashkëta profesionale</w:t>
      </w:r>
      <w:r w:rsidR="000C3FEF">
        <w:t>,</w:t>
      </w:r>
      <w:r w:rsidRPr="00551729">
        <w:t xml:space="preserve"> që kanë synim </w:t>
      </w:r>
      <w:r w:rsidR="000713E9" w:rsidRPr="00551729">
        <w:t>aftësitë</w:t>
      </w:r>
      <w:r w:rsidRPr="00551729">
        <w:t xml:space="preserve"> të lidhura me një ofertë turistike </w:t>
      </w:r>
      <w:r w:rsidR="000713E9" w:rsidRPr="00551729">
        <w:t>konkurruese</w:t>
      </w:r>
      <w:r w:rsidRPr="00551729">
        <w:t xml:space="preserve"> dhe nevojat e tregut;</w:t>
      </w:r>
      <w:r w:rsidR="00C521D5" w:rsidRPr="00551729">
        <w:t xml:space="preserve"> </w:t>
      </w:r>
      <w:r w:rsidRPr="00551729">
        <w:t>aktivitetet për të promovuar potencialin kulturor dhe natyror turistik të zonës së programit; aktivitete të përbashkëta për të nxitur, por edhe përtërirë vlerat kulturore dhe trashëgiminë natyrore përmes festivaleve, panaireve, konkurseve; projekte të konceptuara për të parandaluar dhe menaxhuar fatkeqësitë natyrore dhe rreziqet mjedisore të shkaktuara nga njeriu, të cilat ndikojnë në zonën e programit; projekte që synojnë krijimin e mundësive të punësimit dhe aftësive për grupet e disavantazhuara të shoqërisë; partneriteti pushtet vendor</w:t>
      </w:r>
      <w:r w:rsidR="000C3FEF">
        <w:t xml:space="preserve"> </w:t>
      </w:r>
      <w:r w:rsidRPr="00551729">
        <w:t>–</w:t>
      </w:r>
      <w:r w:rsidR="000C3FEF">
        <w:t xml:space="preserve"> </w:t>
      </w:r>
      <w:r w:rsidRPr="00551729">
        <w:t>OSHC në përfshirjen sociale.</w:t>
      </w:r>
    </w:p>
    <w:p w14:paraId="1BADC923" w14:textId="69A2F5C8" w:rsidR="00915CA3" w:rsidRPr="00551729" w:rsidRDefault="00915CA3" w:rsidP="00676C26">
      <w:pPr>
        <w:pStyle w:val="TEKSTIII"/>
      </w:pPr>
      <w:r w:rsidRPr="00551729">
        <w:t>Gjithashtu, në kontekstin e zbatimit të programit, përparësi mund t</w:t>
      </w:r>
      <w:r w:rsidR="000713E9" w:rsidRPr="00551729">
        <w:t>’u</w:t>
      </w:r>
      <w:r w:rsidRPr="00551729">
        <w:t xml:space="preserve"> jepet projekteve që lidhen me Strategjinë Makro</w:t>
      </w:r>
      <w:r w:rsidR="000713E9" w:rsidRPr="00551729">
        <w:t>r</w:t>
      </w:r>
      <w:r w:rsidRPr="00551729">
        <w:t>ajonale të BE-së për Adriatikun dhe Jonin COM (2014) 357, ku marrin pjesë të dy</w:t>
      </w:r>
      <w:r w:rsidR="001E5AF6">
        <w:t>ja</w:t>
      </w:r>
      <w:r w:rsidRPr="00551729">
        <w:t xml:space="preserve"> vendet.</w:t>
      </w:r>
    </w:p>
    <w:p w14:paraId="1BADC924" w14:textId="77777777" w:rsidR="00915CA3" w:rsidRPr="00551729" w:rsidRDefault="00915CA3" w:rsidP="00676C26">
      <w:pPr>
        <w:pStyle w:val="TEKSTIII"/>
      </w:pPr>
      <w:r w:rsidRPr="00551729">
        <w:t>Përfituesit duhet të jenë persona juridikë dhe të vendosur në një vend përfitues të IPA II që merr pjesë në programin BNK.</w:t>
      </w:r>
    </w:p>
    <w:p w14:paraId="1BADC925" w14:textId="2857CF4C" w:rsidR="00915CA3" w:rsidRPr="00551729" w:rsidRDefault="00915CA3" w:rsidP="00676C26">
      <w:pPr>
        <w:pStyle w:val="TEKSTIII"/>
      </w:pPr>
      <w:r w:rsidRPr="00551729">
        <w:t>Përfitues potencialë mund të jenë autoritetet vendore, institucionet e qeverisjes vendore, shoqatat e bashkive, agjencitë e zhvillimit, organizatat mbështetëse të biznesit lokal, faktorët ekonomikë</w:t>
      </w:r>
      <w:r w:rsidR="005936EF">
        <w:t>,</w:t>
      </w:r>
      <w:r w:rsidRPr="00551729">
        <w:t xml:space="preserve"> si NVM-të, organizatat turistike dhe kulturore, OJQ-të, dhe organet publike dhe private në mbështetje të fuqisë punëtore, institucionet e formimit profesional dhe teknik, organet dhe organizatat për mbrojtjen e natyrës, organet publike përgjegjëse për menaxhimin e ujit, shërbimet e </w:t>
      </w:r>
      <w:bookmarkStart w:id="6" w:name="page9"/>
      <w:bookmarkEnd w:id="6"/>
      <w:r w:rsidRPr="00551729">
        <w:t>emergjencës/zjarrit, shkollat, kolegjet, universitetet dhe qendrat kërkimore, duke përfshirë edhe institucionet e trajnimit profesional dhe teknik.</w:t>
      </w:r>
    </w:p>
    <w:p w14:paraId="1BADC926" w14:textId="0B2603FD" w:rsidR="00915CA3" w:rsidRPr="00551729" w:rsidRDefault="00915CA3" w:rsidP="00676C26">
      <w:pPr>
        <w:pStyle w:val="TEKSTIII"/>
      </w:pPr>
      <w:r w:rsidRPr="00551729">
        <w:t>Institucione të tjera mund të shtohen nëse janë në përputhje me programin</w:t>
      </w:r>
      <w:r w:rsidR="00DB386C">
        <w:t>:</w:t>
      </w:r>
    </w:p>
    <w:p w14:paraId="1BADC927" w14:textId="6660E2A0" w:rsidR="00915CA3" w:rsidRPr="00551729" w:rsidRDefault="00676C26" w:rsidP="00676C26">
      <w:pPr>
        <w:pStyle w:val="TEKSTIII"/>
      </w:pPr>
      <w:r w:rsidRPr="003F1B59">
        <w:t>b)</w:t>
      </w:r>
      <w:r w:rsidRPr="00551729">
        <w:t xml:space="preserve"> </w:t>
      </w:r>
      <w:r w:rsidR="00915CA3" w:rsidRPr="00551729">
        <w:t>Kriteret kyçe të përzgjedhjes</w:t>
      </w:r>
      <w:r w:rsidRPr="00551729">
        <w:t xml:space="preserve"> </w:t>
      </w:r>
      <w:r w:rsidR="00915CA3" w:rsidRPr="00551729">
        <w:t>janë kapaciteti financiar dhe operacional i aplikuesit</w:t>
      </w:r>
      <w:r w:rsidR="00DB386C">
        <w:t>;</w:t>
      </w:r>
      <w:r w:rsidR="00915CA3" w:rsidRPr="00551729">
        <w:t xml:space="preserve"> </w:t>
      </w:r>
    </w:p>
    <w:p w14:paraId="1BADC928" w14:textId="65AE1242" w:rsidR="00915CA3" w:rsidRPr="00551729" w:rsidRDefault="00676C26" w:rsidP="00676C26">
      <w:pPr>
        <w:pStyle w:val="TEKSTIII"/>
      </w:pPr>
      <w:r w:rsidRPr="00551729">
        <w:t>c)</w:t>
      </w:r>
      <w:r w:rsidR="00DB386C">
        <w:t xml:space="preserve"> </w:t>
      </w:r>
      <w:r w:rsidR="00915CA3" w:rsidRPr="00551729">
        <w:t>Kriteret thelbësore të dhënies së grantit janë rëndësia, efektiviteti, fizibilitetit, qëndrueshmëria dhe kosto-efektiviteti i projektit</w:t>
      </w:r>
      <w:r w:rsidR="00970B93">
        <w:t>;</w:t>
      </w:r>
    </w:p>
    <w:p w14:paraId="1BADC929" w14:textId="020333EC" w:rsidR="00915CA3" w:rsidRPr="00551729" w:rsidRDefault="00676C26" w:rsidP="00676C26">
      <w:pPr>
        <w:pStyle w:val="TEKSTIII"/>
      </w:pPr>
      <w:r w:rsidRPr="00551729">
        <w:t xml:space="preserve">d) </w:t>
      </w:r>
      <w:r w:rsidR="00915CA3" w:rsidRPr="00551729">
        <w:t xml:space="preserve">Shkalla maksimale e </w:t>
      </w:r>
      <w:r w:rsidR="001B762F">
        <w:t>bashkë</w:t>
      </w:r>
      <w:r w:rsidR="00915CA3" w:rsidRPr="00551729">
        <w:t>financimit të BE-së në kuadër të thirrjeve është 85% e kostos së pranueshme të projektit</w:t>
      </w:r>
      <w:r w:rsidR="00970B93">
        <w:t>;</w:t>
      </w:r>
      <w:r w:rsidR="00915CA3" w:rsidRPr="00551729">
        <w:t xml:space="preserve"> </w:t>
      </w:r>
    </w:p>
    <w:p w14:paraId="1BADC92A" w14:textId="3943B269" w:rsidR="00915CA3" w:rsidRPr="00551729" w:rsidRDefault="00676C26" w:rsidP="00676C26">
      <w:pPr>
        <w:pStyle w:val="TEKSTIII"/>
      </w:pPr>
      <w:r w:rsidRPr="00551729">
        <w:t xml:space="preserve">e) </w:t>
      </w:r>
      <w:r w:rsidR="00915CA3" w:rsidRPr="00551729">
        <w:t xml:space="preserve">Shuma indikative e thirrjes/ve: 4.930.000 </w:t>
      </w:r>
      <w:r w:rsidR="00970B93" w:rsidRPr="00551729">
        <w:t>euro</w:t>
      </w:r>
      <w:r w:rsidR="00970B93">
        <w:t>.</w:t>
      </w:r>
    </w:p>
    <w:p w14:paraId="1BADC92B" w14:textId="2BF472E2" w:rsidR="00915CA3" w:rsidRPr="00551729" w:rsidRDefault="00915CA3" w:rsidP="00676C26">
      <w:pPr>
        <w:pStyle w:val="TEKSTIII"/>
      </w:pPr>
      <w:r w:rsidRPr="00551729">
        <w:t>Strukturat përgjegjëse mund të vendosin të shpallin më shumë se një thirrje për projektpro</w:t>
      </w:r>
      <w:r w:rsidR="00CE1D0F">
        <w:t>pozime. Çdo thirrje për projekt</w:t>
      </w:r>
      <w:r w:rsidRPr="00551729">
        <w:t>propozime do të ketë të njëjt</w:t>
      </w:r>
      <w:r w:rsidR="00CE1D0F">
        <w:t>ë</w:t>
      </w:r>
      <w:r w:rsidRPr="00551729">
        <w:t>t objektiva, rezultate dhe kushte thelbësore të pranueshmërisë, përzgjedhjes dhe akordimit, siç përshkruhet më sipër. Çdo kontratë granti do të financohet nga një angazhim buxhetor. Strukturat përgjegjëse mund të vendosin të bashkojnë alokimet e viteve 2018, 2019 dhe 2020 me alokimet pasuese.</w:t>
      </w:r>
    </w:p>
    <w:p w14:paraId="1BADC92C" w14:textId="0E90AF5A" w:rsidR="00915CA3" w:rsidRPr="00551729" w:rsidRDefault="00676C26" w:rsidP="00676C26">
      <w:pPr>
        <w:pStyle w:val="TEKSTIII"/>
      </w:pPr>
      <w:r w:rsidRPr="00551729">
        <w:t xml:space="preserve">f) </w:t>
      </w:r>
      <w:r w:rsidR="00915CA3" w:rsidRPr="00551729">
        <w:t>Data indikative për shpa</w:t>
      </w:r>
      <w:r w:rsidR="00CE1D0F">
        <w:t>lljen e thirrjes/ve për projekt</w:t>
      </w:r>
      <w:r w:rsidR="00915CA3" w:rsidRPr="00551729">
        <w:t xml:space="preserve">propozime: </w:t>
      </w:r>
    </w:p>
    <w:p w14:paraId="1BADC92D" w14:textId="736AEC38" w:rsidR="00915CA3" w:rsidRPr="00551729" w:rsidRDefault="00915CA3" w:rsidP="00676C26">
      <w:pPr>
        <w:pStyle w:val="TEKSTIII"/>
      </w:pPr>
      <w:r w:rsidRPr="00551729">
        <w:t>Q2 2020 për angazhimin buxhetor të viteve 2018, 2019 dhe 2020 të shpa</w:t>
      </w:r>
      <w:r w:rsidR="00CE1D0F">
        <w:t>llet në një thirrje për projekt</w:t>
      </w:r>
      <w:r w:rsidRPr="00551729">
        <w:t xml:space="preserve">propozime. </w:t>
      </w:r>
    </w:p>
    <w:p w14:paraId="1BADC92E" w14:textId="77777777" w:rsidR="00952CD0" w:rsidRPr="00551729" w:rsidRDefault="00952CD0" w:rsidP="00676C26">
      <w:pPr>
        <w:pStyle w:val="TEKSTIII"/>
      </w:pPr>
    </w:p>
    <w:p w14:paraId="1BADC92F" w14:textId="77777777" w:rsidR="00952CD0" w:rsidRPr="00551729" w:rsidRDefault="00952CD0" w:rsidP="00676C26">
      <w:pPr>
        <w:pStyle w:val="TEKSTIII"/>
        <w:sectPr w:rsidR="00952CD0" w:rsidRPr="00551729" w:rsidSect="0086360A">
          <w:footerReference w:type="default" r:id="rId18"/>
          <w:pgSz w:w="11906" w:h="16838" w:code="9"/>
          <w:pgMar w:top="1440" w:right="1440" w:bottom="1440" w:left="1440" w:header="709" w:footer="709" w:gutter="0"/>
          <w:cols w:space="708"/>
          <w:docGrid w:linePitch="360"/>
        </w:sectPr>
      </w:pPr>
    </w:p>
    <w:p w14:paraId="1BADC930" w14:textId="77777777" w:rsidR="00952CD0" w:rsidRPr="00551729" w:rsidRDefault="002A120F" w:rsidP="00676C26">
      <w:pPr>
        <w:pStyle w:val="TEKSTIII"/>
        <w:rPr>
          <w:b/>
        </w:rPr>
      </w:pPr>
      <w:r w:rsidRPr="00551729">
        <w:rPr>
          <w:b/>
        </w:rPr>
        <w:t xml:space="preserve">3. </w:t>
      </w:r>
      <w:r w:rsidR="00952CD0" w:rsidRPr="00551729">
        <w:rPr>
          <w:b/>
        </w:rPr>
        <w:t>BUXHETI</w:t>
      </w:r>
    </w:p>
    <w:tbl>
      <w:tblPr>
        <w:tblpPr w:leftFromText="180" w:rightFromText="180" w:vertAnchor="page" w:horzAnchor="margin" w:tblpXSpec="center" w:tblpY="2221"/>
        <w:tblW w:w="15250" w:type="dxa"/>
        <w:tblLayout w:type="fixed"/>
        <w:tblLook w:val="04A0" w:firstRow="1" w:lastRow="0" w:firstColumn="1" w:lastColumn="0" w:noHBand="0" w:noVBand="1"/>
      </w:tblPr>
      <w:tblGrid>
        <w:gridCol w:w="1080"/>
        <w:gridCol w:w="1170"/>
        <w:gridCol w:w="1260"/>
        <w:gridCol w:w="1170"/>
        <w:gridCol w:w="1098"/>
        <w:gridCol w:w="1170"/>
        <w:gridCol w:w="1316"/>
        <w:gridCol w:w="1170"/>
        <w:gridCol w:w="1080"/>
        <w:gridCol w:w="1170"/>
        <w:gridCol w:w="1226"/>
        <w:gridCol w:w="1170"/>
        <w:gridCol w:w="1170"/>
      </w:tblGrid>
      <w:tr w:rsidR="002A120F" w:rsidRPr="00551729" w14:paraId="1BADC935" w14:textId="77777777" w:rsidTr="00CE1D0F">
        <w:trPr>
          <w:trHeight w:val="520"/>
        </w:trPr>
        <w:tc>
          <w:tcPr>
            <w:tcW w:w="468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BADC931" w14:textId="77777777" w:rsidR="002A120F" w:rsidRPr="00551729" w:rsidRDefault="002A120F" w:rsidP="00B628D7">
            <w:pPr>
              <w:spacing w:after="0" w:line="240" w:lineRule="auto"/>
              <w:jc w:val="center"/>
              <w:rPr>
                <w:rFonts w:ascii="Garamond" w:hAnsi="Garamond"/>
                <w:b/>
                <w:bCs/>
                <w:color w:val="000000"/>
                <w:sz w:val="14"/>
                <w:szCs w:val="14"/>
              </w:rPr>
            </w:pPr>
            <w:r w:rsidRPr="00551729">
              <w:rPr>
                <w:rFonts w:ascii="Garamond" w:hAnsi="Garamond"/>
                <w:b/>
                <w:bCs/>
                <w:color w:val="000000"/>
                <w:sz w:val="14"/>
                <w:szCs w:val="14"/>
              </w:rPr>
              <w:t>2018</w:t>
            </w:r>
          </w:p>
        </w:tc>
        <w:tc>
          <w:tcPr>
            <w:tcW w:w="4754" w:type="dxa"/>
            <w:gridSpan w:val="4"/>
            <w:tcBorders>
              <w:top w:val="single" w:sz="8" w:space="0" w:color="auto"/>
              <w:left w:val="nil"/>
              <w:bottom w:val="single" w:sz="8" w:space="0" w:color="auto"/>
              <w:right w:val="single" w:sz="8" w:space="0" w:color="000000"/>
            </w:tcBorders>
            <w:shd w:val="clear" w:color="auto" w:fill="auto"/>
            <w:vAlign w:val="center"/>
            <w:hideMark/>
          </w:tcPr>
          <w:p w14:paraId="1BADC932" w14:textId="77777777" w:rsidR="002A120F" w:rsidRPr="00551729" w:rsidRDefault="002A120F" w:rsidP="00B628D7">
            <w:pPr>
              <w:spacing w:after="0" w:line="240" w:lineRule="auto"/>
              <w:jc w:val="center"/>
              <w:rPr>
                <w:rFonts w:ascii="Garamond" w:hAnsi="Garamond"/>
                <w:b/>
                <w:bCs/>
                <w:color w:val="000000"/>
                <w:sz w:val="14"/>
                <w:szCs w:val="14"/>
              </w:rPr>
            </w:pPr>
            <w:r w:rsidRPr="00551729">
              <w:rPr>
                <w:rFonts w:ascii="Garamond" w:hAnsi="Garamond"/>
                <w:b/>
                <w:bCs/>
                <w:color w:val="000000"/>
                <w:sz w:val="14"/>
                <w:szCs w:val="14"/>
              </w:rPr>
              <w:t>2019</w:t>
            </w:r>
          </w:p>
        </w:tc>
        <w:tc>
          <w:tcPr>
            <w:tcW w:w="4646" w:type="dxa"/>
            <w:gridSpan w:val="4"/>
            <w:tcBorders>
              <w:top w:val="single" w:sz="8" w:space="0" w:color="auto"/>
              <w:left w:val="nil"/>
              <w:bottom w:val="single" w:sz="8" w:space="0" w:color="auto"/>
              <w:right w:val="single" w:sz="4" w:space="0" w:color="auto"/>
            </w:tcBorders>
            <w:shd w:val="clear" w:color="auto" w:fill="auto"/>
            <w:vAlign w:val="center"/>
            <w:hideMark/>
          </w:tcPr>
          <w:p w14:paraId="1BADC933" w14:textId="77777777" w:rsidR="002A120F" w:rsidRPr="00551729" w:rsidRDefault="002A120F" w:rsidP="00B628D7">
            <w:pPr>
              <w:spacing w:after="0" w:line="240" w:lineRule="auto"/>
              <w:jc w:val="center"/>
              <w:rPr>
                <w:rFonts w:ascii="Garamond" w:hAnsi="Garamond"/>
                <w:b/>
                <w:bCs/>
                <w:color w:val="000000"/>
                <w:sz w:val="14"/>
                <w:szCs w:val="14"/>
              </w:rPr>
            </w:pPr>
            <w:r w:rsidRPr="00551729">
              <w:rPr>
                <w:rFonts w:ascii="Garamond" w:hAnsi="Garamond"/>
                <w:b/>
                <w:bCs/>
                <w:color w:val="000000"/>
                <w:sz w:val="14"/>
                <w:szCs w:val="14"/>
              </w:rPr>
              <w:t>2020</w:t>
            </w:r>
          </w:p>
        </w:tc>
        <w:tc>
          <w:tcPr>
            <w:tcW w:w="1170" w:type="dxa"/>
            <w:tcBorders>
              <w:top w:val="single" w:sz="4" w:space="0" w:color="auto"/>
              <w:left w:val="single" w:sz="4" w:space="0" w:color="auto"/>
              <w:bottom w:val="nil"/>
              <w:right w:val="single" w:sz="4" w:space="0" w:color="auto"/>
            </w:tcBorders>
            <w:shd w:val="clear" w:color="auto" w:fill="auto"/>
            <w:vAlign w:val="center"/>
            <w:hideMark/>
          </w:tcPr>
          <w:p w14:paraId="1BADC934" w14:textId="77777777" w:rsidR="002A120F" w:rsidRPr="00551729" w:rsidRDefault="002A120F" w:rsidP="00B628D7">
            <w:pPr>
              <w:spacing w:after="0" w:line="240" w:lineRule="auto"/>
              <w:jc w:val="center"/>
              <w:rPr>
                <w:rFonts w:ascii="Garamond" w:hAnsi="Garamond"/>
                <w:b/>
                <w:bCs/>
                <w:color w:val="000000"/>
                <w:sz w:val="14"/>
                <w:szCs w:val="14"/>
              </w:rPr>
            </w:pPr>
          </w:p>
        </w:tc>
      </w:tr>
      <w:tr w:rsidR="002A120F" w:rsidRPr="00551729" w14:paraId="1BADC943" w14:textId="77777777" w:rsidTr="006737CE">
        <w:trPr>
          <w:trHeight w:val="1101"/>
        </w:trPr>
        <w:tc>
          <w:tcPr>
            <w:tcW w:w="1080" w:type="dxa"/>
            <w:tcBorders>
              <w:left w:val="single" w:sz="8" w:space="0" w:color="auto"/>
              <w:bottom w:val="single" w:sz="8" w:space="0" w:color="000000"/>
              <w:right w:val="single" w:sz="8" w:space="0" w:color="auto"/>
            </w:tcBorders>
            <w:shd w:val="clear" w:color="auto" w:fill="auto"/>
            <w:vAlign w:val="center"/>
            <w:hideMark/>
          </w:tcPr>
          <w:p w14:paraId="1BADC936" w14:textId="77777777" w:rsidR="002A120F" w:rsidRPr="006737CE" w:rsidRDefault="002A120F" w:rsidP="006737CE">
            <w:pPr>
              <w:spacing w:after="0" w:line="240" w:lineRule="auto"/>
              <w:jc w:val="center"/>
              <w:rPr>
                <w:rFonts w:ascii="Garamond" w:hAnsi="Garamond"/>
                <w:b/>
                <w:color w:val="000000"/>
                <w:sz w:val="14"/>
                <w:szCs w:val="14"/>
              </w:rPr>
            </w:pPr>
          </w:p>
        </w:tc>
        <w:tc>
          <w:tcPr>
            <w:tcW w:w="1170" w:type="dxa"/>
            <w:tcBorders>
              <w:top w:val="nil"/>
              <w:left w:val="nil"/>
              <w:bottom w:val="single" w:sz="8" w:space="0" w:color="auto"/>
              <w:right w:val="single" w:sz="8" w:space="0" w:color="auto"/>
            </w:tcBorders>
            <w:shd w:val="clear" w:color="auto" w:fill="auto"/>
            <w:vAlign w:val="center"/>
            <w:hideMark/>
          </w:tcPr>
          <w:p w14:paraId="1BADC937" w14:textId="77777777" w:rsidR="002A120F" w:rsidRPr="006737CE" w:rsidRDefault="002A120F" w:rsidP="006737CE">
            <w:pPr>
              <w:spacing w:after="0" w:line="240" w:lineRule="auto"/>
              <w:jc w:val="center"/>
              <w:rPr>
                <w:rFonts w:ascii="Garamond" w:hAnsi="Garamond"/>
                <w:b/>
                <w:color w:val="000000"/>
                <w:sz w:val="14"/>
                <w:szCs w:val="14"/>
              </w:rPr>
            </w:pPr>
            <w:r w:rsidRPr="006737CE">
              <w:rPr>
                <w:rFonts w:ascii="Garamond" w:hAnsi="Garamond"/>
                <w:b/>
                <w:color w:val="000000"/>
                <w:sz w:val="14"/>
                <w:szCs w:val="14"/>
              </w:rPr>
              <w:t>Kontributi i Unionit*</w:t>
            </w:r>
          </w:p>
        </w:tc>
        <w:tc>
          <w:tcPr>
            <w:tcW w:w="1260" w:type="dxa"/>
            <w:tcBorders>
              <w:top w:val="nil"/>
              <w:left w:val="nil"/>
              <w:bottom w:val="single" w:sz="8" w:space="0" w:color="auto"/>
              <w:right w:val="single" w:sz="8" w:space="0" w:color="auto"/>
            </w:tcBorders>
            <w:shd w:val="clear" w:color="auto" w:fill="auto"/>
            <w:vAlign w:val="center"/>
            <w:hideMark/>
          </w:tcPr>
          <w:p w14:paraId="1BADC938" w14:textId="77777777" w:rsidR="002A120F" w:rsidRPr="006737CE" w:rsidRDefault="002A120F" w:rsidP="006737CE">
            <w:pPr>
              <w:spacing w:after="0" w:line="240" w:lineRule="auto"/>
              <w:jc w:val="center"/>
              <w:rPr>
                <w:rFonts w:ascii="Garamond" w:hAnsi="Garamond"/>
                <w:b/>
                <w:w w:val="99"/>
                <w:sz w:val="14"/>
                <w:szCs w:val="14"/>
              </w:rPr>
            </w:pPr>
            <w:r w:rsidRPr="006737CE">
              <w:rPr>
                <w:rFonts w:ascii="Garamond" w:hAnsi="Garamond"/>
                <w:b/>
                <w:w w:val="99"/>
                <w:sz w:val="14"/>
                <w:szCs w:val="14"/>
              </w:rPr>
              <w:t>Bashkëfinancimi i përfituesit/ve të Granteve</w:t>
            </w:r>
            <w:r w:rsidRPr="006737CE">
              <w:rPr>
                <w:rFonts w:ascii="Garamond" w:hAnsi="Garamond"/>
                <w:b/>
                <w:color w:val="000000"/>
                <w:sz w:val="14"/>
                <w:szCs w:val="14"/>
              </w:rPr>
              <w:t>**</w:t>
            </w:r>
          </w:p>
        </w:tc>
        <w:tc>
          <w:tcPr>
            <w:tcW w:w="1170" w:type="dxa"/>
            <w:tcBorders>
              <w:top w:val="nil"/>
              <w:left w:val="single" w:sz="8" w:space="0" w:color="auto"/>
              <w:bottom w:val="single" w:sz="8" w:space="0" w:color="000000"/>
              <w:right w:val="single" w:sz="8" w:space="0" w:color="auto"/>
            </w:tcBorders>
            <w:shd w:val="clear" w:color="auto" w:fill="auto"/>
            <w:vAlign w:val="center"/>
            <w:hideMark/>
          </w:tcPr>
          <w:p w14:paraId="1BADC939" w14:textId="77777777" w:rsidR="002A120F" w:rsidRPr="006737CE" w:rsidRDefault="002A120F" w:rsidP="006737CE">
            <w:pPr>
              <w:spacing w:after="0" w:line="240" w:lineRule="auto"/>
              <w:jc w:val="center"/>
              <w:rPr>
                <w:rFonts w:ascii="Garamond" w:hAnsi="Garamond"/>
                <w:b/>
                <w:bCs/>
                <w:color w:val="000000"/>
                <w:sz w:val="14"/>
                <w:szCs w:val="14"/>
              </w:rPr>
            </w:pPr>
            <w:r w:rsidRPr="006737CE">
              <w:rPr>
                <w:rFonts w:ascii="Garamond" w:hAnsi="Garamond"/>
                <w:b/>
                <w:bCs/>
                <w:color w:val="000000"/>
                <w:sz w:val="14"/>
                <w:szCs w:val="14"/>
              </w:rPr>
              <w:t>Totali i shpenzimeve</w:t>
            </w:r>
          </w:p>
        </w:tc>
        <w:tc>
          <w:tcPr>
            <w:tcW w:w="1098" w:type="dxa"/>
            <w:tcBorders>
              <w:top w:val="nil"/>
              <w:left w:val="single" w:sz="8" w:space="0" w:color="auto"/>
              <w:bottom w:val="single" w:sz="8" w:space="0" w:color="000000"/>
              <w:right w:val="single" w:sz="8" w:space="0" w:color="auto"/>
            </w:tcBorders>
            <w:shd w:val="clear" w:color="auto" w:fill="auto"/>
            <w:vAlign w:val="center"/>
            <w:hideMark/>
          </w:tcPr>
          <w:p w14:paraId="1BADC93A" w14:textId="77777777" w:rsidR="002A120F" w:rsidRPr="006737CE" w:rsidRDefault="002A120F" w:rsidP="006737CE">
            <w:pPr>
              <w:spacing w:after="0" w:line="240" w:lineRule="auto"/>
              <w:jc w:val="center"/>
              <w:rPr>
                <w:rFonts w:ascii="Garamond" w:hAnsi="Garamond"/>
                <w:b/>
                <w:color w:val="000000"/>
                <w:sz w:val="14"/>
                <w:szCs w:val="14"/>
              </w:rPr>
            </w:pPr>
          </w:p>
        </w:tc>
        <w:tc>
          <w:tcPr>
            <w:tcW w:w="1170" w:type="dxa"/>
            <w:tcBorders>
              <w:top w:val="nil"/>
              <w:left w:val="nil"/>
              <w:bottom w:val="single" w:sz="8" w:space="0" w:color="auto"/>
              <w:right w:val="single" w:sz="8" w:space="0" w:color="auto"/>
            </w:tcBorders>
            <w:shd w:val="clear" w:color="auto" w:fill="auto"/>
            <w:vAlign w:val="center"/>
            <w:hideMark/>
          </w:tcPr>
          <w:p w14:paraId="1BADC93B" w14:textId="77777777" w:rsidR="002A120F" w:rsidRPr="006737CE" w:rsidRDefault="002A120F" w:rsidP="006737CE">
            <w:pPr>
              <w:spacing w:after="0" w:line="240" w:lineRule="auto"/>
              <w:jc w:val="center"/>
              <w:rPr>
                <w:rFonts w:ascii="Garamond" w:hAnsi="Garamond"/>
                <w:b/>
                <w:color w:val="000000"/>
                <w:sz w:val="14"/>
                <w:szCs w:val="14"/>
              </w:rPr>
            </w:pPr>
            <w:r w:rsidRPr="006737CE">
              <w:rPr>
                <w:rFonts w:ascii="Garamond" w:hAnsi="Garamond"/>
                <w:b/>
                <w:color w:val="000000"/>
                <w:sz w:val="14"/>
                <w:szCs w:val="14"/>
              </w:rPr>
              <w:t>Kontributi i Unionit</w:t>
            </w:r>
          </w:p>
        </w:tc>
        <w:tc>
          <w:tcPr>
            <w:tcW w:w="1316" w:type="dxa"/>
            <w:tcBorders>
              <w:top w:val="nil"/>
              <w:left w:val="nil"/>
              <w:bottom w:val="single" w:sz="8" w:space="0" w:color="auto"/>
              <w:right w:val="single" w:sz="8" w:space="0" w:color="auto"/>
            </w:tcBorders>
            <w:shd w:val="clear" w:color="auto" w:fill="auto"/>
            <w:vAlign w:val="center"/>
            <w:hideMark/>
          </w:tcPr>
          <w:p w14:paraId="1BADC93C" w14:textId="09B12D36" w:rsidR="002A120F" w:rsidRPr="006737CE" w:rsidRDefault="002A120F" w:rsidP="006737CE">
            <w:pPr>
              <w:spacing w:after="0" w:line="240" w:lineRule="auto"/>
              <w:jc w:val="center"/>
              <w:rPr>
                <w:rFonts w:ascii="Garamond" w:hAnsi="Garamond"/>
                <w:b/>
                <w:color w:val="000000"/>
                <w:sz w:val="14"/>
                <w:szCs w:val="14"/>
              </w:rPr>
            </w:pPr>
            <w:r w:rsidRPr="006737CE">
              <w:rPr>
                <w:rFonts w:ascii="Garamond" w:hAnsi="Garamond"/>
                <w:b/>
                <w:w w:val="99"/>
                <w:sz w:val="14"/>
                <w:szCs w:val="14"/>
              </w:rPr>
              <w:t xml:space="preserve">Bashkëfinancimi i përfituesit/ve të </w:t>
            </w:r>
            <w:r w:rsidR="006A7D85" w:rsidRPr="006737CE">
              <w:rPr>
                <w:rFonts w:ascii="Garamond" w:hAnsi="Garamond"/>
                <w:b/>
                <w:w w:val="99"/>
                <w:sz w:val="14"/>
                <w:szCs w:val="14"/>
              </w:rPr>
              <w:t>granteve</w:t>
            </w:r>
          </w:p>
        </w:tc>
        <w:tc>
          <w:tcPr>
            <w:tcW w:w="1170" w:type="dxa"/>
            <w:tcBorders>
              <w:top w:val="nil"/>
              <w:left w:val="single" w:sz="8" w:space="0" w:color="auto"/>
              <w:bottom w:val="single" w:sz="8" w:space="0" w:color="000000"/>
              <w:right w:val="single" w:sz="8" w:space="0" w:color="auto"/>
            </w:tcBorders>
            <w:shd w:val="clear" w:color="auto" w:fill="auto"/>
            <w:vAlign w:val="center"/>
            <w:hideMark/>
          </w:tcPr>
          <w:p w14:paraId="1BADC93D" w14:textId="77777777" w:rsidR="002A120F" w:rsidRPr="006737CE" w:rsidRDefault="002A120F" w:rsidP="006737CE">
            <w:pPr>
              <w:spacing w:after="0" w:line="240" w:lineRule="auto"/>
              <w:jc w:val="center"/>
              <w:rPr>
                <w:rFonts w:ascii="Garamond" w:hAnsi="Garamond"/>
                <w:b/>
                <w:bCs/>
                <w:color w:val="000000"/>
                <w:sz w:val="14"/>
                <w:szCs w:val="14"/>
              </w:rPr>
            </w:pPr>
            <w:r w:rsidRPr="006737CE">
              <w:rPr>
                <w:rFonts w:ascii="Garamond" w:hAnsi="Garamond"/>
                <w:b/>
                <w:bCs/>
                <w:color w:val="000000"/>
                <w:sz w:val="14"/>
                <w:szCs w:val="14"/>
              </w:rPr>
              <w:t>Totali i shpenzimeve</w:t>
            </w:r>
          </w:p>
        </w:tc>
        <w:tc>
          <w:tcPr>
            <w:tcW w:w="1080" w:type="dxa"/>
            <w:tcBorders>
              <w:top w:val="nil"/>
              <w:left w:val="single" w:sz="8" w:space="0" w:color="auto"/>
              <w:bottom w:val="single" w:sz="8" w:space="0" w:color="000000"/>
              <w:right w:val="single" w:sz="8" w:space="0" w:color="auto"/>
            </w:tcBorders>
            <w:shd w:val="clear" w:color="auto" w:fill="auto"/>
            <w:vAlign w:val="center"/>
            <w:hideMark/>
          </w:tcPr>
          <w:p w14:paraId="1BADC93E" w14:textId="77777777" w:rsidR="002A120F" w:rsidRPr="006737CE" w:rsidRDefault="002A120F" w:rsidP="006737CE">
            <w:pPr>
              <w:spacing w:after="0" w:line="240" w:lineRule="auto"/>
              <w:jc w:val="center"/>
              <w:rPr>
                <w:rFonts w:ascii="Garamond" w:hAnsi="Garamond"/>
                <w:b/>
                <w:color w:val="000000"/>
                <w:sz w:val="14"/>
                <w:szCs w:val="14"/>
              </w:rPr>
            </w:pPr>
          </w:p>
        </w:tc>
        <w:tc>
          <w:tcPr>
            <w:tcW w:w="1170" w:type="dxa"/>
            <w:tcBorders>
              <w:top w:val="nil"/>
              <w:left w:val="nil"/>
              <w:bottom w:val="single" w:sz="8" w:space="0" w:color="auto"/>
              <w:right w:val="single" w:sz="8" w:space="0" w:color="auto"/>
            </w:tcBorders>
            <w:shd w:val="clear" w:color="auto" w:fill="auto"/>
            <w:vAlign w:val="center"/>
            <w:hideMark/>
          </w:tcPr>
          <w:p w14:paraId="1BADC93F" w14:textId="77777777" w:rsidR="002A120F" w:rsidRPr="006737CE" w:rsidRDefault="002A120F" w:rsidP="006737CE">
            <w:pPr>
              <w:spacing w:after="0" w:line="240" w:lineRule="auto"/>
              <w:jc w:val="center"/>
              <w:rPr>
                <w:rFonts w:ascii="Garamond" w:hAnsi="Garamond"/>
                <w:b/>
                <w:color w:val="000000"/>
                <w:sz w:val="14"/>
                <w:szCs w:val="14"/>
              </w:rPr>
            </w:pPr>
            <w:r w:rsidRPr="006737CE">
              <w:rPr>
                <w:rFonts w:ascii="Garamond" w:hAnsi="Garamond"/>
                <w:b/>
                <w:color w:val="000000"/>
                <w:sz w:val="14"/>
                <w:szCs w:val="14"/>
              </w:rPr>
              <w:t>Kontributi i Unionit</w:t>
            </w:r>
          </w:p>
        </w:tc>
        <w:tc>
          <w:tcPr>
            <w:tcW w:w="1226" w:type="dxa"/>
            <w:tcBorders>
              <w:top w:val="nil"/>
              <w:left w:val="nil"/>
              <w:bottom w:val="single" w:sz="8" w:space="0" w:color="auto"/>
              <w:right w:val="single" w:sz="8" w:space="0" w:color="auto"/>
            </w:tcBorders>
            <w:shd w:val="clear" w:color="auto" w:fill="auto"/>
            <w:vAlign w:val="center"/>
            <w:hideMark/>
          </w:tcPr>
          <w:p w14:paraId="1BADC940" w14:textId="20325787" w:rsidR="002A120F" w:rsidRPr="006737CE" w:rsidRDefault="002A120F" w:rsidP="006737CE">
            <w:pPr>
              <w:spacing w:after="0" w:line="240" w:lineRule="auto"/>
              <w:jc w:val="center"/>
              <w:rPr>
                <w:rFonts w:ascii="Garamond" w:hAnsi="Garamond"/>
                <w:b/>
                <w:color w:val="000000"/>
                <w:sz w:val="14"/>
                <w:szCs w:val="14"/>
              </w:rPr>
            </w:pPr>
            <w:r w:rsidRPr="006737CE">
              <w:rPr>
                <w:rFonts w:ascii="Garamond" w:hAnsi="Garamond"/>
                <w:b/>
                <w:w w:val="99"/>
                <w:sz w:val="14"/>
                <w:szCs w:val="14"/>
              </w:rPr>
              <w:t xml:space="preserve">Bashkëfinancimi i përfituesit/ve të </w:t>
            </w:r>
            <w:r w:rsidR="006A7D85" w:rsidRPr="006737CE">
              <w:rPr>
                <w:rFonts w:ascii="Garamond" w:hAnsi="Garamond"/>
                <w:b/>
                <w:w w:val="99"/>
                <w:sz w:val="14"/>
                <w:szCs w:val="14"/>
              </w:rPr>
              <w:t>granteve</w:t>
            </w:r>
          </w:p>
        </w:tc>
        <w:tc>
          <w:tcPr>
            <w:tcW w:w="1170" w:type="dxa"/>
            <w:tcBorders>
              <w:top w:val="nil"/>
              <w:left w:val="single" w:sz="8" w:space="0" w:color="auto"/>
              <w:bottom w:val="single" w:sz="8" w:space="0" w:color="000000"/>
              <w:right w:val="single" w:sz="4" w:space="0" w:color="auto"/>
            </w:tcBorders>
            <w:shd w:val="clear" w:color="auto" w:fill="auto"/>
            <w:vAlign w:val="center"/>
            <w:hideMark/>
          </w:tcPr>
          <w:p w14:paraId="1BADC941" w14:textId="77777777" w:rsidR="002A120F" w:rsidRPr="006737CE" w:rsidRDefault="002A120F" w:rsidP="006737CE">
            <w:pPr>
              <w:spacing w:after="0" w:line="240" w:lineRule="auto"/>
              <w:jc w:val="center"/>
              <w:rPr>
                <w:rFonts w:ascii="Garamond" w:hAnsi="Garamond"/>
                <w:b/>
                <w:bCs/>
                <w:color w:val="000000"/>
                <w:sz w:val="14"/>
                <w:szCs w:val="14"/>
              </w:rPr>
            </w:pPr>
            <w:r w:rsidRPr="006737CE">
              <w:rPr>
                <w:rFonts w:ascii="Garamond" w:hAnsi="Garamond"/>
                <w:b/>
                <w:bCs/>
                <w:color w:val="000000"/>
                <w:sz w:val="14"/>
                <w:szCs w:val="14"/>
              </w:rPr>
              <w:t>Totali i shpenzimeve</w:t>
            </w:r>
          </w:p>
        </w:tc>
        <w:tc>
          <w:tcPr>
            <w:tcW w:w="1170" w:type="dxa"/>
            <w:tcBorders>
              <w:left w:val="single" w:sz="4" w:space="0" w:color="auto"/>
              <w:bottom w:val="single" w:sz="8" w:space="0" w:color="auto"/>
              <w:right w:val="single" w:sz="4" w:space="0" w:color="auto"/>
            </w:tcBorders>
            <w:shd w:val="clear" w:color="auto" w:fill="auto"/>
            <w:vAlign w:val="center"/>
            <w:hideMark/>
          </w:tcPr>
          <w:p w14:paraId="1BADC942" w14:textId="77777777" w:rsidR="002A120F" w:rsidRPr="006737CE" w:rsidRDefault="002A120F" w:rsidP="006737CE">
            <w:pPr>
              <w:spacing w:after="0" w:line="240" w:lineRule="auto"/>
              <w:jc w:val="center"/>
              <w:rPr>
                <w:rFonts w:ascii="Garamond" w:hAnsi="Garamond"/>
                <w:b/>
                <w:bCs/>
                <w:color w:val="000000"/>
                <w:sz w:val="14"/>
                <w:szCs w:val="14"/>
              </w:rPr>
            </w:pPr>
            <w:r w:rsidRPr="006737CE">
              <w:rPr>
                <w:rFonts w:ascii="Garamond" w:hAnsi="Garamond"/>
                <w:b/>
                <w:bCs/>
                <w:color w:val="000000"/>
                <w:sz w:val="14"/>
                <w:szCs w:val="14"/>
              </w:rPr>
              <w:t>Vendimi i përgjithshëm i financimit</w:t>
            </w:r>
          </w:p>
        </w:tc>
      </w:tr>
      <w:tr w:rsidR="002A120F" w:rsidRPr="00551729" w14:paraId="1BADC951" w14:textId="77777777" w:rsidTr="00B628D7">
        <w:trPr>
          <w:trHeight w:val="317"/>
        </w:trPr>
        <w:tc>
          <w:tcPr>
            <w:tcW w:w="1080" w:type="dxa"/>
            <w:tcBorders>
              <w:top w:val="nil"/>
              <w:left w:val="single" w:sz="8" w:space="0" w:color="auto"/>
              <w:bottom w:val="single" w:sz="4" w:space="0" w:color="auto"/>
              <w:right w:val="single" w:sz="4" w:space="0" w:color="auto"/>
            </w:tcBorders>
            <w:shd w:val="clear" w:color="auto" w:fill="auto"/>
            <w:vAlign w:val="center"/>
            <w:hideMark/>
          </w:tcPr>
          <w:p w14:paraId="1BADC944" w14:textId="77777777" w:rsidR="002A120F" w:rsidRPr="00551729" w:rsidRDefault="002A120F" w:rsidP="00B628D7">
            <w:pPr>
              <w:spacing w:after="0" w:line="240" w:lineRule="auto"/>
              <w:jc w:val="both"/>
              <w:rPr>
                <w:rFonts w:ascii="Garamond" w:hAnsi="Garamond"/>
                <w:bCs/>
                <w:color w:val="000000"/>
                <w:sz w:val="14"/>
                <w:szCs w:val="14"/>
              </w:rPr>
            </w:pPr>
            <w:r w:rsidRPr="00551729">
              <w:rPr>
                <w:rFonts w:ascii="Garamond" w:hAnsi="Garamond"/>
                <w:sz w:val="14"/>
                <w:szCs w:val="14"/>
              </w:rPr>
              <w:t>Projektet BNK</w:t>
            </w:r>
          </w:p>
        </w:tc>
        <w:tc>
          <w:tcPr>
            <w:tcW w:w="1170" w:type="dxa"/>
            <w:tcBorders>
              <w:top w:val="nil"/>
              <w:left w:val="nil"/>
              <w:bottom w:val="single" w:sz="4" w:space="0" w:color="auto"/>
              <w:right w:val="single" w:sz="4" w:space="0" w:color="auto"/>
            </w:tcBorders>
            <w:shd w:val="clear" w:color="auto" w:fill="auto"/>
            <w:noWrap/>
            <w:vAlign w:val="center"/>
            <w:hideMark/>
          </w:tcPr>
          <w:p w14:paraId="1BADC945"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 1,700,000</w:t>
            </w:r>
          </w:p>
        </w:tc>
        <w:tc>
          <w:tcPr>
            <w:tcW w:w="1260" w:type="dxa"/>
            <w:tcBorders>
              <w:top w:val="nil"/>
              <w:left w:val="nil"/>
              <w:bottom w:val="single" w:sz="4" w:space="0" w:color="auto"/>
              <w:right w:val="single" w:sz="4" w:space="0" w:color="auto"/>
            </w:tcBorders>
            <w:shd w:val="clear" w:color="auto" w:fill="auto"/>
            <w:noWrap/>
            <w:vAlign w:val="center"/>
            <w:hideMark/>
          </w:tcPr>
          <w:p w14:paraId="1BADC946"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300,000 </w:t>
            </w:r>
          </w:p>
        </w:tc>
        <w:tc>
          <w:tcPr>
            <w:tcW w:w="1170" w:type="dxa"/>
            <w:tcBorders>
              <w:top w:val="nil"/>
              <w:left w:val="nil"/>
              <w:bottom w:val="single" w:sz="4" w:space="0" w:color="auto"/>
              <w:right w:val="single" w:sz="8" w:space="0" w:color="auto"/>
            </w:tcBorders>
            <w:shd w:val="clear" w:color="auto" w:fill="auto"/>
            <w:noWrap/>
            <w:vAlign w:val="center"/>
            <w:hideMark/>
          </w:tcPr>
          <w:p w14:paraId="1BADC947"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2,000,000 </w:t>
            </w:r>
          </w:p>
        </w:tc>
        <w:tc>
          <w:tcPr>
            <w:tcW w:w="1098" w:type="dxa"/>
            <w:tcBorders>
              <w:top w:val="nil"/>
              <w:left w:val="nil"/>
              <w:bottom w:val="single" w:sz="4" w:space="0" w:color="auto"/>
              <w:right w:val="single" w:sz="4" w:space="0" w:color="auto"/>
            </w:tcBorders>
            <w:shd w:val="clear" w:color="auto" w:fill="auto"/>
            <w:vAlign w:val="center"/>
            <w:hideMark/>
          </w:tcPr>
          <w:p w14:paraId="1BADC948" w14:textId="77777777" w:rsidR="002A120F" w:rsidRPr="00551729" w:rsidRDefault="002A120F" w:rsidP="00B628D7">
            <w:pPr>
              <w:spacing w:after="0" w:line="240" w:lineRule="auto"/>
              <w:jc w:val="both"/>
              <w:rPr>
                <w:rFonts w:ascii="Garamond" w:hAnsi="Garamond"/>
                <w:bCs/>
                <w:color w:val="000000"/>
                <w:sz w:val="14"/>
                <w:szCs w:val="14"/>
              </w:rPr>
            </w:pPr>
            <w:r w:rsidRPr="00551729">
              <w:rPr>
                <w:rFonts w:ascii="Garamond" w:hAnsi="Garamond"/>
                <w:sz w:val="14"/>
                <w:szCs w:val="14"/>
              </w:rPr>
              <w:t>Projektet BNK</w:t>
            </w:r>
          </w:p>
        </w:tc>
        <w:tc>
          <w:tcPr>
            <w:tcW w:w="1170" w:type="dxa"/>
            <w:tcBorders>
              <w:top w:val="nil"/>
              <w:left w:val="nil"/>
              <w:bottom w:val="single" w:sz="4" w:space="0" w:color="auto"/>
              <w:right w:val="single" w:sz="4" w:space="0" w:color="auto"/>
            </w:tcBorders>
            <w:shd w:val="clear" w:color="auto" w:fill="auto"/>
            <w:vAlign w:val="center"/>
            <w:hideMark/>
          </w:tcPr>
          <w:p w14:paraId="1BADC949" w14:textId="77777777" w:rsidR="002A120F" w:rsidRPr="00551729" w:rsidRDefault="002A120F" w:rsidP="00B628D7">
            <w:pPr>
              <w:spacing w:after="0" w:line="240" w:lineRule="auto"/>
              <w:rPr>
                <w:rFonts w:ascii="Garamond" w:hAnsi="Garamond"/>
                <w:color w:val="000000"/>
                <w:sz w:val="14"/>
                <w:szCs w:val="14"/>
              </w:rPr>
            </w:pPr>
            <w:r w:rsidRPr="00551729">
              <w:rPr>
                <w:rFonts w:ascii="Garamond" w:hAnsi="Garamond"/>
                <w:color w:val="000000"/>
                <w:sz w:val="14"/>
                <w:szCs w:val="14"/>
              </w:rPr>
              <w:t>1,700,000</w:t>
            </w:r>
          </w:p>
        </w:tc>
        <w:tc>
          <w:tcPr>
            <w:tcW w:w="1316" w:type="dxa"/>
            <w:tcBorders>
              <w:top w:val="nil"/>
              <w:left w:val="nil"/>
              <w:bottom w:val="single" w:sz="4" w:space="0" w:color="auto"/>
              <w:right w:val="single" w:sz="4" w:space="0" w:color="auto"/>
            </w:tcBorders>
            <w:shd w:val="clear" w:color="auto" w:fill="auto"/>
            <w:vAlign w:val="center"/>
            <w:hideMark/>
          </w:tcPr>
          <w:p w14:paraId="1BADC94A"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300,000 </w:t>
            </w:r>
          </w:p>
        </w:tc>
        <w:tc>
          <w:tcPr>
            <w:tcW w:w="1170" w:type="dxa"/>
            <w:tcBorders>
              <w:top w:val="nil"/>
              <w:left w:val="nil"/>
              <w:bottom w:val="single" w:sz="4" w:space="0" w:color="auto"/>
              <w:right w:val="single" w:sz="8" w:space="0" w:color="auto"/>
            </w:tcBorders>
            <w:shd w:val="clear" w:color="auto" w:fill="auto"/>
            <w:vAlign w:val="center"/>
            <w:hideMark/>
          </w:tcPr>
          <w:p w14:paraId="1BADC94B"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2,000,000 </w:t>
            </w:r>
          </w:p>
        </w:tc>
        <w:tc>
          <w:tcPr>
            <w:tcW w:w="1080" w:type="dxa"/>
            <w:tcBorders>
              <w:top w:val="nil"/>
              <w:left w:val="nil"/>
              <w:bottom w:val="single" w:sz="4" w:space="0" w:color="auto"/>
              <w:right w:val="single" w:sz="4" w:space="0" w:color="auto"/>
            </w:tcBorders>
            <w:shd w:val="clear" w:color="auto" w:fill="auto"/>
            <w:vAlign w:val="center"/>
            <w:hideMark/>
          </w:tcPr>
          <w:p w14:paraId="1BADC94C" w14:textId="77777777" w:rsidR="002A120F" w:rsidRPr="00551729" w:rsidRDefault="002A120F" w:rsidP="00B628D7">
            <w:pPr>
              <w:spacing w:after="0" w:line="240" w:lineRule="auto"/>
              <w:jc w:val="both"/>
              <w:rPr>
                <w:rFonts w:ascii="Garamond" w:hAnsi="Garamond"/>
                <w:bCs/>
                <w:color w:val="000000"/>
                <w:sz w:val="14"/>
                <w:szCs w:val="14"/>
              </w:rPr>
            </w:pPr>
            <w:r w:rsidRPr="00551729">
              <w:rPr>
                <w:rFonts w:ascii="Garamond" w:hAnsi="Garamond"/>
                <w:sz w:val="14"/>
                <w:szCs w:val="14"/>
              </w:rPr>
              <w:t>Projektet BNK</w:t>
            </w:r>
          </w:p>
        </w:tc>
        <w:tc>
          <w:tcPr>
            <w:tcW w:w="1170" w:type="dxa"/>
            <w:tcBorders>
              <w:top w:val="nil"/>
              <w:left w:val="nil"/>
              <w:bottom w:val="single" w:sz="4" w:space="0" w:color="auto"/>
              <w:right w:val="single" w:sz="4" w:space="0" w:color="auto"/>
            </w:tcBorders>
            <w:shd w:val="clear" w:color="auto" w:fill="auto"/>
            <w:vAlign w:val="center"/>
            <w:hideMark/>
          </w:tcPr>
          <w:p w14:paraId="1BADC94D"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 1,530,000</w:t>
            </w:r>
          </w:p>
        </w:tc>
        <w:tc>
          <w:tcPr>
            <w:tcW w:w="1226" w:type="dxa"/>
            <w:tcBorders>
              <w:top w:val="nil"/>
              <w:left w:val="nil"/>
              <w:bottom w:val="single" w:sz="4" w:space="0" w:color="auto"/>
              <w:right w:val="single" w:sz="4" w:space="0" w:color="auto"/>
            </w:tcBorders>
            <w:shd w:val="clear" w:color="auto" w:fill="auto"/>
            <w:vAlign w:val="center"/>
            <w:hideMark/>
          </w:tcPr>
          <w:p w14:paraId="1BADC94E"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270,000</w:t>
            </w:r>
          </w:p>
        </w:tc>
        <w:tc>
          <w:tcPr>
            <w:tcW w:w="1170" w:type="dxa"/>
            <w:tcBorders>
              <w:top w:val="nil"/>
              <w:left w:val="nil"/>
              <w:bottom w:val="single" w:sz="4" w:space="0" w:color="auto"/>
              <w:right w:val="single" w:sz="4" w:space="0" w:color="auto"/>
            </w:tcBorders>
            <w:shd w:val="clear" w:color="auto" w:fill="auto"/>
            <w:vAlign w:val="center"/>
            <w:hideMark/>
          </w:tcPr>
          <w:p w14:paraId="1BADC94F"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1,800,000 </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14:paraId="1BADC950"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4,930,000</w:t>
            </w:r>
          </w:p>
        </w:tc>
      </w:tr>
      <w:tr w:rsidR="002A120F" w:rsidRPr="00551729" w14:paraId="1BADC95F" w14:textId="77777777" w:rsidTr="00B628D7">
        <w:trPr>
          <w:trHeight w:val="317"/>
        </w:trPr>
        <w:tc>
          <w:tcPr>
            <w:tcW w:w="1080" w:type="dxa"/>
            <w:tcBorders>
              <w:top w:val="nil"/>
              <w:left w:val="single" w:sz="8" w:space="0" w:color="auto"/>
              <w:bottom w:val="single" w:sz="8" w:space="0" w:color="auto"/>
              <w:right w:val="single" w:sz="4" w:space="0" w:color="auto"/>
            </w:tcBorders>
            <w:shd w:val="clear" w:color="auto" w:fill="auto"/>
            <w:vAlign w:val="center"/>
          </w:tcPr>
          <w:p w14:paraId="1BADC952" w14:textId="77777777" w:rsidR="002A120F" w:rsidRPr="00551729" w:rsidRDefault="002A120F" w:rsidP="00B628D7">
            <w:pPr>
              <w:spacing w:after="0" w:line="240" w:lineRule="auto"/>
              <w:jc w:val="right"/>
              <w:rPr>
                <w:rFonts w:ascii="Garamond" w:hAnsi="Garamond"/>
                <w:b/>
                <w:bCs/>
                <w:color w:val="000000"/>
                <w:sz w:val="14"/>
                <w:szCs w:val="14"/>
              </w:rPr>
            </w:pPr>
            <w:r w:rsidRPr="00551729">
              <w:rPr>
                <w:rFonts w:ascii="Garamond" w:hAnsi="Garamond"/>
                <w:b/>
                <w:bCs/>
                <w:sz w:val="14"/>
                <w:szCs w:val="14"/>
              </w:rPr>
              <w:t>në</w:t>
            </w:r>
            <w:r w:rsidRPr="00551729">
              <w:rPr>
                <w:rFonts w:ascii="Garamond" w:hAnsi="Garamond"/>
                <w:b/>
                <w:bCs/>
                <w:color w:val="000000"/>
                <w:sz w:val="14"/>
                <w:szCs w:val="14"/>
              </w:rPr>
              <w:t xml:space="preserve"> %</w:t>
            </w:r>
          </w:p>
        </w:tc>
        <w:tc>
          <w:tcPr>
            <w:tcW w:w="1170" w:type="dxa"/>
            <w:tcBorders>
              <w:top w:val="nil"/>
              <w:left w:val="nil"/>
              <w:bottom w:val="single" w:sz="8" w:space="0" w:color="auto"/>
              <w:right w:val="single" w:sz="4" w:space="0" w:color="auto"/>
            </w:tcBorders>
            <w:shd w:val="clear" w:color="auto" w:fill="auto"/>
            <w:noWrap/>
            <w:vAlign w:val="center"/>
          </w:tcPr>
          <w:p w14:paraId="1BADC953"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85</w:t>
            </w:r>
          </w:p>
        </w:tc>
        <w:tc>
          <w:tcPr>
            <w:tcW w:w="1260" w:type="dxa"/>
            <w:tcBorders>
              <w:top w:val="nil"/>
              <w:left w:val="nil"/>
              <w:bottom w:val="single" w:sz="8" w:space="0" w:color="auto"/>
              <w:right w:val="single" w:sz="4" w:space="0" w:color="auto"/>
            </w:tcBorders>
            <w:shd w:val="clear" w:color="auto" w:fill="auto"/>
            <w:noWrap/>
            <w:vAlign w:val="center"/>
          </w:tcPr>
          <w:p w14:paraId="1BADC954"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15</w:t>
            </w:r>
          </w:p>
        </w:tc>
        <w:tc>
          <w:tcPr>
            <w:tcW w:w="1170" w:type="dxa"/>
            <w:tcBorders>
              <w:top w:val="nil"/>
              <w:left w:val="nil"/>
              <w:bottom w:val="single" w:sz="8" w:space="0" w:color="auto"/>
              <w:right w:val="single" w:sz="8" w:space="0" w:color="auto"/>
            </w:tcBorders>
            <w:shd w:val="clear" w:color="auto" w:fill="auto"/>
            <w:noWrap/>
            <w:vAlign w:val="center"/>
          </w:tcPr>
          <w:p w14:paraId="1BADC955"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100</w:t>
            </w:r>
          </w:p>
        </w:tc>
        <w:tc>
          <w:tcPr>
            <w:tcW w:w="1098" w:type="dxa"/>
            <w:tcBorders>
              <w:top w:val="nil"/>
              <w:left w:val="nil"/>
              <w:bottom w:val="single" w:sz="8" w:space="0" w:color="auto"/>
              <w:right w:val="single" w:sz="4" w:space="0" w:color="auto"/>
            </w:tcBorders>
            <w:shd w:val="clear" w:color="auto" w:fill="auto"/>
            <w:vAlign w:val="center"/>
          </w:tcPr>
          <w:p w14:paraId="1BADC956" w14:textId="77777777" w:rsidR="002A120F" w:rsidRPr="00551729" w:rsidRDefault="002A120F" w:rsidP="00B628D7">
            <w:pPr>
              <w:spacing w:after="0" w:line="240" w:lineRule="auto"/>
              <w:jc w:val="both"/>
              <w:rPr>
                <w:rFonts w:ascii="Garamond" w:hAnsi="Garamond"/>
                <w:b/>
                <w:bCs/>
                <w:color w:val="000000"/>
                <w:sz w:val="14"/>
                <w:szCs w:val="14"/>
              </w:rPr>
            </w:pPr>
          </w:p>
        </w:tc>
        <w:tc>
          <w:tcPr>
            <w:tcW w:w="1170" w:type="dxa"/>
            <w:tcBorders>
              <w:top w:val="nil"/>
              <w:left w:val="nil"/>
              <w:bottom w:val="single" w:sz="8" w:space="0" w:color="auto"/>
              <w:right w:val="single" w:sz="4" w:space="0" w:color="auto"/>
            </w:tcBorders>
            <w:shd w:val="clear" w:color="auto" w:fill="auto"/>
            <w:vAlign w:val="center"/>
          </w:tcPr>
          <w:p w14:paraId="1BADC957"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85</w:t>
            </w:r>
          </w:p>
        </w:tc>
        <w:tc>
          <w:tcPr>
            <w:tcW w:w="1316" w:type="dxa"/>
            <w:tcBorders>
              <w:top w:val="nil"/>
              <w:left w:val="nil"/>
              <w:bottom w:val="single" w:sz="8" w:space="0" w:color="auto"/>
              <w:right w:val="single" w:sz="4" w:space="0" w:color="auto"/>
            </w:tcBorders>
            <w:shd w:val="clear" w:color="auto" w:fill="auto"/>
            <w:vAlign w:val="center"/>
          </w:tcPr>
          <w:p w14:paraId="1BADC958"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15</w:t>
            </w:r>
          </w:p>
        </w:tc>
        <w:tc>
          <w:tcPr>
            <w:tcW w:w="1170" w:type="dxa"/>
            <w:tcBorders>
              <w:top w:val="nil"/>
              <w:left w:val="nil"/>
              <w:bottom w:val="single" w:sz="8" w:space="0" w:color="auto"/>
              <w:right w:val="single" w:sz="8" w:space="0" w:color="auto"/>
            </w:tcBorders>
            <w:shd w:val="clear" w:color="auto" w:fill="auto"/>
            <w:vAlign w:val="center"/>
          </w:tcPr>
          <w:p w14:paraId="1BADC959"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100</w:t>
            </w:r>
          </w:p>
        </w:tc>
        <w:tc>
          <w:tcPr>
            <w:tcW w:w="1080" w:type="dxa"/>
            <w:tcBorders>
              <w:top w:val="nil"/>
              <w:left w:val="nil"/>
              <w:bottom w:val="single" w:sz="8" w:space="0" w:color="auto"/>
              <w:right w:val="single" w:sz="4" w:space="0" w:color="auto"/>
            </w:tcBorders>
            <w:shd w:val="clear" w:color="auto" w:fill="auto"/>
            <w:vAlign w:val="center"/>
          </w:tcPr>
          <w:p w14:paraId="1BADC95A" w14:textId="77777777" w:rsidR="002A120F" w:rsidRPr="00551729" w:rsidRDefault="002A120F" w:rsidP="00B628D7">
            <w:pPr>
              <w:spacing w:after="0" w:line="240" w:lineRule="auto"/>
              <w:jc w:val="both"/>
              <w:rPr>
                <w:rFonts w:ascii="Garamond" w:hAnsi="Garamond"/>
                <w:b/>
                <w:bCs/>
                <w:color w:val="000000"/>
                <w:sz w:val="14"/>
                <w:szCs w:val="14"/>
              </w:rPr>
            </w:pPr>
          </w:p>
        </w:tc>
        <w:tc>
          <w:tcPr>
            <w:tcW w:w="1170" w:type="dxa"/>
            <w:tcBorders>
              <w:top w:val="nil"/>
              <w:left w:val="nil"/>
              <w:bottom w:val="single" w:sz="8" w:space="0" w:color="auto"/>
              <w:right w:val="single" w:sz="4" w:space="0" w:color="auto"/>
            </w:tcBorders>
            <w:shd w:val="clear" w:color="auto" w:fill="auto"/>
            <w:vAlign w:val="center"/>
          </w:tcPr>
          <w:p w14:paraId="1BADC95B"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85</w:t>
            </w:r>
          </w:p>
        </w:tc>
        <w:tc>
          <w:tcPr>
            <w:tcW w:w="1226" w:type="dxa"/>
            <w:tcBorders>
              <w:top w:val="nil"/>
              <w:left w:val="nil"/>
              <w:bottom w:val="single" w:sz="8" w:space="0" w:color="auto"/>
              <w:right w:val="single" w:sz="4" w:space="0" w:color="auto"/>
            </w:tcBorders>
            <w:shd w:val="clear" w:color="auto" w:fill="auto"/>
            <w:vAlign w:val="center"/>
          </w:tcPr>
          <w:p w14:paraId="1BADC95C"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15</w:t>
            </w:r>
          </w:p>
        </w:tc>
        <w:tc>
          <w:tcPr>
            <w:tcW w:w="1170" w:type="dxa"/>
            <w:tcBorders>
              <w:top w:val="nil"/>
              <w:left w:val="nil"/>
              <w:bottom w:val="single" w:sz="8" w:space="0" w:color="auto"/>
              <w:right w:val="single" w:sz="4" w:space="0" w:color="auto"/>
            </w:tcBorders>
            <w:shd w:val="clear" w:color="auto" w:fill="auto"/>
            <w:vAlign w:val="center"/>
          </w:tcPr>
          <w:p w14:paraId="1BADC95D" w14:textId="77777777" w:rsidR="002A120F" w:rsidRPr="00551729" w:rsidRDefault="002A120F" w:rsidP="00B628D7">
            <w:pPr>
              <w:spacing w:after="0" w:line="240" w:lineRule="auto"/>
              <w:jc w:val="center"/>
              <w:rPr>
                <w:rFonts w:ascii="Garamond" w:hAnsi="Garamond"/>
                <w:color w:val="000000"/>
                <w:sz w:val="14"/>
                <w:szCs w:val="14"/>
              </w:rPr>
            </w:pPr>
            <w:r w:rsidRPr="00551729">
              <w:rPr>
                <w:rFonts w:ascii="Garamond" w:hAnsi="Garamond"/>
                <w:color w:val="000000"/>
                <w:sz w:val="14"/>
                <w:szCs w:val="14"/>
              </w:rPr>
              <w:t>100</w:t>
            </w:r>
          </w:p>
        </w:tc>
        <w:tc>
          <w:tcPr>
            <w:tcW w:w="1170" w:type="dxa"/>
            <w:tcBorders>
              <w:top w:val="nil"/>
              <w:left w:val="single" w:sz="4" w:space="0" w:color="auto"/>
              <w:bottom w:val="single" w:sz="4" w:space="0" w:color="auto"/>
              <w:right w:val="single" w:sz="4" w:space="0" w:color="auto"/>
            </w:tcBorders>
            <w:shd w:val="clear" w:color="auto" w:fill="auto"/>
            <w:vAlign w:val="center"/>
          </w:tcPr>
          <w:p w14:paraId="1BADC95E" w14:textId="77777777" w:rsidR="002A120F" w:rsidRPr="00551729" w:rsidRDefault="002A120F" w:rsidP="00B628D7">
            <w:pPr>
              <w:spacing w:after="0" w:line="240" w:lineRule="auto"/>
              <w:jc w:val="both"/>
              <w:rPr>
                <w:rFonts w:ascii="Garamond" w:hAnsi="Garamond"/>
                <w:b/>
                <w:bCs/>
                <w:color w:val="000000"/>
                <w:sz w:val="14"/>
                <w:szCs w:val="14"/>
              </w:rPr>
            </w:pPr>
          </w:p>
        </w:tc>
      </w:tr>
      <w:tr w:rsidR="002A120F" w:rsidRPr="00551729" w14:paraId="1BADC96E" w14:textId="77777777" w:rsidTr="00B628D7">
        <w:trPr>
          <w:trHeight w:val="317"/>
        </w:trPr>
        <w:tc>
          <w:tcPr>
            <w:tcW w:w="1080" w:type="dxa"/>
            <w:tcBorders>
              <w:top w:val="nil"/>
              <w:left w:val="single" w:sz="8" w:space="0" w:color="auto"/>
              <w:bottom w:val="single" w:sz="8" w:space="0" w:color="auto"/>
              <w:right w:val="single" w:sz="4" w:space="0" w:color="auto"/>
            </w:tcBorders>
            <w:shd w:val="clear" w:color="auto" w:fill="auto"/>
            <w:vAlign w:val="center"/>
            <w:hideMark/>
          </w:tcPr>
          <w:p w14:paraId="1BADC960" w14:textId="77777777" w:rsidR="002A120F" w:rsidRPr="00551729" w:rsidRDefault="002A120F" w:rsidP="00B628D7">
            <w:pPr>
              <w:spacing w:after="0" w:line="240" w:lineRule="auto"/>
              <w:jc w:val="both"/>
              <w:rPr>
                <w:rFonts w:ascii="Garamond" w:hAnsi="Garamond"/>
                <w:b/>
                <w:bCs/>
                <w:color w:val="000000"/>
                <w:sz w:val="14"/>
                <w:szCs w:val="14"/>
              </w:rPr>
            </w:pPr>
            <w:r w:rsidRPr="00551729">
              <w:rPr>
                <w:rFonts w:ascii="Garamond" w:hAnsi="Garamond"/>
                <w:b/>
                <w:bCs/>
                <w:color w:val="000000"/>
                <w:sz w:val="14"/>
                <w:szCs w:val="14"/>
              </w:rPr>
              <w:t>TOTALI 2018</w:t>
            </w:r>
          </w:p>
        </w:tc>
        <w:tc>
          <w:tcPr>
            <w:tcW w:w="1170" w:type="dxa"/>
            <w:tcBorders>
              <w:top w:val="nil"/>
              <w:left w:val="nil"/>
              <w:bottom w:val="single" w:sz="8" w:space="0" w:color="auto"/>
              <w:right w:val="single" w:sz="4" w:space="0" w:color="auto"/>
            </w:tcBorders>
            <w:shd w:val="clear" w:color="auto" w:fill="auto"/>
            <w:noWrap/>
            <w:vAlign w:val="center"/>
            <w:hideMark/>
          </w:tcPr>
          <w:p w14:paraId="1BADC961" w14:textId="77777777" w:rsidR="002A120F" w:rsidRPr="00551729" w:rsidRDefault="002A120F" w:rsidP="00B628D7">
            <w:pPr>
              <w:spacing w:after="0" w:line="240" w:lineRule="auto"/>
              <w:rPr>
                <w:rFonts w:ascii="Garamond" w:hAnsi="Garamond"/>
                <w:b/>
                <w:color w:val="000000"/>
                <w:sz w:val="14"/>
                <w:szCs w:val="14"/>
              </w:rPr>
            </w:pPr>
            <w:r w:rsidRPr="00551729">
              <w:rPr>
                <w:rFonts w:ascii="Garamond" w:hAnsi="Garamond"/>
                <w:b/>
                <w:color w:val="000000"/>
                <w:sz w:val="14"/>
                <w:szCs w:val="14"/>
              </w:rPr>
              <w:t>1,700,000</w:t>
            </w:r>
          </w:p>
        </w:tc>
        <w:tc>
          <w:tcPr>
            <w:tcW w:w="1260" w:type="dxa"/>
            <w:tcBorders>
              <w:top w:val="nil"/>
              <w:left w:val="nil"/>
              <w:bottom w:val="single" w:sz="8" w:space="0" w:color="auto"/>
              <w:right w:val="single" w:sz="4" w:space="0" w:color="auto"/>
            </w:tcBorders>
            <w:shd w:val="clear" w:color="auto" w:fill="auto"/>
            <w:noWrap/>
            <w:vAlign w:val="center"/>
            <w:hideMark/>
          </w:tcPr>
          <w:p w14:paraId="1BADC962" w14:textId="77777777" w:rsidR="002A120F" w:rsidRPr="00551729" w:rsidRDefault="002A120F" w:rsidP="00B628D7">
            <w:pPr>
              <w:spacing w:after="0" w:line="240" w:lineRule="auto"/>
              <w:jc w:val="center"/>
              <w:rPr>
                <w:rFonts w:ascii="Garamond" w:hAnsi="Garamond"/>
                <w:b/>
                <w:color w:val="000000"/>
                <w:sz w:val="14"/>
                <w:szCs w:val="14"/>
              </w:rPr>
            </w:pPr>
            <w:r w:rsidRPr="00551729">
              <w:rPr>
                <w:rFonts w:ascii="Garamond" w:hAnsi="Garamond"/>
                <w:b/>
                <w:color w:val="000000"/>
                <w:sz w:val="14"/>
                <w:szCs w:val="14"/>
              </w:rPr>
              <w:t>300,000</w:t>
            </w:r>
          </w:p>
        </w:tc>
        <w:tc>
          <w:tcPr>
            <w:tcW w:w="1170" w:type="dxa"/>
            <w:tcBorders>
              <w:top w:val="nil"/>
              <w:left w:val="nil"/>
              <w:bottom w:val="single" w:sz="8" w:space="0" w:color="auto"/>
              <w:right w:val="single" w:sz="8" w:space="0" w:color="auto"/>
            </w:tcBorders>
            <w:shd w:val="clear" w:color="auto" w:fill="auto"/>
            <w:noWrap/>
            <w:vAlign w:val="center"/>
            <w:hideMark/>
          </w:tcPr>
          <w:p w14:paraId="1BADC963" w14:textId="77777777" w:rsidR="002A120F" w:rsidRPr="00551729" w:rsidRDefault="002A120F" w:rsidP="00B628D7">
            <w:pPr>
              <w:spacing w:after="0" w:line="240" w:lineRule="auto"/>
              <w:jc w:val="center"/>
              <w:rPr>
                <w:rFonts w:ascii="Garamond" w:hAnsi="Garamond"/>
                <w:b/>
                <w:color w:val="000000"/>
                <w:sz w:val="14"/>
                <w:szCs w:val="14"/>
              </w:rPr>
            </w:pPr>
            <w:r w:rsidRPr="00551729">
              <w:rPr>
                <w:rFonts w:ascii="Garamond" w:hAnsi="Garamond"/>
                <w:b/>
                <w:color w:val="000000"/>
                <w:sz w:val="14"/>
                <w:szCs w:val="14"/>
              </w:rPr>
              <w:t>2,000,000</w:t>
            </w:r>
          </w:p>
        </w:tc>
        <w:tc>
          <w:tcPr>
            <w:tcW w:w="1098" w:type="dxa"/>
            <w:tcBorders>
              <w:top w:val="nil"/>
              <w:left w:val="nil"/>
              <w:bottom w:val="single" w:sz="8" w:space="0" w:color="auto"/>
              <w:right w:val="single" w:sz="4" w:space="0" w:color="auto"/>
            </w:tcBorders>
            <w:shd w:val="clear" w:color="auto" w:fill="auto"/>
            <w:vAlign w:val="center"/>
            <w:hideMark/>
          </w:tcPr>
          <w:p w14:paraId="1BADC964" w14:textId="77777777" w:rsidR="002A120F" w:rsidRPr="00551729" w:rsidRDefault="002A120F" w:rsidP="00B628D7">
            <w:pPr>
              <w:spacing w:after="0" w:line="240" w:lineRule="auto"/>
              <w:jc w:val="both"/>
              <w:rPr>
                <w:rFonts w:ascii="Garamond" w:hAnsi="Garamond"/>
                <w:b/>
                <w:bCs/>
                <w:color w:val="000000"/>
                <w:sz w:val="14"/>
                <w:szCs w:val="14"/>
              </w:rPr>
            </w:pPr>
            <w:r w:rsidRPr="00551729">
              <w:rPr>
                <w:rFonts w:ascii="Garamond" w:hAnsi="Garamond"/>
                <w:b/>
                <w:bCs/>
                <w:color w:val="000000"/>
                <w:sz w:val="14"/>
                <w:szCs w:val="14"/>
              </w:rPr>
              <w:t>TOTALI 2019</w:t>
            </w:r>
          </w:p>
        </w:tc>
        <w:tc>
          <w:tcPr>
            <w:tcW w:w="1170" w:type="dxa"/>
            <w:tcBorders>
              <w:top w:val="nil"/>
              <w:left w:val="nil"/>
              <w:bottom w:val="single" w:sz="8" w:space="0" w:color="auto"/>
              <w:right w:val="single" w:sz="4" w:space="0" w:color="auto"/>
            </w:tcBorders>
            <w:shd w:val="clear" w:color="auto" w:fill="auto"/>
            <w:vAlign w:val="center"/>
            <w:hideMark/>
          </w:tcPr>
          <w:p w14:paraId="1BADC965" w14:textId="77777777" w:rsidR="002A120F" w:rsidRPr="00551729" w:rsidRDefault="002A120F" w:rsidP="00B628D7">
            <w:pPr>
              <w:spacing w:after="0" w:line="240" w:lineRule="auto"/>
              <w:rPr>
                <w:rFonts w:ascii="Garamond" w:hAnsi="Garamond"/>
                <w:b/>
                <w:color w:val="000000"/>
                <w:sz w:val="14"/>
                <w:szCs w:val="14"/>
              </w:rPr>
            </w:pPr>
            <w:r w:rsidRPr="00551729">
              <w:rPr>
                <w:rFonts w:ascii="Garamond" w:hAnsi="Garamond"/>
                <w:b/>
                <w:color w:val="000000"/>
                <w:sz w:val="14"/>
                <w:szCs w:val="14"/>
              </w:rPr>
              <w:t>1,700,000</w:t>
            </w:r>
          </w:p>
        </w:tc>
        <w:tc>
          <w:tcPr>
            <w:tcW w:w="1316" w:type="dxa"/>
            <w:tcBorders>
              <w:top w:val="nil"/>
              <w:left w:val="nil"/>
              <w:bottom w:val="single" w:sz="8" w:space="0" w:color="auto"/>
              <w:right w:val="single" w:sz="4" w:space="0" w:color="auto"/>
            </w:tcBorders>
            <w:shd w:val="clear" w:color="auto" w:fill="auto"/>
            <w:vAlign w:val="center"/>
            <w:hideMark/>
          </w:tcPr>
          <w:p w14:paraId="1BADC966" w14:textId="77777777" w:rsidR="002A120F" w:rsidRPr="00551729" w:rsidRDefault="002A120F" w:rsidP="00B628D7">
            <w:pPr>
              <w:spacing w:after="0" w:line="240" w:lineRule="auto"/>
              <w:jc w:val="center"/>
              <w:rPr>
                <w:rFonts w:ascii="Garamond" w:hAnsi="Garamond"/>
                <w:b/>
                <w:color w:val="000000"/>
                <w:sz w:val="14"/>
                <w:szCs w:val="14"/>
              </w:rPr>
            </w:pPr>
            <w:r w:rsidRPr="00551729">
              <w:rPr>
                <w:rFonts w:ascii="Garamond" w:hAnsi="Garamond"/>
                <w:b/>
                <w:color w:val="000000"/>
                <w:sz w:val="14"/>
                <w:szCs w:val="14"/>
              </w:rPr>
              <w:t>300,000</w:t>
            </w:r>
          </w:p>
        </w:tc>
        <w:tc>
          <w:tcPr>
            <w:tcW w:w="1170" w:type="dxa"/>
            <w:tcBorders>
              <w:top w:val="nil"/>
              <w:left w:val="nil"/>
              <w:bottom w:val="single" w:sz="8" w:space="0" w:color="auto"/>
              <w:right w:val="single" w:sz="8" w:space="0" w:color="auto"/>
            </w:tcBorders>
            <w:shd w:val="clear" w:color="auto" w:fill="auto"/>
            <w:vAlign w:val="center"/>
            <w:hideMark/>
          </w:tcPr>
          <w:p w14:paraId="1BADC967" w14:textId="77777777" w:rsidR="002A120F" w:rsidRPr="00551729" w:rsidRDefault="002A120F" w:rsidP="00B628D7">
            <w:pPr>
              <w:spacing w:after="0" w:line="240" w:lineRule="auto"/>
              <w:jc w:val="center"/>
              <w:rPr>
                <w:rFonts w:ascii="Garamond" w:hAnsi="Garamond"/>
                <w:b/>
                <w:color w:val="000000"/>
                <w:sz w:val="14"/>
                <w:szCs w:val="14"/>
              </w:rPr>
            </w:pPr>
            <w:r w:rsidRPr="00551729">
              <w:rPr>
                <w:rFonts w:ascii="Garamond" w:hAnsi="Garamond"/>
                <w:b/>
                <w:color w:val="000000"/>
                <w:sz w:val="14"/>
                <w:szCs w:val="14"/>
              </w:rPr>
              <w:t>2,000,000</w:t>
            </w:r>
          </w:p>
        </w:tc>
        <w:tc>
          <w:tcPr>
            <w:tcW w:w="1080" w:type="dxa"/>
            <w:tcBorders>
              <w:top w:val="nil"/>
              <w:left w:val="nil"/>
              <w:bottom w:val="single" w:sz="8" w:space="0" w:color="auto"/>
              <w:right w:val="single" w:sz="4" w:space="0" w:color="auto"/>
            </w:tcBorders>
            <w:shd w:val="clear" w:color="auto" w:fill="auto"/>
            <w:vAlign w:val="center"/>
            <w:hideMark/>
          </w:tcPr>
          <w:p w14:paraId="1BADC968" w14:textId="77777777" w:rsidR="002A120F" w:rsidRPr="00551729" w:rsidRDefault="002A120F" w:rsidP="00B628D7">
            <w:pPr>
              <w:spacing w:after="0" w:line="240" w:lineRule="auto"/>
              <w:jc w:val="both"/>
              <w:rPr>
                <w:rFonts w:ascii="Garamond" w:hAnsi="Garamond"/>
                <w:b/>
                <w:bCs/>
                <w:color w:val="000000"/>
                <w:sz w:val="14"/>
                <w:szCs w:val="14"/>
              </w:rPr>
            </w:pPr>
            <w:r w:rsidRPr="00551729">
              <w:rPr>
                <w:rFonts w:ascii="Garamond" w:hAnsi="Garamond"/>
                <w:b/>
                <w:bCs/>
                <w:color w:val="000000"/>
                <w:sz w:val="14"/>
                <w:szCs w:val="14"/>
              </w:rPr>
              <w:t>TOTALI</w:t>
            </w:r>
          </w:p>
          <w:p w14:paraId="1BADC969" w14:textId="77777777" w:rsidR="002A120F" w:rsidRPr="00551729" w:rsidRDefault="002A120F" w:rsidP="00B628D7">
            <w:pPr>
              <w:spacing w:after="0" w:line="240" w:lineRule="auto"/>
              <w:jc w:val="both"/>
              <w:rPr>
                <w:rFonts w:ascii="Garamond" w:hAnsi="Garamond"/>
                <w:b/>
                <w:bCs/>
                <w:color w:val="000000"/>
                <w:sz w:val="14"/>
                <w:szCs w:val="14"/>
              </w:rPr>
            </w:pPr>
            <w:r w:rsidRPr="00551729">
              <w:rPr>
                <w:rFonts w:ascii="Garamond" w:hAnsi="Garamond"/>
                <w:b/>
                <w:bCs/>
                <w:color w:val="000000"/>
                <w:sz w:val="14"/>
                <w:szCs w:val="14"/>
              </w:rPr>
              <w:t>2020</w:t>
            </w:r>
          </w:p>
        </w:tc>
        <w:tc>
          <w:tcPr>
            <w:tcW w:w="1170" w:type="dxa"/>
            <w:tcBorders>
              <w:top w:val="nil"/>
              <w:left w:val="nil"/>
              <w:bottom w:val="single" w:sz="8" w:space="0" w:color="auto"/>
              <w:right w:val="single" w:sz="4" w:space="0" w:color="auto"/>
            </w:tcBorders>
            <w:shd w:val="clear" w:color="auto" w:fill="auto"/>
            <w:vAlign w:val="center"/>
            <w:hideMark/>
          </w:tcPr>
          <w:p w14:paraId="1BADC96A" w14:textId="77777777" w:rsidR="002A120F" w:rsidRPr="00551729" w:rsidRDefault="002A120F" w:rsidP="00B628D7">
            <w:pPr>
              <w:spacing w:after="0" w:line="240" w:lineRule="auto"/>
              <w:rPr>
                <w:rFonts w:ascii="Garamond" w:hAnsi="Garamond"/>
                <w:b/>
                <w:color w:val="000000"/>
                <w:sz w:val="14"/>
                <w:szCs w:val="14"/>
              </w:rPr>
            </w:pPr>
            <w:r w:rsidRPr="00551729">
              <w:rPr>
                <w:rFonts w:ascii="Garamond" w:hAnsi="Garamond"/>
                <w:b/>
                <w:color w:val="000000"/>
                <w:sz w:val="14"/>
                <w:szCs w:val="14"/>
              </w:rPr>
              <w:t> 1,530,000</w:t>
            </w:r>
          </w:p>
        </w:tc>
        <w:tc>
          <w:tcPr>
            <w:tcW w:w="1226" w:type="dxa"/>
            <w:tcBorders>
              <w:top w:val="nil"/>
              <w:left w:val="nil"/>
              <w:bottom w:val="single" w:sz="8" w:space="0" w:color="auto"/>
              <w:right w:val="single" w:sz="4" w:space="0" w:color="auto"/>
            </w:tcBorders>
            <w:shd w:val="clear" w:color="auto" w:fill="auto"/>
            <w:vAlign w:val="center"/>
            <w:hideMark/>
          </w:tcPr>
          <w:p w14:paraId="1BADC96B" w14:textId="77777777" w:rsidR="002A120F" w:rsidRPr="00551729" w:rsidRDefault="002A120F" w:rsidP="00B628D7">
            <w:pPr>
              <w:spacing w:after="0" w:line="240" w:lineRule="auto"/>
              <w:jc w:val="center"/>
              <w:rPr>
                <w:rFonts w:ascii="Garamond" w:hAnsi="Garamond"/>
                <w:b/>
                <w:color w:val="000000"/>
                <w:sz w:val="14"/>
                <w:szCs w:val="14"/>
              </w:rPr>
            </w:pPr>
            <w:r w:rsidRPr="00551729">
              <w:rPr>
                <w:rFonts w:ascii="Garamond" w:hAnsi="Garamond"/>
                <w:b/>
                <w:color w:val="000000"/>
                <w:sz w:val="14"/>
                <w:szCs w:val="14"/>
              </w:rPr>
              <w:t>270,000</w:t>
            </w:r>
          </w:p>
        </w:tc>
        <w:tc>
          <w:tcPr>
            <w:tcW w:w="1170" w:type="dxa"/>
            <w:tcBorders>
              <w:top w:val="nil"/>
              <w:left w:val="nil"/>
              <w:bottom w:val="single" w:sz="8" w:space="0" w:color="auto"/>
              <w:right w:val="single" w:sz="4" w:space="0" w:color="auto"/>
            </w:tcBorders>
            <w:shd w:val="clear" w:color="auto" w:fill="auto"/>
            <w:vAlign w:val="center"/>
            <w:hideMark/>
          </w:tcPr>
          <w:p w14:paraId="1BADC96C" w14:textId="77777777" w:rsidR="002A120F" w:rsidRPr="00551729" w:rsidRDefault="002A120F" w:rsidP="00B628D7">
            <w:pPr>
              <w:spacing w:after="0" w:line="240" w:lineRule="auto"/>
              <w:jc w:val="center"/>
              <w:rPr>
                <w:rFonts w:ascii="Garamond" w:hAnsi="Garamond"/>
                <w:b/>
                <w:color w:val="000000"/>
                <w:sz w:val="14"/>
                <w:szCs w:val="14"/>
              </w:rPr>
            </w:pPr>
            <w:r w:rsidRPr="00551729">
              <w:rPr>
                <w:rFonts w:ascii="Garamond" w:hAnsi="Garamond"/>
                <w:b/>
                <w:color w:val="000000"/>
                <w:sz w:val="14"/>
                <w:szCs w:val="14"/>
              </w:rPr>
              <w:t>1,800,000</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14:paraId="1BADC96D" w14:textId="77777777" w:rsidR="002A120F" w:rsidRPr="00551729" w:rsidRDefault="002A120F" w:rsidP="00B628D7">
            <w:pPr>
              <w:spacing w:after="0" w:line="240" w:lineRule="auto"/>
              <w:jc w:val="center"/>
              <w:rPr>
                <w:rFonts w:ascii="Garamond" w:hAnsi="Garamond"/>
                <w:b/>
                <w:bCs/>
                <w:color w:val="000000"/>
                <w:sz w:val="14"/>
                <w:szCs w:val="14"/>
              </w:rPr>
            </w:pPr>
            <w:r w:rsidRPr="00551729">
              <w:rPr>
                <w:rFonts w:ascii="Garamond" w:hAnsi="Garamond"/>
                <w:b/>
                <w:bCs/>
                <w:color w:val="000000"/>
                <w:sz w:val="14"/>
                <w:szCs w:val="14"/>
              </w:rPr>
              <w:t>4,930,000</w:t>
            </w:r>
          </w:p>
        </w:tc>
      </w:tr>
    </w:tbl>
    <w:p w14:paraId="1BADC96F" w14:textId="77777777" w:rsidR="006B57CD" w:rsidRPr="00551729" w:rsidRDefault="006B57CD" w:rsidP="002A120F">
      <w:pPr>
        <w:pStyle w:val="TEKSTIII"/>
        <w:rPr>
          <w:rFonts w:eastAsia="Times New Roman" w:cs="Times New Roman"/>
          <w:sz w:val="20"/>
          <w:szCs w:val="20"/>
        </w:rPr>
      </w:pPr>
    </w:p>
    <w:p w14:paraId="1BADC970" w14:textId="77777777" w:rsidR="006718D2" w:rsidRPr="00551729" w:rsidRDefault="006718D2" w:rsidP="002A120F">
      <w:pPr>
        <w:pStyle w:val="TEKSTIII"/>
        <w:rPr>
          <w:rFonts w:eastAsia="Times New Roman" w:cs="Times New Roman"/>
          <w:sz w:val="20"/>
          <w:szCs w:val="20"/>
        </w:rPr>
      </w:pPr>
    </w:p>
    <w:p w14:paraId="1BADC971" w14:textId="77777777" w:rsidR="006718D2" w:rsidRPr="00551729" w:rsidRDefault="006718D2" w:rsidP="002A120F">
      <w:pPr>
        <w:pStyle w:val="TEKSTIII"/>
        <w:rPr>
          <w:rFonts w:eastAsia="Times New Roman" w:cs="Times New Roman"/>
          <w:sz w:val="20"/>
          <w:szCs w:val="20"/>
        </w:rPr>
      </w:pPr>
    </w:p>
    <w:p w14:paraId="1BADC972" w14:textId="19444297" w:rsidR="006718D2" w:rsidRPr="00551729" w:rsidRDefault="006718D2" w:rsidP="006718D2">
      <w:pPr>
        <w:pStyle w:val="TEKSTIII"/>
        <w:rPr>
          <w:sz w:val="20"/>
        </w:rPr>
      </w:pPr>
      <w:r w:rsidRPr="00551729">
        <w:rPr>
          <w:sz w:val="20"/>
        </w:rPr>
        <w:t>Kontributi i Unionit është llogaritur në raport me shpenzimet e pranueshme, që janë bazuar në totalin e shpenzimeve të pranueshme, duke përfshirë shpenzimet publike dhe private. Shkalla e bashkëfinancimit të Unionit në nivel të çdo prioriteti tematik nuk duhet të jetë më pak se 20% dhe jo më e lartë se 85% e shpenzimeve të pranueshme.</w:t>
      </w:r>
    </w:p>
    <w:p w14:paraId="1BADC973" w14:textId="1EBF0453" w:rsidR="006718D2" w:rsidRPr="00551729" w:rsidRDefault="006718D2" w:rsidP="006718D2">
      <w:pPr>
        <w:pStyle w:val="TEKSTIII"/>
        <w:rPr>
          <w:sz w:val="20"/>
        </w:rPr>
      </w:pPr>
      <w:r w:rsidRPr="00551729">
        <w:rPr>
          <w:sz w:val="20"/>
        </w:rPr>
        <w:t xml:space="preserve">** </w:t>
      </w:r>
      <w:r w:rsidR="001B762F">
        <w:rPr>
          <w:sz w:val="20"/>
        </w:rPr>
        <w:t>Bashkë</w:t>
      </w:r>
      <w:r w:rsidRPr="00551729">
        <w:rPr>
          <w:sz w:val="20"/>
        </w:rPr>
        <w:t>financimi i prioriteteve tematike do të sigurohet nga përfituesit e granteve. Përfituesit e grantit duhet të kontribuojnë me një nivel minimal prej 15% të kostos totale të pranueshme të projektit.</w:t>
      </w:r>
    </w:p>
    <w:p w14:paraId="1BADC974" w14:textId="77777777" w:rsidR="007D1A5E" w:rsidRPr="00551729" w:rsidRDefault="007D1A5E" w:rsidP="006718D2">
      <w:pPr>
        <w:pStyle w:val="TEKSTIII"/>
        <w:rPr>
          <w:sz w:val="20"/>
        </w:rPr>
      </w:pPr>
    </w:p>
    <w:p w14:paraId="1BADC975" w14:textId="77777777" w:rsidR="007D1A5E" w:rsidRPr="00551729" w:rsidRDefault="007D1A5E" w:rsidP="006718D2">
      <w:pPr>
        <w:pStyle w:val="TEKSTIII"/>
        <w:rPr>
          <w:sz w:val="20"/>
        </w:rPr>
      </w:pPr>
    </w:p>
    <w:p w14:paraId="1BADC976" w14:textId="77777777" w:rsidR="007D1A5E" w:rsidRPr="00551729" w:rsidRDefault="007D1A5E" w:rsidP="006718D2">
      <w:pPr>
        <w:pStyle w:val="TEKSTIII"/>
        <w:rPr>
          <w:sz w:val="20"/>
        </w:rPr>
      </w:pPr>
    </w:p>
    <w:p w14:paraId="1BADC977" w14:textId="77777777" w:rsidR="007D1A5E" w:rsidRPr="00551729" w:rsidRDefault="007D1A5E" w:rsidP="006718D2">
      <w:pPr>
        <w:pStyle w:val="TEKSTIII"/>
        <w:rPr>
          <w:sz w:val="20"/>
        </w:rPr>
      </w:pPr>
    </w:p>
    <w:p w14:paraId="1BADC978" w14:textId="77777777" w:rsidR="007D1A5E" w:rsidRPr="00551729" w:rsidRDefault="007D1A5E" w:rsidP="006718D2">
      <w:pPr>
        <w:pStyle w:val="TEKSTIII"/>
        <w:rPr>
          <w:sz w:val="20"/>
        </w:rPr>
      </w:pPr>
    </w:p>
    <w:p w14:paraId="1BADC979" w14:textId="77777777" w:rsidR="007D1A5E" w:rsidRPr="00551729" w:rsidRDefault="007D1A5E" w:rsidP="006718D2">
      <w:pPr>
        <w:pStyle w:val="TEKSTIII"/>
        <w:rPr>
          <w:sz w:val="20"/>
        </w:rPr>
      </w:pPr>
    </w:p>
    <w:p w14:paraId="1BADC97A" w14:textId="77777777" w:rsidR="007D1A5E" w:rsidRPr="00551729" w:rsidRDefault="007D1A5E" w:rsidP="006718D2">
      <w:pPr>
        <w:pStyle w:val="TEKSTIII"/>
        <w:rPr>
          <w:rFonts w:eastAsia="Times New Roman" w:cs="Times New Roman"/>
          <w:sz w:val="16"/>
          <w:szCs w:val="20"/>
        </w:rPr>
        <w:sectPr w:rsidR="007D1A5E" w:rsidRPr="00551729" w:rsidSect="00952CD0">
          <w:pgSz w:w="16838" w:h="11906" w:orient="landscape" w:code="9"/>
          <w:pgMar w:top="1440" w:right="1440" w:bottom="1440" w:left="1440" w:header="709" w:footer="709" w:gutter="0"/>
          <w:cols w:space="708"/>
          <w:docGrid w:linePitch="360"/>
        </w:sectPr>
      </w:pPr>
    </w:p>
    <w:p w14:paraId="1BADC97B" w14:textId="3B3DBC31" w:rsidR="007D1A5E" w:rsidRPr="00551729" w:rsidRDefault="007D1A5E" w:rsidP="007D1A5E">
      <w:pPr>
        <w:pStyle w:val="TEKSTIII"/>
      </w:pPr>
      <w:r w:rsidRPr="00551729">
        <w:rPr>
          <w:bCs/>
        </w:rPr>
        <w:t>4</w:t>
      </w:r>
      <w:r w:rsidR="00551729" w:rsidRPr="00551729">
        <w:rPr>
          <w:bCs/>
        </w:rPr>
        <w:t>.</w:t>
      </w:r>
      <w:r w:rsidR="00124F91" w:rsidRPr="00551729">
        <w:t xml:space="preserve"> </w:t>
      </w:r>
      <w:r w:rsidRPr="00551729">
        <w:rPr>
          <w:bCs/>
        </w:rPr>
        <w:t>MARRËVESHJET E MONITORIMIT TË PERFORMANCËS</w:t>
      </w:r>
    </w:p>
    <w:p w14:paraId="1BADC97D" w14:textId="18EFE92E" w:rsidR="007D1A5E" w:rsidRPr="00551729" w:rsidRDefault="007D1A5E" w:rsidP="007D1A5E">
      <w:pPr>
        <w:pStyle w:val="TEKSTIII"/>
      </w:pPr>
      <w:r w:rsidRPr="00551729">
        <w:t xml:space="preserve">Si pjesë e kuadrit të matjes së performancës së tij, Komisioni do të monitorojë dhe </w:t>
      </w:r>
      <w:r w:rsidR="00D127FB">
        <w:t xml:space="preserve">do të </w:t>
      </w:r>
      <w:r w:rsidRPr="00551729">
        <w:t>vlerësojë progresin drejt arritjes së objektivave specifik</w:t>
      </w:r>
      <w:r w:rsidR="000145A2">
        <w:t>ë</w:t>
      </w:r>
      <w:r w:rsidRPr="00551729">
        <w:t xml:space="preserve"> të përcaktuar në Rregulloren e IPA II</w:t>
      </w:r>
      <w:r w:rsidR="000145A2">
        <w:t>,</w:t>
      </w:r>
      <w:r w:rsidRPr="00551729">
        <w:t xml:space="preserve"> në bazë të treguesve të paracaktuar qartë, të matshëm dhe transparentë. Raportet e progresit të përmendura në nenin 4 të </w:t>
      </w:r>
      <w:r w:rsidR="00925623" w:rsidRPr="00551729">
        <w:t xml:space="preserve">rregullores </w:t>
      </w:r>
      <w:r w:rsidRPr="00551729">
        <w:t>së IPA II do të merren si pikë referimi në vlerësimin e rezultateve të asistencës IPA II.</w:t>
      </w:r>
    </w:p>
    <w:p w14:paraId="1BADC97E" w14:textId="49C6C666" w:rsidR="007D1A5E" w:rsidRPr="00551729" w:rsidRDefault="007D1A5E" w:rsidP="007D1A5E">
      <w:pPr>
        <w:pStyle w:val="TEKSTIII"/>
      </w:pPr>
      <w:r w:rsidRPr="00551729">
        <w:t xml:space="preserve">Komisioni do të mbledhë të dhënat të performancës (treguesit e </w:t>
      </w:r>
      <w:r w:rsidR="00A568E6" w:rsidRPr="00551729">
        <w:t>procesit</w:t>
      </w:r>
      <w:r w:rsidRPr="00551729">
        <w:t xml:space="preserve">, treguesit e </w:t>
      </w:r>
      <w:r w:rsidR="00A568E6" w:rsidRPr="00551729">
        <w:t>rezultate</w:t>
      </w:r>
      <w:r w:rsidRPr="00551729">
        <w:t xml:space="preserve"> dhe produkteve) nga të gjitha burimet, të cilat do të mblidhen dhe analizohen në aspektin e ndjekjes së progresit kundrejt objektivave dhe synimeve të përcaktuar për secilin nga veprimet e këtij programi, si dhe </w:t>
      </w:r>
      <w:r w:rsidR="008D1BD2" w:rsidRPr="00551729">
        <w:t>dokumenteve strategjike indikative</w:t>
      </w:r>
      <w:r w:rsidRPr="00551729">
        <w:t>.</w:t>
      </w:r>
    </w:p>
    <w:p w14:paraId="1BADC97F" w14:textId="5107AB9E" w:rsidR="007D1A5E" w:rsidRPr="00551729" w:rsidRDefault="007D1A5E" w:rsidP="007D1A5E">
      <w:pPr>
        <w:pStyle w:val="TEKSTIII"/>
      </w:pPr>
      <w:r w:rsidRPr="00551729">
        <w:t xml:space="preserve">Koordinatorët </w:t>
      </w:r>
      <w:r w:rsidR="00EF729E" w:rsidRPr="00551729">
        <w:t xml:space="preserve">kombëtarë </w:t>
      </w:r>
      <w:r w:rsidR="00EF729E">
        <w:t>të IPA-së</w:t>
      </w:r>
      <w:r w:rsidRPr="00551729">
        <w:t xml:space="preserve"> do të mbledhin informacion mbi perfomancën e projekteve dhe programit (treguesit e </w:t>
      </w:r>
      <w:r w:rsidR="00A568E6" w:rsidRPr="00551729">
        <w:t>procesit</w:t>
      </w:r>
      <w:r w:rsidRPr="00551729">
        <w:t xml:space="preserve">, treguesit e </w:t>
      </w:r>
      <w:r w:rsidR="00A568E6" w:rsidRPr="00551729">
        <w:t>rezultate</w:t>
      </w:r>
      <w:r w:rsidRPr="00551729">
        <w:t xml:space="preserve"> dhe produkteve) dhe do të koordinojnë mbledhjen dhe paraqitjen e treguesve që vijnë nga burimet kombëtare.</w:t>
      </w:r>
    </w:p>
    <w:p w14:paraId="1BADC980" w14:textId="179C9C85" w:rsidR="007D1A5E" w:rsidRPr="00551729" w:rsidRDefault="007D1A5E" w:rsidP="007D1A5E">
      <w:pPr>
        <w:pStyle w:val="TEKSTIII"/>
      </w:pPr>
      <w:r w:rsidRPr="00551729">
        <w:t xml:space="preserve">Progresi i përgjithshëm do të monitorohet nëpërmjet mënyrave të mëposhtme: a) Sistemi i monitorimit të </w:t>
      </w:r>
      <w:r w:rsidR="0077485B" w:rsidRPr="00551729">
        <w:t xml:space="preserve">orientuar drejt rezultateve </w:t>
      </w:r>
      <w:r w:rsidRPr="00551729">
        <w:t>(ROM); b) Vetëmonitorimi i përfituesit të IPA II; c) Vetëmonitorimi i kryer nga delegacionet e BE-së; d) Monitorimi i përbashkët nga Drejtoria e Përgjithshme për Negociatat e Fqinjësisë dhe Zgjerimit (DG-NEAR) dhe përfituesit e IPA II, ku përputhshmëria, koherenca, efektiviteti, efikasiteti dhe koordinimi për zbatimin e asistencës financiare do të monitorohet rregullisht nga një Komiteti i Monitorimit të IPA II, i mbështetur nga Komiteti Përbashkët i Monitorimit, i cili do të sigurojë një proces monitorimi në nivel programi.</w:t>
      </w:r>
    </w:p>
    <w:p w14:paraId="1BADC981" w14:textId="77777777" w:rsidR="007D1A5E" w:rsidRPr="00551729" w:rsidRDefault="007D1A5E" w:rsidP="007D1A5E">
      <w:pPr>
        <w:pStyle w:val="TEKSTIII"/>
      </w:pPr>
      <w:r w:rsidRPr="00551729">
        <w:t>Progresi i përgjithshëm do të jetë objekt i vlerësimit, i cili do të kryhet pas zbatimit të aktiviteteve.</w:t>
      </w:r>
    </w:p>
    <w:p w14:paraId="1BADC982" w14:textId="77777777" w:rsidR="007D1A5E" w:rsidRPr="00551729" w:rsidRDefault="007D1A5E" w:rsidP="007D1A5E">
      <w:pPr>
        <w:pStyle w:val="TEKSTIII"/>
      </w:pPr>
    </w:p>
    <w:p w14:paraId="1BADC983" w14:textId="77777777" w:rsidR="007D1A5E" w:rsidRPr="00551729" w:rsidRDefault="007D1A5E" w:rsidP="00150C60">
      <w:pPr>
        <w:pStyle w:val="TEKSTIII"/>
        <w:jc w:val="center"/>
        <w:rPr>
          <w:b/>
        </w:rPr>
      </w:pPr>
    </w:p>
    <w:p w14:paraId="1BADC984" w14:textId="400F350F" w:rsidR="007D1A5E" w:rsidRPr="006F31B1" w:rsidRDefault="006F31B1" w:rsidP="00150C60">
      <w:pPr>
        <w:pStyle w:val="TEKSTIII"/>
        <w:jc w:val="center"/>
      </w:pPr>
      <w:r w:rsidRPr="006F31B1">
        <w:t>INSTRUMENTI I NDIHMËS SË PARA</w:t>
      </w:r>
      <w:r w:rsidR="00150C60" w:rsidRPr="006F31B1">
        <w:t xml:space="preserve">ANËTARËSIMIT </w:t>
      </w:r>
      <w:bookmarkStart w:id="7" w:name="_bookmark1"/>
      <w:bookmarkEnd w:id="7"/>
      <w:r w:rsidR="00150C60" w:rsidRPr="006F31B1">
        <w:t>2014</w:t>
      </w:r>
      <w:r w:rsidRPr="006F31B1">
        <w:t>–</w:t>
      </w:r>
      <w:r w:rsidR="00150C60" w:rsidRPr="006F31B1">
        <w:t>2020</w:t>
      </w:r>
    </w:p>
    <w:p w14:paraId="1BADC985" w14:textId="77777777" w:rsidR="00313AC8" w:rsidRPr="006F31B1" w:rsidRDefault="00313AC8" w:rsidP="00313AC8">
      <w:pPr>
        <w:pStyle w:val="TEKSTIII"/>
        <w:jc w:val="center"/>
      </w:pPr>
      <w:r w:rsidRPr="006F31B1">
        <w:t>PROGRAMI IPA BNK</w:t>
      </w:r>
    </w:p>
    <w:p w14:paraId="1BADC986" w14:textId="3ECF01F1" w:rsidR="00313AC8" w:rsidRDefault="00313AC8" w:rsidP="00313AC8">
      <w:pPr>
        <w:pStyle w:val="TEKSTIII"/>
        <w:jc w:val="center"/>
      </w:pPr>
      <w:r w:rsidRPr="006F31B1">
        <w:t>MAL I ZI</w:t>
      </w:r>
      <w:r w:rsidR="00551729" w:rsidRPr="006F31B1">
        <w:t>–</w:t>
      </w:r>
      <w:r w:rsidRPr="006F31B1">
        <w:t>SHQIPËRI</w:t>
      </w:r>
    </w:p>
    <w:p w14:paraId="2273660E" w14:textId="77777777" w:rsidR="006F31B1" w:rsidRPr="006F31B1" w:rsidRDefault="006F31B1" w:rsidP="00313AC8">
      <w:pPr>
        <w:pStyle w:val="TEKSTIII"/>
        <w:jc w:val="center"/>
      </w:pPr>
    </w:p>
    <w:p w14:paraId="1BADC987" w14:textId="77777777" w:rsidR="000B3D9B" w:rsidRPr="00551729" w:rsidRDefault="000B3D9B" w:rsidP="000B3D9B">
      <w:pPr>
        <w:pStyle w:val="TEKSTIII"/>
      </w:pPr>
      <w:r w:rsidRPr="00551729">
        <w:t>TABELA E PËRMBAJTJES</w:t>
      </w:r>
    </w:p>
    <w:p w14:paraId="1BADC98A" w14:textId="2B1B68B4" w:rsidR="000B3D9B" w:rsidRPr="00551729" w:rsidRDefault="00FF0EEF" w:rsidP="000B3D9B">
      <w:pPr>
        <w:pStyle w:val="TEKSTIII"/>
      </w:pPr>
      <w:r>
        <w:t>INSTRUMENTI I NDIHMËS SË PARA</w:t>
      </w:r>
      <w:r w:rsidR="000B3D9B" w:rsidRPr="00551729">
        <w:t>ANËTARËSIMIT</w:t>
      </w:r>
    </w:p>
    <w:p w14:paraId="1BADC98B" w14:textId="08D6F328" w:rsidR="000B3D9B" w:rsidRPr="00551729" w:rsidRDefault="000B3D9B" w:rsidP="000B3D9B">
      <w:pPr>
        <w:pStyle w:val="TEKSTIII"/>
      </w:pPr>
      <w:r w:rsidRPr="00551729">
        <w:t>2014</w:t>
      </w:r>
      <w:r w:rsidR="00551729">
        <w:t>–</w:t>
      </w:r>
      <w:r w:rsidRPr="00551729">
        <w:t>2020</w:t>
      </w:r>
    </w:p>
    <w:p w14:paraId="1BADC98C" w14:textId="77777777" w:rsidR="000B3D9B" w:rsidRPr="00551729" w:rsidRDefault="000B3D9B" w:rsidP="000B3D9B">
      <w:pPr>
        <w:pStyle w:val="TEKSTIII"/>
      </w:pPr>
      <w:r w:rsidRPr="00551729">
        <w:t xml:space="preserve">Përmbledhje </w:t>
      </w:r>
    </w:p>
    <w:p w14:paraId="1BADC98D" w14:textId="77777777" w:rsidR="000B3D9B" w:rsidRPr="00551729" w:rsidRDefault="000B3D9B" w:rsidP="000B3D9B">
      <w:pPr>
        <w:pStyle w:val="TEKSTIII"/>
      </w:pPr>
      <w:r w:rsidRPr="00551729">
        <w:t>Seksioni 1: Përmbledhje e Programit</w:t>
      </w:r>
    </w:p>
    <w:p w14:paraId="1BADC98E" w14:textId="17EF3544" w:rsidR="000B3D9B" w:rsidRPr="00551729" w:rsidRDefault="000B3D9B" w:rsidP="000B3D9B">
      <w:pPr>
        <w:pStyle w:val="TEKSTIII"/>
      </w:pPr>
      <w:r w:rsidRPr="00551729">
        <w:t>1.1</w:t>
      </w:r>
      <w:r w:rsidR="00C521D5" w:rsidRPr="00551729">
        <w:t xml:space="preserve"> </w:t>
      </w:r>
      <w:r w:rsidRPr="00551729">
        <w:t>Përmbledhje e Programit</w:t>
      </w:r>
    </w:p>
    <w:p w14:paraId="1BADC98F" w14:textId="0BB96C08" w:rsidR="000B3D9B" w:rsidRPr="00551729" w:rsidRDefault="000B3D9B" w:rsidP="000B3D9B">
      <w:pPr>
        <w:pStyle w:val="TEKSTIII"/>
      </w:pPr>
      <w:r w:rsidRPr="00551729">
        <w:t>1.2</w:t>
      </w:r>
      <w:r w:rsidR="00C521D5" w:rsidRPr="00551729">
        <w:t xml:space="preserve"> </w:t>
      </w:r>
      <w:r w:rsidRPr="00551729">
        <w:t xml:space="preserve">Përgatitja e </w:t>
      </w:r>
      <w:r w:rsidR="003A2A0C" w:rsidRPr="00551729">
        <w:t xml:space="preserve">Programit </w:t>
      </w:r>
      <w:r w:rsidRPr="00551729">
        <w:t xml:space="preserve">dhe përfshirja e partnerëve </w:t>
      </w:r>
    </w:p>
    <w:p w14:paraId="1BADC990" w14:textId="77777777" w:rsidR="000B3D9B" w:rsidRPr="00551729" w:rsidRDefault="000B3D9B" w:rsidP="000B3D9B">
      <w:pPr>
        <w:pStyle w:val="TEKSTIII"/>
      </w:pPr>
      <w:r w:rsidRPr="00551729">
        <w:t>Seksioni 2: Zona e Programit</w:t>
      </w:r>
      <w:r w:rsidR="00124F91" w:rsidRPr="00551729">
        <w:t xml:space="preserve"> </w:t>
      </w:r>
    </w:p>
    <w:p w14:paraId="1BADC991" w14:textId="618D64E4" w:rsidR="000B3D9B" w:rsidRPr="00551729" w:rsidRDefault="000B3D9B" w:rsidP="000B3D9B">
      <w:pPr>
        <w:pStyle w:val="TEKSTIII"/>
      </w:pPr>
      <w:r w:rsidRPr="00551729">
        <w:t>2.1</w:t>
      </w:r>
      <w:r w:rsidR="00124F91" w:rsidRPr="00551729">
        <w:t xml:space="preserve"> </w:t>
      </w:r>
      <w:r w:rsidRPr="00551729">
        <w:t xml:space="preserve">Analiza e </w:t>
      </w:r>
      <w:r w:rsidR="00CB37FC" w:rsidRPr="00551729">
        <w:t xml:space="preserve">situatës </w:t>
      </w:r>
    </w:p>
    <w:p w14:paraId="1BADC992" w14:textId="4E7B4D81" w:rsidR="00365141" w:rsidRPr="00551729" w:rsidRDefault="000B3D9B" w:rsidP="000B3D9B">
      <w:pPr>
        <w:pStyle w:val="TEKSTIII"/>
      </w:pPr>
      <w:r w:rsidRPr="00551729">
        <w:t>Gjeografia</w:t>
      </w:r>
      <w:r w:rsidR="00C521D5" w:rsidRPr="00551729">
        <w:t xml:space="preserve"> </w:t>
      </w:r>
    </w:p>
    <w:p w14:paraId="1BADC993" w14:textId="77777777" w:rsidR="00365141" w:rsidRPr="00551729" w:rsidRDefault="000B3D9B" w:rsidP="000B3D9B">
      <w:pPr>
        <w:pStyle w:val="TEKSTIII"/>
      </w:pPr>
      <w:r w:rsidRPr="00551729">
        <w:t>Demografia</w:t>
      </w:r>
    </w:p>
    <w:p w14:paraId="1BADC994" w14:textId="6B592CDF" w:rsidR="00365141" w:rsidRPr="00551729" w:rsidRDefault="00365141" w:rsidP="000B3D9B">
      <w:pPr>
        <w:pStyle w:val="TEKSTIII"/>
      </w:pPr>
      <w:r w:rsidRPr="00551729">
        <w:t>Varfëria</w:t>
      </w:r>
      <w:r w:rsidR="00C521D5" w:rsidRPr="00551729">
        <w:t xml:space="preserve"> </w:t>
      </w:r>
    </w:p>
    <w:p w14:paraId="1BADC995" w14:textId="77777777" w:rsidR="00365141" w:rsidRPr="00551729" w:rsidRDefault="00365141" w:rsidP="000B3D9B">
      <w:pPr>
        <w:pStyle w:val="TEKSTIII"/>
      </w:pPr>
      <w:r w:rsidRPr="00551729">
        <w:t>Ekonomia</w:t>
      </w:r>
      <w:r w:rsidR="00124F91" w:rsidRPr="00551729">
        <w:t xml:space="preserve"> </w:t>
      </w:r>
    </w:p>
    <w:p w14:paraId="1BADC996" w14:textId="1E163EC3" w:rsidR="00365141" w:rsidRPr="00551729" w:rsidRDefault="00365141" w:rsidP="000B3D9B">
      <w:pPr>
        <w:pStyle w:val="TEKSTIII"/>
      </w:pPr>
      <w:r w:rsidRPr="00551729">
        <w:t xml:space="preserve">Sektori </w:t>
      </w:r>
      <w:r w:rsidR="00CB37FC" w:rsidRPr="00551729">
        <w:t xml:space="preserve">privat </w:t>
      </w:r>
    </w:p>
    <w:p w14:paraId="1BADC997" w14:textId="3BC15448" w:rsidR="00365141" w:rsidRPr="00551729" w:rsidRDefault="00365141" w:rsidP="000B3D9B">
      <w:pPr>
        <w:pStyle w:val="TEKSTIII"/>
      </w:pPr>
      <w:r w:rsidRPr="00551729">
        <w:t xml:space="preserve">Bujqësia dhe </w:t>
      </w:r>
      <w:r w:rsidR="00CB37FC" w:rsidRPr="00551729">
        <w:t xml:space="preserve">Zhvillimi Rural </w:t>
      </w:r>
    </w:p>
    <w:p w14:paraId="1BADC998" w14:textId="5A903101" w:rsidR="00365141" w:rsidRPr="00551729" w:rsidRDefault="00365141" w:rsidP="000B3D9B">
      <w:pPr>
        <w:pStyle w:val="TEKSTIII"/>
      </w:pPr>
      <w:r w:rsidRPr="00551729">
        <w:t>Turizmi</w:t>
      </w:r>
      <w:r w:rsidR="00124F91" w:rsidRPr="00551729">
        <w:t xml:space="preserve"> </w:t>
      </w:r>
    </w:p>
    <w:p w14:paraId="1BADC999" w14:textId="68B4E973" w:rsidR="00365141" w:rsidRPr="00551729" w:rsidRDefault="00365141" w:rsidP="000B3D9B">
      <w:pPr>
        <w:pStyle w:val="TEKSTIII"/>
      </w:pPr>
      <w:r w:rsidRPr="00551729">
        <w:t>Infrastruktura</w:t>
      </w:r>
      <w:r w:rsidR="00124F91" w:rsidRPr="00551729">
        <w:t xml:space="preserve"> </w:t>
      </w:r>
    </w:p>
    <w:p w14:paraId="1BADC99A" w14:textId="7F6CC4CE" w:rsidR="00365141" w:rsidRPr="00551729" w:rsidRDefault="00365141" w:rsidP="000B3D9B">
      <w:pPr>
        <w:pStyle w:val="TEKSTIII"/>
      </w:pPr>
      <w:r w:rsidRPr="00551729">
        <w:t>Sociale</w:t>
      </w:r>
      <w:r w:rsidR="00C521D5" w:rsidRPr="00551729">
        <w:t xml:space="preserve"> </w:t>
      </w:r>
    </w:p>
    <w:p w14:paraId="1BADC99B" w14:textId="77777777" w:rsidR="00365141" w:rsidRPr="00551729" w:rsidRDefault="00365141" w:rsidP="000B3D9B">
      <w:pPr>
        <w:pStyle w:val="TEKSTIII"/>
      </w:pPr>
      <w:r w:rsidRPr="00551729">
        <w:t>Tregu i punës</w:t>
      </w:r>
      <w:r w:rsidR="00124F91" w:rsidRPr="00551729">
        <w:t xml:space="preserve"> </w:t>
      </w:r>
    </w:p>
    <w:p w14:paraId="1BADC99C" w14:textId="0AC6FF7C" w:rsidR="00365141" w:rsidRPr="00551729" w:rsidRDefault="00365141" w:rsidP="000B3D9B">
      <w:pPr>
        <w:pStyle w:val="TEKSTIII"/>
      </w:pPr>
      <w:r w:rsidRPr="00551729">
        <w:t>Arsimi</w:t>
      </w:r>
      <w:r w:rsidR="00124F91" w:rsidRPr="00551729">
        <w:t xml:space="preserve"> </w:t>
      </w:r>
    </w:p>
    <w:p w14:paraId="1BADC99D" w14:textId="0F43FA36" w:rsidR="00365141" w:rsidRPr="00551729" w:rsidRDefault="00365141" w:rsidP="000B3D9B">
      <w:pPr>
        <w:pStyle w:val="TEKSTIII"/>
      </w:pPr>
      <w:r w:rsidRPr="00551729">
        <w:t>Shëndetësia</w:t>
      </w:r>
      <w:r w:rsidR="00124F91" w:rsidRPr="00551729">
        <w:t xml:space="preserve"> </w:t>
      </w:r>
    </w:p>
    <w:p w14:paraId="1BADC99E" w14:textId="3DE2AC01" w:rsidR="00365141" w:rsidRPr="00551729" w:rsidRDefault="00365141" w:rsidP="000B3D9B">
      <w:pPr>
        <w:pStyle w:val="TEKSTIII"/>
      </w:pPr>
      <w:r w:rsidRPr="00551729">
        <w:t>Kultura</w:t>
      </w:r>
      <w:r w:rsidR="00124F91" w:rsidRPr="00551729">
        <w:t xml:space="preserve"> </w:t>
      </w:r>
    </w:p>
    <w:p w14:paraId="1BADC99F" w14:textId="700F5FDB" w:rsidR="00365141" w:rsidRPr="00551729" w:rsidRDefault="00365141" w:rsidP="000B3D9B">
      <w:pPr>
        <w:pStyle w:val="TEKSTIII"/>
      </w:pPr>
      <w:r w:rsidRPr="00551729">
        <w:t xml:space="preserve">Shoqëria </w:t>
      </w:r>
      <w:r w:rsidR="00CB37FC" w:rsidRPr="00551729">
        <w:t xml:space="preserve">civile </w:t>
      </w:r>
    </w:p>
    <w:p w14:paraId="1BADC9A0" w14:textId="541B42AB" w:rsidR="000B3D9B" w:rsidRPr="00551729" w:rsidRDefault="000B3D9B" w:rsidP="000B3D9B">
      <w:pPr>
        <w:pStyle w:val="TEKSTIII"/>
      </w:pPr>
      <w:r w:rsidRPr="00551729">
        <w:t xml:space="preserve">Mjedisi dhe </w:t>
      </w:r>
      <w:r w:rsidR="00CB37FC" w:rsidRPr="00551729">
        <w:t xml:space="preserve">natyra </w:t>
      </w:r>
    </w:p>
    <w:p w14:paraId="1BADC9A1" w14:textId="2592D87B" w:rsidR="00365141" w:rsidRPr="00551729" w:rsidRDefault="000B3D9B" w:rsidP="000B3D9B">
      <w:pPr>
        <w:pStyle w:val="TEKSTIII"/>
      </w:pPr>
      <w:r w:rsidRPr="00551729">
        <w:t>2.2</w:t>
      </w:r>
      <w:r w:rsidR="00C521D5" w:rsidRPr="00551729">
        <w:t xml:space="preserve"> </w:t>
      </w:r>
      <w:r w:rsidR="00365141" w:rsidRPr="00551729">
        <w:t xml:space="preserve">Gjetjet </w:t>
      </w:r>
      <w:r w:rsidR="00CB37FC" w:rsidRPr="00551729">
        <w:t xml:space="preserve">kryesore </w:t>
      </w:r>
    </w:p>
    <w:p w14:paraId="1BADC9A2" w14:textId="416F656B" w:rsidR="000B3D9B" w:rsidRPr="00551729" w:rsidRDefault="000B3D9B" w:rsidP="000B3D9B">
      <w:pPr>
        <w:pStyle w:val="TEKSTIII"/>
      </w:pPr>
      <w:r w:rsidRPr="00551729">
        <w:t>Seksi</w:t>
      </w:r>
      <w:r w:rsidR="00365141" w:rsidRPr="00551729">
        <w:t>oni 3: Strategjia e Programit</w:t>
      </w:r>
      <w:r w:rsidR="00124F91" w:rsidRPr="00551729">
        <w:t xml:space="preserve"> </w:t>
      </w:r>
    </w:p>
    <w:p w14:paraId="1BADC9A3" w14:textId="64E7EBB5" w:rsidR="000B3D9B" w:rsidRPr="00551729" w:rsidRDefault="000B3D9B" w:rsidP="000B3D9B">
      <w:pPr>
        <w:pStyle w:val="TEKSTIII"/>
      </w:pPr>
      <w:r w:rsidRPr="00551729">
        <w:t>3.1</w:t>
      </w:r>
      <w:r w:rsidR="00124F91" w:rsidRPr="00551729">
        <w:t xml:space="preserve"> </w:t>
      </w:r>
      <w:r w:rsidRPr="00551729">
        <w:t xml:space="preserve">Arsyetim </w:t>
      </w:r>
      <w:r w:rsidR="00CB37FC">
        <w:t>–</w:t>
      </w:r>
      <w:r w:rsidRPr="00551729">
        <w:t xml:space="preserve"> Arsyetimi për strateg</w:t>
      </w:r>
      <w:r w:rsidR="00365141" w:rsidRPr="00551729">
        <w:t>jinë e zgjedhur të ndërhyrjes</w:t>
      </w:r>
      <w:r w:rsidR="00124F91" w:rsidRPr="00551729">
        <w:t xml:space="preserve"> </w:t>
      </w:r>
    </w:p>
    <w:p w14:paraId="1BADC9A4" w14:textId="6992A1B8" w:rsidR="000B3D9B" w:rsidRPr="00551729" w:rsidRDefault="000B3D9B" w:rsidP="000B3D9B">
      <w:pPr>
        <w:pStyle w:val="TEKSTIII"/>
      </w:pPr>
      <w:r w:rsidRPr="00551729">
        <w:t>3.2</w:t>
      </w:r>
      <w:r w:rsidR="00124F91" w:rsidRPr="00551729">
        <w:t xml:space="preserve"> </w:t>
      </w:r>
      <w:r w:rsidRPr="00551729">
        <w:t>Përshkrim</w:t>
      </w:r>
      <w:r w:rsidR="00365141" w:rsidRPr="00551729">
        <w:t>i i prioriteteve të programit</w:t>
      </w:r>
      <w:r w:rsidR="00124F91" w:rsidRPr="00551729">
        <w:t xml:space="preserve"> </w:t>
      </w:r>
    </w:p>
    <w:p w14:paraId="1BADC9A5" w14:textId="0B379B01" w:rsidR="00365141" w:rsidRPr="00551729" w:rsidRDefault="000B3D9B" w:rsidP="000B3D9B">
      <w:pPr>
        <w:pStyle w:val="TEKSTIII"/>
      </w:pPr>
      <w:r w:rsidRPr="00551729">
        <w:t>3.3</w:t>
      </w:r>
      <w:r w:rsidR="00C521D5" w:rsidRPr="00551729">
        <w:t xml:space="preserve"> </w:t>
      </w:r>
      <w:r w:rsidRPr="00551729">
        <w:t>Çështjet ho</w:t>
      </w:r>
      <w:r w:rsidR="00365141" w:rsidRPr="00551729">
        <w:t>rizontale dhe të ndërthurura</w:t>
      </w:r>
      <w:r w:rsidR="00C521D5" w:rsidRPr="00551729">
        <w:t xml:space="preserve"> </w:t>
      </w:r>
    </w:p>
    <w:p w14:paraId="1BADC9A6" w14:textId="50AAC878" w:rsidR="00365141" w:rsidRPr="00551729" w:rsidRDefault="000B3D9B" w:rsidP="000B3D9B">
      <w:pPr>
        <w:pStyle w:val="TEKSTIII"/>
      </w:pPr>
      <w:r w:rsidRPr="00551729">
        <w:t xml:space="preserve">Seksioni 4: Plani </w:t>
      </w:r>
      <w:r w:rsidR="00CB37FC" w:rsidRPr="00551729">
        <w:t xml:space="preserve">financiar </w:t>
      </w:r>
    </w:p>
    <w:p w14:paraId="1BADC9A7" w14:textId="08C5612C" w:rsidR="000B3D9B" w:rsidRPr="00551729" w:rsidRDefault="000B3D9B" w:rsidP="000B3D9B">
      <w:pPr>
        <w:pStyle w:val="TEKSTIII"/>
      </w:pPr>
      <w:r w:rsidRPr="00551729">
        <w:t>Sek</w:t>
      </w:r>
      <w:r w:rsidR="00365141" w:rsidRPr="00551729">
        <w:t xml:space="preserve">sioni 5: Dispozitat </w:t>
      </w:r>
      <w:r w:rsidR="00CB37FC" w:rsidRPr="00551729">
        <w:t xml:space="preserve">zbatuese </w:t>
      </w:r>
    </w:p>
    <w:p w14:paraId="1BADC9A9" w14:textId="77777777" w:rsidR="000B3D9B" w:rsidRPr="00551729" w:rsidRDefault="00365141" w:rsidP="000B3D9B">
      <w:pPr>
        <w:pStyle w:val="TEKSTIII"/>
      </w:pPr>
      <w:r w:rsidRPr="00551729">
        <w:t>1.</w:t>
      </w:r>
      <w:r w:rsidR="00124F91" w:rsidRPr="00551729">
        <w:t xml:space="preserve"> </w:t>
      </w:r>
      <w:r w:rsidRPr="00551729">
        <w:t>HYRJE</w:t>
      </w:r>
      <w:r w:rsidR="00124F91" w:rsidRPr="00551729">
        <w:t xml:space="preserve"> </w:t>
      </w:r>
    </w:p>
    <w:p w14:paraId="1BADC9AA" w14:textId="5B86CAD9" w:rsidR="000B3D9B" w:rsidRPr="00551729" w:rsidRDefault="00365141" w:rsidP="000B3D9B">
      <w:pPr>
        <w:pStyle w:val="TEKSTIII"/>
      </w:pPr>
      <w:r w:rsidRPr="00551729">
        <w:t>2.</w:t>
      </w:r>
      <w:r w:rsidR="00C521D5" w:rsidRPr="00551729">
        <w:t xml:space="preserve"> </w:t>
      </w:r>
      <w:r w:rsidRPr="00551729">
        <w:t>ANALIZA PESTLE</w:t>
      </w:r>
      <w:r w:rsidR="00124F91" w:rsidRPr="00551729">
        <w:t xml:space="preserve"> </w:t>
      </w:r>
    </w:p>
    <w:p w14:paraId="1BADC9AB" w14:textId="5D20D9D8" w:rsidR="000B3D9B" w:rsidRPr="00551729" w:rsidRDefault="000B3D9B" w:rsidP="000B3D9B">
      <w:pPr>
        <w:pStyle w:val="TEKSTIII"/>
      </w:pPr>
      <w:r w:rsidRPr="00551729">
        <w:t>2.1</w:t>
      </w:r>
      <w:r w:rsidR="00C521D5" w:rsidRPr="00551729">
        <w:t xml:space="preserve"> </w:t>
      </w:r>
      <w:r w:rsidRPr="00551729">
        <w:t>Reformat politike d</w:t>
      </w:r>
      <w:r w:rsidR="00365141" w:rsidRPr="00551729">
        <w:t>he procesi i integrimit në BE</w:t>
      </w:r>
      <w:r w:rsidR="00124F91" w:rsidRPr="00551729">
        <w:t xml:space="preserve"> </w:t>
      </w:r>
    </w:p>
    <w:p w14:paraId="1BADC9AC" w14:textId="1AA4D353" w:rsidR="000B3D9B" w:rsidRPr="00551729" w:rsidRDefault="00365141" w:rsidP="000B3D9B">
      <w:pPr>
        <w:pStyle w:val="TEKSTIII"/>
      </w:pPr>
      <w:r w:rsidRPr="00551729">
        <w:t xml:space="preserve">Konteksti </w:t>
      </w:r>
      <w:r w:rsidR="004F7C3F" w:rsidRPr="00551729">
        <w:t xml:space="preserve">ekonomik i vendit </w:t>
      </w:r>
    </w:p>
    <w:p w14:paraId="1BADC9AD" w14:textId="50522CB4" w:rsidR="000B3D9B" w:rsidRPr="00551729" w:rsidRDefault="000B3D9B" w:rsidP="000B3D9B">
      <w:pPr>
        <w:pStyle w:val="TEKSTIII"/>
      </w:pPr>
      <w:r w:rsidRPr="00551729">
        <w:t>2.2</w:t>
      </w:r>
      <w:r w:rsidR="00C521D5" w:rsidRPr="00551729">
        <w:t xml:space="preserve"> </w:t>
      </w:r>
      <w:r w:rsidRPr="00551729">
        <w:t>KARAKTERISTIKAT EK</w:t>
      </w:r>
      <w:r w:rsidR="00365141" w:rsidRPr="00551729">
        <w:t>ONOMIKE TË ZONËS SË PROGRAMIT</w:t>
      </w:r>
      <w:r w:rsidR="00124F91" w:rsidRPr="00551729">
        <w:t xml:space="preserve"> </w:t>
      </w:r>
    </w:p>
    <w:p w14:paraId="1BADC9AE" w14:textId="495F7897" w:rsidR="000B3D9B" w:rsidRPr="00551729" w:rsidRDefault="00365141" w:rsidP="000B3D9B">
      <w:pPr>
        <w:pStyle w:val="TEKSTIII"/>
      </w:pPr>
      <w:r w:rsidRPr="00551729">
        <w:t>2.2.1</w:t>
      </w:r>
      <w:r w:rsidR="00124F91" w:rsidRPr="00551729">
        <w:t xml:space="preserve"> </w:t>
      </w:r>
      <w:r w:rsidRPr="00551729">
        <w:t xml:space="preserve">Sektori </w:t>
      </w:r>
      <w:r w:rsidR="004F7C3F" w:rsidRPr="00551729">
        <w:t xml:space="preserve">privat </w:t>
      </w:r>
    </w:p>
    <w:p w14:paraId="1BADC9AF" w14:textId="77777777" w:rsidR="000B3D9B" w:rsidRPr="00551729" w:rsidRDefault="000B3D9B" w:rsidP="000B3D9B">
      <w:pPr>
        <w:pStyle w:val="TEKSTIII"/>
      </w:pPr>
      <w:r w:rsidRPr="00551729">
        <w:t>2.2.2</w:t>
      </w:r>
      <w:r w:rsidR="00124F91" w:rsidRPr="00551729">
        <w:t xml:space="preserve"> </w:t>
      </w:r>
      <w:r w:rsidRPr="00551729">
        <w:t>Tregu</w:t>
      </w:r>
      <w:r w:rsidR="00365141" w:rsidRPr="00551729">
        <w:t xml:space="preserve"> i punës</w:t>
      </w:r>
      <w:r w:rsidR="00124F91" w:rsidRPr="00551729">
        <w:t xml:space="preserve"> </w:t>
      </w:r>
    </w:p>
    <w:p w14:paraId="1BADC9B0" w14:textId="350BE621" w:rsidR="000B3D9B" w:rsidRPr="00551729" w:rsidRDefault="000B3D9B" w:rsidP="000B3D9B">
      <w:pPr>
        <w:pStyle w:val="TEKSTIII"/>
      </w:pPr>
      <w:r w:rsidRPr="00551729">
        <w:t>2.2.3</w:t>
      </w:r>
      <w:r w:rsidR="00124F91" w:rsidRPr="00551729">
        <w:t xml:space="preserve"> </w:t>
      </w:r>
      <w:r w:rsidR="00365141" w:rsidRPr="00551729">
        <w:t xml:space="preserve">Bujqësia dhe </w:t>
      </w:r>
      <w:r w:rsidR="004F7C3F" w:rsidRPr="00551729">
        <w:t xml:space="preserve">zhvillimi </w:t>
      </w:r>
      <w:r w:rsidR="00365141" w:rsidRPr="00551729">
        <w:t>rural</w:t>
      </w:r>
      <w:r w:rsidR="00124F91" w:rsidRPr="00551729">
        <w:t xml:space="preserve"> </w:t>
      </w:r>
    </w:p>
    <w:p w14:paraId="1BADC9B1" w14:textId="77777777" w:rsidR="000B3D9B" w:rsidRPr="00551729" w:rsidRDefault="00365141" w:rsidP="000B3D9B">
      <w:pPr>
        <w:pStyle w:val="TEKSTIII"/>
      </w:pPr>
      <w:r w:rsidRPr="00551729">
        <w:t>2.2.4</w:t>
      </w:r>
      <w:r w:rsidR="00124F91" w:rsidRPr="00551729">
        <w:t xml:space="preserve"> </w:t>
      </w:r>
      <w:r w:rsidRPr="00551729">
        <w:t>Turizmi</w:t>
      </w:r>
      <w:r w:rsidR="00124F91" w:rsidRPr="00551729">
        <w:t xml:space="preserve"> </w:t>
      </w:r>
    </w:p>
    <w:p w14:paraId="1BADC9B2" w14:textId="77777777" w:rsidR="000B3D9B" w:rsidRPr="00551729" w:rsidRDefault="00365141" w:rsidP="000B3D9B">
      <w:pPr>
        <w:pStyle w:val="TEKSTIII"/>
      </w:pPr>
      <w:r w:rsidRPr="00551729">
        <w:t>2.3</w:t>
      </w:r>
      <w:r w:rsidR="00124F91" w:rsidRPr="00551729">
        <w:t xml:space="preserve"> </w:t>
      </w:r>
      <w:r w:rsidRPr="00551729">
        <w:t>SOCIALE</w:t>
      </w:r>
      <w:r w:rsidR="00124F91" w:rsidRPr="00551729">
        <w:t xml:space="preserve"> </w:t>
      </w:r>
    </w:p>
    <w:p w14:paraId="1BADC9B3" w14:textId="77777777" w:rsidR="00365141" w:rsidRPr="00551729" w:rsidRDefault="00365141" w:rsidP="000B3D9B">
      <w:pPr>
        <w:pStyle w:val="TEKSTIII"/>
      </w:pPr>
      <w:r w:rsidRPr="00551729">
        <w:t>2.3.1</w:t>
      </w:r>
      <w:r w:rsidR="00124F91" w:rsidRPr="00551729">
        <w:t xml:space="preserve"> </w:t>
      </w:r>
      <w:r w:rsidRPr="00551729">
        <w:t>Demografia</w:t>
      </w:r>
      <w:r w:rsidR="00124F91" w:rsidRPr="00551729">
        <w:t xml:space="preserve"> </w:t>
      </w:r>
    </w:p>
    <w:p w14:paraId="1BADC9B4" w14:textId="7E371D09" w:rsidR="00365141" w:rsidRPr="00551729" w:rsidRDefault="00365141" w:rsidP="000B3D9B">
      <w:pPr>
        <w:pStyle w:val="TEKSTIII"/>
      </w:pPr>
      <w:r w:rsidRPr="00551729">
        <w:t>Dendësia</w:t>
      </w:r>
      <w:r w:rsidR="00C521D5" w:rsidRPr="00551729">
        <w:t xml:space="preserve"> </w:t>
      </w:r>
    </w:p>
    <w:p w14:paraId="1BADC9B5" w14:textId="1B6148EB" w:rsidR="00365141" w:rsidRPr="00551729" w:rsidRDefault="00365141" w:rsidP="000B3D9B">
      <w:pPr>
        <w:pStyle w:val="TEKSTIII"/>
      </w:pPr>
      <w:r w:rsidRPr="00551729">
        <w:t>Minoritetet</w:t>
      </w:r>
      <w:r w:rsidR="00124F91" w:rsidRPr="00551729">
        <w:t xml:space="preserve"> </w:t>
      </w:r>
    </w:p>
    <w:p w14:paraId="1BADC9B6" w14:textId="248848E5" w:rsidR="000B3D9B" w:rsidRPr="00551729" w:rsidRDefault="00365141" w:rsidP="000B3D9B">
      <w:pPr>
        <w:pStyle w:val="TEKSTIII"/>
      </w:pPr>
      <w:r w:rsidRPr="00551729">
        <w:t>Varfëria</w:t>
      </w:r>
      <w:r w:rsidR="00124F91" w:rsidRPr="00551729">
        <w:t xml:space="preserve"> </w:t>
      </w:r>
    </w:p>
    <w:p w14:paraId="1BADC9B7" w14:textId="77777777" w:rsidR="000B3D9B" w:rsidRPr="00551729" w:rsidRDefault="00365141" w:rsidP="000B3D9B">
      <w:pPr>
        <w:pStyle w:val="TEKSTIII"/>
      </w:pPr>
      <w:r w:rsidRPr="00551729">
        <w:t>2.3.2</w:t>
      </w:r>
      <w:r w:rsidR="00124F91" w:rsidRPr="00551729">
        <w:t xml:space="preserve"> </w:t>
      </w:r>
      <w:r w:rsidRPr="00551729">
        <w:t>Arsimi</w:t>
      </w:r>
      <w:r w:rsidR="00124F91" w:rsidRPr="00551729">
        <w:t xml:space="preserve"> </w:t>
      </w:r>
    </w:p>
    <w:p w14:paraId="1BADC9B8" w14:textId="77777777" w:rsidR="000B3D9B" w:rsidRPr="00551729" w:rsidRDefault="00365141" w:rsidP="000B3D9B">
      <w:pPr>
        <w:pStyle w:val="TEKSTIII"/>
      </w:pPr>
      <w:r w:rsidRPr="00551729">
        <w:t>2.3.3</w:t>
      </w:r>
      <w:r w:rsidR="00124F91" w:rsidRPr="00551729">
        <w:t xml:space="preserve"> </w:t>
      </w:r>
      <w:r w:rsidRPr="00551729">
        <w:t>Shëndetësia</w:t>
      </w:r>
      <w:r w:rsidR="00124F91" w:rsidRPr="00551729">
        <w:t xml:space="preserve"> </w:t>
      </w:r>
    </w:p>
    <w:p w14:paraId="1BADC9B9" w14:textId="77777777" w:rsidR="000B3D9B" w:rsidRPr="00551729" w:rsidRDefault="00365141" w:rsidP="000B3D9B">
      <w:pPr>
        <w:pStyle w:val="TEKSTIII"/>
      </w:pPr>
      <w:r w:rsidRPr="00551729">
        <w:t>2.3.4</w:t>
      </w:r>
      <w:r w:rsidR="00124F91" w:rsidRPr="00551729">
        <w:t xml:space="preserve"> </w:t>
      </w:r>
      <w:r w:rsidRPr="00551729">
        <w:t>Kultura</w:t>
      </w:r>
      <w:r w:rsidR="00124F91" w:rsidRPr="00551729">
        <w:t xml:space="preserve"> </w:t>
      </w:r>
    </w:p>
    <w:p w14:paraId="1BADC9BA" w14:textId="4215C6F6" w:rsidR="000B3D9B" w:rsidRPr="00551729" w:rsidRDefault="00365141" w:rsidP="000B3D9B">
      <w:pPr>
        <w:pStyle w:val="TEKSTIII"/>
      </w:pPr>
      <w:r w:rsidRPr="00551729">
        <w:t>2.3.5</w:t>
      </w:r>
      <w:r w:rsidR="00124F91" w:rsidRPr="00551729">
        <w:t xml:space="preserve"> </w:t>
      </w:r>
      <w:r w:rsidRPr="00551729">
        <w:t xml:space="preserve">Shoqëria </w:t>
      </w:r>
      <w:r w:rsidR="004F7C3F" w:rsidRPr="00551729">
        <w:t xml:space="preserve">civile </w:t>
      </w:r>
    </w:p>
    <w:p w14:paraId="1BADC9BB" w14:textId="77777777" w:rsidR="000B3D9B" w:rsidRPr="00551729" w:rsidRDefault="00365141" w:rsidP="000B3D9B">
      <w:pPr>
        <w:pStyle w:val="TEKSTIII"/>
      </w:pPr>
      <w:r w:rsidRPr="00551729">
        <w:t>2.4</w:t>
      </w:r>
      <w:r w:rsidR="00124F91" w:rsidRPr="00551729">
        <w:t xml:space="preserve"> </w:t>
      </w:r>
      <w:r w:rsidRPr="00551729">
        <w:t>INFRASTRUKTURA</w:t>
      </w:r>
      <w:r w:rsidR="00124F91" w:rsidRPr="00551729">
        <w:t xml:space="preserve"> </w:t>
      </w:r>
    </w:p>
    <w:p w14:paraId="1BADC9BC" w14:textId="77777777" w:rsidR="000B3D9B" w:rsidRPr="00551729" w:rsidRDefault="00365141" w:rsidP="000B3D9B">
      <w:pPr>
        <w:pStyle w:val="TEKSTIII"/>
      </w:pPr>
      <w:r w:rsidRPr="00551729">
        <w:t>2.5</w:t>
      </w:r>
      <w:r w:rsidR="00124F91" w:rsidRPr="00551729">
        <w:t xml:space="preserve"> </w:t>
      </w:r>
      <w:r w:rsidRPr="00551729">
        <w:t>MJEDISI</w:t>
      </w:r>
      <w:r w:rsidR="00124F91" w:rsidRPr="00551729">
        <w:t xml:space="preserve"> </w:t>
      </w:r>
    </w:p>
    <w:p w14:paraId="1BADC9BD" w14:textId="77777777" w:rsidR="000B3D9B" w:rsidRPr="00551729" w:rsidRDefault="000B3D9B" w:rsidP="000B3D9B">
      <w:pPr>
        <w:pStyle w:val="TEKSTIII"/>
      </w:pPr>
      <w:r w:rsidRPr="00551729">
        <w:t>2.6</w:t>
      </w:r>
      <w:r w:rsidR="00124F91" w:rsidRPr="00551729">
        <w:t xml:space="preserve"> </w:t>
      </w:r>
      <w:r w:rsidRPr="00551729">
        <w:t>MARRËVESHJ</w:t>
      </w:r>
      <w:r w:rsidR="00365141" w:rsidRPr="00551729">
        <w:t>ET LIGJORE DHE INSTITUCIONALE</w:t>
      </w:r>
      <w:r w:rsidR="00124F91" w:rsidRPr="00551729">
        <w:t xml:space="preserve"> </w:t>
      </w:r>
    </w:p>
    <w:p w14:paraId="1BADC9BE" w14:textId="77777777" w:rsidR="000B3D9B" w:rsidRPr="00551729" w:rsidRDefault="00365141" w:rsidP="000B3D9B">
      <w:pPr>
        <w:pStyle w:val="TEKSTIII"/>
      </w:pPr>
      <w:r w:rsidRPr="00551729">
        <w:t>3.7.</w:t>
      </w:r>
      <w:r w:rsidR="00124F91" w:rsidRPr="00551729">
        <w:t xml:space="preserve"> </w:t>
      </w:r>
      <w:r w:rsidRPr="00551729">
        <w:t>KONKLUZIONE</w:t>
      </w:r>
      <w:r w:rsidR="00124F91" w:rsidRPr="00551729">
        <w:t xml:space="preserve"> </w:t>
      </w:r>
    </w:p>
    <w:p w14:paraId="1BADC9BF" w14:textId="77777777" w:rsidR="00313AC8" w:rsidRPr="00551729" w:rsidRDefault="00365141" w:rsidP="000B3D9B">
      <w:pPr>
        <w:pStyle w:val="TEKSTIII"/>
      </w:pPr>
      <w:r w:rsidRPr="00551729">
        <w:t>4. ANALIZA SWOT</w:t>
      </w:r>
      <w:r w:rsidR="00124F91" w:rsidRPr="00551729">
        <w:t xml:space="preserve"> </w:t>
      </w:r>
    </w:p>
    <w:p w14:paraId="1BADC9C0" w14:textId="77777777" w:rsidR="00304B02" w:rsidRPr="00551729" w:rsidRDefault="00304B02" w:rsidP="000B3D9B">
      <w:pPr>
        <w:pStyle w:val="TEKSTIII"/>
      </w:pPr>
    </w:p>
    <w:p w14:paraId="55AAFECD" w14:textId="77777777" w:rsidR="000F5BBE" w:rsidRDefault="000F5BBE" w:rsidP="00304B02">
      <w:pPr>
        <w:pStyle w:val="TEKSTIII"/>
      </w:pPr>
    </w:p>
    <w:p w14:paraId="1BFDE799" w14:textId="77777777" w:rsidR="000F5BBE" w:rsidRDefault="000F5BBE" w:rsidP="00304B02">
      <w:pPr>
        <w:pStyle w:val="TEKSTIII"/>
      </w:pPr>
    </w:p>
    <w:p w14:paraId="76AAAC59" w14:textId="77777777" w:rsidR="000F5BBE" w:rsidRDefault="000F5BBE" w:rsidP="00304B02">
      <w:pPr>
        <w:pStyle w:val="TEKSTIII"/>
      </w:pPr>
    </w:p>
    <w:p w14:paraId="0CA2D563" w14:textId="77777777" w:rsidR="000F5BBE" w:rsidRDefault="000F5BBE" w:rsidP="00304B02">
      <w:pPr>
        <w:pStyle w:val="TEKSTIII"/>
      </w:pPr>
    </w:p>
    <w:p w14:paraId="5DE0DE9A" w14:textId="77777777" w:rsidR="000F5BBE" w:rsidRDefault="000F5BBE" w:rsidP="00304B02">
      <w:pPr>
        <w:pStyle w:val="TEKSTIII"/>
      </w:pPr>
    </w:p>
    <w:p w14:paraId="16C89729" w14:textId="77777777" w:rsidR="000F5BBE" w:rsidRDefault="000F5BBE" w:rsidP="00304B02">
      <w:pPr>
        <w:pStyle w:val="TEKSTIII"/>
      </w:pPr>
    </w:p>
    <w:p w14:paraId="285BB1E0" w14:textId="77777777" w:rsidR="000F5BBE" w:rsidRDefault="000F5BBE" w:rsidP="00304B02">
      <w:pPr>
        <w:pStyle w:val="TEKSTIII"/>
      </w:pPr>
    </w:p>
    <w:p w14:paraId="60C397C5" w14:textId="77777777" w:rsidR="000F5BBE" w:rsidRDefault="000F5BBE" w:rsidP="00304B02">
      <w:pPr>
        <w:pStyle w:val="TEKSTIII"/>
      </w:pPr>
    </w:p>
    <w:p w14:paraId="4AA23FA6" w14:textId="77777777" w:rsidR="000F5BBE" w:rsidRDefault="000F5BBE" w:rsidP="00304B02">
      <w:pPr>
        <w:pStyle w:val="TEKSTIII"/>
      </w:pPr>
    </w:p>
    <w:p w14:paraId="4D70B066" w14:textId="77777777" w:rsidR="000F5BBE" w:rsidRDefault="000F5BBE" w:rsidP="00304B02">
      <w:pPr>
        <w:pStyle w:val="TEKSTIII"/>
      </w:pPr>
    </w:p>
    <w:p w14:paraId="772C24E0" w14:textId="77777777" w:rsidR="000F5BBE" w:rsidRDefault="000F5BBE" w:rsidP="00304B02">
      <w:pPr>
        <w:pStyle w:val="TEKSTIII"/>
      </w:pPr>
    </w:p>
    <w:p w14:paraId="738F8DD2" w14:textId="77777777" w:rsidR="000F5BBE" w:rsidRDefault="000F5BBE" w:rsidP="00304B02">
      <w:pPr>
        <w:pStyle w:val="TEKSTIII"/>
      </w:pPr>
    </w:p>
    <w:p w14:paraId="1BADC9C1" w14:textId="77777777" w:rsidR="00304B02" w:rsidRPr="00551729" w:rsidRDefault="00304B02" w:rsidP="00304B02">
      <w:pPr>
        <w:pStyle w:val="TEKSTIII"/>
      </w:pPr>
      <w:r w:rsidRPr="00551729">
        <w:t>Përmbledhje</w:t>
      </w:r>
    </w:p>
    <w:p w14:paraId="1BADC9C2" w14:textId="77777777" w:rsidR="00304B02" w:rsidRPr="00551729" w:rsidRDefault="00304B02" w:rsidP="00304B02">
      <w:pPr>
        <w:pStyle w:val="BodyText"/>
        <w:rPr>
          <w:b/>
          <w:sz w:val="20"/>
          <w:lang w:val="sq-AL"/>
        </w:rPr>
      </w:pPr>
    </w:p>
    <w:p w14:paraId="1BADC9C3" w14:textId="77777777" w:rsidR="00304B02" w:rsidRPr="00551729" w:rsidRDefault="00304B02" w:rsidP="00304B02">
      <w:pPr>
        <w:pStyle w:val="BodyText"/>
        <w:spacing w:before="6"/>
        <w:rPr>
          <w:b/>
          <w:sz w:val="13"/>
          <w:lang w:val="sq-AL"/>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088"/>
        <w:gridCol w:w="7125"/>
      </w:tblGrid>
      <w:tr w:rsidR="00304B02" w:rsidRPr="003A2A0C" w14:paraId="1BADC9C6" w14:textId="77777777" w:rsidTr="003A2A0C">
        <w:trPr>
          <w:trHeight w:hRule="exact" w:val="358"/>
          <w:jc w:val="center"/>
        </w:trPr>
        <w:tc>
          <w:tcPr>
            <w:tcW w:w="2088" w:type="dxa"/>
            <w:tcBorders>
              <w:top w:val="double" w:sz="6" w:space="0" w:color="A6A6A6"/>
              <w:left w:val="double" w:sz="6" w:space="0" w:color="A6A6A6"/>
            </w:tcBorders>
          </w:tcPr>
          <w:p w14:paraId="1BADC9C4" w14:textId="77777777" w:rsidR="00304B02" w:rsidRPr="003A2A0C" w:rsidRDefault="00304B02" w:rsidP="00304B02">
            <w:pPr>
              <w:pStyle w:val="TEKSTIII"/>
              <w:ind w:firstLine="0"/>
              <w:rPr>
                <w:b/>
                <w:sz w:val="20"/>
              </w:rPr>
            </w:pPr>
            <w:r w:rsidRPr="003A2A0C">
              <w:rPr>
                <w:b/>
                <w:sz w:val="20"/>
              </w:rPr>
              <w:t>Titulli i programit</w:t>
            </w:r>
          </w:p>
        </w:tc>
        <w:tc>
          <w:tcPr>
            <w:tcW w:w="7125" w:type="dxa"/>
            <w:tcBorders>
              <w:top w:val="double" w:sz="6" w:space="0" w:color="A6A6A6"/>
              <w:right w:val="double" w:sz="6" w:space="0" w:color="A6A6A6"/>
            </w:tcBorders>
          </w:tcPr>
          <w:p w14:paraId="1BADC9C5" w14:textId="4088FE2A" w:rsidR="00304B02" w:rsidRPr="003A2A0C" w:rsidRDefault="00304B02" w:rsidP="00304B02">
            <w:pPr>
              <w:pStyle w:val="TEKSTIII"/>
              <w:ind w:firstLine="0"/>
              <w:rPr>
                <w:b/>
                <w:sz w:val="20"/>
              </w:rPr>
            </w:pPr>
            <w:r w:rsidRPr="003A2A0C">
              <w:rPr>
                <w:b/>
                <w:sz w:val="20"/>
              </w:rPr>
              <w:t xml:space="preserve">Programi BNK Mal i Zi </w:t>
            </w:r>
            <w:r w:rsidR="00551729" w:rsidRPr="003A2A0C">
              <w:rPr>
                <w:b/>
                <w:sz w:val="20"/>
              </w:rPr>
              <w:t>–</w:t>
            </w:r>
            <w:r w:rsidRPr="003A2A0C">
              <w:rPr>
                <w:b/>
                <w:sz w:val="20"/>
              </w:rPr>
              <w:t xml:space="preserve"> Shqipëri 2014</w:t>
            </w:r>
            <w:r w:rsidR="00551729" w:rsidRPr="003A2A0C">
              <w:rPr>
                <w:b/>
                <w:sz w:val="20"/>
              </w:rPr>
              <w:t>–</w:t>
            </w:r>
            <w:r w:rsidRPr="003A2A0C">
              <w:rPr>
                <w:b/>
                <w:sz w:val="20"/>
              </w:rPr>
              <w:t>2020</w:t>
            </w:r>
          </w:p>
        </w:tc>
      </w:tr>
      <w:tr w:rsidR="00304B02" w:rsidRPr="00551729" w14:paraId="1BADC9CF" w14:textId="77777777" w:rsidTr="003A2A0C">
        <w:trPr>
          <w:trHeight w:hRule="exact" w:val="1966"/>
          <w:jc w:val="center"/>
        </w:trPr>
        <w:tc>
          <w:tcPr>
            <w:tcW w:w="2088" w:type="dxa"/>
            <w:tcBorders>
              <w:left w:val="double" w:sz="6" w:space="0" w:color="A6A6A6"/>
            </w:tcBorders>
          </w:tcPr>
          <w:p w14:paraId="1BADC9C7" w14:textId="77777777" w:rsidR="00304B02" w:rsidRPr="00551729" w:rsidRDefault="00304B02" w:rsidP="00304B02">
            <w:pPr>
              <w:pStyle w:val="TEKSTIII"/>
              <w:ind w:firstLine="0"/>
              <w:rPr>
                <w:sz w:val="20"/>
              </w:rPr>
            </w:pPr>
            <w:r w:rsidRPr="00551729">
              <w:rPr>
                <w:sz w:val="20"/>
              </w:rPr>
              <w:t>Zona e programit</w:t>
            </w:r>
          </w:p>
        </w:tc>
        <w:tc>
          <w:tcPr>
            <w:tcW w:w="7125" w:type="dxa"/>
            <w:tcBorders>
              <w:right w:val="double" w:sz="6" w:space="0" w:color="A6A6A6"/>
            </w:tcBorders>
          </w:tcPr>
          <w:p w14:paraId="1BADC9C8" w14:textId="77777777" w:rsidR="00304B02" w:rsidRPr="00551729" w:rsidRDefault="00304B02" w:rsidP="00304B02">
            <w:pPr>
              <w:pStyle w:val="TEKSTIII"/>
              <w:ind w:firstLine="0"/>
              <w:rPr>
                <w:sz w:val="20"/>
              </w:rPr>
            </w:pPr>
            <w:r w:rsidRPr="00551729">
              <w:rPr>
                <w:sz w:val="20"/>
              </w:rPr>
              <w:t>Mal i Zi:</w:t>
            </w:r>
          </w:p>
          <w:p w14:paraId="1BADC9C9" w14:textId="77777777" w:rsidR="00304B02" w:rsidRPr="00551729" w:rsidRDefault="00304B02" w:rsidP="00304B02">
            <w:pPr>
              <w:pStyle w:val="TEKSTIII"/>
              <w:ind w:firstLine="0"/>
              <w:rPr>
                <w:sz w:val="20"/>
              </w:rPr>
            </w:pPr>
            <w:r w:rsidRPr="00551729">
              <w:rPr>
                <w:sz w:val="20"/>
              </w:rPr>
              <w:t>Andrijevica, Beranë, Petnjica, Plavë, Gucia, Rozhajë, Podgoricë, Cetinjë, Danilovgrad, Budva, Tivar dhe</w:t>
            </w:r>
            <w:r w:rsidRPr="00551729">
              <w:rPr>
                <w:spacing w:val="-12"/>
                <w:sz w:val="20"/>
              </w:rPr>
              <w:t xml:space="preserve"> </w:t>
            </w:r>
            <w:r w:rsidRPr="00551729">
              <w:rPr>
                <w:sz w:val="20"/>
              </w:rPr>
              <w:t>Ulqin</w:t>
            </w:r>
          </w:p>
          <w:p w14:paraId="1BADC9CA" w14:textId="77777777" w:rsidR="00304B02" w:rsidRPr="00551729" w:rsidRDefault="00304B02" w:rsidP="00304B02">
            <w:pPr>
              <w:pStyle w:val="TEKSTIII"/>
              <w:ind w:firstLine="0"/>
              <w:rPr>
                <w:sz w:val="20"/>
              </w:rPr>
            </w:pPr>
          </w:p>
          <w:p w14:paraId="1BADC9CB" w14:textId="77777777" w:rsidR="00304B02" w:rsidRPr="00551729" w:rsidRDefault="00304B02" w:rsidP="00304B02">
            <w:pPr>
              <w:pStyle w:val="TEKSTIII"/>
              <w:ind w:firstLine="0"/>
              <w:rPr>
                <w:sz w:val="20"/>
              </w:rPr>
            </w:pPr>
            <w:r w:rsidRPr="00551729">
              <w:rPr>
                <w:sz w:val="20"/>
              </w:rPr>
              <w:t>Shqipëri:</w:t>
            </w:r>
          </w:p>
          <w:p w14:paraId="1BADC9CC" w14:textId="77777777" w:rsidR="00304B02" w:rsidRPr="00551729" w:rsidRDefault="00304B02" w:rsidP="00304B02">
            <w:pPr>
              <w:pStyle w:val="TEKSTIII"/>
              <w:ind w:firstLine="0"/>
              <w:rPr>
                <w:sz w:val="20"/>
              </w:rPr>
            </w:pPr>
            <w:r w:rsidRPr="00551729">
              <w:rPr>
                <w:sz w:val="20"/>
              </w:rPr>
              <w:t>Rajoni i</w:t>
            </w:r>
            <w:r w:rsidRPr="00551729">
              <w:rPr>
                <w:spacing w:val="-1"/>
                <w:sz w:val="20"/>
              </w:rPr>
              <w:t xml:space="preserve"> </w:t>
            </w:r>
            <w:r w:rsidRPr="00551729">
              <w:rPr>
                <w:sz w:val="20"/>
              </w:rPr>
              <w:t>Shkodrës</w:t>
            </w:r>
          </w:p>
          <w:p w14:paraId="1BADC9CD" w14:textId="77777777" w:rsidR="00304B02" w:rsidRPr="00551729" w:rsidRDefault="00304B02" w:rsidP="00304B02">
            <w:pPr>
              <w:pStyle w:val="TEKSTIII"/>
              <w:ind w:firstLine="0"/>
              <w:rPr>
                <w:sz w:val="20"/>
              </w:rPr>
            </w:pPr>
            <w:r w:rsidRPr="00551729">
              <w:rPr>
                <w:sz w:val="20"/>
              </w:rPr>
              <w:t>Rajoni i Lezhës</w:t>
            </w:r>
          </w:p>
          <w:p w14:paraId="1BADC9CE" w14:textId="77777777" w:rsidR="00304B02" w:rsidRPr="00551729" w:rsidRDefault="00304B02" w:rsidP="00304B02">
            <w:pPr>
              <w:pStyle w:val="TEKSTIII"/>
              <w:ind w:firstLine="0"/>
              <w:rPr>
                <w:sz w:val="20"/>
              </w:rPr>
            </w:pPr>
            <w:r w:rsidRPr="00551729">
              <w:rPr>
                <w:sz w:val="20"/>
              </w:rPr>
              <w:t>* Rrethi i</w:t>
            </w:r>
            <w:r w:rsidRPr="00551729">
              <w:rPr>
                <w:spacing w:val="-3"/>
                <w:sz w:val="20"/>
              </w:rPr>
              <w:t xml:space="preserve"> </w:t>
            </w:r>
            <w:r w:rsidRPr="00551729">
              <w:rPr>
                <w:sz w:val="20"/>
              </w:rPr>
              <w:t>Tropojës</w:t>
            </w:r>
          </w:p>
        </w:tc>
      </w:tr>
      <w:tr w:rsidR="00304B02" w:rsidRPr="00551729" w14:paraId="1BADC9D2" w14:textId="77777777" w:rsidTr="003A2A0C">
        <w:trPr>
          <w:trHeight w:hRule="exact" w:val="998"/>
          <w:jc w:val="center"/>
        </w:trPr>
        <w:tc>
          <w:tcPr>
            <w:tcW w:w="2088" w:type="dxa"/>
            <w:tcBorders>
              <w:left w:val="double" w:sz="6" w:space="0" w:color="A6A6A6"/>
            </w:tcBorders>
          </w:tcPr>
          <w:p w14:paraId="1BADC9D0" w14:textId="77777777" w:rsidR="00304B02" w:rsidRPr="00551729" w:rsidRDefault="00304B02" w:rsidP="00304B02">
            <w:pPr>
              <w:pStyle w:val="TEKSTIII"/>
              <w:ind w:firstLine="0"/>
              <w:jc w:val="left"/>
              <w:rPr>
                <w:b/>
                <w:sz w:val="20"/>
              </w:rPr>
            </w:pPr>
            <w:r w:rsidRPr="00551729">
              <w:rPr>
                <w:b/>
                <w:sz w:val="20"/>
              </w:rPr>
              <w:t>Objektivi i përgjithshëm i programit</w:t>
            </w:r>
          </w:p>
        </w:tc>
        <w:tc>
          <w:tcPr>
            <w:tcW w:w="7125" w:type="dxa"/>
            <w:tcBorders>
              <w:right w:val="double" w:sz="6" w:space="0" w:color="A6A6A6"/>
            </w:tcBorders>
          </w:tcPr>
          <w:p w14:paraId="1BADC9D1" w14:textId="6372332A" w:rsidR="00304B02" w:rsidRPr="00551729" w:rsidRDefault="00551729" w:rsidP="003A2A0C">
            <w:pPr>
              <w:pStyle w:val="TEKSTIII"/>
              <w:ind w:firstLine="0"/>
              <w:rPr>
                <w:sz w:val="20"/>
              </w:rPr>
            </w:pPr>
            <w:r>
              <w:rPr>
                <w:sz w:val="20"/>
              </w:rPr>
              <w:t>Të promovojë/</w:t>
            </w:r>
            <w:r w:rsidR="00304B02" w:rsidRPr="00551729">
              <w:rPr>
                <w:sz w:val="20"/>
              </w:rPr>
              <w:t>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tc>
      </w:tr>
      <w:tr w:rsidR="00304B02" w:rsidRPr="00551729" w14:paraId="1BADC9D8" w14:textId="77777777" w:rsidTr="003A2A0C">
        <w:trPr>
          <w:trHeight w:hRule="exact" w:val="1558"/>
          <w:jc w:val="center"/>
        </w:trPr>
        <w:tc>
          <w:tcPr>
            <w:tcW w:w="2088" w:type="dxa"/>
            <w:tcBorders>
              <w:left w:val="double" w:sz="6" w:space="0" w:color="A6A6A6"/>
            </w:tcBorders>
          </w:tcPr>
          <w:p w14:paraId="1BADC9D3" w14:textId="77777777" w:rsidR="00304B02" w:rsidRPr="00551729" w:rsidRDefault="00304B02" w:rsidP="00304B02">
            <w:pPr>
              <w:pStyle w:val="TEKSTIII"/>
              <w:ind w:firstLine="0"/>
              <w:jc w:val="left"/>
              <w:rPr>
                <w:b/>
                <w:sz w:val="20"/>
              </w:rPr>
            </w:pPr>
            <w:r w:rsidRPr="00551729">
              <w:rPr>
                <w:b/>
                <w:sz w:val="20"/>
              </w:rPr>
              <w:t>Prioritetet tematike të programit</w:t>
            </w:r>
          </w:p>
        </w:tc>
        <w:tc>
          <w:tcPr>
            <w:tcW w:w="7125" w:type="dxa"/>
            <w:tcBorders>
              <w:right w:val="double" w:sz="6" w:space="0" w:color="A6A6A6"/>
            </w:tcBorders>
          </w:tcPr>
          <w:p w14:paraId="1BADC9D4" w14:textId="77777777" w:rsidR="00304B02" w:rsidRPr="00551729" w:rsidRDefault="00304B02" w:rsidP="00304B02">
            <w:pPr>
              <w:pStyle w:val="TEKSTIII"/>
              <w:ind w:firstLine="0"/>
              <w:rPr>
                <w:sz w:val="20"/>
              </w:rPr>
            </w:pPr>
            <w:r w:rsidRPr="00551729">
              <w:rPr>
                <w:sz w:val="20"/>
              </w:rPr>
              <w:t>PT1: Nxitja e turizmit dhe e trashëgimisë kulturore dhe natyrore;</w:t>
            </w:r>
          </w:p>
          <w:p w14:paraId="1BADC9D5" w14:textId="77777777" w:rsidR="00304B02" w:rsidRPr="00551729" w:rsidRDefault="00304B02" w:rsidP="00304B02">
            <w:pPr>
              <w:pStyle w:val="TEKSTIII"/>
              <w:ind w:firstLine="0"/>
              <w:rPr>
                <w:sz w:val="20"/>
              </w:rPr>
            </w:pPr>
            <w:r w:rsidRPr="00551729">
              <w:rPr>
                <w:sz w:val="20"/>
              </w:rPr>
              <w:t>PT2: Mbrojtja e mjedisit, nxitja e përshtatjes dhe lehtësimit ndaj ndryshimeve klimatike, parandalimi dhe menaxhimi i rrezikut;</w:t>
            </w:r>
          </w:p>
          <w:p w14:paraId="1BADC9D6" w14:textId="77777777" w:rsidR="00304B02" w:rsidRPr="00551729" w:rsidRDefault="00304B02" w:rsidP="00304B02">
            <w:pPr>
              <w:pStyle w:val="TEKSTIII"/>
              <w:ind w:firstLine="0"/>
              <w:rPr>
                <w:sz w:val="20"/>
              </w:rPr>
            </w:pPr>
            <w:r w:rsidRPr="00551729">
              <w:rPr>
                <w:sz w:val="20"/>
              </w:rPr>
              <w:t>PT3: Nxitja e punësimit, lëvizjes gjeografike të punonjësve, dhe përfshirjes sociale dhe kulturore përtej kufirit;</w:t>
            </w:r>
          </w:p>
          <w:p w14:paraId="1BADC9D7" w14:textId="77777777" w:rsidR="00304B02" w:rsidRPr="00551729" w:rsidRDefault="00304B02" w:rsidP="00304B02">
            <w:pPr>
              <w:pStyle w:val="TEKSTIII"/>
              <w:ind w:firstLine="0"/>
              <w:rPr>
                <w:sz w:val="20"/>
              </w:rPr>
            </w:pPr>
            <w:r w:rsidRPr="00551729">
              <w:rPr>
                <w:sz w:val="20"/>
              </w:rPr>
              <w:t>PT4: Asistenca teknike.</w:t>
            </w:r>
          </w:p>
        </w:tc>
      </w:tr>
      <w:tr w:rsidR="00304B02" w:rsidRPr="00551729" w14:paraId="1BADC9DF" w14:textId="77777777" w:rsidTr="003A2A0C">
        <w:trPr>
          <w:trHeight w:hRule="exact" w:val="1834"/>
          <w:jc w:val="center"/>
        </w:trPr>
        <w:tc>
          <w:tcPr>
            <w:tcW w:w="2088" w:type="dxa"/>
            <w:tcBorders>
              <w:left w:val="double" w:sz="6" w:space="0" w:color="A6A6A6"/>
            </w:tcBorders>
          </w:tcPr>
          <w:p w14:paraId="1BADC9D9" w14:textId="02F3C403" w:rsidR="00304B02" w:rsidRPr="00551729" w:rsidRDefault="00304B02" w:rsidP="0096601B">
            <w:pPr>
              <w:pStyle w:val="TEKSTIII"/>
              <w:ind w:firstLine="0"/>
              <w:jc w:val="left"/>
              <w:rPr>
                <w:b/>
                <w:sz w:val="20"/>
              </w:rPr>
            </w:pPr>
            <w:r w:rsidRPr="00551729">
              <w:rPr>
                <w:b/>
                <w:sz w:val="20"/>
              </w:rPr>
              <w:t xml:space="preserve">Objektivat </w:t>
            </w:r>
            <w:r w:rsidR="0096601B" w:rsidRPr="00551729">
              <w:rPr>
                <w:b/>
                <w:sz w:val="20"/>
              </w:rPr>
              <w:t>specifik</w:t>
            </w:r>
            <w:r w:rsidR="0096601B">
              <w:rPr>
                <w:b/>
                <w:sz w:val="20"/>
              </w:rPr>
              <w:t>ë</w:t>
            </w:r>
            <w:r w:rsidR="0096601B" w:rsidRPr="00551729">
              <w:rPr>
                <w:b/>
                <w:sz w:val="20"/>
              </w:rPr>
              <w:t xml:space="preserve"> </w:t>
            </w:r>
            <w:r w:rsidRPr="00551729">
              <w:rPr>
                <w:b/>
                <w:sz w:val="20"/>
              </w:rPr>
              <w:t>të Programit</w:t>
            </w:r>
          </w:p>
        </w:tc>
        <w:tc>
          <w:tcPr>
            <w:tcW w:w="7125" w:type="dxa"/>
            <w:tcBorders>
              <w:right w:val="double" w:sz="6" w:space="0" w:color="A6A6A6"/>
            </w:tcBorders>
          </w:tcPr>
          <w:p w14:paraId="1BADC9DA" w14:textId="77777777" w:rsidR="00304B02" w:rsidRPr="00551729" w:rsidRDefault="00304B02" w:rsidP="00304B02">
            <w:pPr>
              <w:pStyle w:val="TEKSTIII"/>
              <w:ind w:firstLine="0"/>
              <w:rPr>
                <w:sz w:val="20"/>
              </w:rPr>
            </w:pPr>
            <w:r w:rsidRPr="00551729">
              <w:rPr>
                <w:sz w:val="20"/>
              </w:rPr>
              <w:t>Konkurrenca e sektorit të turizmit rritet nga vlerësimi ekonomik i trashëgimisë kulturore dhe</w:t>
            </w:r>
            <w:r w:rsidRPr="00551729">
              <w:rPr>
                <w:spacing w:val="-9"/>
                <w:sz w:val="20"/>
              </w:rPr>
              <w:t xml:space="preserve"> </w:t>
            </w:r>
            <w:r w:rsidRPr="00551729">
              <w:rPr>
                <w:sz w:val="20"/>
              </w:rPr>
              <w:t>natyrore</w:t>
            </w:r>
          </w:p>
          <w:p w14:paraId="1BADC9DB" w14:textId="77777777" w:rsidR="00304B02" w:rsidRPr="00551729" w:rsidRDefault="00304B02" w:rsidP="00304B02">
            <w:pPr>
              <w:pStyle w:val="TEKSTIII"/>
              <w:ind w:firstLine="0"/>
              <w:rPr>
                <w:sz w:val="20"/>
              </w:rPr>
            </w:pPr>
            <w:r w:rsidRPr="00551729">
              <w:rPr>
                <w:sz w:val="20"/>
              </w:rPr>
              <w:t>Avancimi i mbrojtjes së burimeve mjedisore tek liqeni dhe zonat alpine</w:t>
            </w:r>
          </w:p>
          <w:p w14:paraId="1BADC9DC" w14:textId="77777777" w:rsidR="00304B02" w:rsidRPr="00551729" w:rsidRDefault="00304B02" w:rsidP="00304B02">
            <w:pPr>
              <w:pStyle w:val="TEKSTIII"/>
              <w:ind w:firstLine="0"/>
              <w:rPr>
                <w:sz w:val="20"/>
              </w:rPr>
            </w:pPr>
            <w:r w:rsidRPr="00551729">
              <w:rPr>
                <w:sz w:val="20"/>
              </w:rPr>
              <w:t>Nxitja e punësimit dhe përfshirjes</w:t>
            </w:r>
            <w:r w:rsidRPr="00551729">
              <w:rPr>
                <w:spacing w:val="-15"/>
                <w:sz w:val="20"/>
              </w:rPr>
              <w:t xml:space="preserve"> </w:t>
            </w:r>
            <w:r w:rsidRPr="00551729">
              <w:rPr>
                <w:sz w:val="20"/>
              </w:rPr>
              <w:t>sociale</w:t>
            </w:r>
          </w:p>
          <w:p w14:paraId="1BADC9DD" w14:textId="77777777" w:rsidR="00304B02" w:rsidRPr="00551729" w:rsidRDefault="00304B02" w:rsidP="00304B02">
            <w:pPr>
              <w:pStyle w:val="TEKSTIII"/>
              <w:ind w:firstLine="0"/>
              <w:rPr>
                <w:sz w:val="20"/>
              </w:rPr>
            </w:pPr>
          </w:p>
          <w:p w14:paraId="1BADC9DE" w14:textId="77777777" w:rsidR="00304B02" w:rsidRPr="00551729" w:rsidRDefault="00304B02" w:rsidP="00304B02">
            <w:pPr>
              <w:pStyle w:val="TEKSTIII"/>
              <w:ind w:firstLine="0"/>
              <w:rPr>
                <w:sz w:val="20"/>
              </w:rPr>
            </w:pPr>
            <w:r w:rsidRPr="00551729">
              <w:rPr>
                <w:sz w:val="20"/>
              </w:rPr>
              <w:t>Garantimi i zbatimi efektiv, efikas, transparent dhe në kohë i programit, si dhe rritja e</w:t>
            </w:r>
            <w:r w:rsidRPr="00551729">
              <w:rPr>
                <w:spacing w:val="-14"/>
                <w:sz w:val="20"/>
              </w:rPr>
              <w:t xml:space="preserve"> </w:t>
            </w:r>
            <w:r w:rsidRPr="00551729">
              <w:rPr>
                <w:sz w:val="20"/>
              </w:rPr>
              <w:t>ndërgjegjësimit</w:t>
            </w:r>
          </w:p>
        </w:tc>
      </w:tr>
      <w:tr w:rsidR="00304B02" w:rsidRPr="00551729" w14:paraId="1BADC9E2" w14:textId="77777777" w:rsidTr="003A2A0C">
        <w:trPr>
          <w:trHeight w:hRule="exact" w:val="845"/>
          <w:jc w:val="center"/>
        </w:trPr>
        <w:tc>
          <w:tcPr>
            <w:tcW w:w="2088" w:type="dxa"/>
            <w:tcBorders>
              <w:left w:val="double" w:sz="6" w:space="0" w:color="A6A6A6"/>
              <w:bottom w:val="double" w:sz="6" w:space="0" w:color="A6A6A6"/>
            </w:tcBorders>
          </w:tcPr>
          <w:p w14:paraId="7F71D421" w14:textId="77777777" w:rsidR="0057433B" w:rsidRDefault="00304B02" w:rsidP="00304B02">
            <w:pPr>
              <w:pStyle w:val="TEKSTIII"/>
              <w:ind w:firstLine="0"/>
              <w:rPr>
                <w:b/>
                <w:sz w:val="20"/>
              </w:rPr>
            </w:pPr>
            <w:r w:rsidRPr="00551729">
              <w:rPr>
                <w:b/>
                <w:sz w:val="20"/>
              </w:rPr>
              <w:t xml:space="preserve">Alokimi financiar </w:t>
            </w:r>
          </w:p>
          <w:p w14:paraId="1BADC9E0" w14:textId="4CE3E269" w:rsidR="00304B02" w:rsidRPr="00551729" w:rsidRDefault="00304B02" w:rsidP="00304B02">
            <w:pPr>
              <w:pStyle w:val="TEKSTIII"/>
              <w:ind w:firstLine="0"/>
              <w:rPr>
                <w:b/>
                <w:sz w:val="20"/>
              </w:rPr>
            </w:pPr>
            <w:r w:rsidRPr="00551729">
              <w:rPr>
                <w:b/>
                <w:sz w:val="20"/>
              </w:rPr>
              <w:t>2014</w:t>
            </w:r>
            <w:r w:rsidR="0096601B">
              <w:rPr>
                <w:b/>
                <w:sz w:val="20"/>
              </w:rPr>
              <w:t>–</w:t>
            </w:r>
            <w:r w:rsidRPr="00551729">
              <w:rPr>
                <w:b/>
                <w:sz w:val="20"/>
              </w:rPr>
              <w:t>2020</w:t>
            </w:r>
          </w:p>
        </w:tc>
        <w:tc>
          <w:tcPr>
            <w:tcW w:w="7125" w:type="dxa"/>
            <w:tcBorders>
              <w:bottom w:val="double" w:sz="6" w:space="0" w:color="A6A6A6"/>
              <w:right w:val="double" w:sz="6" w:space="0" w:color="A6A6A6"/>
            </w:tcBorders>
          </w:tcPr>
          <w:p w14:paraId="1BADC9E1" w14:textId="4EF975D6" w:rsidR="00304B02" w:rsidRPr="00551729" w:rsidRDefault="00304B02" w:rsidP="00304B02">
            <w:pPr>
              <w:pStyle w:val="TEKSTIII"/>
              <w:ind w:firstLine="0"/>
              <w:rPr>
                <w:sz w:val="20"/>
              </w:rPr>
            </w:pPr>
            <w:r w:rsidRPr="00551729">
              <w:rPr>
                <w:sz w:val="20"/>
              </w:rPr>
              <w:t xml:space="preserve">11,900,000.00 </w:t>
            </w:r>
            <w:r w:rsidR="00551729" w:rsidRPr="00551729">
              <w:rPr>
                <w:sz w:val="20"/>
              </w:rPr>
              <w:t>euro</w:t>
            </w:r>
          </w:p>
        </w:tc>
      </w:tr>
    </w:tbl>
    <w:p w14:paraId="1BADC9E3" w14:textId="77777777" w:rsidR="00304B02" w:rsidRPr="00551729" w:rsidRDefault="00304B02" w:rsidP="00304B02">
      <w:pPr>
        <w:pStyle w:val="BodyText"/>
        <w:rPr>
          <w:b/>
          <w:sz w:val="20"/>
          <w:lang w:val="sq-AL"/>
        </w:rPr>
      </w:pPr>
    </w:p>
    <w:p w14:paraId="1BADC9E4" w14:textId="77777777" w:rsidR="00304B02" w:rsidRDefault="00304B02" w:rsidP="00304B02">
      <w:pPr>
        <w:pStyle w:val="BodyText"/>
        <w:spacing w:before="1"/>
        <w:rPr>
          <w:b/>
          <w:sz w:val="20"/>
          <w:lang w:val="sq-AL"/>
        </w:rPr>
      </w:pPr>
    </w:p>
    <w:p w14:paraId="1381E4F8" w14:textId="77777777" w:rsidR="00A36E70" w:rsidRDefault="00A36E70" w:rsidP="00304B02">
      <w:pPr>
        <w:pStyle w:val="BodyText"/>
        <w:spacing w:before="1"/>
        <w:rPr>
          <w:b/>
          <w:sz w:val="20"/>
          <w:lang w:val="sq-AL"/>
        </w:rPr>
      </w:pPr>
    </w:p>
    <w:p w14:paraId="7939AD12" w14:textId="77777777" w:rsidR="00A36E70" w:rsidRDefault="00A36E70" w:rsidP="00304B02">
      <w:pPr>
        <w:pStyle w:val="BodyText"/>
        <w:spacing w:before="1"/>
        <w:rPr>
          <w:b/>
          <w:sz w:val="20"/>
          <w:lang w:val="sq-AL"/>
        </w:rPr>
      </w:pPr>
    </w:p>
    <w:p w14:paraId="34B18779" w14:textId="77777777" w:rsidR="00A36E70" w:rsidRDefault="00A36E70" w:rsidP="00304B02">
      <w:pPr>
        <w:pStyle w:val="BodyText"/>
        <w:spacing w:before="1"/>
        <w:rPr>
          <w:b/>
          <w:sz w:val="20"/>
          <w:lang w:val="sq-AL"/>
        </w:rPr>
      </w:pPr>
    </w:p>
    <w:p w14:paraId="19A6F138" w14:textId="77777777" w:rsidR="00A36E70" w:rsidRDefault="00A36E70" w:rsidP="00304B02">
      <w:pPr>
        <w:pStyle w:val="BodyText"/>
        <w:spacing w:before="1"/>
        <w:rPr>
          <w:b/>
          <w:sz w:val="20"/>
          <w:lang w:val="sq-AL"/>
        </w:rPr>
      </w:pPr>
    </w:p>
    <w:p w14:paraId="3480B707" w14:textId="77777777" w:rsidR="00A36E70" w:rsidRDefault="00A36E70" w:rsidP="00304B02">
      <w:pPr>
        <w:pStyle w:val="BodyText"/>
        <w:spacing w:before="1"/>
        <w:rPr>
          <w:b/>
          <w:sz w:val="20"/>
          <w:lang w:val="sq-AL"/>
        </w:rPr>
      </w:pPr>
    </w:p>
    <w:p w14:paraId="48FA5E89" w14:textId="77777777" w:rsidR="00A36E70" w:rsidRDefault="00A36E70" w:rsidP="00304B02">
      <w:pPr>
        <w:pStyle w:val="BodyText"/>
        <w:spacing w:before="1"/>
        <w:rPr>
          <w:b/>
          <w:sz w:val="20"/>
          <w:lang w:val="sq-AL"/>
        </w:rPr>
      </w:pPr>
    </w:p>
    <w:p w14:paraId="48098330" w14:textId="77777777" w:rsidR="00A36E70" w:rsidRDefault="00A36E70" w:rsidP="00304B02">
      <w:pPr>
        <w:pStyle w:val="BodyText"/>
        <w:spacing w:before="1"/>
        <w:rPr>
          <w:b/>
          <w:sz w:val="20"/>
          <w:lang w:val="sq-AL"/>
        </w:rPr>
      </w:pPr>
    </w:p>
    <w:p w14:paraId="2FFAA4FA" w14:textId="77777777" w:rsidR="00A36E70" w:rsidRDefault="00A36E70" w:rsidP="00304B02">
      <w:pPr>
        <w:pStyle w:val="BodyText"/>
        <w:spacing w:before="1"/>
        <w:rPr>
          <w:b/>
          <w:sz w:val="20"/>
          <w:lang w:val="sq-AL"/>
        </w:rPr>
      </w:pPr>
    </w:p>
    <w:p w14:paraId="3D97CACF" w14:textId="77777777" w:rsidR="00A36E70" w:rsidRDefault="00A36E70" w:rsidP="00304B02">
      <w:pPr>
        <w:pStyle w:val="BodyText"/>
        <w:spacing w:before="1"/>
        <w:rPr>
          <w:b/>
          <w:sz w:val="20"/>
          <w:lang w:val="sq-AL"/>
        </w:rPr>
      </w:pPr>
    </w:p>
    <w:p w14:paraId="034C45B0" w14:textId="77777777" w:rsidR="00A36E70" w:rsidRDefault="00A36E70" w:rsidP="00304B02">
      <w:pPr>
        <w:pStyle w:val="BodyText"/>
        <w:spacing w:before="1"/>
        <w:rPr>
          <w:b/>
          <w:sz w:val="20"/>
          <w:lang w:val="sq-AL"/>
        </w:rPr>
      </w:pPr>
    </w:p>
    <w:p w14:paraId="201A264A" w14:textId="77777777" w:rsidR="00A36E70" w:rsidRDefault="00A36E70" w:rsidP="00304B02">
      <w:pPr>
        <w:pStyle w:val="BodyText"/>
        <w:spacing w:before="1"/>
        <w:rPr>
          <w:b/>
          <w:sz w:val="20"/>
          <w:lang w:val="sq-AL"/>
        </w:rPr>
      </w:pPr>
    </w:p>
    <w:p w14:paraId="263BA4F3" w14:textId="77777777" w:rsidR="00A36E70" w:rsidRDefault="00A36E70" w:rsidP="00304B02">
      <w:pPr>
        <w:pStyle w:val="BodyText"/>
        <w:spacing w:before="1"/>
        <w:rPr>
          <w:b/>
          <w:sz w:val="20"/>
          <w:lang w:val="sq-AL"/>
        </w:rPr>
      </w:pPr>
    </w:p>
    <w:p w14:paraId="5933D45E" w14:textId="77777777" w:rsidR="00A36E70" w:rsidRDefault="00A36E70" w:rsidP="00304B02">
      <w:pPr>
        <w:pStyle w:val="BodyText"/>
        <w:spacing w:before="1"/>
        <w:rPr>
          <w:b/>
          <w:sz w:val="20"/>
          <w:lang w:val="sq-AL"/>
        </w:rPr>
      </w:pPr>
    </w:p>
    <w:p w14:paraId="34670F0A" w14:textId="77777777" w:rsidR="00A36E70" w:rsidRDefault="00A36E70" w:rsidP="00304B02">
      <w:pPr>
        <w:pStyle w:val="BodyText"/>
        <w:spacing w:before="1"/>
        <w:rPr>
          <w:b/>
          <w:sz w:val="20"/>
          <w:lang w:val="sq-AL"/>
        </w:rPr>
      </w:pPr>
    </w:p>
    <w:p w14:paraId="70B8B3E5" w14:textId="77777777" w:rsidR="00A36E70" w:rsidRPr="00551729" w:rsidRDefault="00A36E70" w:rsidP="00304B02">
      <w:pPr>
        <w:pStyle w:val="BodyText"/>
        <w:spacing w:before="1"/>
        <w:rPr>
          <w:b/>
          <w:sz w:val="20"/>
          <w:lang w:val="sq-AL"/>
        </w:rPr>
      </w:pPr>
    </w:p>
    <w:tbl>
      <w:tblPr>
        <w:tblW w:w="0" w:type="auto"/>
        <w:tblInd w:w="11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088"/>
        <w:gridCol w:w="7125"/>
      </w:tblGrid>
      <w:tr w:rsidR="00304B02" w:rsidRPr="00551729" w14:paraId="1BADC9E7" w14:textId="77777777" w:rsidTr="00B628D7">
        <w:trPr>
          <w:trHeight w:hRule="exact" w:val="538"/>
        </w:trPr>
        <w:tc>
          <w:tcPr>
            <w:tcW w:w="2088" w:type="dxa"/>
            <w:tcBorders>
              <w:top w:val="double" w:sz="6" w:space="0" w:color="A6A6A6"/>
              <w:left w:val="double" w:sz="6" w:space="0" w:color="A6A6A6"/>
            </w:tcBorders>
          </w:tcPr>
          <w:p w14:paraId="1BADC9E5" w14:textId="20221AE0" w:rsidR="00304B02" w:rsidRPr="00551729" w:rsidRDefault="00304B02" w:rsidP="00304B02">
            <w:pPr>
              <w:pStyle w:val="TableParagraph"/>
              <w:rPr>
                <w:rFonts w:ascii="Garamond" w:hAnsi="Garamond"/>
                <w:b/>
                <w:sz w:val="18"/>
                <w:lang w:val="sq-AL"/>
              </w:rPr>
            </w:pPr>
            <w:r w:rsidRPr="00551729">
              <w:rPr>
                <w:rFonts w:ascii="Garamond" w:hAnsi="Garamond"/>
                <w:b/>
                <w:sz w:val="18"/>
                <w:lang w:val="sq-AL"/>
              </w:rPr>
              <w:t xml:space="preserve">Metoda e </w:t>
            </w:r>
            <w:r w:rsidR="0096601B" w:rsidRPr="00551729">
              <w:rPr>
                <w:rFonts w:ascii="Garamond" w:hAnsi="Garamond"/>
                <w:b/>
                <w:sz w:val="18"/>
                <w:lang w:val="sq-AL"/>
              </w:rPr>
              <w:t>zbatimit</w:t>
            </w:r>
          </w:p>
        </w:tc>
        <w:tc>
          <w:tcPr>
            <w:tcW w:w="7125" w:type="dxa"/>
            <w:tcBorders>
              <w:top w:val="double" w:sz="6" w:space="0" w:color="A6A6A6"/>
              <w:right w:val="double" w:sz="6" w:space="0" w:color="A6A6A6"/>
            </w:tcBorders>
          </w:tcPr>
          <w:p w14:paraId="1BADC9E6" w14:textId="6D5ABD0B" w:rsidR="00304B02" w:rsidRPr="00551729" w:rsidRDefault="00304B02" w:rsidP="00304B02">
            <w:pPr>
              <w:pStyle w:val="TableParagraph"/>
              <w:rPr>
                <w:rFonts w:ascii="Garamond" w:hAnsi="Garamond"/>
                <w:sz w:val="18"/>
                <w:lang w:val="sq-AL"/>
              </w:rPr>
            </w:pPr>
            <w:r w:rsidRPr="00551729">
              <w:rPr>
                <w:rFonts w:ascii="Garamond" w:hAnsi="Garamond"/>
                <w:sz w:val="18"/>
                <w:lang w:val="sq-AL"/>
              </w:rPr>
              <w:t xml:space="preserve">Menaxhim </w:t>
            </w:r>
            <w:r w:rsidR="009B2786">
              <w:rPr>
                <w:rFonts w:ascii="Garamond" w:hAnsi="Garamond"/>
                <w:sz w:val="18"/>
                <w:lang w:val="sq-AL"/>
              </w:rPr>
              <w:t>indirekt (në bazë të besimit te</w:t>
            </w:r>
            <w:r w:rsidRPr="00551729">
              <w:rPr>
                <w:rFonts w:ascii="Garamond" w:hAnsi="Garamond"/>
                <w:sz w:val="18"/>
                <w:lang w:val="sq-AL"/>
              </w:rPr>
              <w:t xml:space="preserve"> detyrat e zbatimit të buxhetit)</w:t>
            </w:r>
          </w:p>
        </w:tc>
      </w:tr>
      <w:tr w:rsidR="00304B02" w:rsidRPr="00551729" w14:paraId="1BADC9EE" w14:textId="77777777" w:rsidTr="00304B02">
        <w:trPr>
          <w:trHeight w:hRule="exact" w:val="1207"/>
        </w:trPr>
        <w:tc>
          <w:tcPr>
            <w:tcW w:w="2088" w:type="dxa"/>
            <w:tcBorders>
              <w:left w:val="double" w:sz="6" w:space="0" w:color="A6A6A6"/>
            </w:tcBorders>
          </w:tcPr>
          <w:p w14:paraId="1BADC9E8" w14:textId="77777777" w:rsidR="00304B02" w:rsidRPr="00551729" w:rsidRDefault="00304B02" w:rsidP="00304B02">
            <w:pPr>
              <w:pStyle w:val="TableParagraph"/>
              <w:rPr>
                <w:rFonts w:ascii="Garamond" w:hAnsi="Garamond"/>
                <w:b/>
                <w:sz w:val="18"/>
                <w:lang w:val="sq-AL"/>
              </w:rPr>
            </w:pPr>
            <w:r w:rsidRPr="00551729">
              <w:rPr>
                <w:rFonts w:ascii="Garamond" w:hAnsi="Garamond"/>
                <w:b/>
                <w:sz w:val="18"/>
                <w:lang w:val="sq-AL"/>
              </w:rPr>
              <w:t>Autoriteti Kontraktues</w:t>
            </w:r>
          </w:p>
        </w:tc>
        <w:tc>
          <w:tcPr>
            <w:tcW w:w="7125" w:type="dxa"/>
            <w:tcBorders>
              <w:right w:val="double" w:sz="6" w:space="0" w:color="A6A6A6"/>
            </w:tcBorders>
          </w:tcPr>
          <w:p w14:paraId="1BADC9E9" w14:textId="77777777" w:rsidR="00304B02" w:rsidRPr="00551729" w:rsidRDefault="00304B02" w:rsidP="00304B02">
            <w:pPr>
              <w:pStyle w:val="TableParagraph"/>
              <w:rPr>
                <w:rFonts w:ascii="Garamond" w:hAnsi="Garamond"/>
                <w:sz w:val="18"/>
                <w:lang w:val="sq-AL"/>
              </w:rPr>
            </w:pPr>
            <w:r w:rsidRPr="00551729">
              <w:rPr>
                <w:rFonts w:ascii="Garamond" w:hAnsi="Garamond"/>
                <w:b/>
                <w:sz w:val="18"/>
                <w:lang w:val="sq-AL"/>
              </w:rPr>
              <w:t>Mal i Zi</w:t>
            </w:r>
            <w:r w:rsidRPr="00551729">
              <w:rPr>
                <w:rFonts w:ascii="Garamond" w:hAnsi="Garamond"/>
                <w:sz w:val="18"/>
                <w:lang w:val="sq-AL"/>
              </w:rPr>
              <w:t>:</w:t>
            </w:r>
          </w:p>
          <w:p w14:paraId="1BADC9EA"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Ministria e Financave</w:t>
            </w:r>
          </w:p>
          <w:p w14:paraId="1BADC9EB" w14:textId="7044A316" w:rsidR="00304B02" w:rsidRPr="00551729" w:rsidRDefault="00304B02" w:rsidP="00304B02">
            <w:pPr>
              <w:pStyle w:val="TableParagraph"/>
              <w:rPr>
                <w:rFonts w:ascii="Garamond" w:hAnsi="Garamond"/>
                <w:sz w:val="18"/>
                <w:lang w:val="sq-AL"/>
              </w:rPr>
            </w:pPr>
            <w:r w:rsidRPr="00551729">
              <w:rPr>
                <w:rFonts w:ascii="Garamond" w:hAnsi="Garamond"/>
                <w:sz w:val="18"/>
                <w:lang w:val="sq-AL"/>
              </w:rPr>
              <w:t>Njësia Qendrore e Financave dhe Kontraktimit (CFCU) Jola Piletica bb,</w:t>
            </w:r>
            <w:r w:rsidR="00C521D5" w:rsidRPr="00551729">
              <w:rPr>
                <w:rFonts w:ascii="Garamond" w:hAnsi="Garamond"/>
                <w:sz w:val="18"/>
                <w:lang w:val="sq-AL"/>
              </w:rPr>
              <w:t xml:space="preserve"> </w:t>
            </w:r>
            <w:r w:rsidRPr="00551729">
              <w:rPr>
                <w:rFonts w:ascii="Garamond" w:hAnsi="Garamond"/>
                <w:sz w:val="18"/>
                <w:lang w:val="sq-AL"/>
              </w:rPr>
              <w:t>81 000 Podgoricë</w:t>
            </w:r>
          </w:p>
          <w:p w14:paraId="1BADC9EC" w14:textId="14317B1B" w:rsidR="00304B02" w:rsidRPr="00551729" w:rsidRDefault="00304B02" w:rsidP="00304B02">
            <w:pPr>
              <w:pStyle w:val="TableParagraph"/>
              <w:rPr>
                <w:rFonts w:ascii="Garamond" w:hAnsi="Garamond"/>
                <w:sz w:val="18"/>
                <w:lang w:val="sq-AL"/>
              </w:rPr>
            </w:pPr>
            <w:r w:rsidRPr="00551729">
              <w:rPr>
                <w:rFonts w:ascii="Garamond" w:hAnsi="Garamond"/>
                <w:sz w:val="18"/>
                <w:lang w:val="sq-AL"/>
              </w:rPr>
              <w:t>Tel:</w:t>
            </w:r>
            <w:r w:rsidR="00C521D5" w:rsidRPr="00551729">
              <w:rPr>
                <w:rFonts w:ascii="Garamond" w:hAnsi="Garamond"/>
                <w:sz w:val="18"/>
                <w:lang w:val="sq-AL"/>
              </w:rPr>
              <w:t xml:space="preserve"> </w:t>
            </w:r>
            <w:r w:rsidRPr="00551729">
              <w:rPr>
                <w:rFonts w:ascii="Garamond" w:hAnsi="Garamond"/>
                <w:sz w:val="18"/>
                <w:lang w:val="sq-AL"/>
              </w:rPr>
              <w:t>+ 382 (0) 20 230 630</w:t>
            </w:r>
          </w:p>
          <w:p w14:paraId="1BADC9ED"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Faks: + 382 (0) 20 230 657</w:t>
            </w:r>
          </w:p>
        </w:tc>
      </w:tr>
      <w:tr w:rsidR="00304B02" w:rsidRPr="00551729" w14:paraId="1BADC9FB" w14:textId="77777777" w:rsidTr="00304B02">
        <w:trPr>
          <w:trHeight w:hRule="exact" w:val="2543"/>
        </w:trPr>
        <w:tc>
          <w:tcPr>
            <w:tcW w:w="2088" w:type="dxa"/>
            <w:tcBorders>
              <w:left w:val="double" w:sz="6" w:space="0" w:color="A6A6A6"/>
            </w:tcBorders>
          </w:tcPr>
          <w:p w14:paraId="1BADC9EF" w14:textId="797E3978" w:rsidR="00304B02" w:rsidRPr="00551729" w:rsidRDefault="00304B02" w:rsidP="00304B02">
            <w:pPr>
              <w:pStyle w:val="TableParagraph"/>
              <w:rPr>
                <w:rFonts w:ascii="Garamond" w:hAnsi="Garamond"/>
                <w:b/>
                <w:sz w:val="18"/>
                <w:lang w:val="sq-AL"/>
              </w:rPr>
            </w:pPr>
            <w:r w:rsidRPr="00551729">
              <w:rPr>
                <w:rFonts w:ascii="Garamond" w:hAnsi="Garamond"/>
                <w:b/>
                <w:sz w:val="18"/>
                <w:lang w:val="sq-AL"/>
              </w:rPr>
              <w:t>Autoritetet përkatëse nga pjesëmarrësit, përfitues të IPA II [</w:t>
            </w:r>
            <w:r w:rsidR="0096601B" w:rsidRPr="00551729">
              <w:rPr>
                <w:rFonts w:ascii="Garamond" w:hAnsi="Garamond"/>
                <w:b/>
                <w:sz w:val="18"/>
                <w:lang w:val="sq-AL"/>
              </w:rPr>
              <w:t>strukturat operative</w:t>
            </w:r>
            <w:r w:rsidRPr="00551729">
              <w:rPr>
                <w:rFonts w:ascii="Garamond" w:hAnsi="Garamond"/>
                <w:b/>
                <w:sz w:val="18"/>
                <w:lang w:val="sq-AL"/>
              </w:rPr>
              <w:t>]</w:t>
            </w:r>
          </w:p>
        </w:tc>
        <w:tc>
          <w:tcPr>
            <w:tcW w:w="7125" w:type="dxa"/>
            <w:tcBorders>
              <w:right w:val="double" w:sz="6" w:space="0" w:color="A6A6A6"/>
            </w:tcBorders>
          </w:tcPr>
          <w:p w14:paraId="1BADC9F0" w14:textId="77777777" w:rsidR="00304B02" w:rsidRPr="00551729" w:rsidRDefault="00304B02" w:rsidP="00304B02">
            <w:pPr>
              <w:pStyle w:val="TableParagraph"/>
              <w:rPr>
                <w:rFonts w:ascii="Garamond" w:hAnsi="Garamond"/>
                <w:sz w:val="18"/>
                <w:lang w:val="sq-AL"/>
              </w:rPr>
            </w:pPr>
            <w:r w:rsidRPr="00551729">
              <w:rPr>
                <w:rFonts w:ascii="Garamond" w:hAnsi="Garamond"/>
                <w:b/>
                <w:sz w:val="18"/>
                <w:lang w:val="sq-AL"/>
              </w:rPr>
              <w:t>Mal i Zi</w:t>
            </w:r>
            <w:r w:rsidRPr="00551729">
              <w:rPr>
                <w:rFonts w:ascii="Garamond" w:hAnsi="Garamond"/>
                <w:sz w:val="18"/>
                <w:lang w:val="sq-AL"/>
              </w:rPr>
              <w:t>:</w:t>
            </w:r>
          </w:p>
          <w:p w14:paraId="1BADC9F1"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Ministria e Punëve të Jashtme dhe Integrimit Europian Stanka Dragojevića 2</w:t>
            </w:r>
          </w:p>
          <w:p w14:paraId="1BADC9F2"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81000 Podgoricë</w:t>
            </w:r>
          </w:p>
          <w:p w14:paraId="1BADC9F3" w14:textId="494C74E1" w:rsidR="00304B02" w:rsidRPr="00551729" w:rsidRDefault="00304B02" w:rsidP="00304B02">
            <w:pPr>
              <w:pStyle w:val="TableParagraph"/>
              <w:rPr>
                <w:rFonts w:ascii="Garamond" w:hAnsi="Garamond"/>
                <w:sz w:val="18"/>
                <w:lang w:val="sq-AL"/>
              </w:rPr>
            </w:pPr>
            <w:r w:rsidRPr="00551729">
              <w:rPr>
                <w:rFonts w:ascii="Garamond" w:hAnsi="Garamond"/>
                <w:sz w:val="18"/>
                <w:lang w:val="sq-AL"/>
              </w:rPr>
              <w:t>Tel: (+382 20)</w:t>
            </w:r>
            <w:r w:rsidR="00C521D5" w:rsidRPr="00551729">
              <w:rPr>
                <w:rFonts w:ascii="Garamond" w:hAnsi="Garamond"/>
                <w:sz w:val="18"/>
                <w:lang w:val="sq-AL"/>
              </w:rPr>
              <w:t xml:space="preserve"> </w:t>
            </w:r>
            <w:r w:rsidRPr="00551729">
              <w:rPr>
                <w:rFonts w:ascii="Garamond" w:hAnsi="Garamond"/>
                <w:sz w:val="18"/>
                <w:lang w:val="sq-AL"/>
              </w:rPr>
              <w:t>224 439</w:t>
            </w:r>
          </w:p>
          <w:p w14:paraId="1BADC9F4"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Faks:(+382 20) - 224 449</w:t>
            </w:r>
          </w:p>
          <w:p w14:paraId="1BADC9F5" w14:textId="77777777" w:rsidR="00304B02" w:rsidRPr="00551729" w:rsidRDefault="00304B02" w:rsidP="00304B02">
            <w:pPr>
              <w:pStyle w:val="TableParagraph"/>
              <w:rPr>
                <w:rFonts w:ascii="Garamond" w:hAnsi="Garamond"/>
                <w:b/>
                <w:sz w:val="18"/>
                <w:lang w:val="sq-AL"/>
              </w:rPr>
            </w:pPr>
          </w:p>
          <w:p w14:paraId="1BADC9F6" w14:textId="77777777" w:rsidR="00304B02" w:rsidRPr="00551729" w:rsidRDefault="00304B02" w:rsidP="00304B02">
            <w:pPr>
              <w:pStyle w:val="TableParagraph"/>
              <w:rPr>
                <w:rFonts w:ascii="Garamond" w:hAnsi="Garamond"/>
                <w:b/>
                <w:sz w:val="18"/>
                <w:lang w:val="sq-AL"/>
              </w:rPr>
            </w:pPr>
          </w:p>
          <w:p w14:paraId="1BADC9F7" w14:textId="77777777" w:rsidR="00304B02" w:rsidRPr="00551729" w:rsidRDefault="00304B02" w:rsidP="00304B02">
            <w:pPr>
              <w:pStyle w:val="TableParagraph"/>
              <w:rPr>
                <w:rFonts w:ascii="Garamond" w:hAnsi="Garamond"/>
                <w:b/>
                <w:sz w:val="18"/>
                <w:lang w:val="sq-AL"/>
              </w:rPr>
            </w:pPr>
            <w:r w:rsidRPr="00551729">
              <w:rPr>
                <w:rFonts w:ascii="Garamond" w:hAnsi="Garamond"/>
                <w:b/>
                <w:sz w:val="18"/>
                <w:lang w:val="sq-AL"/>
              </w:rPr>
              <w:t>Shqipëri:</w:t>
            </w:r>
          </w:p>
          <w:p w14:paraId="1BADC9F8"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Ministria e Integrimit Evropian</w:t>
            </w:r>
          </w:p>
          <w:p w14:paraId="1BADC9F9" w14:textId="152CACD0" w:rsidR="00304B02" w:rsidRPr="00551729" w:rsidRDefault="00304B02" w:rsidP="00304B02">
            <w:pPr>
              <w:pStyle w:val="TableParagraph"/>
              <w:rPr>
                <w:rFonts w:ascii="Garamond" w:hAnsi="Garamond"/>
                <w:sz w:val="18"/>
                <w:lang w:val="sq-AL"/>
              </w:rPr>
            </w:pPr>
            <w:r w:rsidRPr="00551729">
              <w:rPr>
                <w:rFonts w:ascii="Garamond" w:hAnsi="Garamond"/>
                <w:sz w:val="18"/>
                <w:lang w:val="sq-AL"/>
              </w:rPr>
              <w:t xml:space="preserve">Rr. </w:t>
            </w:r>
            <w:r w:rsidR="00C521D5" w:rsidRPr="00551729">
              <w:rPr>
                <w:rFonts w:ascii="Garamond" w:hAnsi="Garamond"/>
                <w:sz w:val="18"/>
                <w:lang w:val="sq-AL"/>
              </w:rPr>
              <w:t>“</w:t>
            </w:r>
            <w:r w:rsidRPr="00551729">
              <w:rPr>
                <w:rFonts w:ascii="Garamond" w:hAnsi="Garamond"/>
                <w:sz w:val="18"/>
                <w:lang w:val="sq-AL"/>
              </w:rPr>
              <w:t>Papa Gjon Pali II</w:t>
            </w:r>
            <w:r w:rsidR="00C521D5" w:rsidRPr="00551729">
              <w:rPr>
                <w:rFonts w:ascii="Garamond" w:hAnsi="Garamond"/>
                <w:sz w:val="18"/>
                <w:lang w:val="sq-AL"/>
              </w:rPr>
              <w:t>”</w:t>
            </w:r>
            <w:r w:rsidRPr="00551729">
              <w:rPr>
                <w:rFonts w:ascii="Garamond" w:hAnsi="Garamond"/>
                <w:sz w:val="18"/>
                <w:lang w:val="sq-AL"/>
              </w:rPr>
              <w:t>, Tiranë, Shqipëri Tel:</w:t>
            </w:r>
            <w:r w:rsidR="00C521D5" w:rsidRPr="00551729">
              <w:rPr>
                <w:rFonts w:ascii="Garamond" w:hAnsi="Garamond"/>
                <w:sz w:val="18"/>
                <w:lang w:val="sq-AL"/>
              </w:rPr>
              <w:t xml:space="preserve"> </w:t>
            </w:r>
            <w:r w:rsidRPr="00551729">
              <w:rPr>
                <w:rFonts w:ascii="Garamond" w:hAnsi="Garamond"/>
                <w:sz w:val="18"/>
                <w:lang w:val="sq-AL"/>
              </w:rPr>
              <w:t>+355 4 22 286 45</w:t>
            </w:r>
          </w:p>
          <w:p w14:paraId="1BADC9FA"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Faks: + 355 4 22 562 67</w:t>
            </w:r>
          </w:p>
        </w:tc>
      </w:tr>
      <w:tr w:rsidR="00304B02" w:rsidRPr="00551729" w14:paraId="1BADC9FE" w14:textId="77777777" w:rsidTr="00B628D7">
        <w:trPr>
          <w:trHeight w:hRule="exact" w:val="1054"/>
        </w:trPr>
        <w:tc>
          <w:tcPr>
            <w:tcW w:w="2088" w:type="dxa"/>
            <w:tcBorders>
              <w:left w:val="double" w:sz="6" w:space="0" w:color="A6A6A6"/>
              <w:bottom w:val="double" w:sz="6" w:space="0" w:color="A6A6A6"/>
            </w:tcBorders>
          </w:tcPr>
          <w:p w14:paraId="1BADC9FC" w14:textId="77777777" w:rsidR="00304B02" w:rsidRPr="00551729" w:rsidRDefault="00304B02" w:rsidP="00304B02">
            <w:pPr>
              <w:pStyle w:val="TableParagraph"/>
              <w:rPr>
                <w:rFonts w:ascii="Garamond" w:hAnsi="Garamond"/>
                <w:b/>
                <w:sz w:val="18"/>
                <w:lang w:val="sq-AL"/>
              </w:rPr>
            </w:pPr>
            <w:r w:rsidRPr="00551729">
              <w:rPr>
                <w:rFonts w:ascii="Garamond" w:hAnsi="Garamond"/>
                <w:b/>
                <w:sz w:val="18"/>
                <w:lang w:val="sq-AL"/>
              </w:rPr>
              <w:t>SPT/Antena</w:t>
            </w:r>
          </w:p>
        </w:tc>
        <w:tc>
          <w:tcPr>
            <w:tcW w:w="7125" w:type="dxa"/>
            <w:tcBorders>
              <w:bottom w:val="double" w:sz="6" w:space="0" w:color="A6A6A6"/>
              <w:right w:val="double" w:sz="6" w:space="0" w:color="A6A6A6"/>
            </w:tcBorders>
          </w:tcPr>
          <w:p w14:paraId="1BADC9FD" w14:textId="77777777" w:rsidR="00304B02" w:rsidRPr="00551729" w:rsidRDefault="00304B02" w:rsidP="00304B02">
            <w:pPr>
              <w:pStyle w:val="TableParagraph"/>
              <w:rPr>
                <w:rFonts w:ascii="Garamond" w:hAnsi="Garamond"/>
                <w:sz w:val="18"/>
                <w:lang w:val="sq-AL"/>
              </w:rPr>
            </w:pPr>
            <w:r w:rsidRPr="00551729">
              <w:rPr>
                <w:rFonts w:ascii="Garamond" w:hAnsi="Garamond"/>
                <w:sz w:val="18"/>
                <w:lang w:val="sq-AL"/>
              </w:rPr>
              <w:t>SPT do të jetë e vendosur në Podgoricë, Mali i Zi. Antena do të jetë e vendosur në Shkodër, Shqipëri.</w:t>
            </w:r>
          </w:p>
        </w:tc>
      </w:tr>
    </w:tbl>
    <w:p w14:paraId="1BADC9FF" w14:textId="089538D7" w:rsidR="00304B02" w:rsidRPr="00551729" w:rsidRDefault="007313B6" w:rsidP="000B3D9B">
      <w:pPr>
        <w:pStyle w:val="TEKSTIII"/>
        <w:rPr>
          <w:sz w:val="16"/>
        </w:rPr>
      </w:pPr>
      <w:r w:rsidRPr="00551729">
        <w:rPr>
          <w:sz w:val="16"/>
        </w:rPr>
        <w:t xml:space="preserve">* </w:t>
      </w:r>
      <w:r w:rsidR="00304B02" w:rsidRPr="00551729">
        <w:rPr>
          <w:sz w:val="16"/>
        </w:rPr>
        <w:t xml:space="preserve">Kudo që është përmendur termi </w:t>
      </w:r>
      <w:r w:rsidR="00C521D5" w:rsidRPr="00551729">
        <w:rPr>
          <w:sz w:val="16"/>
        </w:rPr>
        <w:t>“</w:t>
      </w:r>
      <w:r w:rsidR="00304B02" w:rsidRPr="00551729">
        <w:rPr>
          <w:sz w:val="16"/>
        </w:rPr>
        <w:t>Qarku i Tropojës</w:t>
      </w:r>
      <w:r w:rsidR="00C521D5" w:rsidRPr="00551729">
        <w:rPr>
          <w:sz w:val="16"/>
        </w:rPr>
        <w:t>”</w:t>
      </w:r>
      <w:r w:rsidR="00304B02" w:rsidRPr="00551729">
        <w:rPr>
          <w:sz w:val="16"/>
        </w:rPr>
        <w:t xml:space="preserve"> në tekst, ai i referohet ndarjes territoriale të mëparshme në Shqipëri, e cila përfshin Bashkinë Bajram Curri, Komunën Margegaj, Komunën Tropojë, Komunën Bujan, Komunën Bytyç, Komunën Fierzë, Komunën Lekbibaj, dhe Komunën</w:t>
      </w:r>
      <w:r w:rsidR="00304B02" w:rsidRPr="00551729">
        <w:rPr>
          <w:spacing w:val="-1"/>
          <w:sz w:val="16"/>
        </w:rPr>
        <w:t xml:space="preserve"> </w:t>
      </w:r>
      <w:r w:rsidR="00304B02" w:rsidRPr="00551729">
        <w:rPr>
          <w:sz w:val="16"/>
        </w:rPr>
        <w:t>Lugajë.</w:t>
      </w:r>
    </w:p>
    <w:p w14:paraId="1BADCA00" w14:textId="77777777" w:rsidR="00304B02" w:rsidRPr="00551729" w:rsidRDefault="00304B02" w:rsidP="000B3D9B">
      <w:pPr>
        <w:pStyle w:val="TEKSTIII"/>
        <w:rPr>
          <w:sz w:val="16"/>
        </w:rPr>
      </w:pPr>
    </w:p>
    <w:p w14:paraId="1BADCA08" w14:textId="77777777" w:rsidR="005809BB" w:rsidRPr="00551729" w:rsidRDefault="005809BB" w:rsidP="005809BB">
      <w:pPr>
        <w:pStyle w:val="TEKSTIII"/>
        <w:rPr>
          <w:b/>
        </w:rPr>
      </w:pPr>
      <w:r w:rsidRPr="00551729">
        <w:rPr>
          <w:b/>
        </w:rPr>
        <w:t>Seksioni 1: Përmbledhje e Programit</w:t>
      </w:r>
    </w:p>
    <w:p w14:paraId="1BADCA09" w14:textId="3578C1E4" w:rsidR="005809BB" w:rsidRPr="00551729" w:rsidRDefault="005809BB" w:rsidP="005809BB">
      <w:pPr>
        <w:pStyle w:val="TEKSTIII"/>
      </w:pPr>
      <w:r w:rsidRPr="00551729">
        <w:t xml:space="preserve">Programi për bashkëpunim ndërkufitar mes Malit të Zi (MZ) dhe Shqipërisë (AL) do të zbatohet në kuadrin e Instrumentit të Asistencës së </w:t>
      </w:r>
      <w:r w:rsidR="009C06AC">
        <w:t>Paraanëtarësimit</w:t>
      </w:r>
      <w:r w:rsidRPr="00551729">
        <w:t xml:space="preserve"> (IPA II). IPA II mbështet bashkëpunimin ndërkufitar</w:t>
      </w:r>
      <w:r w:rsidR="00F36739">
        <w:t>,</w:t>
      </w:r>
      <w:r w:rsidRPr="00551729">
        <w:t xml:space="preserve"> me qëllim promovimin e marrëdhënieve të mira fqinjësore, nxitjen e integrimit në Bashkimin Evropian dhe promovimin e zhvillimit social ekonomik. Dispozitat ligjore për zbatimin e tij janë të përcaktuara në pjesët e mëposhtme të legjislacionit:</w:t>
      </w:r>
    </w:p>
    <w:p w14:paraId="1BADCA0A" w14:textId="0F099D82" w:rsidR="005809BB" w:rsidRPr="00551729" w:rsidRDefault="005809BB" w:rsidP="005809BB">
      <w:pPr>
        <w:pStyle w:val="TEKSTIII"/>
      </w:pPr>
      <w:r w:rsidRPr="00551729">
        <w:t>-</w:t>
      </w:r>
      <w:r w:rsidR="00F36739">
        <w:t xml:space="preserve"> </w:t>
      </w:r>
      <w:r w:rsidRPr="00551729">
        <w:t xml:space="preserve">Rregullorja (BE) </w:t>
      </w:r>
      <w:r w:rsidR="00236254" w:rsidRPr="00551729">
        <w:t>nr</w:t>
      </w:r>
      <w:r w:rsidRPr="00551729">
        <w:t>. 231/2014 e Parlamentit Evropian dhe e Këshillit</w:t>
      </w:r>
      <w:r w:rsidR="00236254">
        <w:t>,</w:t>
      </w:r>
      <w:r w:rsidRPr="00551729">
        <w:t xml:space="preserve"> e datës 11 mars 2014, për themelimin e Instrumentit për Asistencën e </w:t>
      </w:r>
      <w:r w:rsidR="009C06AC">
        <w:t>Paraanëtarësimit</w:t>
      </w:r>
      <w:r w:rsidRPr="00551729">
        <w:t xml:space="preserve"> (IPA</w:t>
      </w:r>
      <w:r w:rsidRPr="00551729">
        <w:rPr>
          <w:spacing w:val="-21"/>
        </w:rPr>
        <w:t xml:space="preserve"> </w:t>
      </w:r>
      <w:r w:rsidRPr="00551729">
        <w:t>II)</w:t>
      </w:r>
      <w:r w:rsidR="00236254">
        <w:t>;</w:t>
      </w:r>
    </w:p>
    <w:p w14:paraId="1BADCA0B" w14:textId="419BC31C" w:rsidR="005809BB" w:rsidRPr="00551729" w:rsidRDefault="005809BB" w:rsidP="005809BB">
      <w:pPr>
        <w:pStyle w:val="TEKSTIII"/>
      </w:pPr>
      <w:r w:rsidRPr="00551729">
        <w:t>-</w:t>
      </w:r>
      <w:r w:rsidR="00F36739">
        <w:t xml:space="preserve"> </w:t>
      </w:r>
      <w:r w:rsidRPr="00551729">
        <w:t xml:space="preserve">Rregullorja (BE) </w:t>
      </w:r>
      <w:r w:rsidR="00236254" w:rsidRPr="00551729">
        <w:t>nr</w:t>
      </w:r>
      <w:r w:rsidRPr="00551729">
        <w:t>. 236/2014 e Parlamentit Evropian dhe e Këshillit e datës 11 mars 2014, që përcakton rregullat dhe procedurat e përbashkëta për zbatimin e instrumenteve te Bashkimit Evropian për financimin e veprimit të</w:t>
      </w:r>
      <w:r w:rsidRPr="00551729">
        <w:rPr>
          <w:spacing w:val="-18"/>
        </w:rPr>
        <w:t xml:space="preserve"> </w:t>
      </w:r>
      <w:r w:rsidRPr="00551729">
        <w:t>jashtëm</w:t>
      </w:r>
      <w:r w:rsidR="00236254">
        <w:t>;</w:t>
      </w:r>
    </w:p>
    <w:p w14:paraId="1BADCA0C" w14:textId="6673BA84" w:rsidR="005809BB" w:rsidRPr="00551729" w:rsidRDefault="00F36739" w:rsidP="005809BB">
      <w:pPr>
        <w:pStyle w:val="TEKSTIII"/>
      </w:pPr>
      <w:r>
        <w:t xml:space="preserve">- </w:t>
      </w:r>
      <w:r w:rsidR="005809BB" w:rsidRPr="00551729">
        <w:t xml:space="preserve">Rregullorja Zbatuese e Komisionit të BE-së </w:t>
      </w:r>
      <w:r w:rsidR="00A70952" w:rsidRPr="00551729">
        <w:t>nr</w:t>
      </w:r>
      <w:r w:rsidR="005809BB" w:rsidRPr="00551729">
        <w:t>. 447/2014 e datës 2 maj 2</w:t>
      </w:r>
      <w:r w:rsidR="00893E12">
        <w:t>014, mbi rregullat specifike pë</w:t>
      </w:r>
      <w:r w:rsidR="005809BB" w:rsidRPr="00551729">
        <w:t>r zbatimin e rregullores IPA</w:t>
      </w:r>
      <w:r w:rsidR="005809BB" w:rsidRPr="00551729">
        <w:rPr>
          <w:spacing w:val="-15"/>
        </w:rPr>
        <w:t xml:space="preserve"> </w:t>
      </w:r>
      <w:r w:rsidR="005809BB" w:rsidRPr="00551729">
        <w:t>II</w:t>
      </w:r>
      <w:r w:rsidR="00236254">
        <w:t>.</w:t>
      </w:r>
    </w:p>
    <w:p w14:paraId="1BADCA0D" w14:textId="77777777" w:rsidR="005809BB" w:rsidRPr="00551729" w:rsidRDefault="005809BB" w:rsidP="005809BB">
      <w:pPr>
        <w:pStyle w:val="TEKSTIII"/>
        <w:rPr>
          <w:b/>
        </w:rPr>
      </w:pPr>
      <w:bookmarkStart w:id="8" w:name="_bookmark4"/>
      <w:bookmarkEnd w:id="8"/>
      <w:r w:rsidRPr="00551729">
        <w:rPr>
          <w:b/>
        </w:rPr>
        <w:t>1.1 Përmbledhje e</w:t>
      </w:r>
      <w:r w:rsidRPr="00551729">
        <w:rPr>
          <w:b/>
          <w:spacing w:val="-14"/>
        </w:rPr>
        <w:t xml:space="preserve"> </w:t>
      </w:r>
      <w:r w:rsidRPr="00551729">
        <w:rPr>
          <w:b/>
        </w:rPr>
        <w:t>Programit</w:t>
      </w:r>
    </w:p>
    <w:p w14:paraId="1BADCA0E" w14:textId="5648EA0C" w:rsidR="005809BB" w:rsidRPr="00551729" w:rsidRDefault="005809BB" w:rsidP="005809BB">
      <w:pPr>
        <w:pStyle w:val="TEKSTIII"/>
      </w:pPr>
      <w:r w:rsidRPr="00551729">
        <w:t>Programi mbulon një territor prej 11,970 km</w:t>
      </w:r>
      <w:r w:rsidRPr="00551729">
        <w:rPr>
          <w:position w:val="10"/>
          <w:sz w:val="14"/>
        </w:rPr>
        <w:t xml:space="preserve">2 </w:t>
      </w:r>
      <w:r w:rsidRPr="00551729">
        <w:t>me një popullsi prej rreth 749.257 banorë. Territori në Mal të Zi që përbën 52.1% të sipërfaqes së programit, mbulon 12 komuna të shtrira në tr</w:t>
      </w:r>
      <w:r w:rsidR="002D5EB1">
        <w:t>i</w:t>
      </w:r>
      <w:r w:rsidRPr="00551729">
        <w:t xml:space="preserve"> rajone</w:t>
      </w:r>
      <w:r w:rsidR="00C521D5" w:rsidRPr="00551729">
        <w:t xml:space="preserve"> </w:t>
      </w:r>
      <w:r w:rsidRPr="00551729">
        <w:t>gjeografike. Pjesa shqiptare është e përbërë nga tri njësi administrative, rajonet e Lezhës dhe Shkodrës dhe rrethi i Tropojës, duke zënë 47.9% të sipërfaqes së programit. Gjatësia e vijës kufitare është 244 km, nga të cilat 38 km janë kufi ujor. Gjithsej, zona e programit ka 23 komuna dhe një total prej 1,144 vendbanimeve - qytete dhe fshatra. Zona e programit karakterizohet nga një profil i ndryshëm gjeografik dhe klimatik. Ajo paraqet kontraste të mprehta, pasi në të alternohen malet, kodrat, lumenjtë, liqenet dhe bregu i detit shumë afër me njëri-tjetrin. Zona e programit ka disa parqe kombëtare, zona të mbrojtura dhe peizazhe që pasqyrojnë biodiversitetin e pasur dhe dallimet mjedisore. Popullsia që jeton në zonën e programit llogaritet të përbëjë rreth 61% të popullsisë së përgjithshme të Malit të Zi, dhe 13.5% të popullsisë së përgjithshme të Shqipërisë. Popullsia në zonën e programit është e balancuar, e përbërë nga popullsi e Malit të Zi rreth 50.63%, dhe popullsi shqiptare me rreth 49.37%. Përbërja e popullsisë në zonën e programit tregon se 50% e popullsisë i takon segmentit moshor 15</w:t>
      </w:r>
      <w:r w:rsidR="00893E12">
        <w:t>–</w:t>
      </w:r>
      <w:r w:rsidRPr="00551729">
        <w:t>49</w:t>
      </w:r>
      <w:r w:rsidRPr="00551729">
        <w:rPr>
          <w:spacing w:val="-31"/>
        </w:rPr>
        <w:t xml:space="preserve"> </w:t>
      </w:r>
      <w:r w:rsidRPr="00551729">
        <w:t>vjeç.</w:t>
      </w:r>
    </w:p>
    <w:p w14:paraId="1BADCA10" w14:textId="77777777" w:rsidR="005809BB" w:rsidRPr="00551729" w:rsidRDefault="005809BB" w:rsidP="005809BB">
      <w:pPr>
        <w:pStyle w:val="TEKSTIII"/>
        <w:rPr>
          <w:b/>
        </w:rPr>
      </w:pPr>
      <w:r w:rsidRPr="00551729">
        <w:rPr>
          <w:b/>
        </w:rPr>
        <w:t>Gjetjet kryesore</w:t>
      </w:r>
    </w:p>
    <w:p w14:paraId="1BADCA11" w14:textId="77777777" w:rsidR="005809BB" w:rsidRPr="00551729" w:rsidRDefault="005809BB" w:rsidP="005809BB">
      <w:pPr>
        <w:pStyle w:val="TEKSTIII"/>
      </w:pPr>
      <w:r w:rsidRPr="00551729">
        <w:t>Gjetjet kryesore të analizës, të pasqyruara në përgatitjen e dokumentit, janë përmbledhur më poshtë:</w:t>
      </w:r>
    </w:p>
    <w:p w14:paraId="1BADCA12" w14:textId="245B4688" w:rsidR="005809BB" w:rsidRPr="00551729" w:rsidRDefault="005809BB" w:rsidP="005809BB">
      <w:pPr>
        <w:pStyle w:val="TEKSTIII"/>
      </w:pPr>
      <w:r w:rsidRPr="00551729">
        <w:t xml:space="preserve">Zona e programit </w:t>
      </w:r>
      <w:r w:rsidRPr="00551729">
        <w:rPr>
          <w:b/>
        </w:rPr>
        <w:t xml:space="preserve">përmban pabarazi rajonale </w:t>
      </w:r>
      <w:r w:rsidRPr="00551729">
        <w:t>në aspektin e zhvillimeve social-ekonomike dhe struktura e ekonomisë është e ndryshme në të dy</w:t>
      </w:r>
      <w:r w:rsidR="006B28E8">
        <w:t>ja</w:t>
      </w:r>
      <w:r w:rsidRPr="00551729">
        <w:t xml:space="preserve"> anët e kufirit. Ndërkohë që rajonet shqiptare mbështeten në bujqësi, shërbime, tregje me shumicë dhe pakicë, rajonet malazeze shfaqin një industri më të</w:t>
      </w:r>
      <w:r w:rsidRPr="00551729">
        <w:rPr>
          <w:spacing w:val="41"/>
        </w:rPr>
        <w:t xml:space="preserve"> </w:t>
      </w:r>
      <w:r w:rsidRPr="00551729">
        <w:t>zhvilluar, si dhe niveli i turizmit është shumë më i zhvilluar. Të dy</w:t>
      </w:r>
      <w:r w:rsidR="006B28E8">
        <w:t>ja</w:t>
      </w:r>
      <w:r w:rsidRPr="00551729">
        <w:t xml:space="preserve"> rajone</w:t>
      </w:r>
      <w:r w:rsidR="006B28E8">
        <w:t>t</w:t>
      </w:r>
      <w:r w:rsidRPr="00551729">
        <w:t xml:space="preserve"> janë nën potencialin e tyre të zhvillimit, pasi ata ende duhet të gjejnë mënyra dhe mundësi për të përfituar nga avantazhet e tyre krahasuese.</w:t>
      </w:r>
    </w:p>
    <w:p w14:paraId="1BADCA13" w14:textId="7B11F10D" w:rsidR="005809BB" w:rsidRPr="00551729" w:rsidRDefault="005809BB" w:rsidP="005809BB">
      <w:pPr>
        <w:pStyle w:val="TEKSTIII"/>
      </w:pPr>
      <w:r w:rsidRPr="00551729">
        <w:rPr>
          <w:b/>
        </w:rPr>
        <w:t xml:space="preserve">Konkurrenca e biznesit është e ulët </w:t>
      </w:r>
      <w:r w:rsidRPr="00551729">
        <w:t>në të dyja anët e kufirit. Struktura e operatorëve ekonomikë në zonën e programit është e dominuar nga ndërmarrjet e vogla dhe të mesme. Produktiviteti më i lartë dhe investimet e mëtejshme në ekspertizën dhe përdorimin e teknologjive të inovacionit, janë një parakusht për t</w:t>
      </w:r>
      <w:r w:rsidR="002A0B7E">
        <w:t>’</w:t>
      </w:r>
      <w:r w:rsidRPr="00551729">
        <w:t>u bërë më konkurrues në nivel kombëtar dhe ndërkombëtar. Shumica e ndërmarrjeve të vogla dhe të mesme (NVM) në të dyja anët operojnë në sektorin e shërbimeve. Forcimi i mekanizmave mbështetës të biznesit mbetet një</w:t>
      </w:r>
      <w:r w:rsidRPr="00551729">
        <w:rPr>
          <w:spacing w:val="-11"/>
        </w:rPr>
        <w:t xml:space="preserve"> </w:t>
      </w:r>
      <w:r w:rsidRPr="00551729">
        <w:t>sfidë.</w:t>
      </w:r>
    </w:p>
    <w:p w14:paraId="1BADCA14" w14:textId="7A59701D" w:rsidR="005809BB" w:rsidRPr="00551729" w:rsidRDefault="005809BB" w:rsidP="005809BB">
      <w:pPr>
        <w:pStyle w:val="TEKSTIII"/>
      </w:pPr>
      <w:r w:rsidRPr="00551729">
        <w:rPr>
          <w:b/>
        </w:rPr>
        <w:t xml:space="preserve">Bujqësia është një potencial i madh ekonomik </w:t>
      </w:r>
      <w:r w:rsidRPr="00551729">
        <w:t>në të dy</w:t>
      </w:r>
      <w:r w:rsidR="002A0B7E">
        <w:t>ja</w:t>
      </w:r>
      <w:r w:rsidRPr="00551729">
        <w:t xml:space="preserve"> vendet, por vazhdon të jetë e pashfrytëzuar, me </w:t>
      </w:r>
      <w:r w:rsidRPr="00551729">
        <w:rPr>
          <w:b/>
        </w:rPr>
        <w:t>produktivitet dhe konkurrencë të ulët</w:t>
      </w:r>
      <w:r w:rsidRPr="00551729">
        <w:t>. Në përgjithësi, ekonomia rurale është e fragmentuar, në një shkallë më të lartë në zonën shqiptare të programit. Por, pronarët e vegjël bujqësorë përballen me vështirësinë për të hyrë në tregjet e vendit dhe ato rajonale. Përmirësimi i aksesit në treg dhe forcimi i sistemit ushqimor dhe organeve përkatës të inspektimit do të jenë të rëndësishëm për rritjen e konkurrencës në sektorin e bujqësisë.</w:t>
      </w:r>
    </w:p>
    <w:p w14:paraId="1BADCA15" w14:textId="3F2D59BA" w:rsidR="005809BB" w:rsidRPr="00551729" w:rsidRDefault="005809BB" w:rsidP="005809BB">
      <w:pPr>
        <w:pStyle w:val="TEKSTIII"/>
      </w:pPr>
      <w:r w:rsidRPr="00551729">
        <w:rPr>
          <w:b/>
        </w:rPr>
        <w:t xml:space="preserve">Turizmi </w:t>
      </w:r>
      <w:r w:rsidRPr="00551729">
        <w:t>është një potencial i madh për të dy</w:t>
      </w:r>
      <w:r w:rsidR="002D65E5">
        <w:t>ja</w:t>
      </w:r>
      <w:r w:rsidRPr="00551729">
        <w:t xml:space="preserve"> vendet, por është i zhvilluar në mënyrë të pabarabartë.</w:t>
      </w:r>
      <w:r w:rsidR="00C521D5" w:rsidRPr="00551729">
        <w:t xml:space="preserve"> </w:t>
      </w:r>
      <w:r w:rsidRPr="00551729">
        <w:t>Mali i Zi është tashmë një destinacion turistik i admiruar, ndërsa Shqipëria ka ende punë për t</w:t>
      </w:r>
      <w:r w:rsidR="00365069">
        <w:t>’</w:t>
      </w:r>
      <w:r w:rsidRPr="00551729">
        <w:t xml:space="preserve">u bërë i tillë, pasi sektori i turizmit në pjesën shqiptare të zonës së programit është zhvilluar pak, pavarësisht potencialit të madh që ekziston. Sinergji të dukshme, me mundësi që të mbështeten nga bashkëpunimi ndërkufitar (programi BNK), mund të ndërtohen midis rajoneve në Shqipëri dhe zonave bregdetare në Mal të Zi. Ekziston një </w:t>
      </w:r>
      <w:r w:rsidRPr="00551729">
        <w:rPr>
          <w:b/>
        </w:rPr>
        <w:t xml:space="preserve">trashëgimi e pasur historike-kulturore </w:t>
      </w:r>
      <w:r w:rsidRPr="00551729">
        <w:t>në zonën kufitare, e cila duhet të ruhet. Vleftësimi i mëtejshëm i trashëgimisë historike dhe kulturore mund të kontribuojë në forcimin e identitetit të zonës, por edhe si një pasuri për zhvillimin ekonomik të</w:t>
      </w:r>
      <w:r w:rsidRPr="00551729">
        <w:rPr>
          <w:spacing w:val="-29"/>
        </w:rPr>
        <w:t xml:space="preserve"> </w:t>
      </w:r>
      <w:r w:rsidRPr="00551729">
        <w:t>saj.</w:t>
      </w:r>
    </w:p>
    <w:p w14:paraId="1BADCA16" w14:textId="1C77FEB0" w:rsidR="005809BB" w:rsidRPr="00551729" w:rsidRDefault="005809BB" w:rsidP="005809BB">
      <w:pPr>
        <w:pStyle w:val="TEKSTIII"/>
      </w:pPr>
      <w:r w:rsidRPr="00551729">
        <w:rPr>
          <w:b/>
        </w:rPr>
        <w:t xml:space="preserve">Papunësia është relativisht e lartë </w:t>
      </w:r>
      <w:r w:rsidRPr="00551729">
        <w:t>si në Mal të Zi ashtu edhe Shqipëri, dhe vazhdon të jetë një problem i madh ekonomik. Papunësia mbetet një problem i mprehtë</w:t>
      </w:r>
      <w:r w:rsidR="00445155">
        <w:t>,</w:t>
      </w:r>
      <w:r w:rsidRPr="00551729">
        <w:t xml:space="preserve"> veçanërisht për grupet e ndjeshme sociale</w:t>
      </w:r>
      <w:r w:rsidR="00445155">
        <w:t>,</w:t>
      </w:r>
      <w:r w:rsidRPr="00551729">
        <w:t xml:space="preserve"> siç janë të rinjtë, gratë dhe popullsia rurale. Varfëria është bërë një shqetësim urban, duke treguar një ecuri të ngadaltë të ekonomisë gjatë viteve të fundit, ndërkohë që ripërtëritja e potencialit urban tashmë të përdorur është bërë e domosdoshme për të udhëhequr rritjen ekonomike. Niveli i pabarabartë </w:t>
      </w:r>
      <w:r w:rsidRPr="00551729">
        <w:rPr>
          <w:b/>
        </w:rPr>
        <w:t xml:space="preserve">arsimor </w:t>
      </w:r>
      <w:r w:rsidRPr="00551729">
        <w:t>është i pranishëm në zonën e programit, me një rritje të analfabetizmit në zonat e thella. Të rinjtë me arsim të lartë kanë tendencë për t</w:t>
      </w:r>
      <w:r w:rsidR="00365069">
        <w:t>’</w:t>
      </w:r>
      <w:r w:rsidRPr="00551729">
        <w:t xml:space="preserve">u larguar drejt rajoneve që ofrojnë më shumë mundësi apo jashtë vendit. Sistemi i arsimit të mesëm është më pak tërheqës dhe i aksesueshëm, veçanërisht për popullsinë e re në zonat rurale të programit. Depërtimi i </w:t>
      </w:r>
      <w:r w:rsidRPr="00551729">
        <w:rPr>
          <w:b/>
        </w:rPr>
        <w:t xml:space="preserve">kërkimit shkencor </w:t>
      </w:r>
      <w:r w:rsidR="00445155">
        <w:rPr>
          <w:b/>
        </w:rPr>
        <w:t>dhe</w:t>
      </w:r>
      <w:r w:rsidRPr="00551729">
        <w:rPr>
          <w:b/>
        </w:rPr>
        <w:t xml:space="preserve"> zhvillimit </w:t>
      </w:r>
      <w:r w:rsidRPr="00551729">
        <w:t xml:space="preserve">dhe teknologjisë së informacionit dhe komunikimit (TIK) është në një nivel të ulët në Shqipëri, ndërsa në Mal të Zi ndjek trendin e rritjes së vazhdueshme dhe aktualisht është në nivel të mjaftueshëm. Në zonën e programit investimet janë të pamjaftueshme, si dhe mungojnë aktiviteteve mbështetëse në nivel qeveritar, rajonal ose lokal për kërkimin shkencor dhe zhvillimin. Në përgjithësi, shërbimet </w:t>
      </w:r>
      <w:r w:rsidRPr="00551729">
        <w:rPr>
          <w:b/>
        </w:rPr>
        <w:t xml:space="preserve">shëndetësore </w:t>
      </w:r>
      <w:r w:rsidRPr="00551729">
        <w:t>në zonën e programit janë duke u përmirësuar, por duhet të bëhet akoma më shumë për të siguruar akses universal në shërbime të tilla edhe nga familjet e varfra.</w:t>
      </w:r>
    </w:p>
    <w:p w14:paraId="1BADCA17" w14:textId="0E1EB826" w:rsidR="005809BB" w:rsidRPr="00551729" w:rsidRDefault="005809BB" w:rsidP="005809BB">
      <w:pPr>
        <w:pStyle w:val="TEKSTIII"/>
      </w:pPr>
      <w:r w:rsidRPr="00551729">
        <w:rPr>
          <w:b/>
        </w:rPr>
        <w:t xml:space="preserve">Mbrojtja e mjedisit </w:t>
      </w:r>
      <w:r w:rsidRPr="00551729">
        <w:t>ka nevojë për vëme</w:t>
      </w:r>
      <w:r w:rsidR="000B1CE1">
        <w:t>ndje serioze në planet e ardhsh</w:t>
      </w:r>
      <w:r w:rsidR="00705851">
        <w:t>me</w:t>
      </w:r>
      <w:r w:rsidRPr="00551729">
        <w:t xml:space="preserve"> të zhvillimit të zonës së programit. Me zhvillimin e përgjithshëm të zonës së programit që mbështetet kryesisht në burimet natyrore, mbrojtja dhe ruajtja mjedisore e tyre është vendimtare për zhvillimin e qëndrueshëm të zonës. Përmirësimi i menaxhimit të mbeturinave, i kontrollit të ndotjes, dhe përmirësimi i menaxhimit të</w:t>
      </w:r>
      <w:r w:rsidR="00C521D5" w:rsidRPr="00551729">
        <w:t xml:space="preserve"> </w:t>
      </w:r>
      <w:r w:rsidRPr="00551729">
        <w:t>tokave janë ndër prioritetet kryesore për t</w:t>
      </w:r>
      <w:r w:rsidR="000B1CE1">
        <w:t>’</w:t>
      </w:r>
      <w:r w:rsidRPr="00551729">
        <w:t>u adresuar. Vleftësimi i mëtejshëm i burimeve natyrore në funksion të zhvillimit ekonomik është një çështje kyçe për zhvillimin e</w:t>
      </w:r>
      <w:r w:rsidRPr="00551729">
        <w:rPr>
          <w:spacing w:val="-26"/>
        </w:rPr>
        <w:t xml:space="preserve"> </w:t>
      </w:r>
      <w:r w:rsidRPr="00551729">
        <w:t>zonës.</w:t>
      </w:r>
    </w:p>
    <w:p w14:paraId="1BADCA18" w14:textId="77777777" w:rsidR="005809BB" w:rsidRPr="00551729" w:rsidRDefault="005809BB" w:rsidP="005809BB">
      <w:pPr>
        <w:pStyle w:val="TEKSTIII"/>
        <w:rPr>
          <w:b/>
        </w:rPr>
      </w:pPr>
      <w:r w:rsidRPr="00551729">
        <w:rPr>
          <w:b/>
        </w:rPr>
        <w:t>Fushat kryesore të ndërhyrjeve</w:t>
      </w:r>
    </w:p>
    <w:p w14:paraId="1BADCA19" w14:textId="392D9425" w:rsidR="005809BB" w:rsidRPr="00551729" w:rsidRDefault="005809BB" w:rsidP="005809BB">
      <w:pPr>
        <w:pStyle w:val="TEKSTIII"/>
      </w:pPr>
      <w:r w:rsidRPr="00551729">
        <w:rPr>
          <w:b/>
        </w:rPr>
        <w:t xml:space="preserve">Objektivi i përgjithshëm </w:t>
      </w:r>
      <w:r w:rsidRPr="00551729">
        <w:t xml:space="preserve">i këtij programi </w:t>
      </w:r>
      <w:r w:rsidR="000B1CE1">
        <w:t>ndërkufitar është të promovojë/</w:t>
      </w:r>
      <w:r w:rsidRPr="00551729">
        <w:t>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p w14:paraId="1BADCA1A" w14:textId="734760A7" w:rsidR="005809BB" w:rsidRPr="00551729" w:rsidRDefault="005809BB" w:rsidP="005809BB">
      <w:pPr>
        <w:pStyle w:val="TEKSTIII"/>
      </w:pPr>
      <w:r w:rsidRPr="00551729">
        <w:t xml:space="preserve">Bazuar në analizën e situatës, analizën e faktorëve politikë, ekonomikë, socialë, teknologjikë, ligjorë, dhe </w:t>
      </w:r>
      <w:r w:rsidR="006334E5" w:rsidRPr="00551729">
        <w:t>mjedisor</w:t>
      </w:r>
      <w:r w:rsidR="006334E5">
        <w:t>ë</w:t>
      </w:r>
      <w:r w:rsidR="006334E5" w:rsidRPr="00551729">
        <w:t xml:space="preserve"> </w:t>
      </w:r>
      <w:r w:rsidRPr="00551729">
        <w:t>(PESTLE), dhe analizën e pikave të forta, pikave të dobëta, mundësive dhe kërcënimeve (SWOT), prioritetet e mëposhtme tematike dhe objektivat specifik</w:t>
      </w:r>
      <w:r w:rsidR="0096601B">
        <w:t>ë</w:t>
      </w:r>
      <w:r w:rsidRPr="00551729">
        <w:t xml:space="preserve"> janë cilësuar si të rëndësishëm për t</w:t>
      </w:r>
      <w:r w:rsidR="0096601B">
        <w:t>’</w:t>
      </w:r>
      <w:r w:rsidRPr="00551729">
        <w:t>u mbështetur nëpërmjet iniciativave të bashkëpunimit ndërkufitar</w:t>
      </w:r>
      <w:r w:rsidRPr="00551729">
        <w:rPr>
          <w:spacing w:val="-23"/>
        </w:rPr>
        <w:t xml:space="preserve"> </w:t>
      </w:r>
      <w:r w:rsidRPr="00551729">
        <w:t>(BNK):</w:t>
      </w:r>
    </w:p>
    <w:p w14:paraId="1BADCA1B" w14:textId="77777777" w:rsidR="005809BB" w:rsidRPr="00551729" w:rsidRDefault="005809BB" w:rsidP="005809BB">
      <w:pPr>
        <w:pStyle w:val="TEKSTIII"/>
        <w:rPr>
          <w:b/>
        </w:rPr>
      </w:pPr>
      <w:r w:rsidRPr="00551729">
        <w:rPr>
          <w:b/>
        </w:rPr>
        <w:t>1. Nxitja e turizmit dhe e trashëgimisë kulturore dhe</w:t>
      </w:r>
      <w:r w:rsidRPr="00551729">
        <w:rPr>
          <w:b/>
          <w:spacing w:val="-14"/>
        </w:rPr>
        <w:t xml:space="preserve"> </w:t>
      </w:r>
      <w:r w:rsidRPr="00551729">
        <w:rPr>
          <w:b/>
        </w:rPr>
        <w:t>natyrore:</w:t>
      </w:r>
    </w:p>
    <w:p w14:paraId="1BADCA1C" w14:textId="77777777" w:rsidR="005809BB" w:rsidRPr="00551729" w:rsidRDefault="005809BB" w:rsidP="005809BB">
      <w:pPr>
        <w:pStyle w:val="TEKSTIII"/>
      </w:pPr>
      <w:r w:rsidRPr="00551729">
        <w:t>Konkurrenca e sektorit të turizmit rritet nga vlerësimi ekonomik i trashëgimisë kulturore</w:t>
      </w:r>
      <w:r w:rsidRPr="00551729">
        <w:rPr>
          <w:spacing w:val="-28"/>
        </w:rPr>
        <w:t xml:space="preserve"> </w:t>
      </w:r>
      <w:r w:rsidRPr="00551729">
        <w:t>dhe natyrore</w:t>
      </w:r>
    </w:p>
    <w:p w14:paraId="1BADCA1D" w14:textId="1DC9036D" w:rsidR="005809BB" w:rsidRPr="00551729" w:rsidRDefault="006334E5" w:rsidP="005809BB">
      <w:pPr>
        <w:pStyle w:val="TEKSTIII"/>
        <w:rPr>
          <w:b/>
        </w:rPr>
      </w:pPr>
      <w:r>
        <w:rPr>
          <w:b/>
        </w:rPr>
        <w:t>2.</w:t>
      </w:r>
      <w:r w:rsidR="005809BB" w:rsidRPr="00551729">
        <w:rPr>
          <w:b/>
        </w:rPr>
        <w:t xml:space="preserve"> Mbrojtja e mjedisit, nxitja e përshtatjes dhe </w:t>
      </w:r>
      <w:r>
        <w:rPr>
          <w:b/>
        </w:rPr>
        <w:t xml:space="preserve">e </w:t>
      </w:r>
      <w:r w:rsidR="005809BB" w:rsidRPr="00551729">
        <w:rPr>
          <w:b/>
        </w:rPr>
        <w:t>lehtësimit ndaj ndryshimeve klimatike, parandalimi dhe menaxhimi i</w:t>
      </w:r>
      <w:r w:rsidR="005809BB" w:rsidRPr="00551729">
        <w:rPr>
          <w:b/>
          <w:spacing w:val="-15"/>
        </w:rPr>
        <w:t xml:space="preserve"> </w:t>
      </w:r>
      <w:r w:rsidR="005809BB" w:rsidRPr="00551729">
        <w:rPr>
          <w:b/>
        </w:rPr>
        <w:t>rrezikut:</w:t>
      </w:r>
    </w:p>
    <w:p w14:paraId="1BADCA1E" w14:textId="49DEDEBA" w:rsidR="005809BB" w:rsidRPr="00551729" w:rsidRDefault="005809BB" w:rsidP="005809BB">
      <w:pPr>
        <w:pStyle w:val="TEKSTIII"/>
      </w:pPr>
      <w:r w:rsidRPr="00551729">
        <w:t>M</w:t>
      </w:r>
      <w:r w:rsidR="006334E5">
        <w:t>brojtja e burimeve mjedisore te</w:t>
      </w:r>
      <w:r w:rsidRPr="00551729">
        <w:t xml:space="preserve"> liqeni dhe zonat alpine, çohet më</w:t>
      </w:r>
      <w:r w:rsidRPr="00551729">
        <w:rPr>
          <w:spacing w:val="-19"/>
        </w:rPr>
        <w:t xml:space="preserve"> </w:t>
      </w:r>
      <w:r w:rsidRPr="00551729">
        <w:t>tej</w:t>
      </w:r>
      <w:r w:rsidR="006334E5">
        <w:t>.</w:t>
      </w:r>
    </w:p>
    <w:p w14:paraId="1BADCA1F" w14:textId="5B553738" w:rsidR="005809BB" w:rsidRPr="00551729" w:rsidRDefault="005809BB" w:rsidP="005809BB">
      <w:pPr>
        <w:pStyle w:val="TEKSTIII"/>
        <w:rPr>
          <w:b/>
        </w:rPr>
      </w:pPr>
      <w:r w:rsidRPr="00551729">
        <w:rPr>
          <w:b/>
        </w:rPr>
        <w:t>3. Nxitja e punësimit, lëv</w:t>
      </w:r>
      <w:r w:rsidR="002A4351">
        <w:rPr>
          <w:b/>
        </w:rPr>
        <w:t>izjes gjeografike të punonjësve</w:t>
      </w:r>
      <w:r w:rsidRPr="00551729">
        <w:rPr>
          <w:b/>
        </w:rPr>
        <w:t xml:space="preserve"> dhe përfshirjes sociale dhe kulturore përtej</w:t>
      </w:r>
      <w:r w:rsidRPr="00551729">
        <w:rPr>
          <w:b/>
          <w:spacing w:val="-1"/>
        </w:rPr>
        <w:t xml:space="preserve"> </w:t>
      </w:r>
      <w:r w:rsidRPr="00551729">
        <w:rPr>
          <w:b/>
        </w:rPr>
        <w:t>kufirit:</w:t>
      </w:r>
    </w:p>
    <w:p w14:paraId="1BADCA20" w14:textId="77777777" w:rsidR="005809BB" w:rsidRPr="00551729" w:rsidRDefault="005809BB" w:rsidP="005809BB">
      <w:pPr>
        <w:pStyle w:val="TEKSTIII"/>
      </w:pPr>
      <w:r w:rsidRPr="00551729">
        <w:t>Punësimi dhe përfshirja sociale</w:t>
      </w:r>
      <w:r w:rsidRPr="00551729">
        <w:rPr>
          <w:spacing w:val="-17"/>
        </w:rPr>
        <w:t xml:space="preserve"> </w:t>
      </w:r>
      <w:r w:rsidRPr="00551729">
        <w:t>nxitet</w:t>
      </w:r>
    </w:p>
    <w:p w14:paraId="1BADCA21" w14:textId="6FBCD1BA" w:rsidR="005809BB" w:rsidRPr="00551729" w:rsidRDefault="005809BB" w:rsidP="005809BB">
      <w:pPr>
        <w:pStyle w:val="TEKSTIII"/>
      </w:pPr>
      <w:r w:rsidRPr="00551729">
        <w:t>Përveç tr</w:t>
      </w:r>
      <w:r w:rsidR="002A4351">
        <w:t>i</w:t>
      </w:r>
      <w:r w:rsidRPr="00551729">
        <w:t xml:space="preserve"> prioriteteve tematike të përmendura më lart, programet do të përfshijnë një prioritet</w:t>
      </w:r>
      <w:r w:rsidR="00C521D5" w:rsidRPr="00551729">
        <w:t xml:space="preserve"> </w:t>
      </w:r>
      <w:r w:rsidRPr="00551729">
        <w:t xml:space="preserve">specifik, </w:t>
      </w:r>
      <w:r w:rsidR="002A4351" w:rsidRPr="00551729">
        <w:t>asistencë teknike</w:t>
      </w:r>
      <w:r w:rsidRPr="00551729">
        <w:t xml:space="preserve">, i cili ndër të tjera, synon sigurimin e menaxhimit dhe administrimit efektiv </w:t>
      </w:r>
      <w:r w:rsidRPr="00551729">
        <w:rPr>
          <w:spacing w:val="2"/>
        </w:rPr>
        <w:t xml:space="preserve">të </w:t>
      </w:r>
      <w:r w:rsidRPr="00551729">
        <w:t>programit</w:t>
      </w:r>
      <w:r w:rsidRPr="00551729">
        <w:rPr>
          <w:spacing w:val="-1"/>
        </w:rPr>
        <w:t xml:space="preserve"> </w:t>
      </w:r>
      <w:r w:rsidRPr="00551729">
        <w:t>ndërkufitar.</w:t>
      </w:r>
    </w:p>
    <w:p w14:paraId="1BADCA22" w14:textId="77777777" w:rsidR="005809BB" w:rsidRPr="00551729" w:rsidRDefault="005809BB" w:rsidP="005809BB">
      <w:pPr>
        <w:pStyle w:val="TEKSTIII"/>
        <w:rPr>
          <w:b/>
        </w:rPr>
      </w:pPr>
      <w:bookmarkStart w:id="9" w:name="_bookmark5"/>
      <w:bookmarkEnd w:id="9"/>
      <w:r w:rsidRPr="00551729">
        <w:rPr>
          <w:b/>
        </w:rPr>
        <w:t>1.2 Përgatitja e programit dhe përfshirja e</w:t>
      </w:r>
      <w:r w:rsidRPr="00551729">
        <w:rPr>
          <w:b/>
          <w:spacing w:val="-17"/>
        </w:rPr>
        <w:t xml:space="preserve"> </w:t>
      </w:r>
      <w:r w:rsidRPr="00551729">
        <w:rPr>
          <w:b/>
        </w:rPr>
        <w:t>partnerëve</w:t>
      </w:r>
    </w:p>
    <w:p w14:paraId="1BADCA23" w14:textId="2C4104EA" w:rsidR="005809BB" w:rsidRPr="00551729" w:rsidRDefault="005809BB" w:rsidP="005809BB">
      <w:pPr>
        <w:pStyle w:val="TEKSTIII"/>
      </w:pPr>
      <w:r w:rsidRPr="00551729">
        <w:t>Programi IPA BNK 2014</w:t>
      </w:r>
      <w:r w:rsidR="002A4351">
        <w:t>–</w:t>
      </w:r>
      <w:r w:rsidRPr="00551729">
        <w:t xml:space="preserve">2020 midis Malit të Zi dhe Shqipërisë është rezultat i një pune të përbashkët programuese, e realizuar nga përfaqësuesit e vendeve pjesëmarrëse, duke përfshirë palët e interesuara nga institucionet qendrore, institucionet e nivelit lokal të zonës së programit, Dhomat e Tregtisë dhe Industrisë , sipërmarrësit, dhe organizatat lokale. Një </w:t>
      </w:r>
      <w:r w:rsidR="002A4351" w:rsidRPr="00034525">
        <w:t>task forcë</w:t>
      </w:r>
      <w:r w:rsidR="002A4351" w:rsidRPr="00551729">
        <w:t xml:space="preserve"> e përbashkët </w:t>
      </w:r>
      <w:r w:rsidRPr="00551729">
        <w:t>është krijuar për të përgatitur dhe zbatuar dokumentin e programit nën udhëheqjen e Strukturave Operative</w:t>
      </w:r>
      <w:r w:rsidR="00C521D5" w:rsidRPr="00551729">
        <w:t xml:space="preserve"> </w:t>
      </w:r>
      <w:r w:rsidRPr="00551729">
        <w:t xml:space="preserve">(SO). Kështu, programi menaxhohet nga Strukturat Operative </w:t>
      </w:r>
      <w:r w:rsidR="002A4351">
        <w:t>–</w:t>
      </w:r>
      <w:r w:rsidRPr="00551729">
        <w:t xml:space="preserve"> për Malin e Zi në Ministrinë e Punëve të Jashtme dhe Integrimit Evropian, dhe për Shqipërinë, në Ministrinë e Integrimit Evropian.</w:t>
      </w:r>
    </w:p>
    <w:p w14:paraId="1BADCA24" w14:textId="4236FC93" w:rsidR="005809BB" w:rsidRPr="00551729" w:rsidRDefault="005809BB" w:rsidP="005809BB">
      <w:pPr>
        <w:pStyle w:val="TEKSTIII"/>
      </w:pPr>
      <w:r w:rsidRPr="00551729">
        <w:t xml:space="preserve">Procesi i programimit ka filluar në fillim të muajit </w:t>
      </w:r>
      <w:r w:rsidR="002A4351" w:rsidRPr="00551729">
        <w:t xml:space="preserve">korrik </w:t>
      </w:r>
      <w:r w:rsidRPr="00551729">
        <w:t xml:space="preserve">të vitit 2013 dhe vazhdoi deri në fund të muajit </w:t>
      </w:r>
      <w:r w:rsidR="002A4351" w:rsidRPr="00551729">
        <w:t xml:space="preserve">maj </w:t>
      </w:r>
      <w:r w:rsidRPr="00551729">
        <w:t xml:space="preserve">2014. Programi është hartuar nëpërmjet një procesi konsultimi, duke përfshirë palët e interesuara lokale dhe përfituesit potencialë nga të dyja anët e kufirit. Pyetësorë janë hartuar nga CBIB+ dhe shpërndarë nga SO me mbështetjen e SPT, tek institucionet në nivel qendror dhe lokal dhe Organizatat e Shoqërisë Civile (OSHC), për të mbështetur analizat PESTLE dhe SWOT për programin dhe për të siguruar një nga treguesit për identifikimin e prioriteteve të përbashkëta për zonën ndërkufitare. Nga 140 pyetësorë të dërguar (70 në Shqipëri dhe 70 në Mal të Zi), 91 u kthyen të plotësuar. Shkalla e përgjithshme e përgjigjeve në anketë ishte rreth 65%. Gjithashtu, janë zhvilluar edhe intervista </w:t>
      </w:r>
      <w:r w:rsidR="002A4351">
        <w:t>–</w:t>
      </w:r>
      <w:r w:rsidRPr="00551729">
        <w:t xml:space="preserve"> 34 në Shqipëri dhe 9 në Mal të Zi. Drafti i parë i Dokumentit të Programit u dorëzua te Komisioni më datë 15 nëntor 2013.</w:t>
      </w:r>
    </w:p>
    <w:p w14:paraId="1BADCA25" w14:textId="52846F1D" w:rsidR="005809BB" w:rsidRPr="00551729" w:rsidRDefault="005809BB" w:rsidP="005809BB">
      <w:pPr>
        <w:pStyle w:val="TEKSTIII"/>
      </w:pPr>
      <w:r w:rsidRPr="00551729">
        <w:t>Gjatë muajit dhjetor 2013, janë mbajtur dy takime prezantuese me përfaqësuesit e pushtetit vendor</w:t>
      </w:r>
      <w:r w:rsidR="002A4351">
        <w:t>,</w:t>
      </w:r>
      <w:r w:rsidRPr="00551729">
        <w:t xml:space="preserve"> në kuadër të procesit të konsultimit publik nga pala shqiptare, në Shkodër dhe Lezhë, me 15 pjesëmarrës. Nga ana tjetër, konsultimet publike janë mbajtur në tetor 2013, në Bijelo Polje me rreth 15 pjesëmarrës të pranishëm.</w:t>
      </w:r>
    </w:p>
    <w:p w14:paraId="1BADCA26" w14:textId="550E0E47" w:rsidR="005809BB" w:rsidRPr="00551729" w:rsidRDefault="005809BB" w:rsidP="005809BB">
      <w:pPr>
        <w:pStyle w:val="TEKSTIII"/>
      </w:pPr>
      <w:r w:rsidRPr="00551729">
        <w:t>Gjatë periudhës mars</w:t>
      </w:r>
      <w:r w:rsidR="002A4351">
        <w:t>–</w:t>
      </w:r>
      <w:r w:rsidRPr="00551729">
        <w:t>prill 2014, një proces i dytë konsultimi publik me një rreth më të gjerë u organizua nga OS shqiptar në koordinim me Projektin e Ndërtimit të Institucioneve Ndërkufitare (CBIB +) për të prezantuar tek organizatat e shoqërisë civile, universitetet, aktivistët qytetarë, draftdokumentin e dytë të programit midis Shqipërisë dhe Malit të Zi në rajonet e pranueshme nga Shqipëria. Aktorët e shoqërisë civile dhe përfaqësues të pushtetit vendor mbështetën fuqimisht prioritetet tematike të përzgjedhura për këtë program dhe</w:t>
      </w:r>
      <w:r w:rsidR="00F011B2">
        <w:t>,</w:t>
      </w:r>
      <w:r w:rsidRPr="00551729">
        <w:t xml:space="preserve"> gjithashtu</w:t>
      </w:r>
      <w:r w:rsidR="00F011B2">
        <w:t>,</w:t>
      </w:r>
      <w:r w:rsidRPr="00551729">
        <w:t xml:space="preserve"> dhanë detaje për sa i përket nevojave që lidhen me rajonet e tyre përkatëse, të cilat janë pasqyruar në mënyrën e duhur në dokumentin e</w:t>
      </w:r>
      <w:r w:rsidRPr="00551729">
        <w:rPr>
          <w:spacing w:val="-28"/>
        </w:rPr>
        <w:t xml:space="preserve"> </w:t>
      </w:r>
      <w:r w:rsidRPr="00551729">
        <w:t>programit.</w:t>
      </w:r>
    </w:p>
    <w:p w14:paraId="1BADCA27" w14:textId="77777777" w:rsidR="005809BB" w:rsidRPr="00551729" w:rsidRDefault="005809BB" w:rsidP="005809BB">
      <w:pPr>
        <w:pStyle w:val="TEKSTIII"/>
      </w:pPr>
      <w:r w:rsidRPr="00551729">
        <w:t>Përveç kësaj, për të koordinuar procesin në nivel kombëtar, një takim konsultativ u organizua edhe me përfaqësues nga ministritë e linjës në Shqipëri, mbi prioritetet tematike dhe aktivitetet e propozuara në program.</w:t>
      </w:r>
    </w:p>
    <w:p w14:paraId="1BADCA28" w14:textId="77777777" w:rsidR="005809BB" w:rsidRPr="00551729" w:rsidRDefault="005809BB" w:rsidP="005809BB">
      <w:pPr>
        <w:pStyle w:val="TEKSTIII"/>
      </w:pPr>
      <w:r w:rsidRPr="00551729">
        <w:t>Tabela në vijim përmbledh procesin e përgatitjes së këtij programi.</w:t>
      </w:r>
    </w:p>
    <w:p w14:paraId="1BADCA29" w14:textId="77777777" w:rsidR="005809BB" w:rsidRDefault="005809BB" w:rsidP="005809BB">
      <w:pPr>
        <w:pStyle w:val="TEKSTIII"/>
        <w:rPr>
          <w:b/>
        </w:rPr>
      </w:pPr>
    </w:p>
    <w:p w14:paraId="1BADCA2A" w14:textId="0C0A4377" w:rsidR="005809BB" w:rsidRPr="00551729" w:rsidRDefault="005809BB" w:rsidP="005809BB">
      <w:pPr>
        <w:pStyle w:val="TEKSTIII"/>
        <w:rPr>
          <w:b/>
        </w:rPr>
      </w:pPr>
      <w:r w:rsidRPr="00551729">
        <w:rPr>
          <w:b/>
        </w:rPr>
        <w:t>Tabela 1</w:t>
      </w:r>
      <w:r w:rsidR="00F011B2">
        <w:rPr>
          <w:b/>
        </w:rPr>
        <w:t>.</w:t>
      </w:r>
      <w:r w:rsidR="00893E12">
        <w:rPr>
          <w:b/>
        </w:rPr>
        <w:t xml:space="preserve"> </w:t>
      </w:r>
      <w:r w:rsidRPr="00551729">
        <w:rPr>
          <w:b/>
        </w:rPr>
        <w:t>Takimet dhe konsultimet</w:t>
      </w:r>
    </w:p>
    <w:p w14:paraId="1BADCA2B" w14:textId="77777777" w:rsidR="005809BB" w:rsidRPr="00551729" w:rsidRDefault="005809BB" w:rsidP="005809BB">
      <w:pPr>
        <w:pStyle w:val="BodyText"/>
        <w:spacing w:before="3"/>
        <w:rPr>
          <w:b/>
          <w:sz w:val="13"/>
          <w:lang w:val="sq-AL"/>
        </w:rPr>
      </w:pPr>
    </w:p>
    <w:tbl>
      <w:tblPr>
        <w:tblW w:w="9514"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
        <w:gridCol w:w="2677"/>
        <w:gridCol w:w="247"/>
        <w:gridCol w:w="5990"/>
        <w:gridCol w:w="300"/>
      </w:tblGrid>
      <w:tr w:rsidR="005809BB" w:rsidRPr="00551729" w14:paraId="1BADCA2E" w14:textId="77777777" w:rsidTr="008274CD">
        <w:trPr>
          <w:gridBefore w:val="1"/>
          <w:wBefore w:w="300" w:type="dxa"/>
          <w:trHeight w:hRule="exact" w:val="395"/>
          <w:jc w:val="center"/>
        </w:trPr>
        <w:tc>
          <w:tcPr>
            <w:tcW w:w="2924" w:type="dxa"/>
            <w:gridSpan w:val="2"/>
            <w:tcBorders>
              <w:left w:val="single" w:sz="4" w:space="0" w:color="000000"/>
              <w:bottom w:val="single" w:sz="4" w:space="0" w:color="000000"/>
              <w:right w:val="single" w:sz="4" w:space="0" w:color="000000"/>
            </w:tcBorders>
            <w:shd w:val="clear" w:color="auto" w:fill="800080"/>
          </w:tcPr>
          <w:p w14:paraId="1BADCA2C" w14:textId="156327C2" w:rsidR="005809BB" w:rsidRPr="00551729" w:rsidRDefault="005809BB" w:rsidP="00B628D7">
            <w:pPr>
              <w:pStyle w:val="TableParagraph"/>
              <w:spacing w:line="268" w:lineRule="exact"/>
              <w:ind w:left="887" w:right="160"/>
              <w:rPr>
                <w:rFonts w:ascii="Garamond" w:hAnsi="Garamond"/>
                <w:b/>
                <w:sz w:val="20"/>
                <w:szCs w:val="20"/>
                <w:lang w:val="sq-AL"/>
              </w:rPr>
            </w:pPr>
            <w:r w:rsidRPr="00551729">
              <w:rPr>
                <w:rFonts w:ascii="Garamond" w:hAnsi="Garamond"/>
                <w:b/>
                <w:color w:val="FFFFFF"/>
                <w:sz w:val="20"/>
                <w:szCs w:val="20"/>
                <w:lang w:val="sq-AL"/>
              </w:rPr>
              <w:t xml:space="preserve">Koha dhe </w:t>
            </w:r>
            <w:r w:rsidR="00893E12" w:rsidRPr="00551729">
              <w:rPr>
                <w:rFonts w:ascii="Garamond" w:hAnsi="Garamond"/>
                <w:b/>
                <w:color w:val="FFFFFF"/>
                <w:sz w:val="20"/>
                <w:szCs w:val="20"/>
                <w:lang w:val="sq-AL"/>
              </w:rPr>
              <w:t>vendi</w:t>
            </w:r>
          </w:p>
        </w:tc>
        <w:tc>
          <w:tcPr>
            <w:tcW w:w="6290" w:type="dxa"/>
            <w:gridSpan w:val="2"/>
            <w:tcBorders>
              <w:left w:val="single" w:sz="4" w:space="0" w:color="000000"/>
              <w:bottom w:val="single" w:sz="4" w:space="0" w:color="000000"/>
              <w:right w:val="single" w:sz="4" w:space="0" w:color="000000"/>
            </w:tcBorders>
            <w:shd w:val="clear" w:color="auto" w:fill="800080"/>
          </w:tcPr>
          <w:p w14:paraId="1BADCA2D" w14:textId="22FE109F" w:rsidR="005809BB" w:rsidRPr="00551729" w:rsidRDefault="005809BB" w:rsidP="00B628D7">
            <w:pPr>
              <w:pStyle w:val="TableParagraph"/>
              <w:spacing w:line="268" w:lineRule="exact"/>
              <w:ind w:left="1963" w:right="278"/>
              <w:rPr>
                <w:rFonts w:ascii="Garamond" w:hAnsi="Garamond"/>
                <w:b/>
                <w:sz w:val="20"/>
                <w:szCs w:val="20"/>
                <w:lang w:val="sq-AL"/>
              </w:rPr>
            </w:pPr>
            <w:r w:rsidRPr="00551729">
              <w:rPr>
                <w:rFonts w:ascii="Garamond" w:hAnsi="Garamond"/>
                <w:b/>
                <w:color w:val="FFFFFF"/>
                <w:sz w:val="20"/>
                <w:szCs w:val="20"/>
                <w:lang w:val="sq-AL"/>
              </w:rPr>
              <w:t xml:space="preserve">Aktivitetet dhe </w:t>
            </w:r>
            <w:r w:rsidR="00893E12" w:rsidRPr="00551729">
              <w:rPr>
                <w:rFonts w:ascii="Garamond" w:hAnsi="Garamond"/>
                <w:b/>
                <w:color w:val="FFFFFF"/>
                <w:sz w:val="20"/>
                <w:szCs w:val="20"/>
                <w:lang w:val="sq-AL"/>
              </w:rPr>
              <w:t>qëllimi</w:t>
            </w:r>
          </w:p>
        </w:tc>
      </w:tr>
      <w:tr w:rsidR="005809BB" w:rsidRPr="00551729" w14:paraId="1BADCA31" w14:textId="77777777" w:rsidTr="008274CD">
        <w:trPr>
          <w:gridBefore w:val="1"/>
          <w:wBefore w:w="300" w:type="dxa"/>
          <w:trHeight w:hRule="exact" w:val="574"/>
          <w:jc w:val="center"/>
        </w:trPr>
        <w:tc>
          <w:tcPr>
            <w:tcW w:w="2924" w:type="dxa"/>
            <w:gridSpan w:val="2"/>
            <w:tcBorders>
              <w:top w:val="single" w:sz="4" w:space="0" w:color="000000"/>
              <w:left w:val="single" w:sz="4" w:space="0" w:color="000000"/>
              <w:bottom w:val="single" w:sz="4" w:space="0" w:color="000000"/>
              <w:right w:val="single" w:sz="4" w:space="0" w:color="000000"/>
            </w:tcBorders>
            <w:shd w:val="clear" w:color="auto" w:fill="C0C0C0"/>
          </w:tcPr>
          <w:p w14:paraId="1BADCA2F" w14:textId="6E3A8A59" w:rsidR="005809BB" w:rsidRPr="00551729" w:rsidRDefault="005809BB" w:rsidP="00B628D7">
            <w:pPr>
              <w:pStyle w:val="TableParagraph"/>
              <w:spacing w:before="1" w:line="276" w:lineRule="auto"/>
              <w:ind w:left="103" w:right="160"/>
              <w:rPr>
                <w:rFonts w:ascii="Garamond" w:hAnsi="Garamond"/>
                <w:sz w:val="20"/>
                <w:szCs w:val="20"/>
                <w:lang w:val="sq-AL"/>
              </w:rPr>
            </w:pPr>
            <w:r w:rsidRPr="00551729">
              <w:rPr>
                <w:rFonts w:ascii="Garamond" w:hAnsi="Garamond"/>
                <w:sz w:val="20"/>
                <w:szCs w:val="20"/>
                <w:lang w:val="sq-AL"/>
              </w:rPr>
              <w:t>20</w:t>
            </w:r>
            <w:r w:rsidR="00F011B2">
              <w:rPr>
                <w:rFonts w:ascii="Garamond" w:hAnsi="Garamond"/>
                <w:sz w:val="20"/>
                <w:szCs w:val="20"/>
                <w:lang w:val="sq-AL"/>
              </w:rPr>
              <w:t>–</w:t>
            </w:r>
            <w:r w:rsidRPr="00551729">
              <w:rPr>
                <w:rFonts w:ascii="Garamond" w:hAnsi="Garamond"/>
                <w:sz w:val="20"/>
                <w:szCs w:val="20"/>
                <w:lang w:val="sq-AL"/>
              </w:rPr>
              <w:t xml:space="preserve">21 </w:t>
            </w:r>
            <w:r w:rsidR="00F011B2" w:rsidRPr="00551729">
              <w:rPr>
                <w:rFonts w:ascii="Garamond" w:hAnsi="Garamond"/>
                <w:sz w:val="20"/>
                <w:szCs w:val="20"/>
                <w:lang w:val="sq-AL"/>
              </w:rPr>
              <w:t xml:space="preserve">qershor </w:t>
            </w:r>
            <w:r w:rsidRPr="00551729">
              <w:rPr>
                <w:rFonts w:ascii="Garamond" w:hAnsi="Garamond"/>
                <w:sz w:val="20"/>
                <w:szCs w:val="20"/>
                <w:lang w:val="sq-AL"/>
              </w:rPr>
              <w:t>2013, Becici, Budva, në Mal të Zi</w:t>
            </w:r>
          </w:p>
        </w:tc>
        <w:tc>
          <w:tcPr>
            <w:tcW w:w="6290" w:type="dxa"/>
            <w:gridSpan w:val="2"/>
            <w:tcBorders>
              <w:top w:val="single" w:sz="4" w:space="0" w:color="000000"/>
              <w:left w:val="single" w:sz="4" w:space="0" w:color="000000"/>
              <w:bottom w:val="single" w:sz="4" w:space="0" w:color="000000"/>
              <w:right w:val="single" w:sz="4" w:space="0" w:color="000000"/>
            </w:tcBorders>
          </w:tcPr>
          <w:p w14:paraId="1BADCA30" w14:textId="61E2CBF9" w:rsidR="005809BB" w:rsidRPr="00551729" w:rsidRDefault="005809BB" w:rsidP="00B628D7">
            <w:pPr>
              <w:pStyle w:val="TableParagraph"/>
              <w:spacing w:before="1"/>
              <w:ind w:left="103" w:right="278"/>
              <w:rPr>
                <w:rFonts w:ascii="Garamond" w:hAnsi="Garamond"/>
                <w:sz w:val="20"/>
                <w:szCs w:val="20"/>
                <w:lang w:val="sq-AL"/>
              </w:rPr>
            </w:pPr>
            <w:r w:rsidRPr="00551729">
              <w:rPr>
                <w:rFonts w:ascii="Garamond" w:hAnsi="Garamond"/>
                <w:sz w:val="20"/>
                <w:szCs w:val="20"/>
                <w:lang w:val="sq-AL"/>
              </w:rPr>
              <w:t>Takim programues për 2</w:t>
            </w:r>
            <w:r w:rsidR="00893E12">
              <w:rPr>
                <w:rFonts w:ascii="Garamond" w:hAnsi="Garamond"/>
                <w:sz w:val="20"/>
                <w:szCs w:val="20"/>
                <w:lang w:val="sq-AL"/>
              </w:rPr>
              <w:t>014-20 për Ballkanin Perëndimor</w:t>
            </w:r>
          </w:p>
        </w:tc>
      </w:tr>
      <w:tr w:rsidR="005809BB" w:rsidRPr="00551729" w14:paraId="1BADCA34" w14:textId="77777777" w:rsidTr="008274CD">
        <w:trPr>
          <w:gridBefore w:val="1"/>
          <w:wBefore w:w="300" w:type="dxa"/>
          <w:trHeight w:hRule="exact" w:val="571"/>
          <w:jc w:val="center"/>
        </w:trPr>
        <w:tc>
          <w:tcPr>
            <w:tcW w:w="2924" w:type="dxa"/>
            <w:gridSpan w:val="2"/>
            <w:tcBorders>
              <w:top w:val="single" w:sz="4" w:space="0" w:color="000000"/>
              <w:left w:val="single" w:sz="4" w:space="0" w:color="000000"/>
              <w:bottom w:val="single" w:sz="4" w:space="0" w:color="000000"/>
              <w:right w:val="single" w:sz="4" w:space="0" w:color="000000"/>
            </w:tcBorders>
            <w:shd w:val="clear" w:color="auto" w:fill="C0C0C0"/>
          </w:tcPr>
          <w:p w14:paraId="1BADCA32" w14:textId="1995B6DF" w:rsidR="005809BB" w:rsidRPr="00551729" w:rsidRDefault="005809BB" w:rsidP="00B628D7">
            <w:pPr>
              <w:pStyle w:val="TableParagraph"/>
              <w:spacing w:line="243" w:lineRule="exact"/>
              <w:ind w:left="103" w:right="160"/>
              <w:rPr>
                <w:rFonts w:ascii="Garamond" w:hAnsi="Garamond"/>
                <w:sz w:val="20"/>
                <w:szCs w:val="20"/>
                <w:lang w:val="sq-AL"/>
              </w:rPr>
            </w:pPr>
            <w:r w:rsidRPr="00551729">
              <w:rPr>
                <w:rFonts w:ascii="Garamond" w:hAnsi="Garamond"/>
                <w:sz w:val="20"/>
                <w:szCs w:val="20"/>
                <w:lang w:val="sq-AL"/>
              </w:rPr>
              <w:t xml:space="preserve">9 </w:t>
            </w:r>
            <w:r w:rsidR="00F011B2" w:rsidRPr="00551729">
              <w:rPr>
                <w:rFonts w:ascii="Garamond" w:hAnsi="Garamond"/>
                <w:sz w:val="20"/>
                <w:szCs w:val="20"/>
                <w:lang w:val="sq-AL"/>
              </w:rPr>
              <w:t xml:space="preserve">korrik </w:t>
            </w:r>
            <w:r w:rsidRPr="00551729">
              <w:rPr>
                <w:rFonts w:ascii="Garamond" w:hAnsi="Garamond"/>
                <w:sz w:val="20"/>
                <w:szCs w:val="20"/>
                <w:lang w:val="sq-AL"/>
              </w:rPr>
              <w:t>2013, Podgoricë</w:t>
            </w:r>
          </w:p>
        </w:tc>
        <w:tc>
          <w:tcPr>
            <w:tcW w:w="6290" w:type="dxa"/>
            <w:gridSpan w:val="2"/>
            <w:tcBorders>
              <w:top w:val="single" w:sz="4" w:space="0" w:color="000000"/>
              <w:left w:val="single" w:sz="4" w:space="0" w:color="000000"/>
              <w:bottom w:val="single" w:sz="4" w:space="0" w:color="000000"/>
              <w:right w:val="single" w:sz="4" w:space="0" w:color="000000"/>
            </w:tcBorders>
          </w:tcPr>
          <w:p w14:paraId="1BADCA33" w14:textId="30A2E195" w:rsidR="005809BB" w:rsidRPr="00551729" w:rsidRDefault="005809BB" w:rsidP="00B628D7">
            <w:pPr>
              <w:pStyle w:val="TableParagraph"/>
              <w:spacing w:line="276" w:lineRule="auto"/>
              <w:ind w:left="103" w:right="278"/>
              <w:rPr>
                <w:rFonts w:ascii="Garamond" w:hAnsi="Garamond"/>
                <w:sz w:val="20"/>
                <w:szCs w:val="20"/>
                <w:lang w:val="sq-AL"/>
              </w:rPr>
            </w:pPr>
            <w:r w:rsidRPr="00551729">
              <w:rPr>
                <w:rFonts w:ascii="Garamond" w:hAnsi="Garamond"/>
                <w:sz w:val="20"/>
                <w:szCs w:val="20"/>
                <w:lang w:val="sq-AL"/>
              </w:rPr>
              <w:t xml:space="preserve">Hapat e programimit dhe kërkesat për analizat SWOT </w:t>
            </w:r>
            <w:r w:rsidR="00893E12">
              <w:rPr>
                <w:rFonts w:ascii="Garamond" w:hAnsi="Garamond"/>
                <w:sz w:val="20"/>
                <w:szCs w:val="20"/>
                <w:lang w:val="sq-AL"/>
              </w:rPr>
              <w:t>dhe PESTLE me SO të Malit të Zi</w:t>
            </w:r>
          </w:p>
        </w:tc>
      </w:tr>
      <w:tr w:rsidR="005809BB" w:rsidRPr="00551729" w14:paraId="1BADCA3A" w14:textId="77777777" w:rsidTr="008274CD">
        <w:trPr>
          <w:gridBefore w:val="1"/>
          <w:wBefore w:w="300" w:type="dxa"/>
          <w:trHeight w:hRule="exact" w:val="290"/>
          <w:jc w:val="center"/>
        </w:trPr>
        <w:tc>
          <w:tcPr>
            <w:tcW w:w="2924" w:type="dxa"/>
            <w:gridSpan w:val="2"/>
            <w:tcBorders>
              <w:top w:val="single" w:sz="4" w:space="0" w:color="000000"/>
              <w:left w:val="single" w:sz="4" w:space="0" w:color="000000"/>
              <w:bottom w:val="single" w:sz="4" w:space="0" w:color="000000"/>
              <w:right w:val="single" w:sz="4" w:space="0" w:color="000000"/>
            </w:tcBorders>
            <w:shd w:val="clear" w:color="auto" w:fill="C0C0C0"/>
          </w:tcPr>
          <w:p w14:paraId="1BADCA38" w14:textId="1CACF756" w:rsidR="005809BB" w:rsidRPr="00551729" w:rsidRDefault="005809BB" w:rsidP="00B628D7">
            <w:pPr>
              <w:pStyle w:val="TableParagraph"/>
              <w:spacing w:line="243" w:lineRule="exact"/>
              <w:ind w:left="103" w:right="160"/>
              <w:rPr>
                <w:rFonts w:ascii="Garamond" w:hAnsi="Garamond"/>
                <w:sz w:val="20"/>
                <w:szCs w:val="20"/>
                <w:lang w:val="sq-AL"/>
              </w:rPr>
            </w:pPr>
            <w:r w:rsidRPr="00551729">
              <w:rPr>
                <w:rFonts w:ascii="Garamond" w:hAnsi="Garamond"/>
                <w:sz w:val="20"/>
                <w:szCs w:val="20"/>
                <w:lang w:val="sq-AL"/>
              </w:rPr>
              <w:t xml:space="preserve">Gusht – mes </w:t>
            </w:r>
            <w:r w:rsidR="00F011B2" w:rsidRPr="00551729">
              <w:rPr>
                <w:rFonts w:ascii="Garamond" w:hAnsi="Garamond"/>
                <w:sz w:val="20"/>
                <w:szCs w:val="20"/>
                <w:lang w:val="sq-AL"/>
              </w:rPr>
              <w:t xml:space="preserve">shtatori </w:t>
            </w:r>
            <w:r w:rsidRPr="00551729">
              <w:rPr>
                <w:rFonts w:ascii="Garamond" w:hAnsi="Garamond"/>
                <w:sz w:val="20"/>
                <w:szCs w:val="20"/>
                <w:lang w:val="sq-AL"/>
              </w:rPr>
              <w:t>2013</w:t>
            </w:r>
          </w:p>
        </w:tc>
        <w:tc>
          <w:tcPr>
            <w:tcW w:w="6290" w:type="dxa"/>
            <w:gridSpan w:val="2"/>
            <w:tcBorders>
              <w:top w:val="single" w:sz="4" w:space="0" w:color="000000"/>
              <w:left w:val="single" w:sz="4" w:space="0" w:color="000000"/>
              <w:bottom w:val="single" w:sz="4" w:space="0" w:color="000000"/>
              <w:right w:val="single" w:sz="4" w:space="0" w:color="000000"/>
            </w:tcBorders>
          </w:tcPr>
          <w:p w14:paraId="1BADCA39" w14:textId="7B9C00CF" w:rsidR="005809BB" w:rsidRPr="00551729" w:rsidRDefault="005809BB" w:rsidP="00B628D7">
            <w:pPr>
              <w:pStyle w:val="TableParagraph"/>
              <w:spacing w:line="243" w:lineRule="exact"/>
              <w:ind w:left="103" w:right="278"/>
              <w:rPr>
                <w:rFonts w:ascii="Garamond" w:hAnsi="Garamond"/>
                <w:sz w:val="20"/>
                <w:szCs w:val="20"/>
                <w:lang w:val="sq-AL"/>
              </w:rPr>
            </w:pPr>
            <w:r w:rsidRPr="00551729">
              <w:rPr>
                <w:rFonts w:ascii="Garamond" w:hAnsi="Garamond"/>
                <w:sz w:val="20"/>
                <w:szCs w:val="20"/>
                <w:lang w:val="sq-AL"/>
              </w:rPr>
              <w:t>Shpërndarja e pyetësorëve për mbledhjen</w:t>
            </w:r>
            <w:r w:rsidR="00C521D5" w:rsidRPr="00551729">
              <w:rPr>
                <w:rFonts w:ascii="Garamond" w:hAnsi="Garamond"/>
                <w:sz w:val="20"/>
                <w:szCs w:val="20"/>
                <w:lang w:val="sq-AL"/>
              </w:rPr>
              <w:t xml:space="preserve"> </w:t>
            </w:r>
            <w:r w:rsidR="00893E12">
              <w:rPr>
                <w:rFonts w:ascii="Garamond" w:hAnsi="Garamond"/>
                <w:sz w:val="20"/>
                <w:szCs w:val="20"/>
                <w:lang w:val="sq-AL"/>
              </w:rPr>
              <w:t>e të dhënave</w:t>
            </w:r>
          </w:p>
        </w:tc>
      </w:tr>
      <w:tr w:rsidR="005809BB" w:rsidRPr="00551729" w14:paraId="1BADCA3D" w14:textId="77777777" w:rsidTr="008274CD">
        <w:trPr>
          <w:gridBefore w:val="1"/>
          <w:wBefore w:w="300" w:type="dxa"/>
          <w:trHeight w:hRule="exact" w:val="571"/>
          <w:jc w:val="center"/>
        </w:trPr>
        <w:tc>
          <w:tcPr>
            <w:tcW w:w="2924" w:type="dxa"/>
            <w:gridSpan w:val="2"/>
            <w:tcBorders>
              <w:top w:val="single" w:sz="4" w:space="0" w:color="000000"/>
              <w:left w:val="single" w:sz="4" w:space="0" w:color="000000"/>
              <w:bottom w:val="single" w:sz="4" w:space="0" w:color="000000"/>
              <w:right w:val="single" w:sz="4" w:space="0" w:color="000000"/>
            </w:tcBorders>
            <w:shd w:val="clear" w:color="auto" w:fill="C0C0C0"/>
          </w:tcPr>
          <w:p w14:paraId="1BADCA3B" w14:textId="0BC6A397" w:rsidR="005809BB" w:rsidRPr="00551729" w:rsidRDefault="005809BB" w:rsidP="00B628D7">
            <w:pPr>
              <w:pStyle w:val="TableParagraph"/>
              <w:spacing w:line="243" w:lineRule="exact"/>
              <w:ind w:left="103" w:right="160"/>
              <w:rPr>
                <w:rFonts w:ascii="Garamond" w:hAnsi="Garamond"/>
                <w:sz w:val="20"/>
                <w:szCs w:val="20"/>
                <w:lang w:val="sq-AL"/>
              </w:rPr>
            </w:pPr>
            <w:r w:rsidRPr="00551729">
              <w:rPr>
                <w:rFonts w:ascii="Garamond" w:hAnsi="Garamond"/>
                <w:sz w:val="20"/>
                <w:szCs w:val="20"/>
                <w:lang w:val="sq-AL"/>
              </w:rPr>
              <w:t xml:space="preserve">16 </w:t>
            </w:r>
            <w:r w:rsidR="00F011B2" w:rsidRPr="00551729">
              <w:rPr>
                <w:rFonts w:ascii="Garamond" w:hAnsi="Garamond"/>
                <w:sz w:val="20"/>
                <w:szCs w:val="20"/>
                <w:lang w:val="sq-AL"/>
              </w:rPr>
              <w:t xml:space="preserve">shtator </w:t>
            </w:r>
            <w:r w:rsidRPr="00551729">
              <w:rPr>
                <w:rFonts w:ascii="Garamond" w:hAnsi="Garamond"/>
                <w:sz w:val="20"/>
                <w:szCs w:val="20"/>
                <w:lang w:val="sq-AL"/>
              </w:rPr>
              <w:t>2013, Tiranë</w:t>
            </w:r>
          </w:p>
        </w:tc>
        <w:tc>
          <w:tcPr>
            <w:tcW w:w="6290" w:type="dxa"/>
            <w:gridSpan w:val="2"/>
            <w:tcBorders>
              <w:top w:val="single" w:sz="4" w:space="0" w:color="000000"/>
              <w:left w:val="single" w:sz="4" w:space="0" w:color="000000"/>
              <w:bottom w:val="single" w:sz="4" w:space="0" w:color="000000"/>
              <w:right w:val="single" w:sz="4" w:space="0" w:color="000000"/>
            </w:tcBorders>
          </w:tcPr>
          <w:p w14:paraId="1BADCA3C" w14:textId="6AE7AB66" w:rsidR="005809BB" w:rsidRPr="00551729" w:rsidRDefault="005809BB" w:rsidP="00F011B2">
            <w:pPr>
              <w:pStyle w:val="TableParagraph"/>
              <w:spacing w:line="276" w:lineRule="auto"/>
              <w:ind w:left="103" w:right="530"/>
              <w:rPr>
                <w:rFonts w:ascii="Garamond" w:hAnsi="Garamond"/>
                <w:sz w:val="20"/>
                <w:szCs w:val="20"/>
                <w:lang w:val="sq-AL"/>
              </w:rPr>
            </w:pPr>
            <w:r w:rsidRPr="00551729">
              <w:rPr>
                <w:rFonts w:ascii="Garamond" w:hAnsi="Garamond"/>
                <w:sz w:val="20"/>
                <w:szCs w:val="20"/>
                <w:lang w:val="sq-AL"/>
              </w:rPr>
              <w:t xml:space="preserve">Takimi i parë me ekipin dhe </w:t>
            </w:r>
            <w:r w:rsidR="00F011B2" w:rsidRPr="00551729">
              <w:rPr>
                <w:rFonts w:ascii="Garamond" w:hAnsi="Garamond"/>
                <w:sz w:val="20"/>
                <w:szCs w:val="20"/>
                <w:lang w:val="sq-AL"/>
              </w:rPr>
              <w:t xml:space="preserve">koordinimin </w:t>
            </w:r>
            <w:r w:rsidRPr="00551729">
              <w:rPr>
                <w:rFonts w:ascii="Garamond" w:hAnsi="Garamond"/>
                <w:sz w:val="20"/>
                <w:szCs w:val="20"/>
                <w:lang w:val="sq-AL"/>
              </w:rPr>
              <w:t>e CBIB+ për përgatitjen e Programit IPA BNK 2014</w:t>
            </w:r>
            <w:r w:rsidR="00F011B2">
              <w:rPr>
                <w:rFonts w:ascii="Garamond" w:hAnsi="Garamond"/>
                <w:sz w:val="20"/>
                <w:szCs w:val="20"/>
                <w:lang w:val="sq-AL"/>
              </w:rPr>
              <w:t>–</w:t>
            </w:r>
            <w:r w:rsidRPr="00551729">
              <w:rPr>
                <w:rFonts w:ascii="Garamond" w:hAnsi="Garamond"/>
                <w:sz w:val="20"/>
                <w:szCs w:val="20"/>
                <w:lang w:val="sq-AL"/>
              </w:rPr>
              <w:t>2020.</w:t>
            </w:r>
          </w:p>
        </w:tc>
      </w:tr>
      <w:tr w:rsidR="005809BB" w:rsidRPr="00551729" w14:paraId="1BADCA43" w14:textId="77777777" w:rsidTr="008274CD">
        <w:tblPrEx>
          <w:jc w:val="left"/>
        </w:tblPrEx>
        <w:trPr>
          <w:gridAfter w:val="1"/>
          <w:wAfter w:w="300" w:type="dxa"/>
          <w:trHeight w:hRule="exact" w:val="572"/>
        </w:trPr>
        <w:tc>
          <w:tcPr>
            <w:tcW w:w="2977" w:type="dxa"/>
            <w:gridSpan w:val="2"/>
            <w:shd w:val="clear" w:color="auto" w:fill="C0C0C0"/>
          </w:tcPr>
          <w:p w14:paraId="1BADCA41" w14:textId="0EA22535" w:rsidR="005809BB" w:rsidRPr="00551729" w:rsidRDefault="005809BB" w:rsidP="00B628D7">
            <w:pPr>
              <w:pStyle w:val="TableParagraph"/>
              <w:spacing w:line="244" w:lineRule="exact"/>
              <w:ind w:left="103" w:right="160"/>
              <w:rPr>
                <w:rFonts w:ascii="Garamond" w:hAnsi="Garamond"/>
                <w:sz w:val="20"/>
                <w:lang w:val="sq-AL"/>
              </w:rPr>
            </w:pPr>
            <w:r w:rsidRPr="00551729">
              <w:rPr>
                <w:rFonts w:ascii="Garamond" w:hAnsi="Garamond"/>
                <w:sz w:val="20"/>
                <w:lang w:val="sq-AL"/>
              </w:rPr>
              <w:t xml:space="preserve">25 </w:t>
            </w:r>
            <w:r w:rsidR="00B1590B" w:rsidRPr="00551729">
              <w:rPr>
                <w:rFonts w:ascii="Garamond" w:hAnsi="Garamond"/>
                <w:sz w:val="20"/>
                <w:lang w:val="sq-AL"/>
              </w:rPr>
              <w:t xml:space="preserve">shtator </w:t>
            </w:r>
            <w:r w:rsidRPr="00551729">
              <w:rPr>
                <w:rFonts w:ascii="Garamond" w:hAnsi="Garamond"/>
                <w:sz w:val="20"/>
                <w:lang w:val="sq-AL"/>
              </w:rPr>
              <w:t>2013, Podgoricë</w:t>
            </w:r>
          </w:p>
        </w:tc>
        <w:tc>
          <w:tcPr>
            <w:tcW w:w="6237" w:type="dxa"/>
            <w:gridSpan w:val="2"/>
          </w:tcPr>
          <w:p w14:paraId="1BADCA42" w14:textId="6E5D9B08" w:rsidR="005809BB" w:rsidRPr="00551729" w:rsidRDefault="005809BB" w:rsidP="00B628D7">
            <w:pPr>
              <w:pStyle w:val="TableParagraph"/>
              <w:spacing w:line="276" w:lineRule="auto"/>
              <w:ind w:left="103" w:right="260"/>
              <w:rPr>
                <w:rFonts w:ascii="Garamond" w:hAnsi="Garamond"/>
                <w:sz w:val="20"/>
                <w:lang w:val="sq-AL"/>
              </w:rPr>
            </w:pPr>
            <w:r w:rsidRPr="00551729">
              <w:rPr>
                <w:rFonts w:ascii="Garamond" w:hAnsi="Garamond"/>
                <w:sz w:val="20"/>
                <w:lang w:val="sq-AL"/>
              </w:rPr>
              <w:t xml:space="preserve">Trajnim i CBIB+ mbi </w:t>
            </w:r>
            <w:r w:rsidR="004C08F2" w:rsidRPr="00551729">
              <w:rPr>
                <w:rFonts w:ascii="Garamond" w:hAnsi="Garamond"/>
                <w:sz w:val="20"/>
                <w:lang w:val="sq-AL"/>
              </w:rPr>
              <w:t>zhvillimin dhe formuli</w:t>
            </w:r>
            <w:r w:rsidRPr="00551729">
              <w:rPr>
                <w:rFonts w:ascii="Garamond" w:hAnsi="Garamond"/>
                <w:sz w:val="20"/>
                <w:lang w:val="sq-AL"/>
              </w:rPr>
              <w:t>min</w:t>
            </w:r>
            <w:r w:rsidR="004C08F2">
              <w:rPr>
                <w:rFonts w:ascii="Garamond" w:hAnsi="Garamond"/>
                <w:sz w:val="20"/>
                <w:lang w:val="sq-AL"/>
              </w:rPr>
              <w:t xml:space="preserve"> e Strategjisë (SO, DEU, SPT/A)</w:t>
            </w:r>
          </w:p>
        </w:tc>
      </w:tr>
      <w:tr w:rsidR="005809BB" w:rsidRPr="00551729" w14:paraId="1BADCA46" w14:textId="77777777" w:rsidTr="008274CD">
        <w:tblPrEx>
          <w:jc w:val="left"/>
        </w:tblPrEx>
        <w:trPr>
          <w:gridAfter w:val="1"/>
          <w:wAfter w:w="300" w:type="dxa"/>
          <w:trHeight w:hRule="exact" w:val="571"/>
        </w:trPr>
        <w:tc>
          <w:tcPr>
            <w:tcW w:w="2977" w:type="dxa"/>
            <w:gridSpan w:val="2"/>
            <w:shd w:val="clear" w:color="auto" w:fill="C0C0C0"/>
          </w:tcPr>
          <w:p w14:paraId="1BADCA44" w14:textId="3DA72604"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27 </w:t>
            </w:r>
            <w:r w:rsidR="0018045A" w:rsidRPr="00551729">
              <w:rPr>
                <w:rFonts w:ascii="Garamond" w:hAnsi="Garamond"/>
                <w:sz w:val="20"/>
                <w:lang w:val="sq-AL"/>
              </w:rPr>
              <w:t xml:space="preserve">shtator </w:t>
            </w:r>
            <w:r w:rsidRPr="00551729">
              <w:rPr>
                <w:rFonts w:ascii="Garamond" w:hAnsi="Garamond"/>
                <w:sz w:val="20"/>
                <w:lang w:val="sq-AL"/>
              </w:rPr>
              <w:t>2013, Tiranë</w:t>
            </w:r>
          </w:p>
        </w:tc>
        <w:tc>
          <w:tcPr>
            <w:tcW w:w="6237" w:type="dxa"/>
            <w:gridSpan w:val="2"/>
          </w:tcPr>
          <w:p w14:paraId="1BADCA45" w14:textId="4C1C5691" w:rsidR="005809BB" w:rsidRPr="00551729" w:rsidRDefault="005809BB" w:rsidP="00B628D7">
            <w:pPr>
              <w:pStyle w:val="TableParagraph"/>
              <w:spacing w:line="276" w:lineRule="auto"/>
              <w:ind w:left="103" w:right="260"/>
              <w:rPr>
                <w:rFonts w:ascii="Garamond" w:hAnsi="Garamond"/>
                <w:sz w:val="20"/>
                <w:lang w:val="sq-AL"/>
              </w:rPr>
            </w:pPr>
            <w:r w:rsidRPr="00551729">
              <w:rPr>
                <w:rFonts w:ascii="Garamond" w:hAnsi="Garamond"/>
                <w:sz w:val="20"/>
                <w:lang w:val="sq-AL"/>
              </w:rPr>
              <w:t xml:space="preserve">Trajnim i CBIB+ mbi </w:t>
            </w:r>
            <w:r w:rsidR="004C08F2" w:rsidRPr="00551729">
              <w:rPr>
                <w:rFonts w:ascii="Garamond" w:hAnsi="Garamond"/>
                <w:sz w:val="20"/>
                <w:lang w:val="sq-AL"/>
              </w:rPr>
              <w:t xml:space="preserve">zhvillimin dhe formulimin </w:t>
            </w:r>
            <w:r w:rsidR="004C08F2">
              <w:rPr>
                <w:rFonts w:ascii="Garamond" w:hAnsi="Garamond"/>
                <w:sz w:val="20"/>
                <w:lang w:val="sq-AL"/>
              </w:rPr>
              <w:t>e Strategjisë (SO, DEU, SPT/A)</w:t>
            </w:r>
          </w:p>
        </w:tc>
      </w:tr>
      <w:tr w:rsidR="005809BB" w:rsidRPr="00551729" w14:paraId="1BADCA49" w14:textId="77777777" w:rsidTr="008274CD">
        <w:tblPrEx>
          <w:jc w:val="left"/>
        </w:tblPrEx>
        <w:trPr>
          <w:gridAfter w:val="1"/>
          <w:wAfter w:w="300" w:type="dxa"/>
          <w:trHeight w:hRule="exact" w:val="852"/>
        </w:trPr>
        <w:tc>
          <w:tcPr>
            <w:tcW w:w="2977" w:type="dxa"/>
            <w:gridSpan w:val="2"/>
            <w:shd w:val="clear" w:color="auto" w:fill="C0C0C0"/>
          </w:tcPr>
          <w:p w14:paraId="1BADCA47" w14:textId="112F80E5"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2 </w:t>
            </w:r>
            <w:r w:rsidR="0018045A" w:rsidRPr="00551729">
              <w:rPr>
                <w:rFonts w:ascii="Garamond" w:hAnsi="Garamond"/>
                <w:sz w:val="20"/>
                <w:lang w:val="sq-AL"/>
              </w:rPr>
              <w:t xml:space="preserve">tetor </w:t>
            </w:r>
            <w:r w:rsidRPr="00551729">
              <w:rPr>
                <w:rFonts w:ascii="Garamond" w:hAnsi="Garamond"/>
                <w:sz w:val="20"/>
                <w:lang w:val="sq-AL"/>
              </w:rPr>
              <w:t>2013, Podgoricë</w:t>
            </w:r>
          </w:p>
        </w:tc>
        <w:tc>
          <w:tcPr>
            <w:tcW w:w="6237" w:type="dxa"/>
            <w:gridSpan w:val="2"/>
          </w:tcPr>
          <w:p w14:paraId="1BADCA48" w14:textId="2EBB22A7" w:rsidR="005809BB" w:rsidRPr="00551729" w:rsidRDefault="005809BB" w:rsidP="00B628D7">
            <w:pPr>
              <w:pStyle w:val="TableParagraph"/>
              <w:spacing w:line="276" w:lineRule="auto"/>
              <w:ind w:left="103" w:right="879"/>
              <w:rPr>
                <w:rFonts w:ascii="Garamond" w:hAnsi="Garamond"/>
                <w:sz w:val="20"/>
                <w:lang w:val="sq-AL"/>
              </w:rPr>
            </w:pPr>
            <w:r w:rsidRPr="00551729">
              <w:rPr>
                <w:rFonts w:ascii="Garamond" w:hAnsi="Garamond"/>
                <w:sz w:val="20"/>
                <w:lang w:val="sq-AL"/>
              </w:rPr>
              <w:t xml:space="preserve">Takim me </w:t>
            </w:r>
            <w:r w:rsidR="004C08F2" w:rsidRPr="00551729">
              <w:rPr>
                <w:rFonts w:ascii="Garamond" w:hAnsi="Garamond"/>
                <w:sz w:val="20"/>
                <w:lang w:val="sq-AL"/>
              </w:rPr>
              <w:t>strukturën ope</w:t>
            </w:r>
            <w:r w:rsidRPr="00551729">
              <w:rPr>
                <w:rFonts w:ascii="Garamond" w:hAnsi="Garamond"/>
                <w:sz w:val="20"/>
                <w:lang w:val="sq-AL"/>
              </w:rPr>
              <w:t>rative të Malit të Zi - Koordinimi për real</w:t>
            </w:r>
            <w:r w:rsidR="004C08F2">
              <w:rPr>
                <w:rFonts w:ascii="Garamond" w:hAnsi="Garamond"/>
                <w:sz w:val="20"/>
                <w:lang w:val="sq-AL"/>
              </w:rPr>
              <w:t>izimin e programit IPA BNK 2014–</w:t>
            </w:r>
            <w:r w:rsidRPr="00551729">
              <w:rPr>
                <w:rFonts w:ascii="Garamond" w:hAnsi="Garamond"/>
                <w:sz w:val="20"/>
                <w:lang w:val="sq-AL"/>
              </w:rPr>
              <w:t>2020, marrëve</w:t>
            </w:r>
            <w:r w:rsidR="004C08F2">
              <w:rPr>
                <w:rFonts w:ascii="Garamond" w:hAnsi="Garamond"/>
                <w:sz w:val="20"/>
                <w:lang w:val="sq-AL"/>
              </w:rPr>
              <w:t>shja për kalendarin e programit</w:t>
            </w:r>
          </w:p>
        </w:tc>
      </w:tr>
      <w:tr w:rsidR="005809BB" w:rsidRPr="00551729" w14:paraId="1BADCA4C" w14:textId="77777777" w:rsidTr="008274CD">
        <w:tblPrEx>
          <w:jc w:val="left"/>
        </w:tblPrEx>
        <w:trPr>
          <w:gridAfter w:val="1"/>
          <w:wAfter w:w="300" w:type="dxa"/>
          <w:trHeight w:hRule="exact" w:val="571"/>
        </w:trPr>
        <w:tc>
          <w:tcPr>
            <w:tcW w:w="2977" w:type="dxa"/>
            <w:gridSpan w:val="2"/>
            <w:shd w:val="clear" w:color="auto" w:fill="C0C0C0"/>
          </w:tcPr>
          <w:p w14:paraId="1BADCA4A" w14:textId="4A6C4F22"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8 </w:t>
            </w:r>
            <w:r w:rsidR="0018045A" w:rsidRPr="00551729">
              <w:rPr>
                <w:rFonts w:ascii="Garamond" w:hAnsi="Garamond"/>
                <w:sz w:val="20"/>
                <w:lang w:val="sq-AL"/>
              </w:rPr>
              <w:t xml:space="preserve">tetor </w:t>
            </w:r>
            <w:r w:rsidRPr="00551729">
              <w:rPr>
                <w:rFonts w:ascii="Garamond" w:hAnsi="Garamond"/>
                <w:sz w:val="20"/>
                <w:lang w:val="sq-AL"/>
              </w:rPr>
              <w:t>2013, Podgoricë</w:t>
            </w:r>
          </w:p>
        </w:tc>
        <w:tc>
          <w:tcPr>
            <w:tcW w:w="6237" w:type="dxa"/>
            <w:gridSpan w:val="2"/>
          </w:tcPr>
          <w:p w14:paraId="1BADCA4B" w14:textId="0EEF056E" w:rsidR="005809BB" w:rsidRPr="00551729" w:rsidRDefault="005809BB" w:rsidP="00B628D7">
            <w:pPr>
              <w:pStyle w:val="TableParagraph"/>
              <w:spacing w:line="276" w:lineRule="auto"/>
              <w:ind w:left="103" w:right="403"/>
              <w:rPr>
                <w:rFonts w:ascii="Garamond" w:hAnsi="Garamond"/>
                <w:sz w:val="20"/>
                <w:lang w:val="sq-AL"/>
              </w:rPr>
            </w:pPr>
            <w:r w:rsidRPr="00551729">
              <w:rPr>
                <w:rFonts w:ascii="Garamond" w:hAnsi="Garamond"/>
                <w:sz w:val="20"/>
                <w:lang w:val="sq-AL"/>
              </w:rPr>
              <w:t xml:space="preserve">Takim me autoritetet e ndryshme të Malit të Zi (ministritë e linjës) </w:t>
            </w:r>
            <w:r w:rsidR="004C08F2">
              <w:rPr>
                <w:rFonts w:ascii="Garamond" w:hAnsi="Garamond"/>
                <w:sz w:val="20"/>
                <w:lang w:val="sq-AL"/>
              </w:rPr>
              <w:t>–</w:t>
            </w:r>
            <w:r w:rsidRPr="00551729">
              <w:rPr>
                <w:rFonts w:ascii="Garamond" w:hAnsi="Garamond"/>
                <w:sz w:val="20"/>
                <w:lang w:val="sq-AL"/>
              </w:rPr>
              <w:t xml:space="preserve"> diskutim mbi gjendjen dhe perspektivat zhvill</w:t>
            </w:r>
            <w:r w:rsidR="004C08F2">
              <w:rPr>
                <w:rFonts w:ascii="Garamond" w:hAnsi="Garamond"/>
                <w:sz w:val="20"/>
                <w:lang w:val="sq-AL"/>
              </w:rPr>
              <w:t>imore strategjike</w:t>
            </w:r>
          </w:p>
        </w:tc>
      </w:tr>
      <w:tr w:rsidR="005809BB" w:rsidRPr="00551729" w14:paraId="1BADCA4F" w14:textId="77777777" w:rsidTr="008274CD">
        <w:tblPrEx>
          <w:jc w:val="left"/>
        </w:tblPrEx>
        <w:trPr>
          <w:gridAfter w:val="1"/>
          <w:wAfter w:w="300" w:type="dxa"/>
          <w:trHeight w:hRule="exact" w:val="1133"/>
        </w:trPr>
        <w:tc>
          <w:tcPr>
            <w:tcW w:w="2977" w:type="dxa"/>
            <w:gridSpan w:val="2"/>
            <w:shd w:val="clear" w:color="auto" w:fill="C0C0C0"/>
          </w:tcPr>
          <w:p w14:paraId="1BADCA4D" w14:textId="64772FAC" w:rsidR="005809BB" w:rsidRPr="00551729" w:rsidRDefault="005809BB" w:rsidP="00B628D7">
            <w:pPr>
              <w:pStyle w:val="TableParagraph"/>
              <w:spacing w:before="1"/>
              <w:ind w:left="103" w:right="160"/>
              <w:rPr>
                <w:rFonts w:ascii="Garamond" w:hAnsi="Garamond"/>
                <w:sz w:val="20"/>
                <w:lang w:val="sq-AL"/>
              </w:rPr>
            </w:pPr>
            <w:r w:rsidRPr="00551729">
              <w:rPr>
                <w:rFonts w:ascii="Garamond" w:hAnsi="Garamond"/>
                <w:sz w:val="20"/>
                <w:lang w:val="sq-AL"/>
              </w:rPr>
              <w:t xml:space="preserve">14 </w:t>
            </w:r>
            <w:r w:rsidR="0018045A" w:rsidRPr="00551729">
              <w:rPr>
                <w:rFonts w:ascii="Garamond" w:hAnsi="Garamond"/>
                <w:sz w:val="20"/>
                <w:lang w:val="sq-AL"/>
              </w:rPr>
              <w:t xml:space="preserve">tetor </w:t>
            </w:r>
            <w:r w:rsidRPr="00551729">
              <w:rPr>
                <w:rFonts w:ascii="Garamond" w:hAnsi="Garamond"/>
                <w:sz w:val="20"/>
                <w:lang w:val="sq-AL"/>
              </w:rPr>
              <w:t>2013, Tiranë</w:t>
            </w:r>
          </w:p>
        </w:tc>
        <w:tc>
          <w:tcPr>
            <w:tcW w:w="6237" w:type="dxa"/>
            <w:gridSpan w:val="2"/>
          </w:tcPr>
          <w:p w14:paraId="1BADCA4E" w14:textId="0345CDF5" w:rsidR="005809BB" w:rsidRPr="00551729" w:rsidRDefault="005809BB" w:rsidP="00B628D7">
            <w:pPr>
              <w:pStyle w:val="TableParagraph"/>
              <w:spacing w:before="1" w:line="276" w:lineRule="auto"/>
              <w:ind w:left="103" w:right="278"/>
              <w:rPr>
                <w:rFonts w:ascii="Garamond" w:hAnsi="Garamond"/>
                <w:sz w:val="20"/>
                <w:lang w:val="sq-AL"/>
              </w:rPr>
            </w:pPr>
            <w:r w:rsidRPr="00551729">
              <w:rPr>
                <w:rFonts w:ascii="Garamond" w:hAnsi="Garamond"/>
                <w:sz w:val="20"/>
                <w:lang w:val="sq-AL"/>
              </w:rPr>
              <w:t xml:space="preserve">Takim me </w:t>
            </w:r>
            <w:r w:rsidR="004C08F2" w:rsidRPr="00551729">
              <w:rPr>
                <w:rFonts w:ascii="Garamond" w:hAnsi="Garamond"/>
                <w:sz w:val="20"/>
                <w:lang w:val="sq-AL"/>
              </w:rPr>
              <w:t xml:space="preserve">strukturën operative </w:t>
            </w:r>
            <w:r w:rsidRPr="00551729">
              <w:rPr>
                <w:rFonts w:ascii="Garamond" w:hAnsi="Garamond"/>
                <w:sz w:val="20"/>
                <w:lang w:val="sq-AL"/>
              </w:rPr>
              <w:t>të Shqipërisë - Koordinimi për real</w:t>
            </w:r>
            <w:r w:rsidR="004C08F2">
              <w:rPr>
                <w:rFonts w:ascii="Garamond" w:hAnsi="Garamond"/>
                <w:sz w:val="20"/>
                <w:lang w:val="sq-AL"/>
              </w:rPr>
              <w:t>izimin e programit IPA BNK 2014–</w:t>
            </w:r>
            <w:r w:rsidRPr="00551729">
              <w:rPr>
                <w:rFonts w:ascii="Garamond" w:hAnsi="Garamond"/>
                <w:sz w:val="20"/>
                <w:lang w:val="sq-AL"/>
              </w:rPr>
              <w:t>2020, marrëveshja për kalendarin e programit, diskutim mbi gjendjen dhe persp</w:t>
            </w:r>
            <w:r w:rsidR="004C08F2">
              <w:rPr>
                <w:rFonts w:ascii="Garamond" w:hAnsi="Garamond"/>
                <w:sz w:val="20"/>
                <w:lang w:val="sq-AL"/>
              </w:rPr>
              <w:t>ektivat zhvillimore strategjike</w:t>
            </w:r>
          </w:p>
        </w:tc>
      </w:tr>
      <w:tr w:rsidR="005809BB" w:rsidRPr="00551729" w14:paraId="1BADCA52" w14:textId="77777777" w:rsidTr="008274CD">
        <w:tblPrEx>
          <w:jc w:val="left"/>
        </w:tblPrEx>
        <w:trPr>
          <w:gridAfter w:val="1"/>
          <w:wAfter w:w="300" w:type="dxa"/>
          <w:trHeight w:hRule="exact" w:val="574"/>
        </w:trPr>
        <w:tc>
          <w:tcPr>
            <w:tcW w:w="2977" w:type="dxa"/>
            <w:gridSpan w:val="2"/>
            <w:shd w:val="clear" w:color="auto" w:fill="C0C0C0"/>
          </w:tcPr>
          <w:p w14:paraId="1BADCA50" w14:textId="78DC946C" w:rsidR="005809BB" w:rsidRPr="00551729" w:rsidRDefault="005809BB" w:rsidP="00B628D7">
            <w:pPr>
              <w:pStyle w:val="TableParagraph"/>
              <w:spacing w:before="1" w:line="276" w:lineRule="auto"/>
              <w:ind w:left="103" w:right="259"/>
              <w:rPr>
                <w:rFonts w:ascii="Garamond" w:hAnsi="Garamond"/>
                <w:sz w:val="20"/>
                <w:lang w:val="sq-AL"/>
              </w:rPr>
            </w:pPr>
            <w:r w:rsidRPr="00551729">
              <w:rPr>
                <w:rFonts w:ascii="Garamond" w:hAnsi="Garamond"/>
                <w:sz w:val="20"/>
                <w:lang w:val="sq-AL"/>
              </w:rPr>
              <w:t xml:space="preserve">17 </w:t>
            </w:r>
            <w:r w:rsidR="0018045A">
              <w:rPr>
                <w:rFonts w:ascii="Garamond" w:hAnsi="Garamond"/>
                <w:sz w:val="20"/>
                <w:lang w:val="sq-AL"/>
              </w:rPr>
              <w:t>shtator–</w:t>
            </w:r>
            <w:r w:rsidRPr="00551729">
              <w:rPr>
                <w:rFonts w:ascii="Garamond" w:hAnsi="Garamond"/>
                <w:sz w:val="20"/>
                <w:lang w:val="sq-AL"/>
              </w:rPr>
              <w:t xml:space="preserve">24 </w:t>
            </w:r>
            <w:r w:rsidR="0018045A" w:rsidRPr="00551729">
              <w:rPr>
                <w:rFonts w:ascii="Garamond" w:hAnsi="Garamond"/>
                <w:sz w:val="20"/>
                <w:lang w:val="sq-AL"/>
              </w:rPr>
              <w:t xml:space="preserve">tetor </w:t>
            </w:r>
            <w:r w:rsidRPr="00551729">
              <w:rPr>
                <w:rFonts w:ascii="Garamond" w:hAnsi="Garamond"/>
                <w:sz w:val="20"/>
                <w:lang w:val="sq-AL"/>
              </w:rPr>
              <w:t>2013, Tiranë, Podgoricë</w:t>
            </w:r>
          </w:p>
        </w:tc>
        <w:tc>
          <w:tcPr>
            <w:tcW w:w="6237" w:type="dxa"/>
            <w:gridSpan w:val="2"/>
          </w:tcPr>
          <w:p w14:paraId="1BADCA51" w14:textId="5E773D0C" w:rsidR="005809BB" w:rsidRPr="00551729" w:rsidRDefault="005809BB" w:rsidP="00B628D7">
            <w:pPr>
              <w:pStyle w:val="TableParagraph"/>
              <w:spacing w:before="1" w:line="276" w:lineRule="auto"/>
              <w:ind w:left="103" w:right="123"/>
              <w:rPr>
                <w:rFonts w:ascii="Garamond" w:hAnsi="Garamond"/>
                <w:sz w:val="20"/>
                <w:lang w:val="sq-AL"/>
              </w:rPr>
            </w:pPr>
            <w:r w:rsidRPr="00551729">
              <w:rPr>
                <w:rFonts w:ascii="Garamond" w:hAnsi="Garamond"/>
                <w:sz w:val="20"/>
                <w:lang w:val="sq-AL"/>
              </w:rPr>
              <w:t>Mbledhja dhe përpunimi i të dhënave, përgatitja e PESTLE, finalizimi i Analizë</w:t>
            </w:r>
            <w:r w:rsidR="004C08F2">
              <w:rPr>
                <w:rFonts w:ascii="Garamond" w:hAnsi="Garamond"/>
                <w:sz w:val="20"/>
                <w:lang w:val="sq-AL"/>
              </w:rPr>
              <w:t>s së Situatës dhe Analizës SWOT</w:t>
            </w:r>
          </w:p>
        </w:tc>
      </w:tr>
      <w:tr w:rsidR="005809BB" w:rsidRPr="00551729" w14:paraId="1BADCA55" w14:textId="77777777" w:rsidTr="008274CD">
        <w:tblPrEx>
          <w:jc w:val="left"/>
        </w:tblPrEx>
        <w:trPr>
          <w:gridAfter w:val="1"/>
          <w:wAfter w:w="300" w:type="dxa"/>
          <w:trHeight w:hRule="exact" w:val="571"/>
        </w:trPr>
        <w:tc>
          <w:tcPr>
            <w:tcW w:w="2977" w:type="dxa"/>
            <w:gridSpan w:val="2"/>
            <w:shd w:val="clear" w:color="auto" w:fill="C0C0C0"/>
          </w:tcPr>
          <w:p w14:paraId="1BADCA53" w14:textId="3FB6DD19"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25 </w:t>
            </w:r>
            <w:r w:rsidR="0018045A" w:rsidRPr="00551729">
              <w:rPr>
                <w:rFonts w:ascii="Garamond" w:hAnsi="Garamond"/>
                <w:sz w:val="20"/>
                <w:lang w:val="sq-AL"/>
              </w:rPr>
              <w:t xml:space="preserve">tetor </w:t>
            </w:r>
            <w:r w:rsidRPr="00551729">
              <w:rPr>
                <w:rFonts w:ascii="Garamond" w:hAnsi="Garamond"/>
                <w:sz w:val="20"/>
                <w:lang w:val="sq-AL"/>
              </w:rPr>
              <w:t>2013, Tiranë</w:t>
            </w:r>
          </w:p>
        </w:tc>
        <w:tc>
          <w:tcPr>
            <w:tcW w:w="6237" w:type="dxa"/>
            <w:gridSpan w:val="2"/>
          </w:tcPr>
          <w:p w14:paraId="1BADCA54" w14:textId="54817460" w:rsidR="005809BB" w:rsidRPr="00551729" w:rsidRDefault="005809BB" w:rsidP="00B628D7">
            <w:pPr>
              <w:pStyle w:val="TableParagraph"/>
              <w:spacing w:line="276" w:lineRule="auto"/>
              <w:ind w:left="103" w:right="278"/>
              <w:rPr>
                <w:rFonts w:ascii="Garamond" w:hAnsi="Garamond"/>
                <w:sz w:val="20"/>
                <w:lang w:val="sq-AL"/>
              </w:rPr>
            </w:pPr>
            <w:r w:rsidRPr="00551729">
              <w:rPr>
                <w:rFonts w:ascii="Garamond" w:hAnsi="Garamond"/>
                <w:sz w:val="20"/>
                <w:lang w:val="sq-AL"/>
              </w:rPr>
              <w:t>Takimi i Task Forcës së Parë të Përbashkët, prezantimi i Analizës së Situatës dh</w:t>
            </w:r>
            <w:r w:rsidR="004C08F2">
              <w:rPr>
                <w:rFonts w:ascii="Garamond" w:hAnsi="Garamond"/>
                <w:sz w:val="20"/>
                <w:lang w:val="sq-AL"/>
              </w:rPr>
              <w:t>e Analizës SWOT</w:t>
            </w:r>
          </w:p>
        </w:tc>
      </w:tr>
      <w:tr w:rsidR="005809BB" w:rsidRPr="00551729" w14:paraId="1BADCA58" w14:textId="77777777" w:rsidTr="008274CD">
        <w:tblPrEx>
          <w:jc w:val="left"/>
        </w:tblPrEx>
        <w:trPr>
          <w:gridAfter w:val="1"/>
          <w:wAfter w:w="300" w:type="dxa"/>
          <w:trHeight w:hRule="exact" w:val="571"/>
        </w:trPr>
        <w:tc>
          <w:tcPr>
            <w:tcW w:w="2977" w:type="dxa"/>
            <w:gridSpan w:val="2"/>
            <w:shd w:val="clear" w:color="auto" w:fill="C0C0C0"/>
          </w:tcPr>
          <w:p w14:paraId="1BADCA56" w14:textId="45F7B82D"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30 </w:t>
            </w:r>
            <w:r w:rsidR="0018045A" w:rsidRPr="00551729">
              <w:rPr>
                <w:rFonts w:ascii="Garamond" w:hAnsi="Garamond"/>
                <w:sz w:val="20"/>
                <w:lang w:val="sq-AL"/>
              </w:rPr>
              <w:t xml:space="preserve">tetor </w:t>
            </w:r>
            <w:r w:rsidRPr="00551729">
              <w:rPr>
                <w:rFonts w:ascii="Garamond" w:hAnsi="Garamond"/>
                <w:sz w:val="20"/>
                <w:lang w:val="sq-AL"/>
              </w:rPr>
              <w:t>2013, Bijelo Polje, Mal i Zi</w:t>
            </w:r>
          </w:p>
        </w:tc>
        <w:tc>
          <w:tcPr>
            <w:tcW w:w="6237" w:type="dxa"/>
            <w:gridSpan w:val="2"/>
          </w:tcPr>
          <w:p w14:paraId="1BADCA57" w14:textId="7B39903D" w:rsidR="005809BB" w:rsidRPr="00551729" w:rsidRDefault="005809BB" w:rsidP="00B628D7">
            <w:pPr>
              <w:pStyle w:val="TableParagraph"/>
              <w:spacing w:line="276" w:lineRule="auto"/>
              <w:ind w:left="103" w:right="271"/>
              <w:rPr>
                <w:rFonts w:ascii="Garamond" w:hAnsi="Garamond"/>
                <w:sz w:val="20"/>
                <w:lang w:val="sq-AL"/>
              </w:rPr>
            </w:pPr>
            <w:r w:rsidRPr="00551729">
              <w:rPr>
                <w:rFonts w:ascii="Garamond" w:hAnsi="Garamond"/>
                <w:sz w:val="20"/>
                <w:lang w:val="sq-AL"/>
              </w:rPr>
              <w:t>Takim konsultativ publik me më shumë se 15 p</w:t>
            </w:r>
            <w:r w:rsidR="004C08F2">
              <w:rPr>
                <w:rFonts w:ascii="Garamond" w:hAnsi="Garamond"/>
                <w:sz w:val="20"/>
                <w:lang w:val="sq-AL"/>
              </w:rPr>
              <w:t>jesëmarrës nga zona e programit</w:t>
            </w:r>
          </w:p>
        </w:tc>
      </w:tr>
      <w:tr w:rsidR="005809BB" w:rsidRPr="00551729" w14:paraId="1BADCA5B" w14:textId="77777777" w:rsidTr="008274CD">
        <w:tblPrEx>
          <w:jc w:val="left"/>
        </w:tblPrEx>
        <w:trPr>
          <w:gridAfter w:val="1"/>
          <w:wAfter w:w="300" w:type="dxa"/>
          <w:trHeight w:hRule="exact" w:val="290"/>
        </w:trPr>
        <w:tc>
          <w:tcPr>
            <w:tcW w:w="2977" w:type="dxa"/>
            <w:gridSpan w:val="2"/>
            <w:shd w:val="clear" w:color="auto" w:fill="C0C0C0"/>
          </w:tcPr>
          <w:p w14:paraId="1BADCA59" w14:textId="638837E9"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15 </w:t>
            </w:r>
            <w:r w:rsidR="0018045A" w:rsidRPr="00551729">
              <w:rPr>
                <w:rFonts w:ascii="Garamond" w:hAnsi="Garamond"/>
                <w:sz w:val="20"/>
                <w:lang w:val="sq-AL"/>
              </w:rPr>
              <w:t xml:space="preserve">nëntor </w:t>
            </w:r>
            <w:r w:rsidRPr="00551729">
              <w:rPr>
                <w:rFonts w:ascii="Garamond" w:hAnsi="Garamond"/>
                <w:sz w:val="20"/>
                <w:lang w:val="sq-AL"/>
              </w:rPr>
              <w:t>2013</w:t>
            </w:r>
          </w:p>
        </w:tc>
        <w:tc>
          <w:tcPr>
            <w:tcW w:w="6237" w:type="dxa"/>
            <w:gridSpan w:val="2"/>
          </w:tcPr>
          <w:p w14:paraId="1BADCA5A" w14:textId="7264D7D0" w:rsidR="005809BB" w:rsidRPr="00551729" w:rsidRDefault="005809BB" w:rsidP="00B628D7">
            <w:pPr>
              <w:pStyle w:val="TableParagraph"/>
              <w:spacing w:line="243" w:lineRule="exact"/>
              <w:ind w:left="103" w:right="278"/>
              <w:rPr>
                <w:rFonts w:ascii="Garamond" w:hAnsi="Garamond"/>
                <w:sz w:val="20"/>
                <w:lang w:val="sq-AL"/>
              </w:rPr>
            </w:pPr>
            <w:r w:rsidRPr="00551729">
              <w:rPr>
                <w:rFonts w:ascii="Garamond" w:hAnsi="Garamond"/>
                <w:sz w:val="20"/>
                <w:lang w:val="sq-AL"/>
              </w:rPr>
              <w:t>Dorëzimi i draftit të parë</w:t>
            </w:r>
            <w:r w:rsidR="004C08F2">
              <w:rPr>
                <w:rFonts w:ascii="Garamond" w:hAnsi="Garamond"/>
                <w:sz w:val="20"/>
                <w:lang w:val="sq-AL"/>
              </w:rPr>
              <w:t xml:space="preserve"> të Dokumentit të Programit te </w:t>
            </w:r>
            <w:r w:rsidRPr="00551729">
              <w:rPr>
                <w:rFonts w:ascii="Garamond" w:hAnsi="Garamond"/>
                <w:sz w:val="20"/>
                <w:lang w:val="sq-AL"/>
              </w:rPr>
              <w:t>DG ELARG.</w:t>
            </w:r>
          </w:p>
        </w:tc>
      </w:tr>
      <w:tr w:rsidR="005809BB" w:rsidRPr="00551729" w14:paraId="1BADCA5E" w14:textId="77777777" w:rsidTr="008274CD">
        <w:tblPrEx>
          <w:jc w:val="left"/>
        </w:tblPrEx>
        <w:trPr>
          <w:gridAfter w:val="1"/>
          <w:wAfter w:w="300" w:type="dxa"/>
          <w:trHeight w:hRule="exact" w:val="291"/>
        </w:trPr>
        <w:tc>
          <w:tcPr>
            <w:tcW w:w="2977" w:type="dxa"/>
            <w:gridSpan w:val="2"/>
            <w:tcBorders>
              <w:bottom w:val="single" w:sz="4" w:space="0" w:color="000000"/>
            </w:tcBorders>
            <w:shd w:val="clear" w:color="auto" w:fill="C0C0C0"/>
          </w:tcPr>
          <w:p w14:paraId="1BADCA5C" w14:textId="303E32CC"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21</w:t>
            </w:r>
            <w:r w:rsidR="0018045A">
              <w:rPr>
                <w:rFonts w:ascii="Garamond" w:hAnsi="Garamond"/>
                <w:sz w:val="20"/>
                <w:lang w:val="sq-AL"/>
              </w:rPr>
              <w:t>–</w:t>
            </w:r>
            <w:r w:rsidRPr="00551729">
              <w:rPr>
                <w:rFonts w:ascii="Garamond" w:hAnsi="Garamond"/>
                <w:sz w:val="20"/>
                <w:lang w:val="sq-AL"/>
              </w:rPr>
              <w:t xml:space="preserve">22 </w:t>
            </w:r>
            <w:r w:rsidR="0018045A" w:rsidRPr="00551729">
              <w:rPr>
                <w:rFonts w:ascii="Garamond" w:hAnsi="Garamond"/>
                <w:sz w:val="20"/>
                <w:lang w:val="sq-AL"/>
              </w:rPr>
              <w:t xml:space="preserve">nëntor </w:t>
            </w:r>
            <w:r w:rsidRPr="00551729">
              <w:rPr>
                <w:rFonts w:ascii="Garamond" w:hAnsi="Garamond"/>
                <w:sz w:val="20"/>
                <w:lang w:val="sq-AL"/>
              </w:rPr>
              <w:t>2013 , Beograd, Serbi</w:t>
            </w:r>
          </w:p>
        </w:tc>
        <w:tc>
          <w:tcPr>
            <w:tcW w:w="6237" w:type="dxa"/>
            <w:gridSpan w:val="2"/>
            <w:tcBorders>
              <w:bottom w:val="single" w:sz="4" w:space="0" w:color="000000"/>
            </w:tcBorders>
          </w:tcPr>
          <w:p w14:paraId="1BADCA5D" w14:textId="6A284F27" w:rsidR="005809BB" w:rsidRPr="00551729" w:rsidRDefault="005809BB" w:rsidP="00B628D7">
            <w:pPr>
              <w:pStyle w:val="TableParagraph"/>
              <w:spacing w:line="243" w:lineRule="exact"/>
              <w:ind w:left="103" w:right="278"/>
              <w:rPr>
                <w:rFonts w:ascii="Garamond" w:hAnsi="Garamond"/>
                <w:sz w:val="20"/>
                <w:lang w:val="sq-AL"/>
              </w:rPr>
            </w:pPr>
            <w:r w:rsidRPr="00551729">
              <w:rPr>
                <w:rFonts w:ascii="Garamond" w:hAnsi="Garamond"/>
                <w:sz w:val="20"/>
                <w:lang w:val="sq-AL"/>
              </w:rPr>
              <w:t>For</w:t>
            </w:r>
            <w:r w:rsidR="004C08F2">
              <w:rPr>
                <w:rFonts w:ascii="Garamond" w:hAnsi="Garamond"/>
                <w:sz w:val="20"/>
                <w:lang w:val="sq-AL"/>
              </w:rPr>
              <w:t>umi Rajonal Konsultativ BNK</w:t>
            </w:r>
          </w:p>
        </w:tc>
      </w:tr>
      <w:tr w:rsidR="005809BB" w:rsidRPr="00551729" w14:paraId="1BADCA61" w14:textId="77777777" w:rsidTr="008274CD">
        <w:tblPrEx>
          <w:jc w:val="left"/>
        </w:tblPrEx>
        <w:trPr>
          <w:gridAfter w:val="1"/>
          <w:wAfter w:w="300" w:type="dxa"/>
          <w:trHeight w:hRule="exact" w:val="1133"/>
        </w:trPr>
        <w:tc>
          <w:tcPr>
            <w:tcW w:w="2977" w:type="dxa"/>
            <w:gridSpan w:val="2"/>
            <w:tcBorders>
              <w:top w:val="single" w:sz="4" w:space="0" w:color="000000"/>
            </w:tcBorders>
            <w:shd w:val="clear" w:color="auto" w:fill="C0C0C0"/>
          </w:tcPr>
          <w:p w14:paraId="1BADCA5F" w14:textId="337B676E"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12 </w:t>
            </w:r>
            <w:r w:rsidR="0018045A" w:rsidRPr="00551729">
              <w:rPr>
                <w:rFonts w:ascii="Garamond" w:hAnsi="Garamond"/>
                <w:sz w:val="20"/>
                <w:lang w:val="sq-AL"/>
              </w:rPr>
              <w:t xml:space="preserve">dhjetor </w:t>
            </w:r>
            <w:r w:rsidRPr="00551729">
              <w:rPr>
                <w:rFonts w:ascii="Garamond" w:hAnsi="Garamond"/>
                <w:sz w:val="20"/>
                <w:lang w:val="sq-AL"/>
              </w:rPr>
              <w:t>2013 , Tiranë, Shqipëri</w:t>
            </w:r>
          </w:p>
        </w:tc>
        <w:tc>
          <w:tcPr>
            <w:tcW w:w="6237" w:type="dxa"/>
            <w:gridSpan w:val="2"/>
            <w:tcBorders>
              <w:top w:val="single" w:sz="4" w:space="0" w:color="000000"/>
            </w:tcBorders>
          </w:tcPr>
          <w:p w14:paraId="1BADCA60" w14:textId="3603D900" w:rsidR="005809BB" w:rsidRPr="00551729" w:rsidRDefault="005809BB" w:rsidP="00B628D7">
            <w:pPr>
              <w:pStyle w:val="TableParagraph"/>
              <w:spacing w:line="276" w:lineRule="auto"/>
              <w:ind w:left="103" w:right="123"/>
              <w:rPr>
                <w:rFonts w:ascii="Garamond" w:hAnsi="Garamond"/>
                <w:sz w:val="20"/>
                <w:lang w:val="sq-AL"/>
              </w:rPr>
            </w:pPr>
            <w:r w:rsidRPr="00551729">
              <w:rPr>
                <w:rFonts w:ascii="Garamond" w:hAnsi="Garamond"/>
                <w:sz w:val="20"/>
                <w:lang w:val="sq-AL"/>
              </w:rPr>
              <w:t>Takim teknik i procesit të programimit midis SO, Komisionit, Delegacionit të BE dhe CBIB +; U bë diskutimi mbi strategjitë programore për tri programet. U dhanë disa sugjerime nga KE</w:t>
            </w:r>
            <w:r w:rsidR="004C08F2">
              <w:rPr>
                <w:rFonts w:ascii="Garamond" w:hAnsi="Garamond"/>
                <w:sz w:val="20"/>
                <w:lang w:val="sq-AL"/>
              </w:rPr>
              <w:t>-ja,</w:t>
            </w:r>
            <w:r w:rsidRPr="00551729">
              <w:rPr>
                <w:rFonts w:ascii="Garamond" w:hAnsi="Garamond"/>
                <w:sz w:val="20"/>
                <w:lang w:val="sq-AL"/>
              </w:rPr>
              <w:t xml:space="preserve"> në lidhje me formulimin e objektivave, ind</w:t>
            </w:r>
            <w:r w:rsidR="004C08F2">
              <w:rPr>
                <w:rFonts w:ascii="Garamond" w:hAnsi="Garamond"/>
                <w:sz w:val="20"/>
                <w:lang w:val="sq-AL"/>
              </w:rPr>
              <w:t>ikatorëve dhe zonave përfituese</w:t>
            </w:r>
          </w:p>
        </w:tc>
      </w:tr>
      <w:tr w:rsidR="005809BB" w:rsidRPr="00551729" w14:paraId="1BADCA64" w14:textId="77777777" w:rsidTr="008274CD">
        <w:tblPrEx>
          <w:jc w:val="left"/>
        </w:tblPrEx>
        <w:trPr>
          <w:gridAfter w:val="1"/>
          <w:wAfter w:w="300" w:type="dxa"/>
          <w:trHeight w:hRule="exact" w:val="1414"/>
        </w:trPr>
        <w:tc>
          <w:tcPr>
            <w:tcW w:w="2977" w:type="dxa"/>
            <w:gridSpan w:val="2"/>
            <w:shd w:val="clear" w:color="auto" w:fill="C0C0C0"/>
          </w:tcPr>
          <w:p w14:paraId="1BADCA62" w14:textId="5E73BB08" w:rsidR="005809BB" w:rsidRPr="00551729" w:rsidRDefault="005809BB" w:rsidP="00B628D7">
            <w:pPr>
              <w:pStyle w:val="TableParagraph"/>
              <w:spacing w:line="276" w:lineRule="auto"/>
              <w:ind w:left="103" w:right="280"/>
              <w:rPr>
                <w:rFonts w:ascii="Garamond" w:hAnsi="Garamond"/>
                <w:sz w:val="20"/>
                <w:lang w:val="sq-AL"/>
              </w:rPr>
            </w:pPr>
            <w:r w:rsidRPr="00551729">
              <w:rPr>
                <w:rFonts w:ascii="Garamond" w:hAnsi="Garamond"/>
                <w:sz w:val="20"/>
                <w:lang w:val="sq-AL"/>
              </w:rPr>
              <w:t xml:space="preserve">19 </w:t>
            </w:r>
            <w:r w:rsidR="0018045A" w:rsidRPr="00551729">
              <w:rPr>
                <w:rFonts w:ascii="Garamond" w:hAnsi="Garamond"/>
                <w:sz w:val="20"/>
                <w:lang w:val="sq-AL"/>
              </w:rPr>
              <w:t xml:space="preserve">dhjetor </w:t>
            </w:r>
            <w:r w:rsidRPr="00551729">
              <w:rPr>
                <w:rFonts w:ascii="Garamond" w:hAnsi="Garamond"/>
                <w:sz w:val="20"/>
                <w:lang w:val="sq-AL"/>
              </w:rPr>
              <w:t>2013, Konsultimi Publik Paraprak, Lezhë, Shkodër, Shqipëri</w:t>
            </w:r>
          </w:p>
        </w:tc>
        <w:tc>
          <w:tcPr>
            <w:tcW w:w="6237" w:type="dxa"/>
            <w:gridSpan w:val="2"/>
          </w:tcPr>
          <w:p w14:paraId="1BADCA63" w14:textId="6F6F611E" w:rsidR="005809BB" w:rsidRPr="00551729" w:rsidRDefault="005809BB" w:rsidP="00B628D7">
            <w:pPr>
              <w:pStyle w:val="TableParagraph"/>
              <w:spacing w:line="276" w:lineRule="auto"/>
              <w:ind w:left="103" w:right="127"/>
              <w:rPr>
                <w:rFonts w:ascii="Garamond" w:hAnsi="Garamond"/>
                <w:sz w:val="20"/>
                <w:lang w:val="sq-AL"/>
              </w:rPr>
            </w:pPr>
            <w:r w:rsidRPr="00551729">
              <w:rPr>
                <w:rFonts w:ascii="Garamond" w:hAnsi="Garamond"/>
                <w:sz w:val="20"/>
                <w:lang w:val="sq-AL"/>
              </w:rPr>
              <w:t>U prezantua dokumenti i programit, si dhe procesi i programimit dhe arsyetimi për zgjedhjen e strategjisë së ndërhyrjes, me 15 përfaqësues nga qeverisja lokale. Strategjia e ndërhyrjes dhe prioritetet tematike të përzgjedhura rezultuan të jenë në përputhje me pikëpam</w:t>
            </w:r>
            <w:r w:rsidR="004C08F2">
              <w:rPr>
                <w:rFonts w:ascii="Garamond" w:hAnsi="Garamond"/>
                <w:sz w:val="20"/>
                <w:lang w:val="sq-AL"/>
              </w:rPr>
              <w:t>jen e tyre ndaj nevojave të BNK</w:t>
            </w:r>
          </w:p>
        </w:tc>
      </w:tr>
      <w:tr w:rsidR="005809BB" w:rsidRPr="00551729" w14:paraId="1BADCA67" w14:textId="77777777" w:rsidTr="008274CD">
        <w:tblPrEx>
          <w:jc w:val="left"/>
        </w:tblPrEx>
        <w:trPr>
          <w:gridAfter w:val="1"/>
          <w:wAfter w:w="300" w:type="dxa"/>
          <w:trHeight w:hRule="exact" w:val="574"/>
        </w:trPr>
        <w:tc>
          <w:tcPr>
            <w:tcW w:w="2977" w:type="dxa"/>
            <w:gridSpan w:val="2"/>
            <w:shd w:val="clear" w:color="auto" w:fill="C0C0C0"/>
          </w:tcPr>
          <w:p w14:paraId="1BADCA65" w14:textId="77777777" w:rsidR="005809BB" w:rsidRPr="00551729" w:rsidRDefault="005809BB" w:rsidP="00B628D7">
            <w:pPr>
              <w:pStyle w:val="TableParagraph"/>
              <w:spacing w:before="1"/>
              <w:ind w:left="103" w:right="160"/>
              <w:rPr>
                <w:rFonts w:ascii="Garamond" w:hAnsi="Garamond"/>
                <w:sz w:val="20"/>
                <w:lang w:val="sq-AL"/>
              </w:rPr>
            </w:pPr>
            <w:r w:rsidRPr="00551729">
              <w:rPr>
                <w:rFonts w:ascii="Garamond" w:hAnsi="Garamond"/>
                <w:sz w:val="20"/>
                <w:lang w:val="sq-AL"/>
              </w:rPr>
              <w:t>Janar 2014</w:t>
            </w:r>
          </w:p>
        </w:tc>
        <w:tc>
          <w:tcPr>
            <w:tcW w:w="6237" w:type="dxa"/>
            <w:gridSpan w:val="2"/>
          </w:tcPr>
          <w:p w14:paraId="1BADCA66" w14:textId="3EF6C9BE" w:rsidR="005809BB" w:rsidRPr="00551729" w:rsidRDefault="005809BB" w:rsidP="00B628D7">
            <w:pPr>
              <w:pStyle w:val="TableParagraph"/>
              <w:spacing w:before="1" w:line="276" w:lineRule="auto"/>
              <w:ind w:left="103" w:right="278"/>
              <w:rPr>
                <w:rFonts w:ascii="Garamond" w:hAnsi="Garamond"/>
                <w:sz w:val="20"/>
                <w:lang w:val="sq-AL"/>
              </w:rPr>
            </w:pPr>
            <w:r w:rsidRPr="00551729">
              <w:rPr>
                <w:rFonts w:ascii="Garamond" w:hAnsi="Garamond"/>
                <w:sz w:val="20"/>
                <w:lang w:val="sq-AL"/>
              </w:rPr>
              <w:t>Rishikimi i Dokumentit të Programit bazuar në rekomandimet e K</w:t>
            </w:r>
            <w:r w:rsidR="00753CA2">
              <w:rPr>
                <w:rFonts w:ascii="Garamond" w:hAnsi="Garamond"/>
                <w:sz w:val="20"/>
                <w:lang w:val="sq-AL"/>
              </w:rPr>
              <w:t>omisionit</w:t>
            </w:r>
          </w:p>
        </w:tc>
      </w:tr>
      <w:tr w:rsidR="005809BB" w:rsidRPr="00551729" w14:paraId="1BADCA6A" w14:textId="77777777" w:rsidTr="008274CD">
        <w:tblPrEx>
          <w:jc w:val="left"/>
        </w:tblPrEx>
        <w:trPr>
          <w:gridAfter w:val="1"/>
          <w:wAfter w:w="300" w:type="dxa"/>
          <w:trHeight w:hRule="exact" w:val="290"/>
        </w:trPr>
        <w:tc>
          <w:tcPr>
            <w:tcW w:w="2977" w:type="dxa"/>
            <w:gridSpan w:val="2"/>
            <w:shd w:val="clear" w:color="auto" w:fill="C0C0C0"/>
          </w:tcPr>
          <w:p w14:paraId="1BADCA68" w14:textId="7D0A5FFD"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7 </w:t>
            </w:r>
            <w:r w:rsidR="0018045A" w:rsidRPr="00551729">
              <w:rPr>
                <w:rFonts w:ascii="Garamond" w:hAnsi="Garamond"/>
                <w:sz w:val="20"/>
                <w:lang w:val="sq-AL"/>
              </w:rPr>
              <w:t xml:space="preserve">shkurt </w:t>
            </w:r>
            <w:r w:rsidRPr="00551729">
              <w:rPr>
                <w:rFonts w:ascii="Garamond" w:hAnsi="Garamond"/>
                <w:sz w:val="20"/>
                <w:lang w:val="sq-AL"/>
              </w:rPr>
              <w:t>2014</w:t>
            </w:r>
          </w:p>
        </w:tc>
        <w:tc>
          <w:tcPr>
            <w:tcW w:w="6237" w:type="dxa"/>
            <w:gridSpan w:val="2"/>
          </w:tcPr>
          <w:p w14:paraId="1BADCA69" w14:textId="77777777" w:rsidR="005809BB" w:rsidRPr="00551729" w:rsidRDefault="005809BB" w:rsidP="00B628D7">
            <w:pPr>
              <w:pStyle w:val="TableParagraph"/>
              <w:spacing w:line="243" w:lineRule="exact"/>
              <w:ind w:left="103" w:right="278"/>
              <w:rPr>
                <w:rFonts w:ascii="Garamond" w:hAnsi="Garamond"/>
                <w:sz w:val="20"/>
                <w:lang w:val="sq-AL"/>
              </w:rPr>
            </w:pPr>
            <w:r w:rsidRPr="00551729">
              <w:rPr>
                <w:rFonts w:ascii="Garamond" w:hAnsi="Garamond"/>
                <w:sz w:val="20"/>
                <w:lang w:val="sq-AL"/>
              </w:rPr>
              <w:t>Dorëzimi tek Komisioni i draftit të dytë të dokumentit të programit.</w:t>
            </w:r>
          </w:p>
        </w:tc>
      </w:tr>
      <w:tr w:rsidR="005809BB" w:rsidRPr="00551729" w14:paraId="1BADCA6D" w14:textId="77777777" w:rsidTr="008274CD">
        <w:tblPrEx>
          <w:jc w:val="left"/>
        </w:tblPrEx>
        <w:trPr>
          <w:gridAfter w:val="1"/>
          <w:wAfter w:w="300" w:type="dxa"/>
          <w:trHeight w:hRule="exact" w:val="1694"/>
        </w:trPr>
        <w:tc>
          <w:tcPr>
            <w:tcW w:w="2977" w:type="dxa"/>
            <w:gridSpan w:val="2"/>
            <w:shd w:val="clear" w:color="auto" w:fill="C0C0C0"/>
          </w:tcPr>
          <w:p w14:paraId="1BADCA6B" w14:textId="57BE5E43" w:rsidR="005809BB" w:rsidRPr="00551729" w:rsidRDefault="005809BB" w:rsidP="00B628D7">
            <w:pPr>
              <w:pStyle w:val="TableParagraph"/>
              <w:spacing w:line="264" w:lineRule="auto"/>
              <w:ind w:left="103" w:right="160"/>
              <w:rPr>
                <w:rFonts w:ascii="Garamond" w:hAnsi="Garamond"/>
                <w:sz w:val="20"/>
                <w:lang w:val="sq-AL"/>
              </w:rPr>
            </w:pPr>
            <w:r w:rsidRPr="00551729">
              <w:rPr>
                <w:rFonts w:ascii="Garamond" w:hAnsi="Garamond"/>
                <w:sz w:val="20"/>
                <w:lang w:val="sq-AL"/>
              </w:rPr>
              <w:t xml:space="preserve">27 </w:t>
            </w:r>
            <w:r w:rsidR="0018045A" w:rsidRPr="00551729">
              <w:rPr>
                <w:rFonts w:ascii="Garamond" w:hAnsi="Garamond"/>
                <w:sz w:val="20"/>
                <w:lang w:val="sq-AL"/>
              </w:rPr>
              <w:t xml:space="preserve">mars </w:t>
            </w:r>
            <w:r w:rsidRPr="00551729">
              <w:rPr>
                <w:rFonts w:ascii="Garamond" w:hAnsi="Garamond"/>
                <w:sz w:val="20"/>
                <w:lang w:val="sq-AL"/>
              </w:rPr>
              <w:t xml:space="preserve">2014, rajoni </w:t>
            </w:r>
            <w:r w:rsidR="0018045A" w:rsidRPr="00551729">
              <w:rPr>
                <w:rFonts w:ascii="Garamond" w:hAnsi="Garamond"/>
                <w:sz w:val="20"/>
                <w:lang w:val="sq-AL"/>
              </w:rPr>
              <w:t>lezhë</w:t>
            </w:r>
            <w:r w:rsidRPr="00551729">
              <w:rPr>
                <w:rFonts w:ascii="Garamond" w:hAnsi="Garamond"/>
                <w:sz w:val="20"/>
                <w:lang w:val="sq-AL"/>
              </w:rPr>
              <w:t xml:space="preserve">, AL Takim </w:t>
            </w:r>
            <w:r w:rsidR="0018045A" w:rsidRPr="00551729">
              <w:rPr>
                <w:rFonts w:ascii="Garamond" w:hAnsi="Garamond"/>
                <w:sz w:val="20"/>
                <w:lang w:val="sq-AL"/>
              </w:rPr>
              <w:t>konsultues me publikun e gjerë</w:t>
            </w:r>
            <w:r w:rsidRPr="00551729">
              <w:rPr>
                <w:rFonts w:ascii="Garamond" w:hAnsi="Garamond"/>
                <w:sz w:val="20"/>
                <w:lang w:val="sq-AL"/>
              </w:rPr>
              <w:t>, shoqërinë civile dhe aktorët lokal</w:t>
            </w:r>
            <w:r w:rsidR="0018045A">
              <w:rPr>
                <w:rFonts w:ascii="Garamond" w:hAnsi="Garamond"/>
                <w:sz w:val="20"/>
                <w:lang w:val="sq-AL"/>
              </w:rPr>
              <w:t>ë</w:t>
            </w:r>
            <w:r w:rsidRPr="00551729">
              <w:rPr>
                <w:rFonts w:ascii="Garamond" w:hAnsi="Garamond"/>
                <w:sz w:val="20"/>
                <w:lang w:val="sq-AL"/>
              </w:rPr>
              <w:t>, me 27 pjesëmarrës</w:t>
            </w:r>
          </w:p>
        </w:tc>
        <w:tc>
          <w:tcPr>
            <w:tcW w:w="6237" w:type="dxa"/>
            <w:gridSpan w:val="2"/>
          </w:tcPr>
          <w:p w14:paraId="1BADCA6C" w14:textId="77777777" w:rsidR="005809BB" w:rsidRPr="00551729" w:rsidRDefault="005809BB" w:rsidP="00B628D7">
            <w:pPr>
              <w:pStyle w:val="TableParagraph"/>
              <w:spacing w:line="276" w:lineRule="auto"/>
              <w:ind w:left="103" w:right="192"/>
              <w:rPr>
                <w:rFonts w:ascii="Garamond" w:hAnsi="Garamond"/>
                <w:sz w:val="20"/>
                <w:lang w:val="sq-AL"/>
              </w:rPr>
            </w:pPr>
            <w:r w:rsidRPr="00551729">
              <w:rPr>
                <w:rFonts w:ascii="Garamond" w:hAnsi="Garamond"/>
                <w:sz w:val="20"/>
                <w:lang w:val="sq-AL"/>
              </w:rPr>
              <w:t>Procesi i programimit së bashku me prioritetet e programit u prezantuan tek 27 organizata të shoqërisë civile dhe përfaqësues të qeverisjes vendore në qarkun e Lezhës, duke u ndjekur nga diskutime aktive me rekomandime dhe sugjerime nga pjesëmarrësit. Prioritetet rezultuan të jenë në përputhje me pikëpamjen e tyre ndaj nevojave të BNK.</w:t>
            </w:r>
          </w:p>
        </w:tc>
      </w:tr>
      <w:tr w:rsidR="005809BB" w:rsidRPr="00551729" w14:paraId="1BADCA70" w14:textId="77777777" w:rsidTr="008274CD">
        <w:tblPrEx>
          <w:jc w:val="left"/>
        </w:tblPrEx>
        <w:trPr>
          <w:gridAfter w:val="1"/>
          <w:wAfter w:w="300" w:type="dxa"/>
          <w:trHeight w:hRule="exact" w:val="1342"/>
        </w:trPr>
        <w:tc>
          <w:tcPr>
            <w:tcW w:w="2977" w:type="dxa"/>
            <w:gridSpan w:val="2"/>
            <w:shd w:val="clear" w:color="auto" w:fill="C0C0C0"/>
          </w:tcPr>
          <w:p w14:paraId="1BADCA6E" w14:textId="3600A28E" w:rsidR="005809BB" w:rsidRPr="00551729" w:rsidRDefault="005809BB" w:rsidP="00B628D7">
            <w:pPr>
              <w:pStyle w:val="TableParagraph"/>
              <w:spacing w:line="276" w:lineRule="auto"/>
              <w:ind w:left="103" w:right="160"/>
              <w:rPr>
                <w:rFonts w:ascii="Garamond" w:hAnsi="Garamond"/>
                <w:sz w:val="20"/>
                <w:lang w:val="sq-AL"/>
              </w:rPr>
            </w:pPr>
            <w:r w:rsidRPr="00551729">
              <w:rPr>
                <w:rFonts w:ascii="Garamond" w:hAnsi="Garamond"/>
                <w:sz w:val="20"/>
                <w:lang w:val="sq-AL"/>
              </w:rPr>
              <w:t xml:space="preserve">28 </w:t>
            </w:r>
            <w:r w:rsidR="0018045A" w:rsidRPr="00551729">
              <w:rPr>
                <w:rFonts w:ascii="Garamond" w:hAnsi="Garamond"/>
                <w:sz w:val="20"/>
                <w:lang w:val="sq-AL"/>
              </w:rPr>
              <w:t xml:space="preserve">mars </w:t>
            </w:r>
            <w:r w:rsidRPr="00551729">
              <w:rPr>
                <w:rFonts w:ascii="Garamond" w:hAnsi="Garamond"/>
                <w:sz w:val="20"/>
                <w:lang w:val="sq-AL"/>
              </w:rPr>
              <w:t xml:space="preserve">2014, rajoni Shkodër, AL, Takim </w:t>
            </w:r>
            <w:r w:rsidR="0018045A" w:rsidRPr="00551729">
              <w:rPr>
                <w:rFonts w:ascii="Garamond" w:hAnsi="Garamond"/>
                <w:sz w:val="20"/>
                <w:lang w:val="sq-AL"/>
              </w:rPr>
              <w:t xml:space="preserve">konsultues me publikun e gjerë, shoqërinë civile </w:t>
            </w:r>
            <w:r w:rsidRPr="00551729">
              <w:rPr>
                <w:rFonts w:ascii="Garamond" w:hAnsi="Garamond"/>
                <w:sz w:val="20"/>
                <w:lang w:val="sq-AL"/>
              </w:rPr>
              <w:t>dhe aktorët</w:t>
            </w:r>
            <w:r w:rsidR="00893E12" w:rsidRPr="00551729">
              <w:rPr>
                <w:rFonts w:ascii="Garamond" w:hAnsi="Garamond"/>
                <w:sz w:val="20"/>
                <w:lang w:val="sq-AL"/>
              </w:rPr>
              <w:t xml:space="preserve"> lokal</w:t>
            </w:r>
          </w:p>
        </w:tc>
        <w:tc>
          <w:tcPr>
            <w:tcW w:w="6237" w:type="dxa"/>
            <w:gridSpan w:val="2"/>
          </w:tcPr>
          <w:p w14:paraId="1BADCA6F" w14:textId="355A4163" w:rsidR="005809BB" w:rsidRPr="00551729" w:rsidRDefault="005809BB" w:rsidP="00B628D7">
            <w:pPr>
              <w:pStyle w:val="TableParagraph"/>
              <w:spacing w:line="276" w:lineRule="auto"/>
              <w:ind w:left="103" w:right="278"/>
              <w:rPr>
                <w:rFonts w:ascii="Garamond" w:hAnsi="Garamond"/>
                <w:sz w:val="20"/>
                <w:lang w:val="sq-AL"/>
              </w:rPr>
            </w:pPr>
            <w:r w:rsidRPr="00551729">
              <w:rPr>
                <w:rFonts w:ascii="Garamond" w:hAnsi="Garamond"/>
                <w:sz w:val="20"/>
                <w:lang w:val="sq-AL"/>
              </w:rPr>
              <w:t>Procesi i programimit së bashku me priorite</w:t>
            </w:r>
            <w:r w:rsidR="00753CA2">
              <w:rPr>
                <w:rFonts w:ascii="Garamond" w:hAnsi="Garamond"/>
                <w:sz w:val="20"/>
                <w:lang w:val="sq-AL"/>
              </w:rPr>
              <w:t>tet e programit u prezantuan te</w:t>
            </w:r>
            <w:r w:rsidRPr="00551729">
              <w:rPr>
                <w:rFonts w:ascii="Garamond" w:hAnsi="Garamond"/>
                <w:sz w:val="20"/>
                <w:lang w:val="sq-AL"/>
              </w:rPr>
              <w:t xml:space="preserve"> më shumë se 32 organizata të shoqërisë civile dhe përfaqësues të qeverisjes vendore në qarkun e Shkodrës, duke u</w:t>
            </w:r>
            <w:r w:rsidR="00893E12" w:rsidRPr="00551729">
              <w:rPr>
                <w:rFonts w:ascii="Garamond" w:hAnsi="Garamond"/>
                <w:sz w:val="20"/>
                <w:lang w:val="sq-AL"/>
              </w:rPr>
              <w:t xml:space="preserve"> ndjekur nga diskutime aktive me rekomandime dhe sugjerime nga pjesëmarrësit. Prioritetet rezultuan të jenë në përputhje me pikëpamjen e tyre ndaj nevojave të BNK.</w:t>
            </w:r>
          </w:p>
        </w:tc>
      </w:tr>
      <w:tr w:rsidR="005809BB" w:rsidRPr="00551729" w14:paraId="1BADCA78" w14:textId="77777777" w:rsidTr="008274CD">
        <w:tblPrEx>
          <w:jc w:val="left"/>
        </w:tblPrEx>
        <w:trPr>
          <w:gridAfter w:val="1"/>
          <w:wAfter w:w="300" w:type="dxa"/>
          <w:trHeight w:hRule="exact" w:val="290"/>
        </w:trPr>
        <w:tc>
          <w:tcPr>
            <w:tcW w:w="2977" w:type="dxa"/>
            <w:gridSpan w:val="2"/>
            <w:shd w:val="clear" w:color="auto" w:fill="C0C0C0"/>
          </w:tcPr>
          <w:p w14:paraId="1BADCA76" w14:textId="188EB931"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30 </w:t>
            </w:r>
            <w:r w:rsidR="00893E12" w:rsidRPr="00551729">
              <w:rPr>
                <w:rFonts w:ascii="Garamond" w:hAnsi="Garamond"/>
                <w:sz w:val="20"/>
                <w:lang w:val="sq-AL"/>
              </w:rPr>
              <w:t xml:space="preserve">mars </w:t>
            </w:r>
            <w:r w:rsidRPr="00551729">
              <w:rPr>
                <w:rFonts w:ascii="Garamond" w:hAnsi="Garamond"/>
                <w:sz w:val="20"/>
                <w:lang w:val="sq-AL"/>
              </w:rPr>
              <w:t>2014</w:t>
            </w:r>
          </w:p>
        </w:tc>
        <w:tc>
          <w:tcPr>
            <w:tcW w:w="6237" w:type="dxa"/>
            <w:gridSpan w:val="2"/>
          </w:tcPr>
          <w:p w14:paraId="1BADCA77" w14:textId="1547C9ED" w:rsidR="005809BB" w:rsidRPr="00551729" w:rsidRDefault="005809BB" w:rsidP="00B628D7">
            <w:pPr>
              <w:pStyle w:val="TableParagraph"/>
              <w:spacing w:line="243" w:lineRule="exact"/>
              <w:ind w:left="103" w:right="278"/>
              <w:rPr>
                <w:rFonts w:ascii="Garamond" w:hAnsi="Garamond"/>
                <w:sz w:val="20"/>
                <w:lang w:val="sq-AL"/>
              </w:rPr>
            </w:pPr>
            <w:r w:rsidRPr="00551729">
              <w:rPr>
                <w:rFonts w:ascii="Garamond" w:hAnsi="Garamond"/>
                <w:sz w:val="20"/>
                <w:lang w:val="sq-AL"/>
              </w:rPr>
              <w:t>Komisioni komenton m</w:t>
            </w:r>
            <w:r w:rsidR="00753CA2">
              <w:rPr>
                <w:rFonts w:ascii="Garamond" w:hAnsi="Garamond"/>
                <w:sz w:val="20"/>
                <w:lang w:val="sq-AL"/>
              </w:rPr>
              <w:t>bi draftin e dytë të dokumentit</w:t>
            </w:r>
          </w:p>
        </w:tc>
      </w:tr>
      <w:tr w:rsidR="005809BB" w:rsidRPr="00551729" w14:paraId="1BADCA7B" w14:textId="77777777" w:rsidTr="008274CD">
        <w:tblPrEx>
          <w:jc w:val="left"/>
        </w:tblPrEx>
        <w:trPr>
          <w:gridAfter w:val="1"/>
          <w:wAfter w:w="300" w:type="dxa"/>
          <w:trHeight w:hRule="exact" w:val="2257"/>
        </w:trPr>
        <w:tc>
          <w:tcPr>
            <w:tcW w:w="2977" w:type="dxa"/>
            <w:gridSpan w:val="2"/>
            <w:shd w:val="clear" w:color="auto" w:fill="C0C0C0"/>
          </w:tcPr>
          <w:p w14:paraId="1BADCA79" w14:textId="717DB7A3" w:rsidR="005809BB" w:rsidRPr="00551729" w:rsidRDefault="005809BB" w:rsidP="00B628D7">
            <w:pPr>
              <w:pStyle w:val="TableParagraph"/>
              <w:spacing w:line="276" w:lineRule="auto"/>
              <w:ind w:left="103" w:right="406"/>
              <w:rPr>
                <w:rFonts w:ascii="Garamond" w:hAnsi="Garamond"/>
                <w:sz w:val="20"/>
                <w:lang w:val="sq-AL"/>
              </w:rPr>
            </w:pPr>
            <w:r w:rsidRPr="00551729">
              <w:rPr>
                <w:rFonts w:ascii="Garamond" w:hAnsi="Garamond"/>
                <w:sz w:val="20"/>
                <w:lang w:val="sq-AL"/>
              </w:rPr>
              <w:t xml:space="preserve">16 </w:t>
            </w:r>
            <w:r w:rsidR="00893E12" w:rsidRPr="00551729">
              <w:rPr>
                <w:rFonts w:ascii="Garamond" w:hAnsi="Garamond"/>
                <w:sz w:val="20"/>
                <w:lang w:val="sq-AL"/>
              </w:rPr>
              <w:t xml:space="preserve">prill </w:t>
            </w:r>
            <w:r w:rsidRPr="00551729">
              <w:rPr>
                <w:rFonts w:ascii="Garamond" w:hAnsi="Garamond"/>
                <w:sz w:val="20"/>
                <w:lang w:val="sq-AL"/>
              </w:rPr>
              <w:t xml:space="preserve">2014, Tiranë, AL, Takim </w:t>
            </w:r>
            <w:r w:rsidR="0018045A" w:rsidRPr="00551729">
              <w:rPr>
                <w:rFonts w:ascii="Garamond" w:hAnsi="Garamond"/>
                <w:sz w:val="20"/>
                <w:lang w:val="sq-AL"/>
              </w:rPr>
              <w:t>konsultues me ministritë e linjës</w:t>
            </w:r>
          </w:p>
        </w:tc>
        <w:tc>
          <w:tcPr>
            <w:tcW w:w="6237" w:type="dxa"/>
            <w:gridSpan w:val="2"/>
          </w:tcPr>
          <w:p w14:paraId="1BADCA7A" w14:textId="0EBA91D9" w:rsidR="005809BB" w:rsidRPr="00551729" w:rsidRDefault="005809BB" w:rsidP="00753CA2">
            <w:pPr>
              <w:pStyle w:val="TableParagraph"/>
              <w:spacing w:line="276" w:lineRule="auto"/>
              <w:ind w:left="103" w:right="259"/>
              <w:rPr>
                <w:rFonts w:ascii="Garamond" w:hAnsi="Garamond"/>
                <w:sz w:val="20"/>
                <w:lang w:val="sq-AL"/>
              </w:rPr>
            </w:pPr>
            <w:r w:rsidRPr="00551729">
              <w:rPr>
                <w:rFonts w:ascii="Garamond" w:hAnsi="Garamond"/>
                <w:sz w:val="20"/>
                <w:lang w:val="sq-AL"/>
              </w:rPr>
              <w:t>Procesi i programimit dhe prioritetet e programit për të 3 kufijtë, AL- KSV, MZ-AL, MK-AL u prezantuan në ministritë e linjës që mbulojnë prioritetet dhe aktivitetet në dokumente. Qëllimi ishte konsultimi me programet aktuale kombëtare në fushat përkatëse të veprimit dhe shmangia e mbivendosjeve, përfshirë sinergjitë e mundshme. Draftdokumentet rezultuan të jenë në përputhje edhe me strategjitë kombëtare dhe u konceptuan nga pjesëmarrësit si shumë të rëndës</w:t>
            </w:r>
            <w:r w:rsidR="00753CA2">
              <w:rPr>
                <w:rFonts w:ascii="Garamond" w:hAnsi="Garamond"/>
                <w:sz w:val="20"/>
                <w:lang w:val="sq-AL"/>
              </w:rPr>
              <w:t>ishme për zhvillimin e rajoneve</w:t>
            </w:r>
          </w:p>
        </w:tc>
      </w:tr>
      <w:tr w:rsidR="005809BB" w:rsidRPr="00551729" w14:paraId="1BADCA7E" w14:textId="77777777" w:rsidTr="008274CD">
        <w:tblPrEx>
          <w:jc w:val="left"/>
        </w:tblPrEx>
        <w:trPr>
          <w:gridAfter w:val="1"/>
          <w:wAfter w:w="300" w:type="dxa"/>
          <w:trHeight w:hRule="exact" w:val="571"/>
        </w:trPr>
        <w:tc>
          <w:tcPr>
            <w:tcW w:w="2977" w:type="dxa"/>
            <w:gridSpan w:val="2"/>
            <w:shd w:val="clear" w:color="auto" w:fill="C0C0C0"/>
          </w:tcPr>
          <w:p w14:paraId="1BADCA7C" w14:textId="31FF398E"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17 </w:t>
            </w:r>
            <w:r w:rsidR="0018045A">
              <w:rPr>
                <w:rFonts w:ascii="Garamond" w:hAnsi="Garamond"/>
                <w:sz w:val="20"/>
                <w:lang w:val="sq-AL"/>
              </w:rPr>
              <w:t>prill–</w:t>
            </w:r>
            <w:r w:rsidRPr="00551729">
              <w:rPr>
                <w:rFonts w:ascii="Garamond" w:hAnsi="Garamond"/>
                <w:sz w:val="20"/>
                <w:lang w:val="sq-AL"/>
              </w:rPr>
              <w:t xml:space="preserve">1 </w:t>
            </w:r>
            <w:r w:rsidR="0018045A" w:rsidRPr="00551729">
              <w:rPr>
                <w:rFonts w:ascii="Garamond" w:hAnsi="Garamond"/>
                <w:sz w:val="20"/>
                <w:lang w:val="sq-AL"/>
              </w:rPr>
              <w:t xml:space="preserve">maj </w:t>
            </w:r>
            <w:r w:rsidRPr="00551729">
              <w:rPr>
                <w:rFonts w:ascii="Garamond" w:hAnsi="Garamond"/>
                <w:sz w:val="20"/>
                <w:lang w:val="sq-AL"/>
              </w:rPr>
              <w:t>2014</w:t>
            </w:r>
          </w:p>
        </w:tc>
        <w:tc>
          <w:tcPr>
            <w:tcW w:w="6237" w:type="dxa"/>
            <w:gridSpan w:val="2"/>
          </w:tcPr>
          <w:p w14:paraId="1BADCA7D" w14:textId="1ADBBF2E" w:rsidR="005809BB" w:rsidRPr="00551729" w:rsidRDefault="005809BB" w:rsidP="00B628D7">
            <w:pPr>
              <w:pStyle w:val="TableParagraph"/>
              <w:spacing w:line="276" w:lineRule="auto"/>
              <w:ind w:left="103" w:right="278"/>
              <w:rPr>
                <w:rFonts w:ascii="Garamond" w:hAnsi="Garamond"/>
                <w:sz w:val="20"/>
                <w:lang w:val="sq-AL"/>
              </w:rPr>
            </w:pPr>
            <w:r w:rsidRPr="00551729">
              <w:rPr>
                <w:rFonts w:ascii="Garamond" w:hAnsi="Garamond"/>
                <w:sz w:val="20"/>
                <w:lang w:val="sq-AL"/>
              </w:rPr>
              <w:t>Reflektimi mbi komentet e marra nga Komisioni dhe nga</w:t>
            </w:r>
            <w:r w:rsidR="00753CA2">
              <w:rPr>
                <w:rFonts w:ascii="Garamond" w:hAnsi="Garamond"/>
                <w:sz w:val="20"/>
                <w:lang w:val="sq-AL"/>
              </w:rPr>
              <w:t xml:space="preserve"> takimet e konsultimeve publike</w:t>
            </w:r>
          </w:p>
        </w:tc>
      </w:tr>
      <w:tr w:rsidR="005809BB" w:rsidRPr="00551729" w14:paraId="1BADCA81" w14:textId="77777777" w:rsidTr="008274CD">
        <w:tblPrEx>
          <w:jc w:val="left"/>
        </w:tblPrEx>
        <w:trPr>
          <w:gridAfter w:val="1"/>
          <w:wAfter w:w="300" w:type="dxa"/>
          <w:trHeight w:hRule="exact" w:val="574"/>
        </w:trPr>
        <w:tc>
          <w:tcPr>
            <w:tcW w:w="2977" w:type="dxa"/>
            <w:gridSpan w:val="2"/>
            <w:shd w:val="clear" w:color="auto" w:fill="C0C0C0"/>
          </w:tcPr>
          <w:p w14:paraId="1BADCA7F" w14:textId="70679D76" w:rsidR="005809BB" w:rsidRPr="00551729" w:rsidRDefault="005809BB" w:rsidP="00B628D7">
            <w:pPr>
              <w:pStyle w:val="TableParagraph"/>
              <w:spacing w:line="243" w:lineRule="exact"/>
              <w:ind w:left="103" w:right="160"/>
              <w:rPr>
                <w:rFonts w:ascii="Garamond" w:hAnsi="Garamond"/>
                <w:sz w:val="20"/>
                <w:lang w:val="sq-AL"/>
              </w:rPr>
            </w:pPr>
            <w:r w:rsidRPr="00551729">
              <w:rPr>
                <w:rFonts w:ascii="Garamond" w:hAnsi="Garamond"/>
                <w:sz w:val="20"/>
                <w:lang w:val="sq-AL"/>
              </w:rPr>
              <w:t xml:space="preserve">30 </w:t>
            </w:r>
            <w:r w:rsidR="0018045A" w:rsidRPr="00551729">
              <w:rPr>
                <w:rFonts w:ascii="Garamond" w:hAnsi="Garamond"/>
                <w:sz w:val="20"/>
                <w:lang w:val="sq-AL"/>
              </w:rPr>
              <w:t xml:space="preserve">maj </w:t>
            </w:r>
            <w:r w:rsidRPr="00551729">
              <w:rPr>
                <w:rFonts w:ascii="Garamond" w:hAnsi="Garamond"/>
                <w:sz w:val="20"/>
                <w:lang w:val="sq-AL"/>
              </w:rPr>
              <w:t>2014</w:t>
            </w:r>
          </w:p>
        </w:tc>
        <w:tc>
          <w:tcPr>
            <w:tcW w:w="6237" w:type="dxa"/>
            <w:gridSpan w:val="2"/>
          </w:tcPr>
          <w:p w14:paraId="1BADCA80" w14:textId="2E504E82" w:rsidR="005809BB" w:rsidRPr="00551729" w:rsidRDefault="005809BB" w:rsidP="0018045A">
            <w:pPr>
              <w:pStyle w:val="TableParagraph"/>
              <w:spacing w:line="276" w:lineRule="auto"/>
              <w:ind w:left="103" w:right="560"/>
              <w:rPr>
                <w:rFonts w:ascii="Garamond" w:hAnsi="Garamond"/>
                <w:sz w:val="20"/>
                <w:lang w:val="sq-AL"/>
              </w:rPr>
            </w:pPr>
            <w:r w:rsidRPr="00551729">
              <w:rPr>
                <w:rFonts w:ascii="Garamond" w:hAnsi="Garamond"/>
                <w:sz w:val="20"/>
                <w:lang w:val="sq-AL"/>
              </w:rPr>
              <w:t>Dorëzimi i versionin përfundimtar të dokumentit të Programit te</w:t>
            </w:r>
            <w:r w:rsidR="00753CA2">
              <w:rPr>
                <w:rFonts w:ascii="Garamond" w:hAnsi="Garamond"/>
                <w:sz w:val="20"/>
                <w:lang w:val="sq-AL"/>
              </w:rPr>
              <w:t xml:space="preserve"> Komisioni</w:t>
            </w:r>
          </w:p>
        </w:tc>
      </w:tr>
    </w:tbl>
    <w:p w14:paraId="1BADCA82" w14:textId="77777777" w:rsidR="005809BB" w:rsidRPr="00551729" w:rsidRDefault="005809BB" w:rsidP="005809BB">
      <w:pPr>
        <w:pStyle w:val="BodyText"/>
        <w:rPr>
          <w:rFonts w:ascii="Times New Roman"/>
          <w:sz w:val="20"/>
          <w:lang w:val="sq-AL"/>
        </w:rPr>
      </w:pPr>
    </w:p>
    <w:p w14:paraId="1BADCA83" w14:textId="77777777" w:rsidR="005809BB" w:rsidRPr="00551729" w:rsidRDefault="005809BB" w:rsidP="005809BB">
      <w:pPr>
        <w:pStyle w:val="BodyText"/>
        <w:spacing w:before="10"/>
        <w:rPr>
          <w:rFonts w:ascii="Times New Roman"/>
          <w:sz w:val="23"/>
          <w:lang w:val="sq-AL"/>
        </w:rPr>
      </w:pPr>
    </w:p>
    <w:p w14:paraId="1BADCA84" w14:textId="77777777" w:rsidR="005809BB" w:rsidRPr="00551729" w:rsidRDefault="005809BB" w:rsidP="005809BB">
      <w:pPr>
        <w:pStyle w:val="TEKSTIII"/>
        <w:rPr>
          <w:b/>
          <w:sz w:val="16"/>
        </w:rPr>
      </w:pPr>
      <w:bookmarkStart w:id="10" w:name="_bookmark6"/>
      <w:bookmarkEnd w:id="10"/>
      <w:r w:rsidRPr="00551729">
        <w:rPr>
          <w:b/>
        </w:rPr>
        <w:t>Seksioni 2: Zona e Programit</w:t>
      </w:r>
      <w:r w:rsidRPr="00551729">
        <w:rPr>
          <w:rStyle w:val="FootnoteReference"/>
          <w:b/>
        </w:rPr>
        <w:footnoteReference w:id="8"/>
      </w:r>
    </w:p>
    <w:p w14:paraId="1BADCA85" w14:textId="231B7B26" w:rsidR="005809BB" w:rsidRPr="00551729" w:rsidRDefault="005809BB" w:rsidP="005809BB">
      <w:pPr>
        <w:pStyle w:val="TEKSTIII"/>
        <w:rPr>
          <w:b/>
          <w:sz w:val="26"/>
        </w:rPr>
      </w:pPr>
      <w:bookmarkStart w:id="11" w:name="_bookmark7"/>
      <w:bookmarkEnd w:id="11"/>
      <w:r w:rsidRPr="00551729">
        <w:rPr>
          <w:b/>
          <w:sz w:val="26"/>
        </w:rPr>
        <w:t xml:space="preserve"> 2.1 Analiza e</w:t>
      </w:r>
      <w:r w:rsidRPr="00551729">
        <w:rPr>
          <w:b/>
          <w:spacing w:val="-10"/>
          <w:sz w:val="26"/>
        </w:rPr>
        <w:t xml:space="preserve"> </w:t>
      </w:r>
      <w:r w:rsidR="00893E12" w:rsidRPr="00551729">
        <w:rPr>
          <w:b/>
          <w:sz w:val="26"/>
        </w:rPr>
        <w:t>situatës</w:t>
      </w:r>
    </w:p>
    <w:p w14:paraId="1BADCA86" w14:textId="569BFC9E" w:rsidR="005809BB" w:rsidRPr="00551729" w:rsidRDefault="005809BB" w:rsidP="005809BB">
      <w:pPr>
        <w:pStyle w:val="TEKSTIII"/>
      </w:pPr>
      <w:r w:rsidRPr="00551729">
        <w:t>Zona e programit për Programin Ndërkufitar midis Malit të Zi dhe Shqipërisë mbulon një territor prej 11,970 km</w:t>
      </w:r>
      <w:r w:rsidRPr="00551729">
        <w:rPr>
          <w:position w:val="10"/>
          <w:sz w:val="14"/>
        </w:rPr>
        <w:t xml:space="preserve">2 </w:t>
      </w:r>
      <w:r w:rsidRPr="00551729">
        <w:t>me një popullsi prej rreth 749.257 banorë. Territori në Mal të Zi përbën 52.1% kundrejt 47.9% në Shqipëri. Vija kufitare është 244 km, nga të cilat 38 km janë kufi</w:t>
      </w:r>
      <w:r w:rsidR="00FE126B">
        <w:t>j</w:t>
      </w:r>
      <w:r w:rsidRPr="00551729">
        <w:t xml:space="preserve"> ujor. Ka tr</w:t>
      </w:r>
      <w:r w:rsidR="00FE126B">
        <w:t>i</w:t>
      </w:r>
      <w:r w:rsidRPr="00551729">
        <w:t xml:space="preserve"> pika funksionale të kalimit kufitar ndërmjet Shqipërisë dhe Malit të Zi përgjatë kësaj vije kufitare. Zona e Programi në Mal të Zi mbulon komunat: Andrijevica, Berane, Plavë, Guci</w:t>
      </w:r>
      <w:r w:rsidRPr="00551729">
        <w:rPr>
          <w:rStyle w:val="FootnoteReference"/>
        </w:rPr>
        <w:footnoteReference w:id="9"/>
      </w:r>
      <w:r w:rsidRPr="00551729">
        <w:t>, Petnjica</w:t>
      </w:r>
      <w:r w:rsidRPr="00551729">
        <w:rPr>
          <w:rStyle w:val="FootnoteReference"/>
        </w:rPr>
        <w:footnoteReference w:id="10"/>
      </w:r>
      <w:r w:rsidRPr="00551729">
        <w:rPr>
          <w:position w:val="6"/>
          <w:sz w:val="16"/>
        </w:rPr>
        <w:t xml:space="preserve"> </w:t>
      </w:r>
      <w:r w:rsidRPr="00551729">
        <w:t>dhe Rozaje; Podgorica, kryeqyteti i Malit të Zi dhe Cetinjë, Danilovgrad, Budva, Tivar dhe Ulqin. Zona e Programit në Shqipëri përfshin rajonet e Shkodrës dhe të Lezhës, dhe rr</w:t>
      </w:r>
      <w:r w:rsidR="00FE126B">
        <w:t>ethin e Tropojës</w:t>
      </w:r>
      <w:r w:rsidRPr="00551729">
        <w:rPr>
          <w:rStyle w:val="FootnoteReference"/>
        </w:rPr>
        <w:footnoteReference w:id="11"/>
      </w:r>
      <w:r w:rsidRPr="00551729">
        <w:t xml:space="preserve">. Në përgjithësi, zona e programit përfshin 23 komuna dhe një total prej 1,144 vendbanimeve </w:t>
      </w:r>
      <w:r w:rsidR="00FE126B">
        <w:t>–</w:t>
      </w:r>
      <w:r w:rsidRPr="00551729">
        <w:t xml:space="preserve"> qytete dhe</w:t>
      </w:r>
      <w:r w:rsidRPr="00551729">
        <w:rPr>
          <w:spacing w:val="-15"/>
        </w:rPr>
        <w:t xml:space="preserve"> </w:t>
      </w:r>
      <w:r w:rsidRPr="00551729">
        <w:t>fshatra.</w:t>
      </w:r>
    </w:p>
    <w:p w14:paraId="1BADCA87" w14:textId="77777777" w:rsidR="005809BB" w:rsidRPr="00551729" w:rsidRDefault="005809BB" w:rsidP="005809BB">
      <w:pPr>
        <w:pStyle w:val="TEKSTIII"/>
        <w:rPr>
          <w:sz w:val="20"/>
        </w:rPr>
      </w:pPr>
    </w:p>
    <w:p w14:paraId="1BADCA88" w14:textId="77777777" w:rsidR="005809BB" w:rsidRPr="00551729" w:rsidRDefault="005809BB" w:rsidP="005809BB">
      <w:pPr>
        <w:pStyle w:val="BodyText"/>
        <w:ind w:left="140"/>
        <w:jc w:val="center"/>
        <w:rPr>
          <w:sz w:val="20"/>
          <w:lang w:val="sq-AL"/>
        </w:rPr>
      </w:pPr>
      <w:r w:rsidRPr="00551729">
        <w:rPr>
          <w:noProof/>
          <w:sz w:val="20"/>
          <w:lang w:val="sq-AL" w:eastAsia="sq-AL"/>
        </w:rPr>
        <w:drawing>
          <wp:inline distT="0" distB="0" distL="0" distR="0" wp14:anchorId="1BADD783" wp14:editId="1BADD784">
            <wp:extent cx="3160166" cy="352491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0044" cy="3524783"/>
                    </a:xfrm>
                    <a:prstGeom prst="rect">
                      <a:avLst/>
                    </a:prstGeom>
                    <a:noFill/>
                    <a:ln>
                      <a:noFill/>
                    </a:ln>
                  </pic:spPr>
                </pic:pic>
              </a:graphicData>
            </a:graphic>
          </wp:inline>
        </w:drawing>
      </w:r>
    </w:p>
    <w:p w14:paraId="1BADCA89" w14:textId="77777777" w:rsidR="005809BB" w:rsidRPr="00551729" w:rsidRDefault="005809BB" w:rsidP="005809BB">
      <w:pPr>
        <w:pStyle w:val="BodyText"/>
        <w:spacing w:before="7"/>
        <w:rPr>
          <w:sz w:val="15"/>
          <w:lang w:val="sq-AL"/>
        </w:rPr>
      </w:pPr>
    </w:p>
    <w:p w14:paraId="1BADCA8A" w14:textId="77777777" w:rsidR="005809BB" w:rsidRPr="00EE30E2" w:rsidRDefault="005809BB" w:rsidP="005809BB">
      <w:pPr>
        <w:pStyle w:val="TEKSTIII"/>
        <w:rPr>
          <w:b/>
        </w:rPr>
      </w:pPr>
      <w:bookmarkStart w:id="12" w:name="_bookmark8"/>
      <w:bookmarkEnd w:id="12"/>
      <w:r w:rsidRPr="00EE30E2">
        <w:rPr>
          <w:b/>
        </w:rPr>
        <w:t>Gjeografia</w:t>
      </w:r>
    </w:p>
    <w:p w14:paraId="1BADCA8C" w14:textId="45556283" w:rsidR="005809BB" w:rsidRPr="00551729" w:rsidRDefault="005809BB" w:rsidP="005809BB">
      <w:pPr>
        <w:pStyle w:val="TEKSTIII"/>
      </w:pPr>
      <w:r w:rsidRPr="00EE30E2">
        <w:t>Zona e programit përmban disa parqe kombëtare, zona të mbrojtura dhe peizazhe që pasqyrojnë biodiversitet të pasur dhe dallimet mjedisore. Territori në Mal të Zi është i karakterizuar nga një profil gjeografik dhe klimatik i ndryshëm, i mbushur me vargje malore, fusha, lugina, lumenj, laguna dhe liqene.</w:t>
      </w:r>
      <w:r w:rsidR="00C521D5" w:rsidRPr="00EE30E2">
        <w:t xml:space="preserve"> </w:t>
      </w:r>
      <w:r w:rsidRPr="00EE30E2">
        <w:t>Pjesa</w:t>
      </w:r>
      <w:r w:rsidR="00C521D5" w:rsidRPr="00EE30E2">
        <w:t xml:space="preserve"> </w:t>
      </w:r>
      <w:r w:rsidRPr="00EE30E2">
        <w:t>kontinentale ose veriore</w:t>
      </w:r>
      <w:r w:rsidR="00C521D5" w:rsidRPr="00EE30E2">
        <w:t xml:space="preserve"> </w:t>
      </w:r>
      <w:r w:rsidRPr="00EE30E2">
        <w:t>e</w:t>
      </w:r>
      <w:r w:rsidR="00C521D5" w:rsidRPr="00EE30E2">
        <w:t xml:space="preserve"> </w:t>
      </w:r>
      <w:r w:rsidRPr="00EE30E2">
        <w:t>rajonit është</w:t>
      </w:r>
      <w:r w:rsidR="00C521D5" w:rsidRPr="00EE30E2">
        <w:t xml:space="preserve"> </w:t>
      </w:r>
      <w:r w:rsidRPr="00EE30E2">
        <w:t>një</w:t>
      </w:r>
      <w:r w:rsidR="00C521D5" w:rsidRPr="00EE30E2">
        <w:t xml:space="preserve"> </w:t>
      </w:r>
      <w:r w:rsidRPr="00EE30E2">
        <w:t>zonë malore. Majat malore</w:t>
      </w:r>
      <w:r w:rsidR="00C521D5" w:rsidRPr="00EE30E2">
        <w:t xml:space="preserve"> </w:t>
      </w:r>
      <w:r w:rsidRPr="00EE30E2">
        <w:t>arrijnë</w:t>
      </w:r>
      <w:r w:rsidR="00C521D5" w:rsidRPr="00EE30E2">
        <w:t xml:space="preserve"> </w:t>
      </w:r>
      <w:r w:rsidRPr="00EE30E2">
        <w:t>deri</w:t>
      </w:r>
      <w:r w:rsidR="00C521D5" w:rsidRPr="00EE30E2">
        <w:rPr>
          <w:spacing w:val="21"/>
        </w:rPr>
        <w:t xml:space="preserve"> </w:t>
      </w:r>
      <w:r w:rsidRPr="00EE30E2">
        <w:t>në</w:t>
      </w:r>
      <w:r w:rsidR="00791D8A">
        <w:t xml:space="preserve"> </w:t>
      </w:r>
      <w:r w:rsidRPr="00EE30E2">
        <w:t>2.500 m lartësi, dhe territori përshkohet nga lumenj, si lumi Lim, Morava dhe Tara, duke</w:t>
      </w:r>
      <w:r w:rsidR="00C521D5" w:rsidRPr="00EE30E2">
        <w:t xml:space="preserve"> </w:t>
      </w:r>
      <w:r w:rsidRPr="00EE30E2">
        <w:t>formuar kanione dhe lugina mbresëlënëse. Territori në Shqipëri paraqet kontraste të mprehta, pasi alternon male, kodra, lumenj, liqene dhe bregdet, shumë afër me njëri-tjetrin. Në këtë zonë</w:t>
      </w:r>
      <w:r w:rsidRPr="00551729">
        <w:t xml:space="preserve"> ka lumenj të shumtë që kalojnë nëpër territor, të cilët shpesh shkaktojnë përmbytje gjatë stinëve me reshje. Zona shtrihet</w:t>
      </w:r>
      <w:r w:rsidR="00C521D5" w:rsidRPr="00551729">
        <w:t xml:space="preserve"> </w:t>
      </w:r>
      <w:r w:rsidRPr="00551729">
        <w:t xml:space="preserve">nga malet e larta (Alpet Shqiptare) në pjesën veriore të saj në kufi me Malin e Zi, deri </w:t>
      </w:r>
      <w:r w:rsidRPr="00551729">
        <w:rPr>
          <w:spacing w:val="3"/>
        </w:rPr>
        <w:t xml:space="preserve">në </w:t>
      </w:r>
      <w:r w:rsidRPr="00551729">
        <w:t>bregdet (Velipojë dhe Shëngjin), në pjesën veriperëndimore të Shqipërisë. Maja më e lartë është Jezerca me 2,694 m lartësi, në rajonin e Shkodrës, dhe ajo më e ulëta (-6</w:t>
      </w:r>
      <w:r w:rsidR="00D31E0F">
        <w:t xml:space="preserve"> </w:t>
      </w:r>
      <w:r w:rsidRPr="00551729">
        <w:t>m) ndodhet në rajonin e Lezhës. Zona e Programit ka klimë mesdhetare në zonën e saj bregdetare, me verë dhe vjeshtë të nxehtë dhe të thatë, dhe klimë kontinentale në zonën veriore malore të Shkodrës dhe Tropojës, me dimër</w:t>
      </w:r>
      <w:r w:rsidR="00C521D5" w:rsidRPr="00551729">
        <w:t xml:space="preserve"> </w:t>
      </w:r>
      <w:r w:rsidRPr="00551729">
        <w:t>relativisht</w:t>
      </w:r>
      <w:r w:rsidR="00C521D5" w:rsidRPr="00551729">
        <w:t xml:space="preserve"> </w:t>
      </w:r>
      <w:r w:rsidRPr="00551729">
        <w:t>të ftohtë dhe me reshje dëbore të rënda në brendësi. Elemente të tilla gjeografike me kontrast të lartë pasurojë</w:t>
      </w:r>
      <w:r w:rsidRPr="00551729">
        <w:rPr>
          <w:spacing w:val="13"/>
        </w:rPr>
        <w:t xml:space="preserve"> </w:t>
      </w:r>
      <w:r w:rsidRPr="00551729">
        <w:t>mjedisin,</w:t>
      </w:r>
      <w:r w:rsidRPr="00551729">
        <w:rPr>
          <w:spacing w:val="15"/>
        </w:rPr>
        <w:t xml:space="preserve"> </w:t>
      </w:r>
      <w:r w:rsidRPr="00551729">
        <w:t>florën</w:t>
      </w:r>
      <w:r w:rsidRPr="00551729">
        <w:rPr>
          <w:spacing w:val="14"/>
        </w:rPr>
        <w:t xml:space="preserve"> </w:t>
      </w:r>
      <w:r w:rsidRPr="00551729">
        <w:t>dhe</w:t>
      </w:r>
      <w:r w:rsidRPr="00551729">
        <w:rPr>
          <w:spacing w:val="15"/>
        </w:rPr>
        <w:t xml:space="preserve"> </w:t>
      </w:r>
      <w:r w:rsidRPr="00551729">
        <w:t>faunën</w:t>
      </w:r>
      <w:r w:rsidRPr="00551729">
        <w:rPr>
          <w:spacing w:val="14"/>
        </w:rPr>
        <w:t xml:space="preserve"> </w:t>
      </w:r>
      <w:r w:rsidRPr="00551729">
        <w:t>e</w:t>
      </w:r>
      <w:r w:rsidRPr="00551729">
        <w:rPr>
          <w:spacing w:val="13"/>
        </w:rPr>
        <w:t xml:space="preserve"> </w:t>
      </w:r>
      <w:r w:rsidRPr="00551729">
        <w:t>zonës</w:t>
      </w:r>
      <w:r w:rsidRPr="00551729">
        <w:rPr>
          <w:spacing w:val="15"/>
        </w:rPr>
        <w:t xml:space="preserve"> </w:t>
      </w:r>
      <w:r w:rsidRPr="00551729">
        <w:t>së</w:t>
      </w:r>
      <w:r w:rsidRPr="00551729">
        <w:rPr>
          <w:spacing w:val="15"/>
        </w:rPr>
        <w:t xml:space="preserve"> </w:t>
      </w:r>
      <w:r w:rsidRPr="00551729">
        <w:t>programit.</w:t>
      </w:r>
      <w:r w:rsidRPr="00551729">
        <w:rPr>
          <w:spacing w:val="12"/>
        </w:rPr>
        <w:t xml:space="preserve"> </w:t>
      </w:r>
      <w:r w:rsidRPr="00551729">
        <w:t>Burimet</w:t>
      </w:r>
      <w:r w:rsidRPr="00551729">
        <w:rPr>
          <w:spacing w:val="13"/>
        </w:rPr>
        <w:t xml:space="preserve"> </w:t>
      </w:r>
      <w:r w:rsidRPr="00551729">
        <w:t>e</w:t>
      </w:r>
      <w:r w:rsidRPr="00551729">
        <w:rPr>
          <w:spacing w:val="15"/>
        </w:rPr>
        <w:t xml:space="preserve"> </w:t>
      </w:r>
      <w:r w:rsidRPr="00551729">
        <w:t>saj</w:t>
      </w:r>
      <w:r w:rsidRPr="00551729">
        <w:rPr>
          <w:spacing w:val="12"/>
        </w:rPr>
        <w:t xml:space="preserve"> </w:t>
      </w:r>
      <w:r w:rsidRPr="00551729">
        <w:t>natyrore</w:t>
      </w:r>
      <w:r w:rsidRPr="00551729">
        <w:rPr>
          <w:spacing w:val="12"/>
        </w:rPr>
        <w:t xml:space="preserve"> </w:t>
      </w:r>
      <w:r w:rsidRPr="00551729">
        <w:t>janë</w:t>
      </w:r>
      <w:r w:rsidRPr="00551729">
        <w:rPr>
          <w:spacing w:val="15"/>
        </w:rPr>
        <w:t xml:space="preserve"> </w:t>
      </w:r>
      <w:r w:rsidRPr="00551729">
        <w:t>stimuluese</w:t>
      </w:r>
      <w:r w:rsidRPr="00551729">
        <w:rPr>
          <w:spacing w:val="15"/>
        </w:rPr>
        <w:t xml:space="preserve"> </w:t>
      </w:r>
      <w:r w:rsidRPr="00551729">
        <w:t>për</w:t>
      </w:r>
      <w:r w:rsidR="00893E12">
        <w:t xml:space="preserve"> </w:t>
      </w:r>
      <w:r w:rsidRPr="00551729">
        <w:t>zhvillimin e turizmit dhe agrobiznesit, si stimujt kryesorë ekonomikë për të rritur mundësitë për mirëqenien dhe prosperitetin e banorëve në zonën e programit.</w:t>
      </w:r>
    </w:p>
    <w:p w14:paraId="1BADCA8D" w14:textId="77777777" w:rsidR="005809BB" w:rsidRPr="00551729" w:rsidRDefault="005809BB" w:rsidP="005809BB">
      <w:pPr>
        <w:pStyle w:val="TEKSTIII"/>
        <w:rPr>
          <w:b/>
        </w:rPr>
      </w:pPr>
      <w:bookmarkStart w:id="13" w:name="_bookmark9"/>
      <w:bookmarkEnd w:id="13"/>
      <w:r w:rsidRPr="00551729">
        <w:rPr>
          <w:b/>
        </w:rPr>
        <w:t>Demografia</w:t>
      </w:r>
    </w:p>
    <w:p w14:paraId="1BADCA8E" w14:textId="37785BD9" w:rsidR="005809BB" w:rsidRPr="00551729" w:rsidRDefault="005809BB" w:rsidP="005809BB">
      <w:pPr>
        <w:pStyle w:val="TEKSTIII"/>
      </w:pPr>
      <w:r w:rsidRPr="00551729">
        <w:t>Popullsia që jeton në zonën e programit llogaritet të përbëjë rreth 61% të popullsisë së përgjithshme të Malit të Zi, dhe 13.2% të popullsisë së përgjithshme të Shqipërisë. Popullsia në zonën e programit është e balancuar, e përbërë nga popullsi e Malit të Zi prej rreth 379,366 banorësh, duke zënë 50.63% të popullsisë totale në zonën e programit, dhe popullsi shqiptare prej rreth 369,891 banorësh, duke zënë 49.37% të popullsisë totale në zonë. Në pjesën malazeze dendësia e popull</w:t>
      </w:r>
      <w:r w:rsidR="00D657AE">
        <w:t>sisë me 65.7 banorë/</w:t>
      </w:r>
      <w:r w:rsidRPr="00551729">
        <w:t>km</w:t>
      </w:r>
      <w:r w:rsidRPr="00551729">
        <w:rPr>
          <w:position w:val="10"/>
          <w:sz w:val="14"/>
        </w:rPr>
        <w:t xml:space="preserve">2 </w:t>
      </w:r>
      <w:r w:rsidRPr="00551729">
        <w:t>është më e lartë se mesa</w:t>
      </w:r>
      <w:r w:rsidR="00D657AE">
        <w:t>tarja kombëtare prej 45 banorë/</w:t>
      </w:r>
      <w:r w:rsidRPr="00551729">
        <w:t>km</w:t>
      </w:r>
      <w:r w:rsidRPr="00551729">
        <w:rPr>
          <w:position w:val="10"/>
          <w:sz w:val="14"/>
        </w:rPr>
        <w:t>2</w:t>
      </w:r>
      <w:r w:rsidRPr="00551729">
        <w:t>, ndër</w:t>
      </w:r>
      <w:r w:rsidR="00D657AE">
        <w:t>sa në Shqipëri është 59 banorë/</w:t>
      </w:r>
      <w:r w:rsidRPr="00551729">
        <w:t>km</w:t>
      </w:r>
      <w:r w:rsidRPr="00551729">
        <w:rPr>
          <w:position w:val="10"/>
          <w:sz w:val="14"/>
        </w:rPr>
        <w:t>2</w:t>
      </w:r>
      <w:r w:rsidRPr="00551729">
        <w:t>, më e ulët në krahasim me mesa</w:t>
      </w:r>
      <w:r w:rsidR="00D657AE">
        <w:t>taren kombëtare prej 97 banorë/</w:t>
      </w:r>
      <w:r w:rsidRPr="00551729">
        <w:t>km</w:t>
      </w:r>
      <w:r w:rsidRPr="00551729">
        <w:rPr>
          <w:position w:val="10"/>
          <w:sz w:val="14"/>
        </w:rPr>
        <w:t>2</w:t>
      </w:r>
      <w:r w:rsidRPr="00551729">
        <w:t xml:space="preserve">. Zona e programit ka një normë natyrore rritje prej 1.87%, që është nën mesataren kombëtare prej 2.2%; Shkalla e vdekshmërisë qëndron në 9.4% e barabartë me mesataren kombëtare. Zona e programit në Mal të Zi ka një popullsi kryesisht urbane, duke </w:t>
      </w:r>
      <w:r w:rsidRPr="00D362C1">
        <w:t>zënë rreth 52% të popullsisë së saj, e cila është më e ulët, në krahasim me 62%</w:t>
      </w:r>
      <w:r w:rsidR="00C521D5" w:rsidRPr="00D362C1">
        <w:t xml:space="preserve"> </w:t>
      </w:r>
      <w:r w:rsidRPr="00D362C1">
        <w:t>që jetojnë në zonat urbane në nivel kombëtar. Rreth 49% e popullsisë në zonën e programit është e përqendruar në Podgoricë. Në Shqipëri numri i përgjithshëm i popullsisë që jeton në zonën e programit është 369,891</w:t>
      </w:r>
      <w:r w:rsidR="0078627E" w:rsidRPr="00D362C1">
        <w:rPr>
          <w:rStyle w:val="FootnoteReference"/>
        </w:rPr>
        <w:footnoteReference w:id="12"/>
      </w:r>
      <w:r w:rsidRPr="00D362C1">
        <w:rPr>
          <w:rFonts w:ascii="Cambria" w:hAnsi="Cambria"/>
          <w:position w:val="6"/>
          <w:sz w:val="16"/>
        </w:rPr>
        <w:t xml:space="preserve"> </w:t>
      </w:r>
      <w:r w:rsidRPr="00D362C1">
        <w:t>banorë, ose rreth 13.2% e popullsisë së përgjithshme të vendit. Rajoni i Shkodrës është rajoni i gjashtë më i madh i vendit me një popullsi prej 215,347 banorë</w:t>
      </w:r>
      <w:r w:rsidR="009D1A37">
        <w:t>sh</w:t>
      </w:r>
      <w:r w:rsidRPr="00D362C1">
        <w:t>, ose rreth 7.6% e popullsisë së përgjithshme, e ndjekur nga Lezha e cila renditet e dhjeta mes rajoneve të vendit, që numëron një total prej 134,027 banorë</w:t>
      </w:r>
      <w:r w:rsidR="009D0DE1">
        <w:t>sh</w:t>
      </w:r>
      <w:r w:rsidRPr="00D362C1">
        <w:t xml:space="preserve"> apo 4.7% të popullsisë së përgjithshme të Shqipërisë. Rrethi i Tropojës regjistron</w:t>
      </w:r>
      <w:r w:rsidR="00C521D5" w:rsidRPr="00D362C1">
        <w:t xml:space="preserve"> </w:t>
      </w:r>
      <w:r w:rsidRPr="00D362C1">
        <w:t>një popullsi totale prej 20,517 banorë</w:t>
      </w:r>
      <w:r w:rsidR="009D0DE1">
        <w:t>sh</w:t>
      </w:r>
      <w:r w:rsidRPr="00D362C1">
        <w:t>, e cila përbën</w:t>
      </w:r>
      <w:r w:rsidRPr="00551729">
        <w:t xml:space="preserve"> 0.07% të popullsisë së përgjithshme të Shqipërisë. Popullsia është kryesisht rurale, me një mesatare prej 53.2%. Këtë mesatare e përcakton rajoni i Shkodrës, pasi popullsia rurale është 55.6% e 119,794 banorëve të tij. Në të kundërt, rajoni i Lezhës ka një dominim të popullsisë urbane, me rreth 53.8% të popullsisë. Rrethi i Tropojës ka një popullsi kryesisht rurale, e cila përbën rreth 74% të popullsisë së tij. Përbërja e popullsisë në zonën e</w:t>
      </w:r>
      <w:r w:rsidR="00C521D5" w:rsidRPr="00551729">
        <w:t xml:space="preserve"> </w:t>
      </w:r>
      <w:r w:rsidRPr="00551729">
        <w:t>programimit të të dyja vendeve tregon se 50% e popullsisë i takon segmentit moshor 15</w:t>
      </w:r>
      <w:r w:rsidR="00893E12">
        <w:t>–</w:t>
      </w:r>
      <w:r w:rsidRPr="00551729">
        <w:t>49</w:t>
      </w:r>
      <w:r w:rsidRPr="00551729">
        <w:rPr>
          <w:spacing w:val="-33"/>
        </w:rPr>
        <w:t xml:space="preserve"> </w:t>
      </w:r>
      <w:r w:rsidRPr="00551729">
        <w:t>vjeç.</w:t>
      </w:r>
    </w:p>
    <w:p w14:paraId="1BADCA8F" w14:textId="77777777" w:rsidR="005809BB" w:rsidRPr="00551729" w:rsidRDefault="005809BB" w:rsidP="0078627E">
      <w:pPr>
        <w:pStyle w:val="TEKSTIII"/>
        <w:rPr>
          <w:b/>
        </w:rPr>
      </w:pPr>
      <w:bookmarkStart w:id="14" w:name="_bookmark10"/>
      <w:bookmarkEnd w:id="14"/>
      <w:r w:rsidRPr="00551729">
        <w:rPr>
          <w:b/>
        </w:rPr>
        <w:t>Varfëria</w:t>
      </w:r>
    </w:p>
    <w:p w14:paraId="1BADCA90" w14:textId="42B2C78D" w:rsidR="005809BB" w:rsidRPr="00551729" w:rsidRDefault="005809BB" w:rsidP="0078627E">
      <w:pPr>
        <w:pStyle w:val="TEKSTIII"/>
      </w:pPr>
      <w:r w:rsidRPr="00551729">
        <w:t xml:space="preserve">Vulnerabiliteti i popullsisë së </w:t>
      </w:r>
      <w:r w:rsidRPr="00551729">
        <w:rPr>
          <w:b/>
        </w:rPr>
        <w:t xml:space="preserve">Malit të Zi </w:t>
      </w:r>
      <w:r w:rsidRPr="00551729">
        <w:t xml:space="preserve">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w:t>
      </w:r>
      <w:r w:rsidR="00355ADF" w:rsidRPr="00551729">
        <w:t xml:space="preserve">Gini </w:t>
      </w:r>
      <w:r w:rsidRPr="00551729">
        <w:t>u rrit nga 24.3% në vitin 2010, në 25.9% në vitin 2011</w:t>
      </w:r>
      <w:r w:rsidR="0078627E" w:rsidRPr="00551729">
        <w:rPr>
          <w:rStyle w:val="FootnoteReference"/>
        </w:rPr>
        <w:footnoteReference w:id="13"/>
      </w:r>
      <w:r w:rsidRPr="00551729">
        <w:t xml:space="preserve">. Vulnerabiliteti i popullsisë së </w:t>
      </w:r>
      <w:r w:rsidRPr="00551729">
        <w:rPr>
          <w:b/>
        </w:rPr>
        <w:t xml:space="preserve">Shqipërisë </w:t>
      </w:r>
      <w:r w:rsidRPr="00551729">
        <w:t>u rrit në vitin 2012; numri i regjistruar i personave nën vijën e varfërisë u rrit me 8.4%. Varfëria ekstreme ka arritur në 2.2% në vitin 2012, kundrejt 1.2% të regjistruar në vitin 2008. Rajonet në zonën e programit janë më të varfër në krahasim me mesataren kombëtare të shkallës së varfërisë prej 14.3%. Qarku i Lezhës regjistron një normë varfërie 17.5%, ndërsa qarku i Shkodrës është pak më mirë, me një normë varfërie 15.7%. Rrethi i Tropojës i përket rajonit më të varfër të Shqipërisë, Kukësit, me një normë varfërie 21.8%. Varfëria është bërë një shqetësim urban, duke treguar një ecuri të ngadaltë të ekonomisë gjatë viteve të fundit, ndërsa ripërtëritja e potencialit urban tashmë të ezauruar, është bërë e domosdoshme për të sjellë rritjen ekonomike.</w:t>
      </w:r>
    </w:p>
    <w:p w14:paraId="1BADCA91" w14:textId="77777777" w:rsidR="0039138A" w:rsidRPr="00551729" w:rsidRDefault="0039138A" w:rsidP="0039138A">
      <w:pPr>
        <w:pStyle w:val="TEKSTIII"/>
        <w:rPr>
          <w:b/>
        </w:rPr>
      </w:pPr>
      <w:r w:rsidRPr="00551729">
        <w:rPr>
          <w:b/>
        </w:rPr>
        <w:t>Ekonomia</w:t>
      </w:r>
    </w:p>
    <w:p w14:paraId="1BADCA92" w14:textId="3D70A222" w:rsidR="0039138A" w:rsidRPr="00551729" w:rsidRDefault="0039138A" w:rsidP="0039138A">
      <w:pPr>
        <w:pStyle w:val="TEKSTIII"/>
      </w:pPr>
      <w:r w:rsidRPr="00551729">
        <w:t xml:space="preserve">Zona e programit përmban të gjitha pabarazitë rajonale </w:t>
      </w:r>
      <w:r w:rsidRPr="00551729">
        <w:rPr>
          <w:spacing w:val="2"/>
        </w:rPr>
        <w:t xml:space="preserve">të </w:t>
      </w:r>
      <w:r w:rsidRPr="00551729">
        <w:t xml:space="preserve">hasura në </w:t>
      </w:r>
      <w:r w:rsidRPr="00551729">
        <w:rPr>
          <w:b/>
        </w:rPr>
        <w:t>Mal të Zi</w:t>
      </w:r>
      <w:r w:rsidRPr="00551729">
        <w:t xml:space="preserve">, në aspektin e zhvillimeve social-ekonomike. Ashtu si në nivel kombëtar, ajo është e dominuar nga Podgorica, e cila është motori ekonomik i vendit. Çdo bashki e zonës së programit është nën mesataren kombëtare, me </w:t>
      </w:r>
      <w:r w:rsidR="003128C6" w:rsidRPr="00551729">
        <w:t xml:space="preserve">Bashkinë </w:t>
      </w:r>
      <w:r w:rsidRPr="00551729">
        <w:t>e Plavës në krye, e cila është më pak e zhvilluara në vend. Ndryshe nga Budva, e cila ka indeksin më të</w:t>
      </w:r>
      <w:r w:rsidR="00C521D5" w:rsidRPr="00551729">
        <w:t xml:space="preserve"> </w:t>
      </w:r>
      <w:r w:rsidRPr="00551729">
        <w:t>lartë të zhvillimit në Mal të Zi me 362.4, dy bashkitë e tjera bregdetare të zonës së programit Tivari dhe Ulqini, janë nën mesataren</w:t>
      </w:r>
      <w:r w:rsidRPr="00551729">
        <w:rPr>
          <w:spacing w:val="-9"/>
        </w:rPr>
        <w:t xml:space="preserve"> </w:t>
      </w:r>
      <w:r w:rsidRPr="00551729">
        <w:t>kombëtare.</w:t>
      </w:r>
    </w:p>
    <w:p w14:paraId="1BADCA93" w14:textId="4DA4C88C" w:rsidR="0039138A" w:rsidRPr="00551729" w:rsidRDefault="0039138A" w:rsidP="0039138A">
      <w:pPr>
        <w:pStyle w:val="TEKSTIII"/>
      </w:pPr>
      <w:r w:rsidRPr="00551729">
        <w:t xml:space="preserve">Edhe në </w:t>
      </w:r>
      <w:r w:rsidRPr="00551729">
        <w:rPr>
          <w:b/>
        </w:rPr>
        <w:t>Shqipëri</w:t>
      </w:r>
      <w:r w:rsidRPr="00551729">
        <w:t>, pabarazitë rajonale janë shumë të dukshme. Zhvillimi social-ekonomik i vendit anon rëndë në favor të rajonit qendror. Shkodra është rajoni më i zhvilluar në zonën e programit të Shqipërisë. Kontributi i Qarkut të Shkodrës në GDP arriti në 555 milion</w:t>
      </w:r>
      <w:r w:rsidR="005E2A40">
        <w:t>ë</w:t>
      </w:r>
      <w:r w:rsidRPr="00551729">
        <w:t xml:space="preserve"> </w:t>
      </w:r>
      <w:r w:rsidR="005E2A40" w:rsidRPr="00551729">
        <w:t xml:space="preserve">euro </w:t>
      </w:r>
      <w:r w:rsidRPr="00551729">
        <w:t>në vitin 2011</w:t>
      </w:r>
      <w:r w:rsidRPr="00551729">
        <w:rPr>
          <w:rStyle w:val="FootnoteReference"/>
        </w:rPr>
        <w:footnoteReference w:id="14"/>
      </w:r>
      <w:r w:rsidRPr="00551729">
        <w:t>, e barabartë me 6.1% të GDP totale të shtetit, duke u radhitur e shtata ndër 12 qarqet e Shqipërisë. Kontribuuesi kryesor në aktivitetin ekonomik të rajonit është bujqësia, e cila përbën rreth 26% të kontributit të GDP- së, e pasuar nga tregtia, hotelet, transporti dhe komunikacioni me 23%, sektori financiar dhe ai</w:t>
      </w:r>
      <w:r w:rsidR="00C521D5" w:rsidRPr="00551729">
        <w:t xml:space="preserve"> </w:t>
      </w:r>
      <w:r w:rsidRPr="00551729">
        <w:t>i pasurive të patundshme me 19%, industria me 11%, dhe ndërtimi me 8%. GDP e rajonit të Lezhës për vitin 2011 arrin 3.7% të GDP-së së vendit</w:t>
      </w:r>
      <w:r w:rsidRPr="00551729">
        <w:rPr>
          <w:rStyle w:val="FootnoteReference"/>
        </w:rPr>
        <w:footnoteReference w:id="15"/>
      </w:r>
      <w:r w:rsidRPr="00551729">
        <w:t>. Kontribuuesit kryesorë në GDP-në e rajonit të Lezhës janë tregtia, hotelet, transporti dhe komunikacioni me 26%, sektori i bujqësisë me 25%, sektorët financiarë dhe të pasurive të patundshme me 19%, ndërtimi me 10%, ndërkohë që industria është kontribuuesi më i vogël me 8%. Kontributi i rajonit të Kukësit në GDP-në e Shqipërisë, ku Tropoja përbën rreth 24% të popullsisë, është më i ulëti në vend, me vetëm 2.4%; sektorët më të rëndësishëm janë bujqësia, e cila është përgjegjëse për 34%, dhe tregtia, hotelet dhe turizmi me</w:t>
      </w:r>
      <w:r w:rsidRPr="00551729">
        <w:rPr>
          <w:spacing w:val="-16"/>
        </w:rPr>
        <w:t xml:space="preserve"> </w:t>
      </w:r>
      <w:r w:rsidRPr="00551729">
        <w:t>20%.</w:t>
      </w:r>
    </w:p>
    <w:p w14:paraId="1BADCA94" w14:textId="36553705" w:rsidR="0039138A" w:rsidRPr="00551729" w:rsidRDefault="0039138A" w:rsidP="0039138A">
      <w:pPr>
        <w:pStyle w:val="TEKSTIII"/>
        <w:rPr>
          <w:b/>
        </w:rPr>
      </w:pPr>
      <w:bookmarkStart w:id="15" w:name="_bookmark12"/>
      <w:bookmarkEnd w:id="15"/>
      <w:r w:rsidRPr="00551729">
        <w:rPr>
          <w:b/>
        </w:rPr>
        <w:t xml:space="preserve">Sektori </w:t>
      </w:r>
      <w:r w:rsidR="00893E12" w:rsidRPr="00551729">
        <w:rPr>
          <w:b/>
        </w:rPr>
        <w:t>privat</w:t>
      </w:r>
    </w:p>
    <w:p w14:paraId="1BADCA95" w14:textId="77777777" w:rsidR="0039138A" w:rsidRPr="00551729" w:rsidRDefault="0039138A" w:rsidP="0039138A">
      <w:pPr>
        <w:pStyle w:val="TEKSTIII"/>
      </w:pPr>
      <w:r w:rsidRPr="00551729">
        <w:t xml:space="preserve">Struktura e operatorëve ekonomikë në zonën e programimit është e dominuar nga ndërmarrjet e vogla dhe të mesme (NVM). NVM-të në Mal të Zi përbëjnë 98.6% të numrit të përgjithshëm të operatorëve ekonomikë, ndërsa në Shqipëri ato përbëjnë 95.4% të totalit. Shumica e NVM-ve në të dyja anët e kufirit operojnë në sektorin e shërbimeve. Shumica e operatorëve ekonomik të </w:t>
      </w:r>
      <w:r w:rsidRPr="00551729">
        <w:rPr>
          <w:b/>
        </w:rPr>
        <w:t xml:space="preserve">Malit të Zi </w:t>
      </w:r>
      <w:r w:rsidRPr="00551729">
        <w:t>janë të përqendruar në zonën e programit, duke përbërë 67.3% të numrit të përgjithshëm të ndërmarrjeve në nivel kombëtar. Rreth 49.2% e këtyre NVM-ve janë të vendosura në Podgoricë, duke treguar kështu pabarazitë e zhvillimit</w:t>
      </w:r>
      <w:r w:rsidRPr="00551729">
        <w:rPr>
          <w:spacing w:val="-11"/>
        </w:rPr>
        <w:t xml:space="preserve"> </w:t>
      </w:r>
      <w:r w:rsidRPr="00551729">
        <w:t>rajonal.</w:t>
      </w:r>
    </w:p>
    <w:p w14:paraId="1BADCA96" w14:textId="77777777" w:rsidR="005809BB" w:rsidRPr="00551729" w:rsidRDefault="005809BB" w:rsidP="0078627E">
      <w:pPr>
        <w:pStyle w:val="TEKSTIII"/>
      </w:pPr>
    </w:p>
    <w:p w14:paraId="1BADCA97" w14:textId="77777777" w:rsidR="00DD6463" w:rsidRPr="00551729" w:rsidRDefault="00DD6463" w:rsidP="00DD6463">
      <w:pPr>
        <w:pStyle w:val="BodyText"/>
        <w:spacing w:before="5"/>
        <w:rPr>
          <w:rFonts w:ascii="Arial Narrow"/>
          <w:sz w:val="16"/>
          <w:lang w:val="sq-AL"/>
        </w:rPr>
      </w:pPr>
    </w:p>
    <w:tbl>
      <w:tblPr>
        <w:tblW w:w="9233" w:type="dxa"/>
        <w:tblInd w:w="229" w:type="dxa"/>
        <w:tblLayout w:type="fixed"/>
        <w:tblCellMar>
          <w:left w:w="0" w:type="dxa"/>
          <w:right w:w="0" w:type="dxa"/>
        </w:tblCellMar>
        <w:tblLook w:val="01E0" w:firstRow="1" w:lastRow="1" w:firstColumn="1" w:lastColumn="1" w:noHBand="0" w:noVBand="0"/>
      </w:tblPr>
      <w:tblGrid>
        <w:gridCol w:w="4674"/>
        <w:gridCol w:w="4559"/>
      </w:tblGrid>
      <w:tr w:rsidR="00DD6463" w:rsidRPr="00551729" w14:paraId="1BADCA9E" w14:textId="77777777" w:rsidTr="000003EE">
        <w:trPr>
          <w:trHeight w:hRule="exact" w:val="577"/>
        </w:trPr>
        <w:tc>
          <w:tcPr>
            <w:tcW w:w="9233" w:type="dxa"/>
            <w:gridSpan w:val="2"/>
          </w:tcPr>
          <w:p w14:paraId="1BADCA98" w14:textId="77777777" w:rsidR="00DD6463" w:rsidRPr="00551729" w:rsidRDefault="00DD6463" w:rsidP="00DD6463">
            <w:pPr>
              <w:pStyle w:val="TableParagraph"/>
              <w:ind w:left="200"/>
              <w:jc w:val="center"/>
              <w:rPr>
                <w:b/>
                <w:sz w:val="16"/>
                <w:lang w:val="sq-AL"/>
              </w:rPr>
            </w:pPr>
            <w:r w:rsidRPr="00551729">
              <w:rPr>
                <w:b/>
                <w:sz w:val="16"/>
                <w:lang w:val="sq-AL"/>
              </w:rPr>
              <w:t>Grafiku 1. NVM-të sipas sektorëve kryesorë ekonomikë në zonën e programit</w:t>
            </w:r>
          </w:p>
          <w:p w14:paraId="1BADCA99" w14:textId="141D3AE5" w:rsidR="00DD6463" w:rsidRPr="00551729" w:rsidRDefault="00C521D5" w:rsidP="00DD6463">
            <w:pPr>
              <w:pStyle w:val="TableParagraph"/>
              <w:ind w:left="200"/>
              <w:rPr>
                <w:b/>
                <w:sz w:val="16"/>
                <w:lang w:val="sq-AL"/>
              </w:rPr>
            </w:pPr>
            <w:r w:rsidRPr="00551729">
              <w:rPr>
                <w:b/>
                <w:sz w:val="16"/>
                <w:lang w:val="sq-AL"/>
              </w:rPr>
              <w:t xml:space="preserve"> </w:t>
            </w:r>
            <w:r w:rsidR="00DD6463" w:rsidRPr="00551729">
              <w:rPr>
                <w:b/>
                <w:sz w:val="16"/>
                <w:lang w:val="sq-AL"/>
              </w:rPr>
              <w:t>Mal</w:t>
            </w:r>
            <w:r w:rsidR="00DD6463" w:rsidRPr="00551729">
              <w:rPr>
                <w:b/>
                <w:spacing w:val="-2"/>
                <w:sz w:val="16"/>
                <w:lang w:val="sq-AL"/>
              </w:rPr>
              <w:t xml:space="preserve"> </w:t>
            </w:r>
            <w:r w:rsidR="00DD6463" w:rsidRPr="00551729">
              <w:rPr>
                <w:b/>
                <w:sz w:val="16"/>
                <w:lang w:val="sq-AL"/>
              </w:rPr>
              <w:t>i</w:t>
            </w:r>
            <w:r w:rsidR="00DD6463" w:rsidRPr="00551729">
              <w:rPr>
                <w:b/>
                <w:spacing w:val="-2"/>
                <w:sz w:val="16"/>
                <w:lang w:val="sq-AL"/>
              </w:rPr>
              <w:t xml:space="preserve"> </w:t>
            </w:r>
            <w:r w:rsidR="00DD6463" w:rsidRPr="00551729">
              <w:rPr>
                <w:b/>
                <w:sz w:val="16"/>
                <w:lang w:val="sq-AL"/>
              </w:rPr>
              <w:t>Zi</w:t>
            </w:r>
            <w:r w:rsidRPr="00551729">
              <w:rPr>
                <w:b/>
                <w:sz w:val="16"/>
                <w:lang w:val="sq-AL"/>
              </w:rPr>
              <w:t xml:space="preserve"> </w:t>
            </w:r>
            <w:r w:rsidR="00DD6463" w:rsidRPr="00551729">
              <w:rPr>
                <w:b/>
                <w:sz w:val="16"/>
                <w:lang w:val="sq-AL"/>
              </w:rPr>
              <w:t>Shqipëri</w:t>
            </w:r>
          </w:p>
          <w:p w14:paraId="1BADCA9A" w14:textId="77777777" w:rsidR="00DD6463" w:rsidRPr="00551729" w:rsidRDefault="00DD6463" w:rsidP="00DD6463">
            <w:pPr>
              <w:pStyle w:val="TableParagraph"/>
              <w:ind w:left="200"/>
              <w:rPr>
                <w:b/>
                <w:sz w:val="16"/>
                <w:lang w:val="sq-AL"/>
              </w:rPr>
            </w:pPr>
          </w:p>
          <w:p w14:paraId="1BADCA9B" w14:textId="77777777" w:rsidR="00DD6463" w:rsidRPr="00551729" w:rsidRDefault="00DD6463" w:rsidP="00DD6463">
            <w:pPr>
              <w:pStyle w:val="TableParagraph"/>
              <w:ind w:left="200"/>
              <w:rPr>
                <w:b/>
                <w:sz w:val="16"/>
                <w:lang w:val="sq-AL"/>
              </w:rPr>
            </w:pPr>
          </w:p>
          <w:p w14:paraId="1BADCA9C" w14:textId="77777777" w:rsidR="00DD6463" w:rsidRPr="00551729" w:rsidRDefault="00DD6463" w:rsidP="00B628D7">
            <w:pPr>
              <w:pStyle w:val="TableParagraph"/>
              <w:spacing w:before="7"/>
              <w:rPr>
                <w:rFonts w:ascii="Arial Narrow"/>
                <w:sz w:val="7"/>
                <w:lang w:val="sq-AL"/>
              </w:rPr>
            </w:pPr>
          </w:p>
          <w:p w14:paraId="1BADCA9D" w14:textId="77777777" w:rsidR="00DD6463" w:rsidRPr="00551729" w:rsidRDefault="00DD6463" w:rsidP="00B628D7">
            <w:pPr>
              <w:pStyle w:val="TableParagraph"/>
              <w:ind w:left="392"/>
              <w:rPr>
                <w:rFonts w:ascii="Arial Narrow"/>
                <w:sz w:val="20"/>
                <w:lang w:val="sq-AL"/>
              </w:rPr>
            </w:pPr>
          </w:p>
        </w:tc>
      </w:tr>
      <w:tr w:rsidR="00DD6463" w:rsidRPr="00551729" w14:paraId="1BADCAA1" w14:textId="77777777" w:rsidTr="000003EE">
        <w:trPr>
          <w:trHeight w:hRule="exact" w:val="2873"/>
        </w:trPr>
        <w:tc>
          <w:tcPr>
            <w:tcW w:w="4674" w:type="dxa"/>
          </w:tcPr>
          <w:p w14:paraId="1BADCA9F" w14:textId="77777777" w:rsidR="00DD6463" w:rsidRPr="00551729" w:rsidRDefault="00DD6463" w:rsidP="00B628D7">
            <w:pPr>
              <w:pStyle w:val="TableParagraph"/>
              <w:ind w:left="200"/>
              <w:rPr>
                <w:rFonts w:ascii="Arial Narrow"/>
                <w:sz w:val="20"/>
                <w:lang w:val="sq-AL" w:eastAsia="sq-AL"/>
              </w:rPr>
            </w:pPr>
            <w:r w:rsidRPr="00551729">
              <w:rPr>
                <w:rFonts w:ascii="Arial Narrow"/>
                <w:noProof/>
                <w:sz w:val="20"/>
                <w:lang w:val="sq-AL" w:eastAsia="sq-AL"/>
              </w:rPr>
              <w:drawing>
                <wp:inline distT="0" distB="0" distL="0" distR="0" wp14:anchorId="1BADD785" wp14:editId="1BADD786">
                  <wp:extent cx="2604212" cy="1755648"/>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4135" cy="1755596"/>
                          </a:xfrm>
                          <a:prstGeom prst="rect">
                            <a:avLst/>
                          </a:prstGeom>
                          <a:noFill/>
                          <a:ln>
                            <a:noFill/>
                          </a:ln>
                        </pic:spPr>
                      </pic:pic>
                    </a:graphicData>
                  </a:graphic>
                </wp:inline>
              </w:drawing>
            </w:r>
          </w:p>
        </w:tc>
        <w:tc>
          <w:tcPr>
            <w:tcW w:w="4559" w:type="dxa"/>
          </w:tcPr>
          <w:p w14:paraId="1BADCAA0" w14:textId="77777777" w:rsidR="00DD6463" w:rsidRPr="00551729" w:rsidRDefault="00DD6463" w:rsidP="00B628D7">
            <w:pPr>
              <w:pStyle w:val="TableParagraph"/>
              <w:spacing w:before="7"/>
              <w:rPr>
                <w:rFonts w:ascii="Arial Narrow"/>
                <w:sz w:val="7"/>
                <w:lang w:val="sq-AL"/>
              </w:rPr>
            </w:pPr>
            <w:r w:rsidRPr="00551729">
              <w:rPr>
                <w:rFonts w:ascii="Arial Narrow"/>
                <w:noProof/>
                <w:sz w:val="20"/>
                <w:lang w:val="sq-AL" w:eastAsia="sq-AL"/>
              </w:rPr>
              <w:drawing>
                <wp:inline distT="0" distB="0" distL="0" distR="0" wp14:anchorId="1BADD787" wp14:editId="1BADD788">
                  <wp:extent cx="2487295" cy="1748155"/>
                  <wp:effectExtent l="0" t="0" r="825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7295" cy="1748155"/>
                          </a:xfrm>
                          <a:prstGeom prst="rect">
                            <a:avLst/>
                          </a:prstGeom>
                          <a:noFill/>
                          <a:ln>
                            <a:noFill/>
                          </a:ln>
                        </pic:spPr>
                      </pic:pic>
                    </a:graphicData>
                  </a:graphic>
                </wp:inline>
              </w:drawing>
            </w:r>
          </w:p>
        </w:tc>
      </w:tr>
    </w:tbl>
    <w:p w14:paraId="1BADCAA2" w14:textId="77777777" w:rsidR="005809BB" w:rsidRPr="00551729" w:rsidRDefault="005809BB" w:rsidP="000B3D9B">
      <w:pPr>
        <w:pStyle w:val="TEKSTIII"/>
      </w:pPr>
    </w:p>
    <w:p w14:paraId="1BADCAA3" w14:textId="3DBDC227" w:rsidR="00B41418" w:rsidRPr="00551729" w:rsidRDefault="00B41418" w:rsidP="00B41418">
      <w:pPr>
        <w:pStyle w:val="TEKSTIII"/>
      </w:pPr>
      <w:r w:rsidRPr="00551729">
        <w:t xml:space="preserve">Në </w:t>
      </w:r>
      <w:r w:rsidRPr="00551729">
        <w:rPr>
          <w:b/>
        </w:rPr>
        <w:t xml:space="preserve">Shqipëri, </w:t>
      </w:r>
      <w:r w:rsidRPr="00551729">
        <w:t>zona e programit regjistron një total prej 10,174 ndërmarrjesh</w:t>
      </w:r>
      <w:r w:rsidRPr="00551729">
        <w:rPr>
          <w:rStyle w:val="FootnoteReference"/>
        </w:rPr>
        <w:footnoteReference w:id="16"/>
      </w:r>
      <w:r w:rsidRPr="00551729">
        <w:rPr>
          <w:position w:val="6"/>
          <w:sz w:val="16"/>
        </w:rPr>
        <w:t xml:space="preserve"> </w:t>
      </w:r>
      <w:r w:rsidRPr="00551729">
        <w:t>në fund të vitit 2012, ose rreth 9.7% të numrit të përgjithshëm të ndërmarrjeve të vendit. Ajo ka një shkallë lindje</w:t>
      </w:r>
      <w:r w:rsidRPr="00551729">
        <w:rPr>
          <w:rStyle w:val="FootnoteReference"/>
        </w:rPr>
        <w:footnoteReference w:id="17"/>
      </w:r>
      <w:r w:rsidRPr="00551729">
        <w:rPr>
          <w:position w:val="6"/>
          <w:sz w:val="16"/>
        </w:rPr>
        <w:t xml:space="preserve"> </w:t>
      </w:r>
      <w:r w:rsidRPr="00551729">
        <w:t>prej 13%, më</w:t>
      </w:r>
      <w:r w:rsidR="00C521D5" w:rsidRPr="00551729">
        <w:t xml:space="preserve"> </w:t>
      </w:r>
      <w:r w:rsidRPr="00551729">
        <w:t>e lartë në krahasim me mesataren kombëtare prej 12.2%, ndikuar kryesisht nga Shkodra, e cila me</w:t>
      </w:r>
      <w:r w:rsidR="00C521D5" w:rsidRPr="00551729">
        <w:t xml:space="preserve"> </w:t>
      </w:r>
      <w:r w:rsidRPr="00551729">
        <w:t>14.4% tregon një zhvillim relativisht më të lartë të aktivitetit ekonomik, në të kundërt me rajonin e Lezhës dhe rrethin e Tropojës me 10.8%. Struktura e ndërmarrjeve është e dominuar nga ndërmarrjet shumë të vogla, me 1</w:t>
      </w:r>
      <w:r w:rsidR="009D0DE1">
        <w:t>–</w:t>
      </w:r>
      <w:r w:rsidRPr="00551729">
        <w:t>4 persona të punësuar, të cilat përbëjnë 85.7% të totalit të ndërmarrjeve në fushën e programit. Përveç madhësisë së vogël të ndërmarrjeve, një faktor i rëndësishëm, i cili është një pengesë për zhvillimin ekonomik në zonën e programit në të dy</w:t>
      </w:r>
      <w:r w:rsidR="00242233">
        <w:t>ja</w:t>
      </w:r>
      <w:r w:rsidRPr="00551729">
        <w:t xml:space="preserve"> anët e kufirit, është mungesa e njohurive teknologjike dhe aftësive të punës. Kjo mbetet një sfidë kryesore, pasi kërkesave të tregut për shërbime dhe produkte të cilësisë së lartë, nuk mund t’iu përgjigjen aftësitë joadekuate të punës. Një tjetër sfidë kryesore është aksesi i ulët i NVM-ve në financim; politikat tepër të kujdesshme të kreditimit të miratuara nga institucionet financiare në të dyja vendet, janë një pengesë serioze në rritjen e ndërmarrjeve në fushën e</w:t>
      </w:r>
      <w:r w:rsidRPr="00551729">
        <w:rPr>
          <w:spacing w:val="-11"/>
        </w:rPr>
        <w:t xml:space="preserve"> </w:t>
      </w:r>
      <w:r w:rsidRPr="00551729">
        <w:t>programit.</w:t>
      </w:r>
    </w:p>
    <w:p w14:paraId="1BADCAA5" w14:textId="77777777" w:rsidR="00B41418" w:rsidRPr="00551729" w:rsidRDefault="00B41418" w:rsidP="00B41418">
      <w:pPr>
        <w:pStyle w:val="TEKSTIII"/>
        <w:rPr>
          <w:b/>
        </w:rPr>
      </w:pPr>
      <w:bookmarkStart w:id="16" w:name="_bookmark13"/>
      <w:bookmarkEnd w:id="16"/>
      <w:r w:rsidRPr="00551729">
        <w:rPr>
          <w:b/>
        </w:rPr>
        <w:t>Bujqësia dhe Zhvillimi Rural</w:t>
      </w:r>
    </w:p>
    <w:p w14:paraId="1BADCAA6" w14:textId="6FE94ECB" w:rsidR="00B41418" w:rsidRPr="00551729" w:rsidRDefault="00B41418" w:rsidP="00B41418">
      <w:pPr>
        <w:pStyle w:val="TEKSTIII"/>
      </w:pPr>
      <w:r w:rsidRPr="00551729">
        <w:t>Pjesa Malazeze e zonës së programit është më e pasur në burime bujqësore dhe ka më shumë potencial në këtë sektor në krahasim me pjesën e Shqipërisë. Megjithatë, sektori i bujqësisë dhe zhvillimi i tij</w:t>
      </w:r>
      <w:r w:rsidR="00C521D5" w:rsidRPr="00551729">
        <w:t xml:space="preserve"> </w:t>
      </w:r>
      <w:r w:rsidRPr="00551729">
        <w:t>është po aq i rëndësishëm për të gjithë zonën e programit, veçanërisht për shkak të pjesës së madhe të popullsisë që jeton në zonën rurale, ku bujqësia është aktiviteti kryesor ekonomik. Një tipar i përbashkët në zonën e programit është produktiviteti dhe konkurrenca e ulët në fushën e bujqësisë. Ai vjen si</w:t>
      </w:r>
      <w:r w:rsidR="00C521D5" w:rsidRPr="00551729">
        <w:t xml:space="preserve"> </w:t>
      </w:r>
      <w:r w:rsidRPr="00551729">
        <w:t xml:space="preserve">pasojë e: fermave të vogla të cilat kanë prodhim dhe fitim të kufizuar; prodhimit kryesisht për të mbuluar nevojat e jetesës, sesa për shitje direkte në tregjet e gjelbra; nivelit </w:t>
      </w:r>
      <w:r w:rsidRPr="00551729">
        <w:rPr>
          <w:spacing w:val="2"/>
        </w:rPr>
        <w:t xml:space="preserve">të </w:t>
      </w:r>
      <w:r w:rsidRPr="00551729">
        <w:t>ulët të finalizimit të produkteve bujqësore dhe industrisë ushqimore të</w:t>
      </w:r>
      <w:r w:rsidRPr="00551729">
        <w:rPr>
          <w:spacing w:val="-22"/>
        </w:rPr>
        <w:t xml:space="preserve"> </w:t>
      </w:r>
      <w:r w:rsidRPr="00551729">
        <w:t>pazhvilluar.</w:t>
      </w:r>
    </w:p>
    <w:p w14:paraId="1BADCAA7" w14:textId="77777777" w:rsidR="00F61BDE" w:rsidRPr="00551729" w:rsidRDefault="00B41418" w:rsidP="00F61BDE">
      <w:pPr>
        <w:pStyle w:val="TEKSTIII"/>
      </w:pPr>
      <w:r w:rsidRPr="00551729">
        <w:t xml:space="preserve">Zona e programit mbulon rreth 38% të totalit të tokës bujqësore të </w:t>
      </w:r>
      <w:r w:rsidRPr="00551729">
        <w:rPr>
          <w:b/>
        </w:rPr>
        <w:t xml:space="preserve">Malit të Zi. </w:t>
      </w:r>
      <w:r w:rsidRPr="00551729">
        <w:t>Punësimi në bujqësi është raportuar të jetë rreth 2.5% e totalit të të punësuarve</w:t>
      </w:r>
      <w:r w:rsidRPr="00551729">
        <w:rPr>
          <w:rStyle w:val="FootnoteReference"/>
        </w:rPr>
        <w:footnoteReference w:id="18"/>
      </w:r>
      <w:r w:rsidRPr="00551729">
        <w:t>, Podgorica është rajoni kryesor fushor në Mal të Zi - vetëm ajo zë rreth 31.5% të tokës bujqësore në zonën e programit. Ajo ofron kushte</w:t>
      </w:r>
      <w:r w:rsidRPr="00551729">
        <w:rPr>
          <w:spacing w:val="27"/>
        </w:rPr>
        <w:t xml:space="preserve"> </w:t>
      </w:r>
      <w:r w:rsidRPr="00551729">
        <w:t>optimale</w:t>
      </w:r>
      <w:r w:rsidR="00F61BDE" w:rsidRPr="00551729">
        <w:t xml:space="preserve"> për prodhim të larmishëm: perime, prodhimin e drithërave, blegtori, fruta dhe verë. Vera, e cila është produkti kryesor Malazez i orientuar drejt eksportit, prodhohet në Podgoricë - rreth 80% e prodhimit të përgjithshëm të verës në vend.</w:t>
      </w:r>
    </w:p>
    <w:p w14:paraId="1BADCAA8" w14:textId="39474857"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sz w:val="24"/>
          <w:szCs w:val="24"/>
          <w:lang w:val="sq-AL"/>
        </w:rPr>
        <w:t xml:space="preserve">Zona e programit në </w:t>
      </w:r>
      <w:r w:rsidRPr="00551729">
        <w:rPr>
          <w:rFonts w:ascii="Garamond" w:hAnsi="Garamond"/>
          <w:b/>
          <w:sz w:val="24"/>
          <w:szCs w:val="24"/>
          <w:lang w:val="sq-AL"/>
        </w:rPr>
        <w:t xml:space="preserve">Shqipëri </w:t>
      </w:r>
      <w:r w:rsidRPr="00551729">
        <w:rPr>
          <w:rFonts w:ascii="Garamond" w:hAnsi="Garamond"/>
          <w:sz w:val="24"/>
          <w:szCs w:val="24"/>
          <w:lang w:val="sq-AL"/>
        </w:rPr>
        <w:t>mbulon rreth 13.3% të totalit të tokës bujqësore të vendit</w:t>
      </w:r>
      <w:r w:rsidRPr="00551729">
        <w:rPr>
          <w:rStyle w:val="FootnoteReference"/>
          <w:rFonts w:ascii="Garamond" w:hAnsi="Garamond"/>
          <w:sz w:val="24"/>
          <w:szCs w:val="24"/>
          <w:lang w:val="sq-AL"/>
        </w:rPr>
        <w:footnoteReference w:id="19"/>
      </w:r>
      <w:r w:rsidRPr="00551729">
        <w:rPr>
          <w:rFonts w:ascii="Garamond" w:hAnsi="Garamond"/>
          <w:sz w:val="24"/>
          <w:szCs w:val="24"/>
          <w:lang w:val="sq-AL"/>
        </w:rPr>
        <w:t>. Shumica e territorit të saj është e dominuar nga pyjet, kullotat (85.2%), ndërsa pjesa e tokës në 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liqenit të Shkodrës, ku terreni dhe kushtet klimatike janë të favorshme për bujqësinë e perimeve. Qarku i Lezhës ka një traditë për blegtorinë e derrave, pasi ajo ka 91.7% të inventarit total të shtetit, ndërsa bujqësia në</w:t>
      </w:r>
      <w:r w:rsidR="00C521D5" w:rsidRPr="00551729">
        <w:rPr>
          <w:rFonts w:ascii="Garamond" w:hAnsi="Garamond"/>
          <w:sz w:val="24"/>
          <w:szCs w:val="24"/>
          <w:lang w:val="sq-AL"/>
        </w:rPr>
        <w:t xml:space="preserve"> </w:t>
      </w:r>
      <w:r w:rsidRPr="00551729">
        <w:rPr>
          <w:rFonts w:ascii="Garamond" w:hAnsi="Garamond"/>
          <w:sz w:val="24"/>
          <w:szCs w:val="24"/>
          <w:lang w:val="sq-AL"/>
        </w:rPr>
        <w:t>rrethin</w:t>
      </w:r>
      <w:r w:rsidR="00C521D5" w:rsidRPr="00551729">
        <w:rPr>
          <w:rFonts w:ascii="Garamond" w:hAnsi="Garamond"/>
          <w:sz w:val="24"/>
          <w:szCs w:val="24"/>
          <w:lang w:val="sq-AL"/>
        </w:rPr>
        <w:t xml:space="preserve"> </w:t>
      </w:r>
      <w:r w:rsidRPr="00551729">
        <w:rPr>
          <w:rFonts w:ascii="Garamond" w:hAnsi="Garamond"/>
          <w:sz w:val="24"/>
          <w:szCs w:val="24"/>
          <w:lang w:val="sq-AL"/>
        </w:rPr>
        <w:t>e Tropojës është e orientuar kryesisht drejt prodhimit të thekrës. Bujqësia në zonën e programit është një aktivitet familjar, i orientuar drejt nevojave për jetesë, me toka shumë të fragmentuara - madhësia e fermës është 1.1 ha në Shkodër; 0.89 ha në Lezhë, dhe 0.60 ha në Tropojë, madhësi të cilat janë sa gjysma e mesatares Shqiptare, prej 1.20 ha.</w:t>
      </w:r>
    </w:p>
    <w:p w14:paraId="1BADCAAA" w14:textId="77777777" w:rsidR="00F61BDE" w:rsidRPr="00551729" w:rsidRDefault="00F61BDE" w:rsidP="00F61BDE">
      <w:pPr>
        <w:pStyle w:val="Heading4"/>
        <w:spacing w:before="0" w:line="240" w:lineRule="auto"/>
        <w:ind w:firstLine="284"/>
        <w:rPr>
          <w:rFonts w:ascii="Garamond" w:hAnsi="Garamond"/>
          <w:sz w:val="24"/>
          <w:szCs w:val="24"/>
        </w:rPr>
      </w:pPr>
      <w:bookmarkStart w:id="17" w:name="_bookmark14"/>
      <w:bookmarkEnd w:id="17"/>
      <w:r w:rsidRPr="00551729">
        <w:rPr>
          <w:rFonts w:ascii="Garamond" w:hAnsi="Garamond"/>
          <w:sz w:val="24"/>
          <w:szCs w:val="24"/>
        </w:rPr>
        <w:t>Turizmi</w:t>
      </w:r>
    </w:p>
    <w:p w14:paraId="1BADCAAB" w14:textId="1C863A25"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sz w:val="24"/>
          <w:szCs w:val="24"/>
          <w:lang w:val="sq-AL"/>
        </w:rPr>
        <w:t>Rëndësia e turizmit është e ndryshme për ekonomitë e Malit të Zi dhe Shqipërisë. Mali i Zi është tashmë një destinacion i popullarizuar turistik, ndërsa Shqipëria ka ende shumë për të bërë, për t</w:t>
      </w:r>
      <w:r w:rsidR="00365069">
        <w:rPr>
          <w:rFonts w:ascii="Garamond" w:hAnsi="Garamond"/>
          <w:sz w:val="24"/>
          <w:szCs w:val="24"/>
          <w:lang w:val="sq-AL"/>
        </w:rPr>
        <w:t>’</w:t>
      </w:r>
      <w:r w:rsidRPr="00551729">
        <w:rPr>
          <w:rFonts w:ascii="Garamond" w:hAnsi="Garamond"/>
          <w:sz w:val="24"/>
          <w:szCs w:val="24"/>
          <w:lang w:val="sq-AL"/>
        </w:rPr>
        <w:t xml:space="preserve">u bërë një destinacion i tillë. Në </w:t>
      </w:r>
      <w:r w:rsidRPr="00551729">
        <w:rPr>
          <w:rFonts w:ascii="Garamond" w:hAnsi="Garamond"/>
          <w:b/>
          <w:sz w:val="24"/>
          <w:szCs w:val="24"/>
          <w:lang w:val="sq-AL"/>
        </w:rPr>
        <w:t>Mal të Zi</w:t>
      </w:r>
      <w:r w:rsidRPr="00551729">
        <w:rPr>
          <w:rFonts w:ascii="Garamond" w:hAnsi="Garamond"/>
          <w:sz w:val="24"/>
          <w:szCs w:val="24"/>
          <w:lang w:val="sq-AL"/>
        </w:rPr>
        <w:t>, turizmi është një sektor kryesor i ekonomisë, i cili përbën rreth 9.9% të GDP-së së vendit në vitin 2012, ose rreth 336 milion</w:t>
      </w:r>
      <w:r w:rsidR="005E2A40">
        <w:rPr>
          <w:rFonts w:ascii="Garamond" w:hAnsi="Garamond"/>
          <w:sz w:val="24"/>
          <w:szCs w:val="24"/>
          <w:lang w:val="sq-AL"/>
        </w:rPr>
        <w:t>ë</w:t>
      </w:r>
      <w:r w:rsidRPr="00551729">
        <w:rPr>
          <w:rFonts w:ascii="Garamond" w:hAnsi="Garamond"/>
          <w:sz w:val="24"/>
          <w:szCs w:val="24"/>
          <w:lang w:val="sq-AL"/>
        </w:rPr>
        <w:t xml:space="preserve"> </w:t>
      </w:r>
      <w:r w:rsidR="005E2A40" w:rsidRPr="00551729">
        <w:rPr>
          <w:rFonts w:ascii="Garamond" w:hAnsi="Garamond"/>
          <w:sz w:val="24"/>
          <w:szCs w:val="24"/>
          <w:lang w:val="sq-AL"/>
        </w:rPr>
        <w:t>euro</w:t>
      </w:r>
      <w:r w:rsidRPr="00551729">
        <w:rPr>
          <w:rFonts w:ascii="Garamond" w:hAnsi="Garamond"/>
          <w:sz w:val="24"/>
          <w:szCs w:val="24"/>
          <w:lang w:val="sq-AL"/>
        </w:rPr>
        <w:t>, që është 20.7% më i lartë se në vitin 2011</w:t>
      </w:r>
      <w:r w:rsidR="006A2E84" w:rsidRPr="00551729">
        <w:rPr>
          <w:rStyle w:val="FootnoteReference"/>
          <w:rFonts w:ascii="Garamond" w:hAnsi="Garamond"/>
          <w:sz w:val="24"/>
          <w:szCs w:val="24"/>
          <w:lang w:val="sq-AL"/>
        </w:rPr>
        <w:footnoteReference w:id="20"/>
      </w:r>
      <w:r w:rsidRPr="00551729">
        <w:rPr>
          <w:rFonts w:ascii="Garamond" w:hAnsi="Garamond"/>
          <w:sz w:val="24"/>
          <w:szCs w:val="24"/>
          <w:lang w:val="sq-AL"/>
        </w:rPr>
        <w:t>. Rajoni bregdetar në zonën e programit përbën më shumë se 69% të totalit të qëndrimeve me fjetje në vend në vitin 2012</w:t>
      </w:r>
      <w:r w:rsidR="006A2E84" w:rsidRPr="00551729">
        <w:rPr>
          <w:rStyle w:val="FootnoteReference"/>
          <w:rFonts w:ascii="Garamond" w:hAnsi="Garamond"/>
          <w:sz w:val="24"/>
          <w:szCs w:val="24"/>
          <w:lang w:val="sq-AL"/>
        </w:rPr>
        <w:footnoteReference w:id="21"/>
      </w:r>
      <w:r w:rsidRPr="00551729">
        <w:rPr>
          <w:rFonts w:ascii="Garamond" w:hAnsi="Garamond"/>
          <w:sz w:val="24"/>
          <w:szCs w:val="24"/>
          <w:lang w:val="sq-AL"/>
        </w:rPr>
        <w:t>, kryesisht në periudhën e pushimeve Korrik-Gusht. Bregdeti i zonës së programit tërhoqi rreth 67.5% të totalit prej 1,44 milionë turistë që hynë në Malin e Zi në vitin 2012. 160 objekte akomoduese bregdetare që gjenden në zonën e programit përbëjnë rreth 49% të totalit të mjediseve akomoduese në Mal të Zi, ndërsa në zonën e programit ndodhen edhe rreth 30% e objekteve akomoduese të zonave jobregdetare të vendit. Pavarësisht nivelit aktual të ulët të vizitave turistike, rajoni kontinental ka përparësi të shumta për zhvillimin e të gjitha llojeve të turizmit të lidhura me sportet malore (ski, ecje, çiklizëm, rafting etj.), duke përmendur natyrën e paprekur dhe biodiversitetin e pasur (dy parqe kombëtare, liqene, kanione</w:t>
      </w:r>
      <w:r w:rsidR="00B65E6C">
        <w:rPr>
          <w:rFonts w:ascii="Garamond" w:hAnsi="Garamond"/>
          <w:sz w:val="24"/>
          <w:szCs w:val="24"/>
          <w:lang w:val="sq-AL"/>
        </w:rPr>
        <w:t xml:space="preserve"> etj</w:t>
      </w:r>
      <w:r w:rsidRPr="00551729">
        <w:rPr>
          <w:rFonts w:ascii="Garamond" w:hAnsi="Garamond"/>
          <w:sz w:val="24"/>
          <w:szCs w:val="24"/>
          <w:lang w:val="sq-AL"/>
        </w:rPr>
        <w:t>.), jetën autentike rurale, dhe prodhimin tradicional dhe cilësor të ushqimit.</w:t>
      </w:r>
    </w:p>
    <w:p w14:paraId="1BADCAAD" w14:textId="1C03D8BE" w:rsidR="00F61BDE" w:rsidRPr="00551729" w:rsidRDefault="00F61BDE" w:rsidP="006A2E84">
      <w:pPr>
        <w:pStyle w:val="BodyText"/>
        <w:ind w:firstLine="284"/>
        <w:jc w:val="both"/>
        <w:rPr>
          <w:rFonts w:ascii="Garamond" w:hAnsi="Garamond"/>
          <w:sz w:val="24"/>
          <w:szCs w:val="24"/>
          <w:lang w:val="sq-AL"/>
        </w:rPr>
      </w:pPr>
      <w:r w:rsidRPr="00551729">
        <w:rPr>
          <w:rFonts w:ascii="Garamond" w:hAnsi="Garamond"/>
          <w:sz w:val="24"/>
          <w:szCs w:val="24"/>
          <w:lang w:val="sq-AL"/>
        </w:rPr>
        <w:t>Sektori i turizmit është më pak i rëndësishëm në pjesën shqiptare të zonës së programit (edhe pse ai ka një potencial të madh), në krahasim me anën malazeze. Specifikisht, rajonet e Shkodrës dhe Lezhës dhe rrethi i Tropojës kanë potencial të lartë individual për zhvillimin e një turizmi përgjatë gjithë vitit. Natyra atraktive dhe panoramat e natyrës malore dhe kodrinore, si dhe liqeni i Shkodrës, lugina e Valbonës në Tropojë dhe parqet e tjera kombëtare, dhe zonat e mbrojtura; vizitat turistike (peizazhet natyrore, speciet e rralla</w:t>
      </w:r>
      <w:r w:rsidR="00B65E6C">
        <w:rPr>
          <w:rFonts w:ascii="Garamond" w:hAnsi="Garamond"/>
          <w:sz w:val="24"/>
          <w:szCs w:val="24"/>
          <w:lang w:val="sq-AL"/>
        </w:rPr>
        <w:t xml:space="preserve"> etj</w:t>
      </w:r>
      <w:r w:rsidR="003E204F">
        <w:rPr>
          <w:rFonts w:ascii="Garamond" w:hAnsi="Garamond"/>
          <w:sz w:val="24"/>
          <w:szCs w:val="24"/>
          <w:lang w:val="sq-AL"/>
        </w:rPr>
        <w:t>.); agro</w:t>
      </w:r>
      <w:r w:rsidRPr="00551729">
        <w:rPr>
          <w:rFonts w:ascii="Garamond" w:hAnsi="Garamond"/>
          <w:sz w:val="24"/>
          <w:szCs w:val="24"/>
          <w:lang w:val="sq-AL"/>
        </w:rPr>
        <w:t>turizmi, vendet me interes historik dhe kulturor, të tilla si vendet parahistorike</w:t>
      </w:r>
      <w:r w:rsidR="006A2E84" w:rsidRPr="00551729">
        <w:rPr>
          <w:rFonts w:ascii="Garamond" w:hAnsi="Garamond"/>
          <w:sz w:val="24"/>
          <w:szCs w:val="24"/>
          <w:lang w:val="sq-AL"/>
        </w:rPr>
        <w:t xml:space="preserve"> </w:t>
      </w:r>
      <w:r w:rsidRPr="00551729">
        <w:rPr>
          <w:rFonts w:ascii="Garamond" w:hAnsi="Garamond"/>
          <w:sz w:val="24"/>
          <w:szCs w:val="24"/>
          <w:lang w:val="sq-AL"/>
        </w:rPr>
        <w:t>të banuara, qendrat arkeologjike, objektet e kultit, duhet të promovohen më mirë për një zhvillim më të shpejtë të turizmit në bregdetin e Shkodrës (Velipojë), dhe kryesisht në Lezhë (Shëngjin).</w:t>
      </w:r>
    </w:p>
    <w:p w14:paraId="1BADCAAE" w14:textId="77777777" w:rsidR="00F61BDE" w:rsidRPr="00551729" w:rsidRDefault="00F61BDE" w:rsidP="006A2E84">
      <w:pPr>
        <w:pStyle w:val="TEKSTIII"/>
        <w:rPr>
          <w:b/>
        </w:rPr>
      </w:pPr>
      <w:bookmarkStart w:id="18" w:name="_bookmark15"/>
      <w:bookmarkEnd w:id="18"/>
      <w:r w:rsidRPr="00551729">
        <w:rPr>
          <w:b/>
        </w:rPr>
        <w:t>Infrastruktura</w:t>
      </w:r>
    </w:p>
    <w:p w14:paraId="1BADCAAF" w14:textId="1B069538"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sz w:val="24"/>
          <w:szCs w:val="24"/>
          <w:lang w:val="sq-AL"/>
        </w:rPr>
        <w:t>Mali i Zi dhe Shqipëria janë pjesë e SEETO</w:t>
      </w:r>
      <w:r w:rsidR="00977D24" w:rsidRPr="00551729">
        <w:rPr>
          <w:rStyle w:val="FootnoteReference"/>
          <w:rFonts w:ascii="Garamond" w:hAnsi="Garamond"/>
          <w:sz w:val="24"/>
          <w:szCs w:val="24"/>
          <w:lang w:val="sq-AL"/>
        </w:rPr>
        <w:footnoteReference w:id="22"/>
      </w:r>
      <w:r w:rsidRPr="00551729">
        <w:rPr>
          <w:rFonts w:ascii="Garamond" w:hAnsi="Garamond"/>
          <w:position w:val="6"/>
          <w:sz w:val="24"/>
          <w:szCs w:val="24"/>
          <w:lang w:val="sq-AL"/>
        </w:rPr>
        <w:t xml:space="preserve"> </w:t>
      </w:r>
      <w:r w:rsidRPr="00551729">
        <w:rPr>
          <w:rFonts w:ascii="Garamond" w:hAnsi="Garamond"/>
          <w:sz w:val="24"/>
          <w:szCs w:val="24"/>
          <w:lang w:val="sq-AL"/>
        </w:rPr>
        <w:t xml:space="preserve">– Rrjeti kryesor. Pozicioni i zonës së programit thekson rëndësinë e një infrastrukture të mirë transporti në zhvillimin e ardhshëm të turizmit, tregtisë, shkëmbimeve kulturore dhe në rritjen e konkurrencës. </w:t>
      </w:r>
      <w:r w:rsidRPr="00551729">
        <w:rPr>
          <w:rFonts w:ascii="Garamond" w:hAnsi="Garamond"/>
          <w:b/>
          <w:sz w:val="24"/>
          <w:szCs w:val="24"/>
          <w:lang w:val="sq-AL"/>
        </w:rPr>
        <w:t xml:space="preserve">Infrastruktura rrugore </w:t>
      </w:r>
      <w:r w:rsidRPr="00551729">
        <w:rPr>
          <w:rFonts w:ascii="Garamond" w:hAnsi="Garamond"/>
          <w:sz w:val="24"/>
          <w:szCs w:val="24"/>
          <w:lang w:val="sq-AL"/>
        </w:rPr>
        <w:t>që lidh Malin e Zi dhe Shqipërinë, në veçanti përmes akseve Sukobine - Muriqan dhe Bozaj -Hani i Hotit është përmirësuar në mënyrë të konsiderueshme. Edhe infrastruktura e shërbimeve nga këto pika të kalimit kufitar është përmirësuar, duke lejuar komunikimin më të shpejtë midis dy zonave, duke lehtësuar kështu</w:t>
      </w:r>
      <w:r w:rsidR="00C521D5" w:rsidRPr="00551729">
        <w:rPr>
          <w:rFonts w:ascii="Garamond" w:hAnsi="Garamond"/>
          <w:sz w:val="24"/>
          <w:szCs w:val="24"/>
          <w:lang w:val="sq-AL"/>
        </w:rPr>
        <w:t xml:space="preserve"> </w:t>
      </w:r>
      <w:r w:rsidRPr="00551729">
        <w:rPr>
          <w:rFonts w:ascii="Garamond" w:hAnsi="Garamond"/>
          <w:sz w:val="24"/>
          <w:szCs w:val="24"/>
          <w:lang w:val="sq-AL"/>
        </w:rPr>
        <w:t xml:space="preserve">transportin, tregtinë dhe turizmin. Pika e tretë kufitare në Gjercan - Plavë është më pak e zhvilluar. Një pikë e katërt e kalimit kufitar në Cijevna Zatrijebačka -Triesh, do të krijohet pas përfundimit të ndërtimit të rreth 23 km rrugë brenda territorit shqiptar, e cila është në ndërtim e sipër me financim </w:t>
      </w:r>
      <w:r w:rsidRPr="00551729">
        <w:rPr>
          <w:rFonts w:ascii="Garamond" w:hAnsi="Garamond"/>
          <w:spacing w:val="2"/>
          <w:sz w:val="24"/>
          <w:szCs w:val="24"/>
          <w:lang w:val="sq-AL"/>
        </w:rPr>
        <w:t xml:space="preserve">të </w:t>
      </w:r>
      <w:r w:rsidRPr="00551729">
        <w:rPr>
          <w:rFonts w:ascii="Garamond" w:hAnsi="Garamond"/>
          <w:sz w:val="24"/>
          <w:szCs w:val="24"/>
          <w:lang w:val="sq-AL"/>
        </w:rPr>
        <w:t>BERZH. Ajo do të shkurtojë ndjeshëm kohën e udhëtimit nga Plava në Podgoricë (koha e udhëtimit e pritur nëpër territorin shqiptar do të jetë rreth gjysmë ore). Mali i Zi dhe Shqipëria kanë rënë dakord për të integruar procedurat e organizimit të transportit hekurudhor midis dy vendeve. Një hekurudhë kalon përmes zonës së programit nga Podgorica në Shkodër, me një gjatësi prej rreth 63.5 km; ajo është përdorur vetëm për transportin e mallrave, pasi linja nuk është e elektrizuar. E njëjta hekurudhë lidh Tiranën me Shkodrën, nëpërmjet Lezhës. Planet e ardhshme përfshijnë elektrifikimin e saj, të paktën në anën e</w:t>
      </w:r>
      <w:r w:rsidR="00C521D5" w:rsidRPr="00551729">
        <w:rPr>
          <w:rFonts w:ascii="Garamond" w:hAnsi="Garamond"/>
          <w:sz w:val="24"/>
          <w:szCs w:val="24"/>
          <w:lang w:val="sq-AL"/>
        </w:rPr>
        <w:t xml:space="preserve"> </w:t>
      </w:r>
      <w:r w:rsidRPr="00551729">
        <w:rPr>
          <w:rFonts w:ascii="Garamond" w:hAnsi="Garamond"/>
          <w:sz w:val="24"/>
          <w:szCs w:val="24"/>
          <w:lang w:val="sq-AL"/>
        </w:rPr>
        <w:t>Malit të Zi, si dhe përdorimin e kësaj hekurudhe edhe për transportin e udhëtarëve, duke miratuar komunën urbane të Tuz-it, një nënndarje të Komunës së Podgoricës, si stacion të përbashkët</w:t>
      </w:r>
      <w:r w:rsidRPr="00551729">
        <w:rPr>
          <w:rFonts w:ascii="Garamond" w:hAnsi="Garamond"/>
          <w:spacing w:val="-25"/>
          <w:sz w:val="24"/>
          <w:szCs w:val="24"/>
          <w:lang w:val="sq-AL"/>
        </w:rPr>
        <w:t xml:space="preserve"> </w:t>
      </w:r>
      <w:r w:rsidRPr="00551729">
        <w:rPr>
          <w:rFonts w:ascii="Garamond" w:hAnsi="Garamond"/>
          <w:sz w:val="24"/>
          <w:szCs w:val="24"/>
          <w:lang w:val="sq-AL"/>
        </w:rPr>
        <w:t>kufitar.</w:t>
      </w:r>
    </w:p>
    <w:p w14:paraId="1BADCAB0" w14:textId="295B2D40"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b/>
          <w:sz w:val="24"/>
          <w:szCs w:val="24"/>
          <w:lang w:val="sq-AL"/>
        </w:rPr>
        <w:t xml:space="preserve">Telekomunikacioni </w:t>
      </w:r>
      <w:r w:rsidRPr="00551729">
        <w:rPr>
          <w:rFonts w:ascii="Garamond" w:hAnsi="Garamond"/>
          <w:sz w:val="24"/>
          <w:szCs w:val="24"/>
          <w:lang w:val="sq-AL"/>
        </w:rPr>
        <w:t>në zonën e programit përfiton si nga telefonia fikse, ashtu edhe nga ajo celulare. Telefonia fikse në Mal të Zi është plotësisht e di</w:t>
      </w:r>
      <w:r w:rsidR="00512EF0">
        <w:rPr>
          <w:rFonts w:ascii="Garamond" w:hAnsi="Garamond"/>
          <w:sz w:val="24"/>
          <w:szCs w:val="24"/>
          <w:lang w:val="sq-AL"/>
        </w:rPr>
        <w:t>gj</w:t>
      </w:r>
      <w:r w:rsidRPr="00551729">
        <w:rPr>
          <w:rFonts w:ascii="Garamond" w:hAnsi="Garamond"/>
          <w:sz w:val="24"/>
          <w:szCs w:val="24"/>
          <w:lang w:val="sq-AL"/>
        </w:rPr>
        <w:t>italizuar. Numri i abonentëve korrespondon me një normë prej 27,55%. Tregu i telefonisë celulare ka tre operatorë telekomunikacioni. Në vitin 2012, tr</w:t>
      </w:r>
      <w:r w:rsidR="00433AF3">
        <w:rPr>
          <w:rFonts w:ascii="Garamond" w:hAnsi="Garamond"/>
          <w:sz w:val="24"/>
          <w:szCs w:val="24"/>
          <w:lang w:val="sq-AL"/>
        </w:rPr>
        <w:t>i</w:t>
      </w:r>
      <w:r w:rsidRPr="00551729">
        <w:rPr>
          <w:rFonts w:ascii="Garamond" w:hAnsi="Garamond"/>
          <w:sz w:val="24"/>
          <w:szCs w:val="24"/>
          <w:lang w:val="sq-AL"/>
        </w:rPr>
        <w:t xml:space="preserve"> kompanitë celulare raportuan një total prej 990,868 përdoruesish, që korrespondon me një normë prej 159%. Në Shqipëri, niveli i depërtimit të telefonisë fikse dhe celulare në zonën e programit qëndron në 88.15%</w:t>
      </w:r>
      <w:r w:rsidR="00977D24" w:rsidRPr="00551729">
        <w:rPr>
          <w:rStyle w:val="FootnoteReference"/>
          <w:rFonts w:ascii="Garamond" w:hAnsi="Garamond"/>
          <w:sz w:val="24"/>
          <w:szCs w:val="24"/>
          <w:lang w:val="sq-AL"/>
        </w:rPr>
        <w:footnoteReference w:id="23"/>
      </w:r>
      <w:r w:rsidRPr="00551729">
        <w:rPr>
          <w:rFonts w:ascii="Garamond" w:hAnsi="Garamond"/>
          <w:sz w:val="24"/>
          <w:szCs w:val="24"/>
          <w:lang w:val="sq-AL"/>
        </w:rPr>
        <w:t>, pak nën mesataren kombëtare prej 89.47%. Megjithatë, me përjashtim të qyteteve kryesore, depërtimi i telefonisë fikse në zonat rurale është i ulët; komunikimi është i bazuar kryesisht në telefonat celularë. Niveli i depërtimit të telefonisë celulare në Shqipëri është mbi 130%.</w:t>
      </w:r>
    </w:p>
    <w:p w14:paraId="1BADCAB1" w14:textId="77777777"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b/>
          <w:sz w:val="24"/>
          <w:szCs w:val="24"/>
          <w:lang w:val="sq-AL"/>
        </w:rPr>
        <w:t xml:space="preserve">Njohuritë kompjuterike </w:t>
      </w:r>
      <w:r w:rsidRPr="00551729">
        <w:rPr>
          <w:rFonts w:ascii="Garamond" w:hAnsi="Garamond"/>
          <w:sz w:val="24"/>
          <w:szCs w:val="24"/>
          <w:lang w:val="sq-AL"/>
        </w:rPr>
        <w:t>në Mal të Zi</w:t>
      </w:r>
      <w:r w:rsidRPr="00551729">
        <w:rPr>
          <w:rFonts w:ascii="Garamond" w:hAnsi="Garamond"/>
          <w:position w:val="6"/>
          <w:sz w:val="24"/>
          <w:szCs w:val="24"/>
          <w:lang w:val="sq-AL"/>
        </w:rPr>
        <w:t xml:space="preserve">17 </w:t>
      </w:r>
      <w:r w:rsidRPr="00551729">
        <w:rPr>
          <w:rFonts w:ascii="Garamond" w:hAnsi="Garamond"/>
          <w:sz w:val="24"/>
          <w:szCs w:val="24"/>
          <w:lang w:val="sq-AL"/>
        </w:rPr>
        <w:t>i përkasin mesatarisht 35% të popullsisë nga 15 vjeç e lart. Rreth 16% e popullsisë ka njohuri të pjesshme mbi kompjuterin. Në Shqipëri, niveli i përdorimit të internetit (që do të thotë se ka një kompjuter që përdoret për të hyrë në internet) në familjet në zonën e programit qëndron në 9.97%, i cili është nën mesataren kombëtare prej</w:t>
      </w:r>
      <w:r w:rsidRPr="00551729">
        <w:rPr>
          <w:rFonts w:ascii="Garamond" w:hAnsi="Garamond"/>
          <w:spacing w:val="-18"/>
          <w:sz w:val="24"/>
          <w:szCs w:val="24"/>
          <w:lang w:val="sq-AL"/>
        </w:rPr>
        <w:t xml:space="preserve"> </w:t>
      </w:r>
      <w:r w:rsidRPr="00551729">
        <w:rPr>
          <w:rFonts w:ascii="Garamond" w:hAnsi="Garamond"/>
          <w:sz w:val="24"/>
          <w:szCs w:val="24"/>
          <w:lang w:val="sq-AL"/>
        </w:rPr>
        <w:t>12.35%.</w:t>
      </w:r>
    </w:p>
    <w:p w14:paraId="1BADCAB2" w14:textId="167CB624" w:rsidR="00F61BDE" w:rsidRPr="00551729" w:rsidRDefault="00F61BDE" w:rsidP="00942156">
      <w:pPr>
        <w:pStyle w:val="BodyText"/>
        <w:ind w:firstLine="284"/>
        <w:jc w:val="both"/>
        <w:rPr>
          <w:rFonts w:ascii="Garamond" w:hAnsi="Garamond"/>
          <w:sz w:val="24"/>
          <w:szCs w:val="24"/>
          <w:lang w:val="sq-AL"/>
        </w:rPr>
      </w:pPr>
      <w:r w:rsidRPr="00551729">
        <w:rPr>
          <w:rFonts w:ascii="Garamond" w:hAnsi="Garamond"/>
          <w:b/>
          <w:sz w:val="24"/>
          <w:szCs w:val="24"/>
          <w:lang w:val="sq-AL"/>
        </w:rPr>
        <w:t xml:space="preserve">Energjia </w:t>
      </w:r>
      <w:r w:rsidRPr="00551729">
        <w:rPr>
          <w:rFonts w:ascii="Garamond" w:hAnsi="Garamond"/>
          <w:sz w:val="24"/>
          <w:szCs w:val="24"/>
          <w:lang w:val="sq-AL"/>
        </w:rPr>
        <w:t>është e disponueshme për të gjitha komunat në zonën e programit. Shumica e nevojave energjetike në të dyja anët janë plotësuar nëpërmjet importeve. Përfundimi i linjës ndërlidhëse 400 k</w:t>
      </w:r>
      <w:r w:rsidR="00512EF0" w:rsidRPr="00551729">
        <w:rPr>
          <w:rFonts w:ascii="Garamond" w:hAnsi="Garamond"/>
          <w:sz w:val="24"/>
          <w:szCs w:val="24"/>
          <w:lang w:val="sq-AL"/>
        </w:rPr>
        <w:t>V</w:t>
      </w:r>
      <w:r w:rsidRPr="00551729">
        <w:rPr>
          <w:rFonts w:ascii="Garamond" w:hAnsi="Garamond"/>
          <w:sz w:val="24"/>
          <w:szCs w:val="24"/>
          <w:lang w:val="sq-AL"/>
        </w:rPr>
        <w:t xml:space="preserve"> midis Shqipërisë dhe Malit të Zi (Elbasan-Podgoricë), rrit kapacitetet e shkëmbimeve të energjisë midis dy vendeve, duke rritur sigurinë e furnizimit me energji elektrike në vend. Edhe pse ka </w:t>
      </w:r>
      <w:r w:rsidR="00977D24" w:rsidRPr="00551729">
        <w:rPr>
          <w:rFonts w:ascii="Garamond" w:hAnsi="Garamond"/>
          <w:sz w:val="24"/>
          <w:szCs w:val="24"/>
          <w:lang w:val="sq-AL"/>
        </w:rPr>
        <w:t xml:space="preserve">burime të mëdha, por ende të </w:t>
      </w:r>
      <w:r w:rsidRPr="00551729">
        <w:rPr>
          <w:rFonts w:ascii="Garamond" w:hAnsi="Garamond"/>
          <w:sz w:val="24"/>
          <w:szCs w:val="24"/>
          <w:lang w:val="sq-AL"/>
        </w:rPr>
        <w:t>pashfrytëzuara</w:t>
      </w:r>
      <w:r w:rsidR="00C521D5" w:rsidRPr="00551729">
        <w:rPr>
          <w:rFonts w:ascii="Garamond" w:hAnsi="Garamond"/>
          <w:sz w:val="24"/>
          <w:szCs w:val="24"/>
          <w:lang w:val="sq-AL"/>
        </w:rPr>
        <w:t xml:space="preserve"> </w:t>
      </w:r>
      <w:r w:rsidRPr="00551729">
        <w:rPr>
          <w:rFonts w:ascii="Garamond" w:hAnsi="Garamond"/>
          <w:sz w:val="24"/>
          <w:szCs w:val="24"/>
          <w:lang w:val="sq-AL"/>
        </w:rPr>
        <w:t>hidrocentrale</w:t>
      </w:r>
      <w:r w:rsidR="00C521D5" w:rsidRPr="00551729">
        <w:rPr>
          <w:rFonts w:ascii="Garamond" w:hAnsi="Garamond"/>
          <w:sz w:val="24"/>
          <w:szCs w:val="24"/>
          <w:lang w:val="sq-AL"/>
        </w:rPr>
        <w:t xml:space="preserve"> </w:t>
      </w:r>
      <w:r w:rsidRPr="00551729">
        <w:rPr>
          <w:rFonts w:ascii="Garamond" w:hAnsi="Garamond"/>
          <w:sz w:val="24"/>
          <w:szCs w:val="24"/>
          <w:lang w:val="sq-AL"/>
        </w:rPr>
        <w:t>(veçanërisht</w:t>
      </w:r>
      <w:r w:rsidR="00C521D5" w:rsidRPr="00551729">
        <w:rPr>
          <w:rFonts w:ascii="Garamond" w:hAnsi="Garamond"/>
          <w:sz w:val="24"/>
          <w:szCs w:val="24"/>
          <w:lang w:val="sq-AL"/>
        </w:rPr>
        <w:t xml:space="preserve"> </w:t>
      </w:r>
      <w:r w:rsidRPr="00551729">
        <w:rPr>
          <w:rFonts w:ascii="Garamond" w:hAnsi="Garamond"/>
          <w:sz w:val="24"/>
          <w:szCs w:val="24"/>
          <w:lang w:val="sq-AL"/>
        </w:rPr>
        <w:t>në</w:t>
      </w:r>
      <w:r w:rsidR="00C521D5" w:rsidRPr="00551729">
        <w:rPr>
          <w:rFonts w:ascii="Garamond" w:hAnsi="Garamond"/>
          <w:sz w:val="24"/>
          <w:szCs w:val="24"/>
          <w:lang w:val="sq-AL"/>
        </w:rPr>
        <w:t xml:space="preserve"> </w:t>
      </w:r>
      <w:r w:rsidRPr="00551729">
        <w:rPr>
          <w:rFonts w:ascii="Garamond" w:hAnsi="Garamond"/>
          <w:sz w:val="24"/>
          <w:szCs w:val="24"/>
          <w:lang w:val="sq-AL"/>
        </w:rPr>
        <w:t>Shqipëri),</w:t>
      </w:r>
      <w:r w:rsidR="00C521D5" w:rsidRPr="00551729">
        <w:rPr>
          <w:rFonts w:ascii="Garamond" w:hAnsi="Garamond"/>
          <w:sz w:val="24"/>
          <w:szCs w:val="24"/>
          <w:lang w:val="sq-AL"/>
        </w:rPr>
        <w:t xml:space="preserve"> </w:t>
      </w:r>
      <w:r w:rsidR="00977D24" w:rsidRPr="00551729">
        <w:rPr>
          <w:rFonts w:ascii="Garamond" w:hAnsi="Garamond"/>
          <w:sz w:val="24"/>
          <w:szCs w:val="24"/>
          <w:lang w:val="sq-AL"/>
        </w:rPr>
        <w:t>zona</w:t>
      </w:r>
      <w:r w:rsidR="00C521D5" w:rsidRPr="00551729">
        <w:rPr>
          <w:rFonts w:ascii="Garamond" w:hAnsi="Garamond"/>
          <w:sz w:val="24"/>
          <w:szCs w:val="24"/>
          <w:lang w:val="sq-AL"/>
        </w:rPr>
        <w:t xml:space="preserve"> </w:t>
      </w:r>
      <w:r w:rsidR="00977D24" w:rsidRPr="00551729">
        <w:rPr>
          <w:rFonts w:ascii="Garamond" w:hAnsi="Garamond"/>
          <w:sz w:val="24"/>
          <w:szCs w:val="24"/>
          <w:lang w:val="sq-AL"/>
        </w:rPr>
        <w:t>karakterizohet</w:t>
      </w:r>
      <w:r w:rsidR="00C521D5" w:rsidRPr="00551729">
        <w:rPr>
          <w:rFonts w:ascii="Garamond" w:hAnsi="Garamond"/>
          <w:sz w:val="24"/>
          <w:szCs w:val="24"/>
          <w:lang w:val="sq-AL"/>
        </w:rPr>
        <w:t xml:space="preserve"> </w:t>
      </w:r>
      <w:r w:rsidR="00977D24" w:rsidRPr="00551729">
        <w:rPr>
          <w:rFonts w:ascii="Garamond" w:hAnsi="Garamond"/>
          <w:sz w:val="24"/>
          <w:szCs w:val="24"/>
          <w:lang w:val="sq-AL"/>
        </w:rPr>
        <w:t>nga</w:t>
      </w:r>
      <w:r w:rsidR="00C521D5" w:rsidRPr="00551729">
        <w:rPr>
          <w:rFonts w:ascii="Garamond" w:hAnsi="Garamond"/>
          <w:sz w:val="24"/>
          <w:szCs w:val="24"/>
          <w:lang w:val="sq-AL"/>
        </w:rPr>
        <w:t xml:space="preserve"> </w:t>
      </w:r>
      <w:r w:rsidRPr="00551729">
        <w:rPr>
          <w:rFonts w:ascii="Garamond" w:hAnsi="Garamond"/>
          <w:sz w:val="24"/>
          <w:szCs w:val="24"/>
          <w:lang w:val="sq-AL"/>
        </w:rPr>
        <w:t>një</w:t>
      </w:r>
      <w:r w:rsidR="00942156" w:rsidRPr="00551729">
        <w:rPr>
          <w:rFonts w:ascii="Garamond" w:hAnsi="Garamond"/>
          <w:sz w:val="24"/>
          <w:szCs w:val="24"/>
          <w:lang w:val="sq-AL"/>
        </w:rPr>
        <w:t xml:space="preserve"> </w:t>
      </w:r>
      <w:r w:rsidRPr="00551729">
        <w:rPr>
          <w:rFonts w:ascii="Garamond" w:hAnsi="Garamond"/>
          <w:sz w:val="24"/>
          <w:szCs w:val="24"/>
          <w:lang w:val="sq-AL"/>
        </w:rPr>
        <w:t>efikasitet i ulët në përdorimin e energjisë elektrike. Përdorimi i energjisë për qëllime ngrohje është i përhapur në shkallë të gjerë.</w:t>
      </w:r>
    </w:p>
    <w:p w14:paraId="1BADCAB3" w14:textId="71E16AD2"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sz w:val="24"/>
          <w:szCs w:val="24"/>
          <w:lang w:val="sq-AL"/>
        </w:rPr>
        <w:t xml:space="preserve">Shumica e familjeve (247,354) në Mal të Zi përdorin </w:t>
      </w:r>
      <w:r w:rsidRPr="00551729">
        <w:rPr>
          <w:rFonts w:ascii="Garamond" w:hAnsi="Garamond"/>
          <w:b/>
          <w:sz w:val="24"/>
          <w:szCs w:val="24"/>
          <w:lang w:val="sq-AL"/>
        </w:rPr>
        <w:t xml:space="preserve">ujin </w:t>
      </w:r>
      <w:r w:rsidRPr="00551729">
        <w:rPr>
          <w:rFonts w:ascii="Garamond" w:hAnsi="Garamond"/>
          <w:sz w:val="24"/>
          <w:szCs w:val="24"/>
          <w:lang w:val="sq-AL"/>
        </w:rPr>
        <w:t>nga sistemi publik i ujit, edhe pse sistemi publik i ujit mund të jetë i pamjaftueshëm në zonat rurale dhe gjatë kohës së verës. Nga numri i përgjithshëm i banesave</w:t>
      </w:r>
      <w:r w:rsidR="00606BDC" w:rsidRPr="00551729">
        <w:rPr>
          <w:rStyle w:val="FootnoteReference"/>
          <w:rFonts w:ascii="Garamond" w:hAnsi="Garamond"/>
          <w:sz w:val="24"/>
          <w:szCs w:val="24"/>
          <w:lang w:val="sq-AL"/>
        </w:rPr>
        <w:footnoteReference w:id="24"/>
      </w:r>
      <w:r w:rsidRPr="00551729">
        <w:rPr>
          <w:rFonts w:ascii="Garamond" w:hAnsi="Garamond"/>
          <w:sz w:val="24"/>
          <w:szCs w:val="24"/>
          <w:lang w:val="sq-AL"/>
        </w:rPr>
        <w:t>, 92% prej tyre kanë akses në sistemet e furnizimit me ujë brenda shtëpive të tyre, dhe po i njëjti numër banesash është i lidhur me sistemin e kanalizimit brenda shtëpisë. Në zonën e programit në Shqipëri, furnizimi me ujë dhe sistemet e kanalizimit dhe ujitjes mbeten problematike. Aksesi në ujë brenda banesave në zonën e programit është i siguruar për rreth 55% të tyre; rreth 40% e banesave</w:t>
      </w:r>
      <w:r w:rsidR="00C521D5" w:rsidRPr="00551729">
        <w:rPr>
          <w:rFonts w:ascii="Garamond" w:hAnsi="Garamond"/>
          <w:sz w:val="24"/>
          <w:szCs w:val="24"/>
          <w:lang w:val="sq-AL"/>
        </w:rPr>
        <w:t xml:space="preserve"> </w:t>
      </w:r>
      <w:r w:rsidRPr="00551729">
        <w:rPr>
          <w:rFonts w:ascii="Garamond" w:hAnsi="Garamond"/>
          <w:sz w:val="24"/>
          <w:szCs w:val="24"/>
          <w:lang w:val="sq-AL"/>
        </w:rPr>
        <w:t>kanë pjesërisht akses në sistemet e furnizimit me ujë, ndërsa 4.6% e familjeve në zonën e programit nuk kanë akses në sistemin e</w:t>
      </w:r>
      <w:r w:rsidRPr="00551729">
        <w:rPr>
          <w:rFonts w:ascii="Garamond" w:hAnsi="Garamond"/>
          <w:spacing w:val="-10"/>
          <w:sz w:val="24"/>
          <w:szCs w:val="24"/>
          <w:lang w:val="sq-AL"/>
        </w:rPr>
        <w:t xml:space="preserve"> </w:t>
      </w:r>
      <w:r w:rsidRPr="00551729">
        <w:rPr>
          <w:rFonts w:ascii="Garamond" w:hAnsi="Garamond"/>
          <w:sz w:val="24"/>
          <w:szCs w:val="24"/>
          <w:lang w:val="sq-AL"/>
        </w:rPr>
        <w:t>ujësjellësit.</w:t>
      </w:r>
    </w:p>
    <w:p w14:paraId="1BADCAB4" w14:textId="77777777" w:rsidR="00F61BDE" w:rsidRPr="00551729" w:rsidRDefault="00F61BDE" w:rsidP="00606BDC">
      <w:pPr>
        <w:pStyle w:val="TEKSTIII"/>
        <w:rPr>
          <w:b/>
        </w:rPr>
      </w:pPr>
      <w:bookmarkStart w:id="19" w:name="_bookmark16"/>
      <w:bookmarkEnd w:id="19"/>
      <w:r w:rsidRPr="00551729">
        <w:rPr>
          <w:b/>
        </w:rPr>
        <w:t>Sociale</w:t>
      </w:r>
    </w:p>
    <w:p w14:paraId="1BADCAB5" w14:textId="77777777" w:rsidR="00F61BDE" w:rsidRPr="00551729" w:rsidRDefault="00F61BDE" w:rsidP="00606BDC">
      <w:pPr>
        <w:pStyle w:val="TEKSTIII"/>
        <w:rPr>
          <w:b/>
        </w:rPr>
      </w:pPr>
      <w:bookmarkStart w:id="20" w:name="_bookmark17"/>
      <w:bookmarkEnd w:id="20"/>
      <w:r w:rsidRPr="00551729">
        <w:rPr>
          <w:b/>
        </w:rPr>
        <w:t>Tregu i punës</w:t>
      </w:r>
    </w:p>
    <w:p w14:paraId="1BADCAB6" w14:textId="77777777" w:rsidR="00F61BDE" w:rsidRPr="00551729" w:rsidRDefault="00F61BDE" w:rsidP="00606BDC">
      <w:pPr>
        <w:pStyle w:val="TEKSTIII"/>
      </w:pPr>
      <w:r w:rsidRPr="00551729">
        <w:t xml:space="preserve">Si në Mal të Zi ashtu edhe në Shqipëri, papunësia është relativisht e lartë sipas standardeve ndërkombëtare. Ajo është ende një problem i madh ekonomik në të dyja anët e zonës së programit, dhe karakterizohet nga dallime të mëdha rajonale. Në </w:t>
      </w:r>
      <w:r w:rsidRPr="00551729">
        <w:rPr>
          <w:b/>
        </w:rPr>
        <w:t xml:space="preserve">Mal të Zi </w:t>
      </w:r>
      <w:r w:rsidRPr="00551729">
        <w:t>tregu i punës ka pësuar krizë, duke regjistruar një rritje të papunësisë që arriti në 20.45% në vitin 2011</w:t>
      </w:r>
      <w:r w:rsidR="00606BDC" w:rsidRPr="00551729">
        <w:rPr>
          <w:rStyle w:val="FootnoteReference"/>
        </w:rPr>
        <w:footnoteReference w:id="25"/>
      </w:r>
      <w:r w:rsidRPr="00551729">
        <w:t>, duke u ulur në 19.6% në vitin 2012. Zona e programit ka rreth 93.4% të forcës aktive të punës të vendit; rajoni bregdetar dhe rajoni qendror janë më mirë se rajonet më të varfra dhe më pak të zhvilluara pa dalje në det në zonën veriore. Shumica e fuqisë punëtore është e punësuar në sektorin e shërbimeve (76.2%), pasuar nga industria me 18.1%, dhe bujqësia me 5.6% të totalit të punësuar. Punëdhënësi më i madh në program është sektori i tregtisë me 20.5%, i ndjekur nga administrata publike me 12.5%. Femrat përbëjnë 44.1% të totalit të të punësuarve.</w:t>
      </w:r>
    </w:p>
    <w:p w14:paraId="1BADCAB7" w14:textId="501DDB9A" w:rsidR="00F61BDE" w:rsidRPr="00551729" w:rsidRDefault="00F61BDE" w:rsidP="00606BDC">
      <w:pPr>
        <w:pStyle w:val="TEKSTIII"/>
      </w:pPr>
      <w:r w:rsidRPr="00551729">
        <w:t xml:space="preserve">Fuqia e përgjithshme punëtore në </w:t>
      </w:r>
      <w:r w:rsidRPr="00551729">
        <w:rPr>
          <w:b/>
        </w:rPr>
        <w:t xml:space="preserve">Shqipëri </w:t>
      </w:r>
      <w:r w:rsidRPr="00551729">
        <w:t>arrin në 1,117,082 persona në fund të muajit dhjetor 2012</w:t>
      </w:r>
      <w:r w:rsidR="00606BDC" w:rsidRPr="00551729">
        <w:rPr>
          <w:rStyle w:val="FootnoteReference"/>
        </w:rPr>
        <w:footnoteReference w:id="26"/>
      </w:r>
      <w:r w:rsidRPr="00551729">
        <w:t>. Ajo nuk ka pasur ndryshime të mëdha, pavarësisht nga ngadalësimi ekonomik gjatë 2-3 viteve të fundit. Shkalla e përgjithshme e papunësisë</w:t>
      </w:r>
      <w:r w:rsidR="00606BDC" w:rsidRPr="00551729">
        <w:rPr>
          <w:rStyle w:val="FootnoteReference"/>
        </w:rPr>
        <w:footnoteReference w:id="27"/>
      </w:r>
      <w:r w:rsidRPr="00551729">
        <w:rPr>
          <w:position w:val="6"/>
        </w:rPr>
        <w:t xml:space="preserve"> </w:t>
      </w:r>
      <w:r w:rsidRPr="00551729">
        <w:t>ka ngelur në 13.9%, njëlloj si në vitin 2011. Në ndryshim nga Tropoja, papunësia në rajonet e Shkodrës dhe Lezhës pasqyron të njëjtën normë mesatare të</w:t>
      </w:r>
      <w:r w:rsidR="00C521D5" w:rsidRPr="00551729">
        <w:t xml:space="preserve"> </w:t>
      </w:r>
      <w:r w:rsidRPr="00551729">
        <w:t>papunësisë si në nivel kombëtar, ndërsa që të tr</w:t>
      </w:r>
      <w:r w:rsidR="00433AF3">
        <w:t>ia</w:t>
      </w:r>
      <w:r w:rsidRPr="00551729">
        <w:t xml:space="preserve"> rajonet ruajnë të njëjtën strukturë të punësimit. Në fund të vitit 2012, numri i të papunëve në Shkodër qëndron në 19,417 persona, duke përbërë 13.6% të totalit të të papunëve, kurse Lezha me 15,021 persona të papunë përbën 10.6% të totalit. Ndërsa Tropoja regjistron 2,368 të papunë, ose rreth 36% të forcave të përgjithshme të punës që i përkasin grup-moshës 15-64 vjeç në rrethin e Tropojës. Papunësia është më e pranishme në zonat urbane, pasi ata që jetojnë në zonat rurale janë konsideruar si të</w:t>
      </w:r>
      <w:r w:rsidRPr="00551729">
        <w:rPr>
          <w:spacing w:val="-20"/>
        </w:rPr>
        <w:t xml:space="preserve"> </w:t>
      </w:r>
      <w:r w:rsidRPr="00551729">
        <w:t>vetë-punësuar.</w:t>
      </w:r>
    </w:p>
    <w:p w14:paraId="1BADCAB8" w14:textId="77777777" w:rsidR="00F61BDE" w:rsidRPr="00551729" w:rsidRDefault="00F61BDE" w:rsidP="00606BDC">
      <w:pPr>
        <w:pStyle w:val="TEKSTIII"/>
        <w:rPr>
          <w:b/>
        </w:rPr>
      </w:pPr>
      <w:bookmarkStart w:id="21" w:name="_bookmark18"/>
      <w:bookmarkEnd w:id="21"/>
      <w:r w:rsidRPr="00551729">
        <w:rPr>
          <w:b/>
        </w:rPr>
        <w:t>Arsimi</w:t>
      </w:r>
    </w:p>
    <w:p w14:paraId="1BADCAB9" w14:textId="649D8638" w:rsidR="00F61BDE" w:rsidRPr="00551729" w:rsidRDefault="00F61BDE" w:rsidP="004C3FA9">
      <w:pPr>
        <w:pStyle w:val="TEKSTIII"/>
      </w:pPr>
      <w:r w:rsidRPr="00551729">
        <w:t>Niveli i pabarabartë arsimor është i pranishëm në zonën e programit, me një rritje të analfabetizmit në zonat e thella. Të rinjtë me arsim të lartë kanë tendencë për t</w:t>
      </w:r>
      <w:r w:rsidR="00365069">
        <w:t>’</w:t>
      </w:r>
      <w:r w:rsidRPr="00551729">
        <w:t>u larguar drejt rajoneve që ofrojnë më</w:t>
      </w:r>
      <w:r w:rsidR="00606BDC" w:rsidRPr="00551729">
        <w:t xml:space="preserve"> </w:t>
      </w:r>
      <w:r w:rsidRPr="00551729">
        <w:t>shumë mundësi apo jashtë vendit. Sistemi i arsimit të mesëm është më pak tërheqës dhe i</w:t>
      </w:r>
      <w:r w:rsidR="00C521D5" w:rsidRPr="00551729">
        <w:t xml:space="preserve"> </w:t>
      </w:r>
      <w:r w:rsidRPr="00551729">
        <w:t xml:space="preserve">aksesueshëm, veçanërisht për popullsinë e re në zonat rurale të programit. Shkollat private dhe Formimi Profesional janë të pranishme, por nuk janë në gjendje që të përputhen me kërkesat e tregut të punës për punonjës të kualifikuar dhe të aftë, duke përbërë kështu një pengesë për zhvillimin ekonomik të 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 shkollore është një përparësi e madhe për të dyja qeveritë, në nivel qendror dhe lokal. Përmirësimi i sistemit arsimor dhe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qendrave kërkimore në të dyja anët e zonës së programit është një pasuri për programin BNK dhe një mundësi jo vetëm për rritjen e mëtejshme të bashkëpunimit akademik, por edhe për inicimin e programeve kërkimore në zonën kufitare në sektorë </w:t>
      </w:r>
      <w:r w:rsidRPr="00551729">
        <w:rPr>
          <w:spacing w:val="2"/>
        </w:rPr>
        <w:t xml:space="preserve">të </w:t>
      </w:r>
      <w:r w:rsidRPr="00551729">
        <w:t>ndryshëm, të tillë si bujqësia apo</w:t>
      </w:r>
      <w:r w:rsidRPr="00551729">
        <w:rPr>
          <w:spacing w:val="-2"/>
        </w:rPr>
        <w:t xml:space="preserve"> </w:t>
      </w:r>
      <w:r w:rsidRPr="00551729">
        <w:t>turizmi.</w:t>
      </w:r>
    </w:p>
    <w:p w14:paraId="1BADCABA" w14:textId="18DBBBDC" w:rsidR="00F61BDE" w:rsidRPr="00551729" w:rsidRDefault="00F61BDE" w:rsidP="004C3FA9">
      <w:pPr>
        <w:pStyle w:val="TEKSTIII"/>
      </w:pPr>
      <w:r w:rsidRPr="00551729">
        <w:rPr>
          <w:b/>
        </w:rPr>
        <w:t xml:space="preserve">Kërkimi shkencor &amp; Zhvillimi </w:t>
      </w:r>
      <w:r w:rsidRPr="00551729">
        <w:t>është i pazhvilluar. Pavarësisht faktit se në zonën e programit janë të pranishëm 4 Universitete, investimet dhe aktivitetet mbështetëse qeveritare, rajonale ose lokale për Kërkimin shkencor dhe Zhvillimin janë të pamjaftueshme. Nuk ka të dhëna specifike mbi kërkimin shkencor, zhvillimin dhe inovacionin. Megjithatë nuk ka pothuajse asnjë bashkëpunim midis institucioneve të arsimit në të dy</w:t>
      </w:r>
      <w:r w:rsidR="00024F23">
        <w:t>ja</w:t>
      </w:r>
      <w:r w:rsidRPr="00551729">
        <w:t xml:space="preserve"> vendet, dhe fusha e kërkimit shkencor, zhvillimit dhe inovacionit </w:t>
      </w:r>
      <w:r w:rsidRPr="00551729">
        <w:rPr>
          <w:spacing w:val="-3"/>
        </w:rPr>
        <w:t xml:space="preserve">nuk </w:t>
      </w:r>
      <w:r w:rsidRPr="00551729">
        <w:t>është eksploruar. Mali i Zi shpenzon rreth 0.41% të GDP-së në Kërkim shkencor dhe Zhvillim</w:t>
      </w:r>
      <w:r w:rsidR="000017F1" w:rsidRPr="00551729">
        <w:rPr>
          <w:rStyle w:val="FootnoteReference"/>
        </w:rPr>
        <w:footnoteReference w:id="28"/>
      </w:r>
      <w:r w:rsidRPr="00551729">
        <w:t>, ndërkohë që Shqipëria shpenzon rreth 0.02% të GDP-së së saj</w:t>
      </w:r>
      <w:r w:rsidR="000017F1" w:rsidRPr="00551729">
        <w:rPr>
          <w:rStyle w:val="FootnoteReference"/>
        </w:rPr>
        <w:footnoteReference w:id="29"/>
      </w:r>
      <w:r w:rsidRPr="00551729">
        <w:t>. Shqipëria dhe Mali i Zi kanë nënshkruar një marrëveshje në lidhje me lëvizjen e studiuesve dhe ekspertëve teknik midis universiteteve partnere; ngritjen e qendrave të përbashkëta kërkimore për të studiuar burimet hidrike të lumit Buna dhe liqenit të Shkodrës; dhe një qendër të përbashkët për studimet e avancuara për rreziqet sizmike në Ballkanin Perëndimor.</w:t>
      </w:r>
    </w:p>
    <w:p w14:paraId="1BADCABB" w14:textId="77777777" w:rsidR="00F61BDE" w:rsidRPr="00551729" w:rsidRDefault="00F61BDE" w:rsidP="004C3FA9">
      <w:pPr>
        <w:pStyle w:val="TEKSTIII"/>
        <w:rPr>
          <w:b/>
        </w:rPr>
      </w:pPr>
      <w:bookmarkStart w:id="22" w:name="_bookmark19"/>
      <w:bookmarkEnd w:id="22"/>
      <w:r w:rsidRPr="00551729">
        <w:rPr>
          <w:b/>
        </w:rPr>
        <w:t>Shëndetësia</w:t>
      </w:r>
    </w:p>
    <w:p w14:paraId="1BADCABC" w14:textId="0D2B38AB" w:rsidR="00F61BDE" w:rsidRPr="00551729" w:rsidRDefault="00F61BDE" w:rsidP="000017F1">
      <w:pPr>
        <w:pStyle w:val="TEKSTIII"/>
      </w:pPr>
      <w:r w:rsidRPr="00551729">
        <w:t>Organizimi i sistemit shëndetësor në Mal të Zi dhe Shqipëri është i ngjashëm; ai është kryesisht publik</w:t>
      </w:r>
      <w:r w:rsidR="00C521D5" w:rsidRPr="00551729">
        <w:t xml:space="preserve"> </w:t>
      </w:r>
      <w:r w:rsidRPr="00551729">
        <w:t>me një prani modeste (por në rritje) private, dhe mbulimi territorial është i pajisur siç duhet me shërbimet e kujdesit shëndetësor parësor, dytësor dhe tretësor. Në përgjithësi, shërbimet shëndetësore në zonën e programit janë duke u përmirësuar, por duhet të bëhet akoma më shumë për të siguruar akses universal në shërbime të tilla edhe nga familjet e varfra. Sfida kryesore e radhës për të garantuar që të gjithë qytetarët janë të pajisur me shërbimet e duhura shëndetësore është heqja e pengesës ekonomike për të pasur akses në shërbimet cilësore, e cila është e rënduar nga mungesa totale e sigurimit</w:t>
      </w:r>
      <w:r w:rsidRPr="00551729">
        <w:rPr>
          <w:spacing w:val="-6"/>
        </w:rPr>
        <w:t xml:space="preserve"> </w:t>
      </w:r>
      <w:r w:rsidRPr="00551729">
        <w:t>shëndetësor.</w:t>
      </w:r>
    </w:p>
    <w:p w14:paraId="1BADCABD" w14:textId="77777777" w:rsidR="00F61BDE" w:rsidRPr="00551729" w:rsidRDefault="00F61BDE" w:rsidP="000017F1">
      <w:pPr>
        <w:pStyle w:val="TEKSTIII"/>
        <w:rPr>
          <w:b/>
        </w:rPr>
      </w:pPr>
      <w:bookmarkStart w:id="23" w:name="_bookmark20"/>
      <w:bookmarkEnd w:id="23"/>
      <w:r w:rsidRPr="00551729">
        <w:rPr>
          <w:b/>
        </w:rPr>
        <w:t>Kultura</w:t>
      </w:r>
    </w:p>
    <w:p w14:paraId="1BADCABE" w14:textId="77777777" w:rsidR="00F61BDE" w:rsidRPr="00551729" w:rsidRDefault="00F61BDE" w:rsidP="000017F1">
      <w:pPr>
        <w:pStyle w:val="TEKSTIII"/>
      </w:pPr>
      <w:r w:rsidRPr="00551729">
        <w:t xml:space="preserve">Në përgjithësi, në zonën e programit kultura karakterizohet nga elemente të ndryshme </w:t>
      </w:r>
      <w:r w:rsidRPr="00551729">
        <w:rPr>
          <w:spacing w:val="3"/>
        </w:rPr>
        <w:t xml:space="preserve">të </w:t>
      </w:r>
      <w:r w:rsidRPr="00551729">
        <w:t>traditave individuale dhe të përbashkëta. Qendrat turistike dhe qytetet e mëdha janë të pasura me trashëgimi kulturore që përfshijnë monumente dhe vende fetare (kisha, manastire dhe xhami), qytete të vjetra, vende arkeologjike dhe muzeume të ndryshme. Zona e programit është gjithashtu e pasur në traditën e kuzhinës dhe artizanatit, të cilat mund të luajnë një rol të rëndësishëm në promovimin dhe zhvillimin e mëtejshëm të turizmit. Bashkëpunimi ndërkufitar mund të luajë një rol të rëndësishëm në mbrojtjen dhe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w:t>
      </w:r>
      <w:r w:rsidRPr="00551729">
        <w:rPr>
          <w:spacing w:val="-6"/>
        </w:rPr>
        <w:t xml:space="preserve"> </w:t>
      </w:r>
      <w:r w:rsidRPr="00551729">
        <w:t>kufitare.</w:t>
      </w:r>
    </w:p>
    <w:p w14:paraId="1BADCABF" w14:textId="77777777" w:rsidR="00F61BDE" w:rsidRPr="00551729" w:rsidRDefault="00F61BDE" w:rsidP="000017F1">
      <w:pPr>
        <w:pStyle w:val="TEKSTIII"/>
        <w:rPr>
          <w:b/>
        </w:rPr>
      </w:pPr>
      <w:bookmarkStart w:id="24" w:name="_bookmark21"/>
      <w:bookmarkEnd w:id="24"/>
      <w:r w:rsidRPr="00551729">
        <w:rPr>
          <w:b/>
        </w:rPr>
        <w:t>Shoqëria Civile</w:t>
      </w:r>
    </w:p>
    <w:p w14:paraId="1BADCAC0" w14:textId="5999FE34" w:rsidR="00F61BDE" w:rsidRPr="00551729" w:rsidRDefault="00F61BDE" w:rsidP="00B4215F">
      <w:pPr>
        <w:pStyle w:val="TEKSTIII"/>
      </w:pPr>
      <w:r w:rsidRPr="00551729">
        <w:t xml:space="preserve">Në </w:t>
      </w:r>
      <w:r w:rsidRPr="00551729">
        <w:rPr>
          <w:b/>
        </w:rPr>
        <w:t xml:space="preserve">Mal të Zi </w:t>
      </w:r>
      <w:r w:rsidRPr="00551729">
        <w:t>janë 5,843</w:t>
      </w:r>
      <w:r w:rsidR="00B4215F" w:rsidRPr="00551729">
        <w:rPr>
          <w:rStyle w:val="FootnoteReference"/>
        </w:rPr>
        <w:footnoteReference w:id="30"/>
      </w:r>
      <w:r w:rsidRPr="00551729">
        <w:rPr>
          <w:position w:val="6"/>
        </w:rPr>
        <w:t xml:space="preserve"> </w:t>
      </w:r>
      <w:r w:rsidRPr="00551729">
        <w:t>Organizata të Shoqërisë Civile (OSHC) të regjistruara. Pjesa më e madhe e tyre janë shoqata qytetare (5665), dhe 175 janë fondacione. OSHC-të me më shumë ndikim dhe përvojë janë të vendosura në Podgoricë, aktive në sektorë të ndryshëm (të drejtat e njeriut, politikat publike, mjedisi dhe zhvillimi rural, ngritja e kapaciteteve, aftësitë e kufizuara</w:t>
      </w:r>
      <w:r w:rsidR="00B65E6C">
        <w:t xml:space="preserve"> etj</w:t>
      </w:r>
      <w:r w:rsidRPr="00551729">
        <w:t>.). Shumica e tyre kanë një përvojë në përcaktimin e projekteve BNK. Kapacitetet njerëzore dhe kapacitetet e financimit janë përgjithësisht të pamjaftueshme; partneriteti me autoritetet lokale, si dhe krijimi i rrjeteve rajonale të</w:t>
      </w:r>
      <w:r w:rsidR="00C521D5" w:rsidRPr="00551729">
        <w:t xml:space="preserve"> </w:t>
      </w:r>
      <w:r w:rsidRPr="00551729">
        <w:t>OSHC-ve</w:t>
      </w:r>
      <w:r w:rsidR="00C521D5" w:rsidRPr="00551729">
        <w:t xml:space="preserve"> </w:t>
      </w:r>
      <w:r w:rsidRPr="00551729">
        <w:t>janë ende të dobëta. Megjithatë, rrjeti lokal i organizatave komunitare është i shumëllojshëm dhe i pasur. Disa prej tyre, të tilla si shoqatat e malësorëve, mund të luajnë një rol të rëndësishëm në zbatimin e nismave BNK.</w:t>
      </w:r>
    </w:p>
    <w:p w14:paraId="1BADCAC1" w14:textId="6A8F291F" w:rsidR="00F61BDE" w:rsidRPr="00551729" w:rsidRDefault="00F61BDE" w:rsidP="00B4215F">
      <w:pPr>
        <w:pStyle w:val="TEKSTIII"/>
      </w:pPr>
      <w:r w:rsidRPr="00551729">
        <w:t xml:space="preserve">Sektori i OSHC-ve në </w:t>
      </w:r>
      <w:r w:rsidRPr="00551729">
        <w:rPr>
          <w:b/>
        </w:rPr>
        <w:t xml:space="preserve">Shqipëri </w:t>
      </w:r>
      <w:r w:rsidRPr="00551729">
        <w:t xml:space="preserve">është i vogël dhe relativisht i pazhvilluar. Zyrtarisht ekzistojnë 2,231 shoqata, 311 fondacione dhe 552 qendra të regjistruara </w:t>
      </w:r>
      <w:r w:rsidR="00E06D25" w:rsidRPr="00551729">
        <w:rPr>
          <w:rStyle w:val="FootnoteReference"/>
        </w:rPr>
        <w:footnoteReference w:id="31"/>
      </w:r>
      <w:r w:rsidRPr="00551729">
        <w:t xml:space="preserve">. Shumica e OSHC-ve janë të përqendruara në kryeqytet (Tiranë), ose në rajonin qendror (i cili përfshin Tiranën dhe qytetet e mëdha të tilla si Shkodra, Durrësi, Elbasani, Korça). Shoqëria civile është e përfaqësuar dobët në të gjitha zonat rurale. Sektori i Shoqërisë Civile në Shqipëri, si një i tërë, është pak i integruar dhe përfaqësuar. Nuk ka asnjë forum të sektorëve të gjerë ose rrjet që i dedikohet koordinimit të përpjekjeve të </w:t>
      </w:r>
      <w:r w:rsidR="00512EF0" w:rsidRPr="00551729">
        <w:t>OSHC</w:t>
      </w:r>
      <w:r w:rsidRPr="00551729">
        <w:t>-ve.</w:t>
      </w:r>
    </w:p>
    <w:p w14:paraId="1BADCAC2" w14:textId="77777777" w:rsidR="00F61BDE" w:rsidRPr="00551729" w:rsidRDefault="00F61BDE" w:rsidP="00B4215F">
      <w:pPr>
        <w:pStyle w:val="TEKSTIII"/>
        <w:rPr>
          <w:b/>
        </w:rPr>
      </w:pPr>
      <w:bookmarkStart w:id="25" w:name="_bookmark22"/>
      <w:bookmarkEnd w:id="25"/>
      <w:r w:rsidRPr="00551729">
        <w:rPr>
          <w:b/>
        </w:rPr>
        <w:t>Mjedisi dhe Natyra</w:t>
      </w:r>
    </w:p>
    <w:p w14:paraId="1BADCAC3" w14:textId="574766EF" w:rsidR="00F61BDE" w:rsidRPr="00551729" w:rsidRDefault="00F61BDE" w:rsidP="00C840E7">
      <w:pPr>
        <w:pStyle w:val="TEKSTIII"/>
      </w:pPr>
      <w:r w:rsidRPr="00551729">
        <w:t>Mbrojtja dhe ruajtja e mjedisit janë të rëndësishme për një zhvillim të qëndrueshëm të zonës së programit, e cila është mjaft e pasur në burime mjedisore dhe biodiversitet në të dyja anët e kufirit.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 rrezikojnë ndotjen e lumenjve dhe liqeneve; përdorimi intensiv i pesticideve, i cili</w:t>
      </w:r>
      <w:r w:rsidR="00C521D5" w:rsidRPr="00551729">
        <w:t xml:space="preserve"> </w:t>
      </w:r>
      <w:r w:rsidRPr="00551729">
        <w:t>po</w:t>
      </w:r>
      <w:r w:rsidR="00C840E7" w:rsidRPr="00551729">
        <w:t xml:space="preserve"> </w:t>
      </w:r>
      <w:r w:rsidRPr="00551729">
        <w:t>dëmton bujqësinë; peshkimi i tepruar dhe gjuetia e jashtëligjshme, të cilat kërcënojnë faunën në liqene dhe lumenj. Degradimi i tokës është i pranishëm në të dyja anët e kufirit. Bashkëpunimi midis dy vendeve</w:t>
      </w:r>
      <w:r w:rsidRPr="00551729">
        <w:rPr>
          <w:spacing w:val="-2"/>
        </w:rPr>
        <w:t xml:space="preserve"> </w:t>
      </w:r>
      <w:r w:rsidRPr="00551729">
        <w:t>në</w:t>
      </w:r>
      <w:r w:rsidRPr="00551729">
        <w:rPr>
          <w:spacing w:val="-2"/>
        </w:rPr>
        <w:t xml:space="preserve"> </w:t>
      </w:r>
      <w:r w:rsidRPr="00551729">
        <w:t>lidhje</w:t>
      </w:r>
      <w:r w:rsidRPr="00551729">
        <w:rPr>
          <w:spacing w:val="-3"/>
        </w:rPr>
        <w:t xml:space="preserve"> </w:t>
      </w:r>
      <w:r w:rsidRPr="00551729">
        <w:t>me</w:t>
      </w:r>
      <w:r w:rsidRPr="00551729">
        <w:rPr>
          <w:spacing w:val="-4"/>
        </w:rPr>
        <w:t xml:space="preserve"> </w:t>
      </w:r>
      <w:r w:rsidRPr="00551729">
        <w:t>mbrojtjen</w:t>
      </w:r>
      <w:r w:rsidRPr="00551729">
        <w:rPr>
          <w:spacing w:val="-3"/>
        </w:rPr>
        <w:t xml:space="preserve"> </w:t>
      </w:r>
      <w:r w:rsidRPr="00551729">
        <w:t>dhe</w:t>
      </w:r>
      <w:r w:rsidRPr="00551729">
        <w:rPr>
          <w:spacing w:val="-2"/>
        </w:rPr>
        <w:t xml:space="preserve"> </w:t>
      </w:r>
      <w:r w:rsidRPr="00551729">
        <w:t>rehabilitimin</w:t>
      </w:r>
      <w:r w:rsidRPr="00551729">
        <w:rPr>
          <w:spacing w:val="-5"/>
        </w:rPr>
        <w:t xml:space="preserve"> </w:t>
      </w:r>
      <w:r w:rsidRPr="00551729">
        <w:t>e</w:t>
      </w:r>
      <w:r w:rsidRPr="00551729">
        <w:rPr>
          <w:spacing w:val="-2"/>
        </w:rPr>
        <w:t xml:space="preserve"> </w:t>
      </w:r>
      <w:r w:rsidRPr="00551729">
        <w:t>liqenit</w:t>
      </w:r>
      <w:r w:rsidRPr="00551729">
        <w:rPr>
          <w:spacing w:val="-2"/>
        </w:rPr>
        <w:t xml:space="preserve"> </w:t>
      </w:r>
      <w:r w:rsidRPr="00551729">
        <w:t>të</w:t>
      </w:r>
      <w:r w:rsidRPr="00551729">
        <w:rPr>
          <w:spacing w:val="-4"/>
        </w:rPr>
        <w:t xml:space="preserve"> </w:t>
      </w:r>
      <w:r w:rsidRPr="00551729">
        <w:t>Shkodrës</w:t>
      </w:r>
      <w:r w:rsidRPr="00551729">
        <w:rPr>
          <w:spacing w:val="-2"/>
        </w:rPr>
        <w:t xml:space="preserve"> </w:t>
      </w:r>
      <w:r w:rsidRPr="00551729">
        <w:t>është</w:t>
      </w:r>
      <w:r w:rsidRPr="00551729">
        <w:rPr>
          <w:spacing w:val="-2"/>
        </w:rPr>
        <w:t xml:space="preserve"> </w:t>
      </w:r>
      <w:r w:rsidRPr="00551729">
        <w:t>rritur</w:t>
      </w:r>
      <w:r w:rsidRPr="00551729">
        <w:rPr>
          <w:spacing w:val="-2"/>
        </w:rPr>
        <w:t xml:space="preserve"> </w:t>
      </w:r>
      <w:r w:rsidRPr="00551729">
        <w:t>në</w:t>
      </w:r>
      <w:r w:rsidRPr="00551729">
        <w:rPr>
          <w:spacing w:val="-2"/>
        </w:rPr>
        <w:t xml:space="preserve"> </w:t>
      </w:r>
      <w:r w:rsidRPr="00551729">
        <w:t>dekadën</w:t>
      </w:r>
      <w:r w:rsidRPr="00551729">
        <w:rPr>
          <w:spacing w:val="-2"/>
        </w:rPr>
        <w:t xml:space="preserve"> </w:t>
      </w:r>
      <w:r w:rsidRPr="00551729">
        <w:t>e</w:t>
      </w:r>
      <w:r w:rsidRPr="00551729">
        <w:rPr>
          <w:spacing w:val="-2"/>
        </w:rPr>
        <w:t xml:space="preserve"> </w:t>
      </w:r>
      <w:r w:rsidRPr="00551729">
        <w:t>fundit.</w:t>
      </w:r>
    </w:p>
    <w:p w14:paraId="1BADCAC4" w14:textId="77777777"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b/>
          <w:sz w:val="24"/>
          <w:szCs w:val="24"/>
          <w:lang w:val="sq-AL"/>
        </w:rPr>
        <w:t xml:space="preserve">Mali i Zi </w:t>
      </w:r>
      <w:r w:rsidRPr="00551729">
        <w:rPr>
          <w:rFonts w:ascii="Garamond" w:hAnsi="Garamond"/>
          <w:sz w:val="24"/>
          <w:szCs w:val="24"/>
          <w:lang w:val="sq-AL"/>
        </w:rPr>
        <w:t>ka një diversitet të lartë biologjik, për shkak të sfondit të tij gjeologjik, klimës dhe pozicionit në afërsi të detit dhe maleve. Mali i Zi ka dy vende të Trashëgimisë Botërore, një rezervë të biosferës dhe pesë parqet kombëtare. Mbrojtja dhe ruajtja e mjedisit është një shtyllë e të gjitha strategjive të zhvillimit të vendit. Rrjeti kombëtar i zonave të mbrojtura të Malit të Zi mbulon 108,866 ha</w:t>
      </w:r>
      <w:r w:rsidR="00C840E7" w:rsidRPr="00551729">
        <w:rPr>
          <w:rStyle w:val="FootnoteReference"/>
          <w:rFonts w:ascii="Garamond" w:hAnsi="Garamond"/>
          <w:sz w:val="24"/>
          <w:szCs w:val="24"/>
          <w:lang w:val="sq-AL"/>
        </w:rPr>
        <w:footnoteReference w:id="32"/>
      </w:r>
      <w:r w:rsidRPr="00551729">
        <w:rPr>
          <w:rFonts w:ascii="Garamond" w:hAnsi="Garamond"/>
          <w:position w:val="6"/>
          <w:sz w:val="24"/>
          <w:szCs w:val="24"/>
          <w:lang w:val="sq-AL"/>
        </w:rPr>
        <w:t xml:space="preserve"> </w:t>
      </w:r>
      <w:r w:rsidRPr="00551729">
        <w:rPr>
          <w:rFonts w:ascii="Garamond" w:hAnsi="Garamond"/>
          <w:sz w:val="24"/>
          <w:szCs w:val="24"/>
          <w:lang w:val="sq-AL"/>
        </w:rPr>
        <w:t>ose 7.88% të territorit të përgjithshëm. Ajo përbëhet nga 5 parqe kombëtare - Liqeni i Shkodrës, Durmitor, Lovćen, Biogradska Gora, dhe Prokletije.</w:t>
      </w:r>
    </w:p>
    <w:p w14:paraId="1BADCAC5" w14:textId="77777777"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sz w:val="24"/>
          <w:szCs w:val="24"/>
          <w:lang w:val="sq-AL"/>
        </w:rPr>
        <w:t>Në Shqipëri, zona e programit ofron një biodiversitet dhe klimë të pasur, pasi ajo përfshin malet, kodrat, fushat, liqenin, lumenjtë dhe bregdetin. Ajo ka 8 parqe kombëtare</w:t>
      </w:r>
      <w:r w:rsidR="00C840E7" w:rsidRPr="00551729">
        <w:rPr>
          <w:rStyle w:val="FootnoteReference"/>
          <w:rFonts w:ascii="Garamond" w:hAnsi="Garamond"/>
          <w:sz w:val="24"/>
          <w:szCs w:val="24"/>
          <w:lang w:val="sq-AL"/>
        </w:rPr>
        <w:footnoteReference w:id="33"/>
      </w:r>
      <w:r w:rsidRPr="00551729">
        <w:rPr>
          <w:rFonts w:ascii="Garamond" w:hAnsi="Garamond"/>
          <w:sz w:val="24"/>
          <w:szCs w:val="24"/>
          <w:lang w:val="sq-AL"/>
        </w:rPr>
        <w:t>, rezerva natyrore dhe peizazhe të mbrojtura, të cilat mbulojnë mbi 13% të territorit të përgjithshëm. Parku më i rëndësishëm natyror në zonën e programit është Liqeni i Shkodrës.</w:t>
      </w:r>
    </w:p>
    <w:p w14:paraId="1BADCAC6" w14:textId="27E62C1F" w:rsidR="00F61BDE" w:rsidRPr="00551729" w:rsidRDefault="00F61BDE" w:rsidP="00541C78">
      <w:pPr>
        <w:pStyle w:val="TEKSTIII"/>
      </w:pPr>
      <w:r w:rsidRPr="00551729">
        <w:t>Ndryshimet sociale dhe ekonomike të viteve të fundit si dhe ndryshimet demografike në Shqipëri dhe Mal të Zi, kanë ushtruar presion mbi mbrojtjen dhe ruajtjen e mjedisit dhe biodiversitetit në zonën e programit. Dëmet e dekadës së kaluar janë të dukshme në zonën e pyjeve, për shkak të ndërhyrjeve të popullsisë lokale. Shumica e dëmit ka ardhur për shkak të prerjeve abuzive dhe mbi-kullotjes. Mbrojtja e burimeve natyrore me fokus tek pyjet, zonat e mbrojtura dhe shfrytëzimi i burimeve ujore përfaqësojnë vlerat ekonomike dhe mjedisore për këtë zonë. Megjithëse ndërgjegjësimi për mbrojtjen e mjedisit</w:t>
      </w:r>
      <w:r w:rsidR="00C521D5" w:rsidRPr="00551729">
        <w:t xml:space="preserve"> </w:t>
      </w:r>
      <w:r w:rsidRPr="00551729">
        <w:t>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dhe garantimit të një mjedisi të pastër, i lidhur me masat për të mbrojtur tokën nga shkatërrimi natyror dhe artificial si dhe zbatimi i një procesi strategjik të planifikimit urban, janë sfidat kryesore për t</w:t>
      </w:r>
      <w:r w:rsidR="00365069">
        <w:t>’</w:t>
      </w:r>
      <w:r w:rsidRPr="00551729">
        <w:t>u përballuar në zonën e</w:t>
      </w:r>
      <w:r w:rsidRPr="00551729">
        <w:rPr>
          <w:spacing w:val="-10"/>
        </w:rPr>
        <w:t xml:space="preserve"> </w:t>
      </w:r>
      <w:r w:rsidRPr="00551729">
        <w:t>programit.</w:t>
      </w:r>
    </w:p>
    <w:p w14:paraId="1BADCAC7" w14:textId="1599C9C4" w:rsidR="00F61BDE" w:rsidRPr="00551729" w:rsidRDefault="00541C78" w:rsidP="00541C78">
      <w:pPr>
        <w:pStyle w:val="TEKSTIII"/>
        <w:rPr>
          <w:b/>
        </w:rPr>
      </w:pPr>
      <w:bookmarkStart w:id="26" w:name="_bookmark23"/>
      <w:bookmarkEnd w:id="26"/>
      <w:r w:rsidRPr="00551729">
        <w:rPr>
          <w:b/>
        </w:rPr>
        <w:t xml:space="preserve">2.2 </w:t>
      </w:r>
      <w:r w:rsidR="00F61BDE" w:rsidRPr="00551729">
        <w:rPr>
          <w:b/>
        </w:rPr>
        <w:t>Gjetjet</w:t>
      </w:r>
      <w:r w:rsidR="00F61BDE" w:rsidRPr="00551729">
        <w:rPr>
          <w:b/>
          <w:spacing w:val="-10"/>
        </w:rPr>
        <w:t xml:space="preserve"> </w:t>
      </w:r>
      <w:r w:rsidR="00365069" w:rsidRPr="00551729">
        <w:rPr>
          <w:b/>
        </w:rPr>
        <w:t>kryesore</w:t>
      </w:r>
    </w:p>
    <w:p w14:paraId="1BADCAC8" w14:textId="77777777" w:rsidR="00F61BDE" w:rsidRPr="00551729" w:rsidRDefault="00F61BDE" w:rsidP="00F61BDE">
      <w:pPr>
        <w:pStyle w:val="BodyText"/>
        <w:ind w:firstLine="284"/>
        <w:jc w:val="both"/>
        <w:rPr>
          <w:rFonts w:ascii="Garamond" w:hAnsi="Garamond"/>
          <w:sz w:val="24"/>
          <w:szCs w:val="24"/>
          <w:lang w:val="sq-AL"/>
        </w:rPr>
      </w:pPr>
      <w:r w:rsidRPr="00551729">
        <w:rPr>
          <w:rFonts w:ascii="Garamond" w:hAnsi="Garamond"/>
          <w:sz w:val="24"/>
          <w:szCs w:val="24"/>
          <w:lang w:val="sq-AL"/>
        </w:rPr>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p>
    <w:p w14:paraId="1BADCAC9" w14:textId="03961925" w:rsidR="00F61BDE" w:rsidRPr="00551729" w:rsidRDefault="00541C78" w:rsidP="00541C78">
      <w:pPr>
        <w:pStyle w:val="BodyText"/>
        <w:ind w:firstLine="284"/>
        <w:jc w:val="both"/>
        <w:rPr>
          <w:rFonts w:ascii="Garamond" w:hAnsi="Garamond"/>
          <w:sz w:val="24"/>
          <w:szCs w:val="24"/>
          <w:lang w:val="sq-AL"/>
        </w:rPr>
      </w:pPr>
      <w:r w:rsidRPr="00551729">
        <w:rPr>
          <w:rFonts w:ascii="Garamond" w:hAnsi="Garamond"/>
          <w:sz w:val="24"/>
          <w:szCs w:val="24"/>
          <w:lang w:val="sq-AL"/>
        </w:rPr>
        <w:t>-</w:t>
      </w:r>
      <w:r w:rsidR="00F61BDE" w:rsidRPr="00551729">
        <w:rPr>
          <w:rFonts w:ascii="Garamond" w:hAnsi="Garamond"/>
          <w:spacing w:val="-20"/>
          <w:sz w:val="24"/>
          <w:szCs w:val="24"/>
          <w:lang w:val="sq-AL"/>
        </w:rPr>
        <w:t xml:space="preserve"> </w:t>
      </w:r>
      <w:r w:rsidR="00F61BDE" w:rsidRPr="00551729">
        <w:rPr>
          <w:rFonts w:ascii="Garamond" w:hAnsi="Garamond"/>
          <w:b/>
          <w:sz w:val="24"/>
          <w:szCs w:val="24"/>
          <w:lang w:val="sq-AL"/>
        </w:rPr>
        <w:t xml:space="preserve">Karakteristikat ekonomike </w:t>
      </w:r>
      <w:r w:rsidR="00F61BDE" w:rsidRPr="00551729">
        <w:rPr>
          <w:rFonts w:ascii="Garamond" w:hAnsi="Garamond"/>
          <w:sz w:val="24"/>
          <w:szCs w:val="24"/>
          <w:lang w:val="sq-AL"/>
        </w:rPr>
        <w:t>të të dy</w:t>
      </w:r>
      <w:r w:rsidR="00512EF0">
        <w:rPr>
          <w:rFonts w:ascii="Garamond" w:hAnsi="Garamond"/>
          <w:sz w:val="24"/>
          <w:szCs w:val="24"/>
          <w:lang w:val="sq-AL"/>
        </w:rPr>
        <w:t>ja</w:t>
      </w:r>
      <w:r w:rsidR="00F61BDE" w:rsidRPr="00551729">
        <w:rPr>
          <w:rFonts w:ascii="Garamond" w:hAnsi="Garamond"/>
          <w:sz w:val="24"/>
          <w:szCs w:val="24"/>
          <w:lang w:val="sq-AL"/>
        </w:rPr>
        <w:t xml:space="preserve"> vendeve tregojnë tendenca të ngjashme. Të dy</w:t>
      </w:r>
      <w:r w:rsidR="00024F23">
        <w:rPr>
          <w:rFonts w:ascii="Garamond" w:hAnsi="Garamond"/>
          <w:sz w:val="24"/>
          <w:szCs w:val="24"/>
          <w:lang w:val="sq-AL"/>
        </w:rPr>
        <w:t>ja</w:t>
      </w:r>
      <w:r w:rsidR="00F61BDE" w:rsidRPr="00551729">
        <w:rPr>
          <w:rFonts w:ascii="Garamond" w:hAnsi="Garamond"/>
          <w:sz w:val="24"/>
          <w:szCs w:val="24"/>
          <w:lang w:val="sq-AL"/>
        </w:rPr>
        <w:t xml:space="preserve"> vendet janë klasifikuar si ekonomi me të ardhura mbi mesatare nga Banka Botërore. Struktura e ekonomisë është e ndryshme në të dyja anët e kufirit. Ndërsa rajonet shqiptare mbështeten në bujqësi, shërbime, tregje shumice dhe pakice, rajonet malazeze shfaqin industri më të zhvilluar, dhe një niveli shumë më të zhvilluar të turizmit. Përgjithësisht, bujqësia është e rëndësishme për </w:t>
      </w:r>
      <w:r w:rsidRPr="00551729">
        <w:rPr>
          <w:rFonts w:ascii="Garamond" w:hAnsi="Garamond"/>
          <w:sz w:val="24"/>
          <w:szCs w:val="24"/>
          <w:lang w:val="sq-AL"/>
        </w:rPr>
        <w:t xml:space="preserve">të dyja palët. Sfidat kryesore </w:t>
      </w:r>
      <w:r w:rsidR="00F61BDE" w:rsidRPr="00551729">
        <w:rPr>
          <w:rFonts w:ascii="Garamond" w:hAnsi="Garamond"/>
          <w:sz w:val="24"/>
          <w:szCs w:val="24"/>
          <w:lang w:val="sq-AL"/>
        </w:rPr>
        <w:t>përfshijnë:</w:t>
      </w:r>
      <w:r w:rsidR="00C521D5" w:rsidRPr="00551729">
        <w:rPr>
          <w:rFonts w:ascii="Garamond" w:hAnsi="Garamond"/>
          <w:sz w:val="24"/>
          <w:szCs w:val="24"/>
          <w:lang w:val="sq-AL"/>
        </w:rPr>
        <w:t xml:space="preserve"> </w:t>
      </w:r>
      <w:r w:rsidR="00F61BDE" w:rsidRPr="00551729">
        <w:rPr>
          <w:rFonts w:ascii="Garamond" w:hAnsi="Garamond"/>
          <w:sz w:val="24"/>
          <w:szCs w:val="24"/>
          <w:lang w:val="sq-AL"/>
        </w:rPr>
        <w:t>adresimin e</w:t>
      </w:r>
      <w:r w:rsidR="00C521D5" w:rsidRPr="00551729">
        <w:rPr>
          <w:rFonts w:ascii="Garamond" w:hAnsi="Garamond"/>
          <w:sz w:val="24"/>
          <w:szCs w:val="24"/>
          <w:lang w:val="sq-AL"/>
        </w:rPr>
        <w:t xml:space="preserve"> </w:t>
      </w:r>
      <w:r w:rsidR="00F61BDE" w:rsidRPr="00551729">
        <w:rPr>
          <w:rFonts w:ascii="Garamond" w:hAnsi="Garamond"/>
          <w:sz w:val="24"/>
          <w:szCs w:val="24"/>
          <w:lang w:val="sq-AL"/>
        </w:rPr>
        <w:t>pabarazive ekonomik</w:t>
      </w:r>
      <w:r w:rsidRPr="00551729">
        <w:rPr>
          <w:rFonts w:ascii="Garamond" w:hAnsi="Garamond"/>
          <w:sz w:val="24"/>
          <w:szCs w:val="24"/>
          <w:lang w:val="sq-AL"/>
        </w:rPr>
        <w:t xml:space="preserve">e rajonale; nivelin e ulët </w:t>
      </w:r>
      <w:r w:rsidR="00F61BDE" w:rsidRPr="00551729">
        <w:rPr>
          <w:rFonts w:ascii="Garamond" w:hAnsi="Garamond"/>
          <w:sz w:val="24"/>
          <w:szCs w:val="24"/>
          <w:lang w:val="sq-AL"/>
        </w:rPr>
        <w:t>të</w:t>
      </w:r>
      <w:r w:rsidR="00E3373A">
        <w:rPr>
          <w:rFonts w:ascii="Garamond" w:hAnsi="Garamond"/>
          <w:sz w:val="24"/>
          <w:szCs w:val="24"/>
          <w:lang w:val="sq-AL"/>
        </w:rPr>
        <w:t xml:space="preserve"> </w:t>
      </w:r>
      <w:r w:rsidR="00F61BDE" w:rsidRPr="00551729">
        <w:rPr>
          <w:rFonts w:ascii="Garamond" w:hAnsi="Garamond"/>
          <w:sz w:val="24"/>
          <w:szCs w:val="24"/>
          <w:lang w:val="sq-AL"/>
        </w:rPr>
        <w:t>prodhimtarisë si pasojë e mungesës së njohurive teknologjike dhe aftësive të punës, si dhe për shkak të mospërputhjes së kërkesës së tregut për shërbime dhe produkte të cilësisë së lartë me aftësitë joadekuate të punës.</w:t>
      </w:r>
    </w:p>
    <w:p w14:paraId="1BADCACA" w14:textId="4298DC66" w:rsidR="00F61BDE" w:rsidRPr="00551729" w:rsidRDefault="00541C78" w:rsidP="00F61BDE">
      <w:pPr>
        <w:pStyle w:val="BodyText"/>
        <w:ind w:firstLine="284"/>
        <w:jc w:val="both"/>
        <w:rPr>
          <w:rFonts w:ascii="Garamond" w:hAnsi="Garamond"/>
          <w:sz w:val="24"/>
          <w:szCs w:val="24"/>
          <w:lang w:val="sq-AL"/>
        </w:rPr>
      </w:pPr>
      <w:r w:rsidRPr="00551729">
        <w:rPr>
          <w:rFonts w:ascii="Garamond" w:hAnsi="Garamond"/>
          <w:sz w:val="24"/>
          <w:szCs w:val="24"/>
          <w:lang w:val="sq-AL"/>
        </w:rPr>
        <w:t>-</w:t>
      </w:r>
      <w:r w:rsidR="007E6EAC">
        <w:rPr>
          <w:rFonts w:ascii="Garamond" w:hAnsi="Garamond"/>
          <w:sz w:val="24"/>
          <w:szCs w:val="24"/>
          <w:lang w:val="sq-AL"/>
        </w:rPr>
        <w:t xml:space="preserve"> </w:t>
      </w:r>
      <w:r w:rsidR="00F61BDE" w:rsidRPr="00551729">
        <w:rPr>
          <w:rFonts w:ascii="Garamond" w:hAnsi="Garamond"/>
          <w:b/>
          <w:sz w:val="24"/>
          <w:szCs w:val="24"/>
          <w:lang w:val="sq-AL"/>
        </w:rPr>
        <w:t xml:space="preserve">Konkurrenca është e ulët në të dyja anët e kufirit. </w:t>
      </w:r>
      <w:r w:rsidR="00F61BDE" w:rsidRPr="00551729">
        <w:rPr>
          <w:rFonts w:ascii="Garamond" w:hAnsi="Garamond"/>
          <w:sz w:val="24"/>
          <w:szCs w:val="24"/>
          <w:lang w:val="sq-AL"/>
        </w:rPr>
        <w:t>Produktivitet më i lartë dhe investime të mëtejshme në njohuritë mbi përdorimin e teknologjive të inovacionit është një parakusht për t'u bërë më konkurrues si në nivel kombëtar, ashtu edhe në nivel ndërkombëtar. Zakonisht, bizneset në zonat kufitare shfrytëzojnë mundësitë për tregti përtej kufirit dhe në arenën ndërkombëtare, por tregtia ndërmjet dy vendeve dhe palëve të treta është ende e kufizuar nga barrierat e shumta administrative.</w:t>
      </w:r>
    </w:p>
    <w:p w14:paraId="1BADCACB" w14:textId="628300DB" w:rsidR="00F61BDE" w:rsidRPr="00551729" w:rsidRDefault="00541C78" w:rsidP="00F61BDE">
      <w:pPr>
        <w:spacing w:after="0" w:line="240" w:lineRule="auto"/>
        <w:ind w:firstLine="284"/>
        <w:jc w:val="both"/>
        <w:rPr>
          <w:rFonts w:ascii="Garamond" w:hAnsi="Garamond"/>
          <w:sz w:val="24"/>
          <w:szCs w:val="24"/>
        </w:rPr>
      </w:pPr>
      <w:r w:rsidRPr="00551729">
        <w:rPr>
          <w:rFonts w:ascii="Garamond" w:hAnsi="Garamond"/>
          <w:sz w:val="24"/>
          <w:szCs w:val="24"/>
        </w:rPr>
        <w:t>-</w:t>
      </w:r>
      <w:r w:rsidR="00F61BDE" w:rsidRPr="00551729">
        <w:rPr>
          <w:rFonts w:ascii="Garamond" w:hAnsi="Garamond"/>
          <w:spacing w:val="-20"/>
          <w:sz w:val="24"/>
          <w:szCs w:val="24"/>
        </w:rPr>
        <w:t xml:space="preserve"> </w:t>
      </w:r>
      <w:r w:rsidR="00F61BDE" w:rsidRPr="00551729">
        <w:rPr>
          <w:rFonts w:ascii="Garamond" w:hAnsi="Garamond"/>
          <w:b/>
          <w:sz w:val="24"/>
          <w:szCs w:val="24"/>
        </w:rPr>
        <w:t xml:space="preserve">Forcimi i rrjeteve të NVM-ve dhe lidhjet e shërbimeve ekzistuese në zonat kufitare janë një potencial që përdoret shumë pak. </w:t>
      </w:r>
      <w:r w:rsidR="00F61BDE" w:rsidRPr="00551729">
        <w:rPr>
          <w:rFonts w:ascii="Garamond" w:hAnsi="Garamond"/>
          <w:sz w:val="24"/>
          <w:szCs w:val="24"/>
        </w:rPr>
        <w:t>Mbi 97% e NVM-ve të regjistruara punësojnë më pak se 4 persona. Niveli i bashkëpunimit përtej kufirit është minimal. Një sfidë kryesore është aksesi i</w:t>
      </w:r>
      <w:r w:rsidR="00C521D5" w:rsidRPr="00551729">
        <w:rPr>
          <w:rFonts w:ascii="Garamond" w:hAnsi="Garamond"/>
          <w:sz w:val="24"/>
          <w:szCs w:val="24"/>
        </w:rPr>
        <w:t xml:space="preserve"> </w:t>
      </w:r>
      <w:r w:rsidR="00F61BDE" w:rsidRPr="00551729">
        <w:rPr>
          <w:rFonts w:ascii="Garamond" w:hAnsi="Garamond"/>
          <w:sz w:val="24"/>
          <w:szCs w:val="24"/>
        </w:rPr>
        <w:t xml:space="preserve">varfër i NVM-ve në burimet financiare. Politikat tepër të kujdesshme në kredi-dhënie të miratuara nga institucionet financiare në të dyja vendet, janë një pengesë serioze në rritjen e ndërmarrjeve të vogla në zonën e programit. Promovimi i </w:t>
      </w:r>
      <w:r w:rsidR="00F61BDE" w:rsidRPr="00551729">
        <w:rPr>
          <w:rFonts w:ascii="Garamond" w:hAnsi="Garamond"/>
          <w:i/>
          <w:sz w:val="24"/>
          <w:szCs w:val="24"/>
        </w:rPr>
        <w:t xml:space="preserve">biznesit virtual </w:t>
      </w:r>
      <w:r w:rsidR="00F61BDE" w:rsidRPr="00551729">
        <w:rPr>
          <w:rFonts w:ascii="Garamond" w:hAnsi="Garamond"/>
          <w:sz w:val="24"/>
          <w:szCs w:val="24"/>
        </w:rPr>
        <w:t>është një sfidë. Me pak fjalë, në aspektin e zhvillimit të sektorit privat ka sinergji të qarta për t'u zhvilluar brenda zonës së programit, të cilat duhen mbështetur nga programi</w:t>
      </w:r>
      <w:r w:rsidR="00F61BDE" w:rsidRPr="00551729">
        <w:rPr>
          <w:rFonts w:ascii="Garamond" w:hAnsi="Garamond"/>
          <w:spacing w:val="-9"/>
          <w:sz w:val="24"/>
          <w:szCs w:val="24"/>
        </w:rPr>
        <w:t xml:space="preserve"> </w:t>
      </w:r>
      <w:r w:rsidR="00F61BDE" w:rsidRPr="00551729">
        <w:rPr>
          <w:rFonts w:ascii="Garamond" w:hAnsi="Garamond"/>
          <w:sz w:val="24"/>
          <w:szCs w:val="24"/>
        </w:rPr>
        <w:t>BNK.</w:t>
      </w:r>
    </w:p>
    <w:p w14:paraId="1BADCACC" w14:textId="304F5F75" w:rsidR="00F61BDE" w:rsidRPr="00551729" w:rsidRDefault="00541C78" w:rsidP="00F61BDE">
      <w:pPr>
        <w:pStyle w:val="BodyText"/>
        <w:ind w:firstLine="284"/>
        <w:jc w:val="both"/>
        <w:rPr>
          <w:rFonts w:ascii="Garamond" w:hAnsi="Garamond"/>
          <w:sz w:val="24"/>
          <w:szCs w:val="24"/>
          <w:lang w:val="sq-AL"/>
        </w:rPr>
      </w:pPr>
      <w:r w:rsidRPr="00551729">
        <w:rPr>
          <w:rFonts w:ascii="Garamond" w:hAnsi="Garamond"/>
          <w:sz w:val="24"/>
          <w:szCs w:val="24"/>
          <w:lang w:val="sq-AL"/>
        </w:rPr>
        <w:t>-</w:t>
      </w:r>
      <w:r w:rsidR="00024F23">
        <w:rPr>
          <w:rFonts w:ascii="Garamond" w:hAnsi="Garamond"/>
          <w:sz w:val="24"/>
          <w:szCs w:val="24"/>
          <w:lang w:val="sq-AL"/>
        </w:rPr>
        <w:t xml:space="preserve"> </w:t>
      </w:r>
      <w:r w:rsidR="00F61BDE" w:rsidRPr="00551729">
        <w:rPr>
          <w:rFonts w:ascii="Garamond" w:hAnsi="Garamond"/>
          <w:b/>
          <w:sz w:val="24"/>
          <w:szCs w:val="24"/>
          <w:lang w:val="sq-AL"/>
        </w:rPr>
        <w:t xml:space="preserve">Të dyja anët e zonës së programit janë duke u bërë gjithnjë e më tërheqëse për investitorët e huaj, </w:t>
      </w:r>
      <w:r w:rsidR="00F61BDE" w:rsidRPr="00551729">
        <w:rPr>
          <w:rFonts w:ascii="Garamond" w:hAnsi="Garamond"/>
          <w:sz w:val="24"/>
          <w:szCs w:val="24"/>
          <w:lang w:val="sq-AL"/>
        </w:rPr>
        <w:t>por tek të dyja anët ka nevojë për përmirësimin e kushteve, veçanërisht të infrastrukturës, për të bërë biznes. Investimet në turizëm, në energjinë e rinovueshme dhe në bujqësi mund t</w:t>
      </w:r>
      <w:r w:rsidR="007F4192">
        <w:rPr>
          <w:rFonts w:ascii="Garamond" w:hAnsi="Garamond"/>
          <w:sz w:val="24"/>
          <w:szCs w:val="24"/>
          <w:lang w:val="sq-AL"/>
        </w:rPr>
        <w:t>’</w:t>
      </w:r>
      <w:r w:rsidR="00F61BDE" w:rsidRPr="00551729">
        <w:rPr>
          <w:rFonts w:ascii="Garamond" w:hAnsi="Garamond"/>
          <w:sz w:val="24"/>
          <w:szCs w:val="24"/>
          <w:lang w:val="sq-AL"/>
        </w:rPr>
        <w:t>i bëjnë këto të fundit sektorët potencialë për tërheqjen e më shumë IHD-ve (Investime të Huaja Direkte). Industritë e përpunimit të dritës dhe ushqimit janë konsideruar gjithashtu si një potencial për rritjen e përshpejtuar ekonomike të zonës së</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programit.</w:t>
      </w:r>
    </w:p>
    <w:p w14:paraId="1BADCACD" w14:textId="56C4B0A4" w:rsidR="00F61BDE" w:rsidRPr="00551729" w:rsidRDefault="00541C78" w:rsidP="00F61BDE">
      <w:pPr>
        <w:pStyle w:val="BodyText"/>
        <w:ind w:firstLine="284"/>
        <w:jc w:val="both"/>
        <w:rPr>
          <w:rFonts w:ascii="Garamond" w:hAnsi="Garamond"/>
          <w:sz w:val="24"/>
          <w:szCs w:val="24"/>
          <w:lang w:val="sq-AL"/>
        </w:rPr>
      </w:pPr>
      <w:r w:rsidRPr="00551729">
        <w:rPr>
          <w:rFonts w:ascii="Garamond" w:hAnsi="Garamond"/>
          <w:sz w:val="24"/>
          <w:szCs w:val="24"/>
          <w:lang w:val="sq-AL"/>
        </w:rPr>
        <w:t>-</w:t>
      </w:r>
      <w:r w:rsidR="00F61BDE" w:rsidRPr="00551729">
        <w:rPr>
          <w:rFonts w:ascii="Garamond" w:hAnsi="Garamond"/>
          <w:b/>
          <w:sz w:val="24"/>
          <w:szCs w:val="24"/>
          <w:lang w:val="sq-AL"/>
        </w:rPr>
        <w:t>Bujqësia është një potencial i madh ekonomik në zonën e programit, por përdoret pak</w:t>
      </w:r>
      <w:r w:rsidR="00F61BDE" w:rsidRPr="00551729">
        <w:rPr>
          <w:rFonts w:ascii="Garamond" w:hAnsi="Garamond"/>
          <w:sz w:val="24"/>
          <w:szCs w:val="24"/>
          <w:lang w:val="sq-AL"/>
        </w:rPr>
        <w:t>. 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sesa konkurruese. Sfidat kryesore përfshijnë: përmirësimin e aksesit në</w:t>
      </w:r>
      <w:r w:rsidR="00C521D5" w:rsidRPr="00551729">
        <w:rPr>
          <w:rFonts w:ascii="Garamond" w:hAnsi="Garamond"/>
          <w:sz w:val="24"/>
          <w:szCs w:val="24"/>
          <w:lang w:val="sq-AL"/>
        </w:rPr>
        <w:t xml:space="preserve"> </w:t>
      </w:r>
      <w:r w:rsidR="00F61BDE" w:rsidRPr="00551729">
        <w:rPr>
          <w:rFonts w:ascii="Garamond" w:hAnsi="Garamond"/>
          <w:sz w:val="24"/>
          <w:szCs w:val="24"/>
          <w:lang w:val="sq-AL"/>
        </w:rPr>
        <w:t>treg; forcimin e sistemit të sigurisë ushqimore dhe organeve inspektues; dhe në përgjithësi rritjen e konkurrencës në sektorin e bujqësisë. Ndërhyrja e ardhshme duhet të synojë përmirësimin e efikasitetit në bujqësi dhe pylltari, si dhe të zhvillojë burime shtesë të të ardhurave nga ruajtja e pasurive natyrore dhe</w:t>
      </w:r>
      <w:r w:rsidR="00F61BDE" w:rsidRPr="00551729">
        <w:rPr>
          <w:rFonts w:ascii="Garamond" w:hAnsi="Garamond"/>
          <w:spacing w:val="-8"/>
          <w:sz w:val="24"/>
          <w:szCs w:val="24"/>
          <w:lang w:val="sq-AL"/>
        </w:rPr>
        <w:t xml:space="preserve"> </w:t>
      </w:r>
      <w:r w:rsidR="00F61BDE" w:rsidRPr="00551729">
        <w:rPr>
          <w:rFonts w:ascii="Garamond" w:hAnsi="Garamond"/>
          <w:sz w:val="24"/>
          <w:szCs w:val="24"/>
          <w:lang w:val="sq-AL"/>
        </w:rPr>
        <w:t>turizmit.</w:t>
      </w:r>
    </w:p>
    <w:p w14:paraId="1BADCACE" w14:textId="3431A521" w:rsidR="00F61BDE" w:rsidRPr="00551729" w:rsidRDefault="00541C78" w:rsidP="00541C78">
      <w:pPr>
        <w:pStyle w:val="BodyText"/>
        <w:ind w:firstLine="284"/>
        <w:jc w:val="both"/>
        <w:rPr>
          <w:rFonts w:ascii="Garamond" w:hAnsi="Garamond"/>
          <w:sz w:val="24"/>
          <w:szCs w:val="24"/>
          <w:lang w:val="sq-AL"/>
        </w:rPr>
      </w:pPr>
      <w:r w:rsidRPr="00551729">
        <w:rPr>
          <w:rFonts w:ascii="Garamond" w:hAnsi="Garamond"/>
          <w:sz w:val="24"/>
          <w:szCs w:val="24"/>
          <w:lang w:val="sq-AL"/>
        </w:rPr>
        <w:t>-</w:t>
      </w:r>
      <w:r w:rsidR="00D96FA4">
        <w:rPr>
          <w:rFonts w:ascii="Garamond" w:hAnsi="Garamond"/>
          <w:sz w:val="24"/>
          <w:szCs w:val="24"/>
          <w:lang w:val="sq-AL"/>
        </w:rPr>
        <w:t xml:space="preserve"> </w:t>
      </w:r>
      <w:r w:rsidR="00F61BDE" w:rsidRPr="00551729">
        <w:rPr>
          <w:rFonts w:ascii="Garamond" w:hAnsi="Garamond"/>
          <w:b/>
          <w:sz w:val="24"/>
          <w:szCs w:val="24"/>
          <w:lang w:val="sq-AL"/>
        </w:rPr>
        <w:t xml:space="preserve">Papunësia mbetet një problem i mprehtë </w:t>
      </w:r>
      <w:r w:rsidR="00F61BDE" w:rsidRPr="00551729">
        <w:rPr>
          <w:rFonts w:ascii="Garamond" w:hAnsi="Garamond"/>
          <w:sz w:val="24"/>
          <w:szCs w:val="24"/>
          <w:lang w:val="sq-AL"/>
        </w:rPr>
        <w:t>për popullsinë e zonës së programit, veçanërisht për grupet e ndjeshme sociale siç janë të rinjtë, popullsia rurale, dhe gratë. Pasiguria e punësimit konsiderohet si arsyeja kryesore për shkallën e lartë të migracionit, veçanërisht në zonat</w:t>
      </w:r>
      <w:r w:rsidR="00C521D5" w:rsidRPr="00551729">
        <w:rPr>
          <w:rFonts w:ascii="Garamond" w:hAnsi="Garamond"/>
          <w:sz w:val="24"/>
          <w:szCs w:val="24"/>
          <w:lang w:val="sq-AL"/>
        </w:rPr>
        <w:t xml:space="preserve"> </w:t>
      </w:r>
      <w:r w:rsidR="00F61BDE" w:rsidRPr="00551729">
        <w:rPr>
          <w:rFonts w:ascii="Garamond" w:hAnsi="Garamond"/>
          <w:sz w:val="24"/>
          <w:szCs w:val="24"/>
          <w:lang w:val="sq-AL"/>
        </w:rPr>
        <w:t>rurale ose më pak të zhvilluara, ku niveli i papunësisë është i lartë si rezultat i mjeteve të jetesës dhe prodhimeve</w:t>
      </w:r>
      <w:r w:rsidR="00F61BDE" w:rsidRPr="00551729">
        <w:rPr>
          <w:rFonts w:ascii="Garamond" w:hAnsi="Garamond"/>
          <w:spacing w:val="13"/>
          <w:sz w:val="24"/>
          <w:szCs w:val="24"/>
          <w:lang w:val="sq-AL"/>
        </w:rPr>
        <w:t xml:space="preserve"> </w:t>
      </w:r>
      <w:r w:rsidR="00F61BDE" w:rsidRPr="00551729">
        <w:rPr>
          <w:rFonts w:ascii="Garamond" w:hAnsi="Garamond"/>
          <w:sz w:val="24"/>
          <w:szCs w:val="24"/>
          <w:lang w:val="sq-AL"/>
        </w:rPr>
        <w:t>bujqësore</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të</w:t>
      </w:r>
      <w:r w:rsidR="00F61BDE" w:rsidRPr="00551729">
        <w:rPr>
          <w:rFonts w:ascii="Garamond" w:hAnsi="Garamond"/>
          <w:spacing w:val="13"/>
          <w:sz w:val="24"/>
          <w:szCs w:val="24"/>
          <w:lang w:val="sq-AL"/>
        </w:rPr>
        <w:t xml:space="preserve"> </w:t>
      </w:r>
      <w:r w:rsidR="00F61BDE" w:rsidRPr="00551729">
        <w:rPr>
          <w:rFonts w:ascii="Garamond" w:hAnsi="Garamond"/>
          <w:sz w:val="24"/>
          <w:szCs w:val="24"/>
          <w:lang w:val="sq-AL"/>
        </w:rPr>
        <w:t>një</w:t>
      </w:r>
      <w:r w:rsidR="00F61BDE" w:rsidRPr="00551729">
        <w:rPr>
          <w:rFonts w:ascii="Garamond" w:hAnsi="Garamond"/>
          <w:spacing w:val="16"/>
          <w:sz w:val="24"/>
          <w:szCs w:val="24"/>
          <w:lang w:val="sq-AL"/>
        </w:rPr>
        <w:t xml:space="preserve"> </w:t>
      </w:r>
      <w:r w:rsidR="00F61BDE" w:rsidRPr="00551729">
        <w:rPr>
          <w:rFonts w:ascii="Garamond" w:hAnsi="Garamond"/>
          <w:sz w:val="24"/>
          <w:szCs w:val="24"/>
          <w:lang w:val="sq-AL"/>
        </w:rPr>
        <w:t>niveli</w:t>
      </w:r>
      <w:r w:rsidR="00F61BDE" w:rsidRPr="00551729">
        <w:rPr>
          <w:rFonts w:ascii="Garamond" w:hAnsi="Garamond"/>
          <w:spacing w:val="12"/>
          <w:sz w:val="24"/>
          <w:szCs w:val="24"/>
          <w:lang w:val="sq-AL"/>
        </w:rPr>
        <w:t xml:space="preserve"> </w:t>
      </w:r>
      <w:r w:rsidR="00F61BDE" w:rsidRPr="00551729">
        <w:rPr>
          <w:rFonts w:ascii="Garamond" w:hAnsi="Garamond"/>
          <w:sz w:val="24"/>
          <w:szCs w:val="24"/>
          <w:lang w:val="sq-AL"/>
        </w:rPr>
        <w:t>të</w:t>
      </w:r>
      <w:r w:rsidR="00F61BDE" w:rsidRPr="00551729">
        <w:rPr>
          <w:rFonts w:ascii="Garamond" w:hAnsi="Garamond"/>
          <w:spacing w:val="16"/>
          <w:sz w:val="24"/>
          <w:szCs w:val="24"/>
          <w:lang w:val="sq-AL"/>
        </w:rPr>
        <w:t xml:space="preserve"> </w:t>
      </w:r>
      <w:r w:rsidR="00F61BDE" w:rsidRPr="00551729">
        <w:rPr>
          <w:rFonts w:ascii="Garamond" w:hAnsi="Garamond"/>
          <w:sz w:val="24"/>
          <w:szCs w:val="24"/>
          <w:lang w:val="sq-AL"/>
        </w:rPr>
        <w:t>ulët</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që</w:t>
      </w:r>
      <w:r w:rsidR="00F61BDE" w:rsidRPr="00551729">
        <w:rPr>
          <w:rFonts w:ascii="Garamond" w:hAnsi="Garamond"/>
          <w:spacing w:val="13"/>
          <w:sz w:val="24"/>
          <w:szCs w:val="24"/>
          <w:lang w:val="sq-AL"/>
        </w:rPr>
        <w:t xml:space="preserve"> </w:t>
      </w:r>
      <w:r w:rsidR="00F61BDE" w:rsidRPr="00551729">
        <w:rPr>
          <w:rFonts w:ascii="Garamond" w:hAnsi="Garamond"/>
          <w:sz w:val="24"/>
          <w:szCs w:val="24"/>
          <w:lang w:val="sq-AL"/>
        </w:rPr>
        <w:t>ofrojnë</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një</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formë</w:t>
      </w:r>
      <w:r w:rsidR="00F61BDE" w:rsidRPr="00551729">
        <w:rPr>
          <w:rFonts w:ascii="Garamond" w:hAnsi="Garamond"/>
          <w:spacing w:val="13"/>
          <w:sz w:val="24"/>
          <w:szCs w:val="24"/>
          <w:lang w:val="sq-AL"/>
        </w:rPr>
        <w:t xml:space="preserve"> </w:t>
      </w:r>
      <w:r w:rsidR="00F61BDE" w:rsidRPr="00551729">
        <w:rPr>
          <w:rFonts w:ascii="Garamond" w:hAnsi="Garamond"/>
          <w:sz w:val="24"/>
          <w:szCs w:val="24"/>
          <w:lang w:val="sq-AL"/>
        </w:rPr>
        <w:t>të</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sigurimit</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shoqëror</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për</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pjesën</w:t>
      </w:r>
      <w:r w:rsidRPr="00551729">
        <w:rPr>
          <w:rFonts w:ascii="Garamond" w:hAnsi="Garamond"/>
          <w:sz w:val="24"/>
          <w:szCs w:val="24"/>
          <w:lang w:val="sq-AL"/>
        </w:rPr>
        <w:t xml:space="preserve"> </w:t>
      </w:r>
      <w:r w:rsidR="00F61BDE" w:rsidRPr="00551729">
        <w:rPr>
          <w:rFonts w:ascii="Garamond" w:hAnsi="Garamond"/>
          <w:sz w:val="24"/>
          <w:szCs w:val="24"/>
          <w:lang w:val="sq-AL"/>
        </w:rPr>
        <w:t>më të madhe të popullsisë rurale dhe të punës, si një amortizator kundër normave të larta të papunësisë së regjistruar.</w:t>
      </w:r>
    </w:p>
    <w:p w14:paraId="1BADCACF" w14:textId="57B31FE7" w:rsidR="00F61BDE" w:rsidRPr="00551729" w:rsidRDefault="00FD35BF" w:rsidP="00F61BDE">
      <w:pPr>
        <w:pStyle w:val="BodyText"/>
        <w:ind w:firstLine="284"/>
        <w:jc w:val="both"/>
        <w:rPr>
          <w:rFonts w:ascii="Garamond" w:hAnsi="Garamond"/>
          <w:sz w:val="24"/>
          <w:szCs w:val="24"/>
          <w:lang w:val="sq-AL"/>
        </w:rPr>
      </w:pPr>
      <w:r>
        <w:rPr>
          <w:rFonts w:ascii="Garamond" w:hAnsi="Garamond"/>
          <w:b/>
          <w:sz w:val="24"/>
          <w:szCs w:val="24"/>
          <w:lang w:val="sq-AL"/>
        </w:rPr>
        <w:t xml:space="preserve">- </w:t>
      </w:r>
      <w:r w:rsidR="00F61BDE" w:rsidRPr="00551729">
        <w:rPr>
          <w:rFonts w:ascii="Garamond" w:hAnsi="Garamond"/>
          <w:b/>
          <w:sz w:val="24"/>
          <w:szCs w:val="24"/>
          <w:lang w:val="sq-AL"/>
        </w:rPr>
        <w:t xml:space="preserve">Mbrojtja e mjedisit ka nevojë për vëmendje serioze në planet e ardhshëm të zhvillimit të zonës së programit. </w:t>
      </w:r>
      <w:r w:rsidR="00F61BDE" w:rsidRPr="00551729">
        <w:rPr>
          <w:rFonts w:ascii="Garamond" w:hAnsi="Garamond"/>
          <w:sz w:val="24"/>
          <w:szCs w:val="24"/>
          <w:lang w:val="sq-AL"/>
        </w:rPr>
        <w:t>Me zhvillimin e përgjithshëm të zonës së programit mbështetur kryesisht në</w:t>
      </w:r>
      <w:r w:rsidR="00C521D5" w:rsidRPr="00551729">
        <w:rPr>
          <w:rFonts w:ascii="Garamond" w:hAnsi="Garamond"/>
          <w:sz w:val="24"/>
          <w:szCs w:val="24"/>
          <w:lang w:val="sq-AL"/>
        </w:rPr>
        <w:t xml:space="preserve"> </w:t>
      </w:r>
      <w:r w:rsidR="00F61BDE" w:rsidRPr="00551729">
        <w:rPr>
          <w:rFonts w:ascii="Garamond" w:hAnsi="Garamond"/>
          <w:sz w:val="24"/>
          <w:szCs w:val="24"/>
          <w:lang w:val="sq-AL"/>
        </w:rPr>
        <w:t>burimet natyrore, mbrojtja e mjedisit dhe ruajtja e këtyre burimeve është vendimtare për zhvillimin e qëndrueshëm të zonës. Sfidat në këtë fushë përfshijnë: nevojën për të rritur zbatimin</w:t>
      </w:r>
      <w:r w:rsidR="00C521D5" w:rsidRPr="00551729">
        <w:rPr>
          <w:rFonts w:ascii="Garamond" w:hAnsi="Garamond"/>
          <w:sz w:val="24"/>
          <w:szCs w:val="24"/>
          <w:lang w:val="sq-AL"/>
        </w:rPr>
        <w:t xml:space="preserve"> </w:t>
      </w:r>
      <w:r w:rsidR="00F61BDE" w:rsidRPr="00551729">
        <w:rPr>
          <w:rFonts w:ascii="Garamond" w:hAnsi="Garamond"/>
          <w:sz w:val="24"/>
          <w:szCs w:val="24"/>
          <w:lang w:val="sq-AL"/>
        </w:rPr>
        <w:t>e rregullave dhe standardeve për mjedisin, për të siguruar menaxhim më të mirë të pyjeve dhe zonave të mbrojtura, në mënyrë që të parandalohet degradimi i mjedisit; parandalimin e shfrytëzimit të pakontrolluar të burimeve natyrore në zonën e programit; rritjen e ndërgjegjësimit të aktorëve lokalë për përdorim më të mirë të burimeve natyrore. Përmirësimi i menaxhimit të mbeturinave, kontrolli i ndotjes, dhe përmirësimi i menaxhimit të tokave janë ndër prioritetet kryesore për t</w:t>
      </w:r>
      <w:r w:rsidR="00D96FA4">
        <w:rPr>
          <w:rFonts w:ascii="Garamond" w:hAnsi="Garamond"/>
          <w:sz w:val="24"/>
          <w:szCs w:val="24"/>
          <w:lang w:val="sq-AL"/>
        </w:rPr>
        <w:t>’</w:t>
      </w:r>
      <w:r w:rsidR="00F61BDE" w:rsidRPr="00551729">
        <w:rPr>
          <w:rFonts w:ascii="Garamond" w:hAnsi="Garamond"/>
          <w:sz w:val="24"/>
          <w:szCs w:val="24"/>
          <w:lang w:val="sq-AL"/>
        </w:rPr>
        <w:t>u adresuar nga planet zhvillimore qeveritare dhe lokale. Vleftësimi i mëtejshëm i burimeve natyrore në funksion të zhvillimit ekonomik është një çështje kyçe për</w:t>
      </w:r>
      <w:r w:rsidR="00C521D5" w:rsidRPr="00551729">
        <w:rPr>
          <w:rFonts w:ascii="Garamond" w:hAnsi="Garamond"/>
          <w:sz w:val="24"/>
          <w:szCs w:val="24"/>
          <w:lang w:val="sq-AL"/>
        </w:rPr>
        <w:t xml:space="preserve"> </w:t>
      </w:r>
      <w:r w:rsidR="00F61BDE" w:rsidRPr="00551729">
        <w:rPr>
          <w:rFonts w:ascii="Garamond" w:hAnsi="Garamond"/>
          <w:sz w:val="24"/>
          <w:szCs w:val="24"/>
          <w:lang w:val="sq-AL"/>
        </w:rPr>
        <w:t>zhvillimin e zonës, veçanërisht në anën shqiptare të</w:t>
      </w:r>
      <w:r w:rsidR="00F61BDE" w:rsidRPr="00551729">
        <w:rPr>
          <w:rFonts w:ascii="Garamond" w:hAnsi="Garamond"/>
          <w:spacing w:val="-11"/>
          <w:sz w:val="24"/>
          <w:szCs w:val="24"/>
          <w:lang w:val="sq-AL"/>
        </w:rPr>
        <w:t xml:space="preserve"> </w:t>
      </w:r>
      <w:r w:rsidR="00F61BDE" w:rsidRPr="00551729">
        <w:rPr>
          <w:rFonts w:ascii="Garamond" w:hAnsi="Garamond"/>
          <w:sz w:val="24"/>
          <w:szCs w:val="24"/>
          <w:lang w:val="sq-AL"/>
        </w:rPr>
        <w:t>kufirit.</w:t>
      </w:r>
    </w:p>
    <w:p w14:paraId="1BADCAD0" w14:textId="349BCA78" w:rsidR="00F61BDE" w:rsidRPr="00551729" w:rsidRDefault="00FD35BF" w:rsidP="00F61BDE">
      <w:pPr>
        <w:pStyle w:val="BodyText"/>
        <w:ind w:firstLine="284"/>
        <w:jc w:val="both"/>
        <w:rPr>
          <w:rFonts w:ascii="Garamond" w:hAnsi="Garamond"/>
          <w:sz w:val="24"/>
          <w:szCs w:val="24"/>
          <w:lang w:val="sq-AL"/>
        </w:rPr>
      </w:pPr>
      <w:r>
        <w:rPr>
          <w:rFonts w:ascii="Garamond" w:hAnsi="Garamond"/>
          <w:b/>
          <w:sz w:val="24"/>
          <w:szCs w:val="24"/>
          <w:lang w:val="sq-AL"/>
        </w:rPr>
        <w:t xml:space="preserve">- </w:t>
      </w:r>
      <w:r w:rsidR="00F61BDE" w:rsidRPr="00551729">
        <w:rPr>
          <w:rFonts w:ascii="Garamond" w:hAnsi="Garamond"/>
          <w:b/>
          <w:sz w:val="24"/>
          <w:szCs w:val="24"/>
          <w:lang w:val="sq-AL"/>
        </w:rPr>
        <w:t xml:space="preserve">Infrastruktura e varfër është një sfidë kryesore për zhvillimin ekonomik dhe social </w:t>
      </w:r>
      <w:r w:rsidR="00F61BDE" w:rsidRPr="00551729">
        <w:rPr>
          <w:rFonts w:ascii="Garamond" w:hAnsi="Garamond"/>
          <w:sz w:val="24"/>
          <w:szCs w:val="24"/>
          <w:lang w:val="sq-AL"/>
        </w:rPr>
        <w:t>të zonës së programit. Zhvillimi i qëndrueshëm 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shërbimeve për të mbështetur zhvillimin dhe inovacionin e biznesit, mund të kontribuojë në një rritje të përgjithshme të pasurisë dhe ekonomisë në</w:t>
      </w:r>
      <w:r w:rsidR="00F61BDE" w:rsidRPr="00551729">
        <w:rPr>
          <w:rFonts w:ascii="Garamond" w:hAnsi="Garamond"/>
          <w:spacing w:val="-25"/>
          <w:sz w:val="24"/>
          <w:szCs w:val="24"/>
          <w:lang w:val="sq-AL"/>
        </w:rPr>
        <w:t xml:space="preserve"> </w:t>
      </w:r>
      <w:r w:rsidR="00F61BDE" w:rsidRPr="00551729">
        <w:rPr>
          <w:rFonts w:ascii="Garamond" w:hAnsi="Garamond"/>
          <w:sz w:val="24"/>
          <w:szCs w:val="24"/>
          <w:lang w:val="sq-AL"/>
        </w:rPr>
        <w:t>zonë.</w:t>
      </w:r>
    </w:p>
    <w:p w14:paraId="1BADCAD1" w14:textId="637257B6" w:rsidR="00F61BDE" w:rsidRPr="00551729" w:rsidRDefault="00FD35BF" w:rsidP="00F61BDE">
      <w:pPr>
        <w:pStyle w:val="BodyText"/>
        <w:ind w:firstLine="284"/>
        <w:jc w:val="both"/>
        <w:rPr>
          <w:rFonts w:ascii="Garamond" w:hAnsi="Garamond"/>
          <w:sz w:val="24"/>
          <w:szCs w:val="24"/>
          <w:lang w:val="sq-AL"/>
        </w:rPr>
      </w:pPr>
      <w:r>
        <w:rPr>
          <w:rFonts w:ascii="Garamond" w:hAnsi="Garamond"/>
          <w:b/>
          <w:sz w:val="24"/>
          <w:szCs w:val="24"/>
          <w:lang w:val="sq-AL"/>
        </w:rPr>
        <w:t xml:space="preserve">- </w:t>
      </w:r>
      <w:r w:rsidR="00F61BDE" w:rsidRPr="00551729">
        <w:rPr>
          <w:rFonts w:ascii="Garamond" w:hAnsi="Garamond"/>
          <w:b/>
          <w:sz w:val="24"/>
          <w:szCs w:val="24"/>
          <w:lang w:val="sq-AL"/>
        </w:rPr>
        <w:t>Zona e programit ka potencial të lartë turistik, por këto mundësi janë përdorur kryesisht në</w:t>
      </w:r>
      <w:r w:rsidR="00C521D5" w:rsidRPr="00551729">
        <w:rPr>
          <w:rFonts w:ascii="Garamond" w:hAnsi="Garamond"/>
          <w:b/>
          <w:sz w:val="24"/>
          <w:szCs w:val="24"/>
          <w:lang w:val="sq-AL"/>
        </w:rPr>
        <w:t xml:space="preserve"> </w:t>
      </w:r>
      <w:r w:rsidR="00F61BDE" w:rsidRPr="00551729">
        <w:rPr>
          <w:rFonts w:ascii="Garamond" w:hAnsi="Garamond"/>
          <w:b/>
          <w:sz w:val="24"/>
          <w:szCs w:val="24"/>
          <w:lang w:val="sq-AL"/>
        </w:rPr>
        <w:t>anën e Malit të Zi</w:t>
      </w:r>
      <w:r w:rsidR="00F61BDE" w:rsidRPr="00551729">
        <w:rPr>
          <w:rFonts w:ascii="Garamond" w:hAnsi="Garamond"/>
          <w:sz w:val="24"/>
          <w:szCs w:val="24"/>
          <w:lang w:val="sq-AL"/>
        </w:rPr>
        <w:t xml:space="preserve">, ndërsa turizmi në anën e Shqipërisë është zhvilluar pak, pavarësisht potencialit të madh që ka. Iniciativa BNK me qëllim për të prodhuar një ofertë të përbashkët turistike, duhet të konsiderohet. Sfidat kryesore mbeten: zhvillimi i pa balancuar i turizmit, me mbizotërimin e turizmit bregdetar dhe nevojën për të zhvilluar lloje të ndryshme të turizmit (malor, kulinar dhe agroturizëm) në të gjithë zonën e programit; infrastruktura e dobët e turizmit (veçanërisht në anën shqiptare); vizibiliteti i ulët i trashëgimisë së pasur historike dhe kulturore dhe i veçorive tradicionale; nevoja për të rritur të ardhurat në zonën e programit, duke nxitur aktivitetet për të ruajtur traditën, dhe trashëgiminë kulturore dhe natyrore. Sinergji të dukshme, me mundësi që të mbështeten nga bashkëpunimi ndërkufitar (programi BNK), mund të ndërtohen midis rajoneve në Shqipëri dhe zonave bregdetare në Mal të Zi, por edhe me </w:t>
      </w:r>
      <w:r w:rsidR="00C521D5" w:rsidRPr="00551729">
        <w:rPr>
          <w:rFonts w:ascii="Garamond" w:hAnsi="Garamond"/>
          <w:sz w:val="24"/>
          <w:szCs w:val="24"/>
          <w:lang w:val="sq-AL"/>
        </w:rPr>
        <w:t>“</w:t>
      </w:r>
      <w:r w:rsidR="00F61BDE" w:rsidRPr="00551729">
        <w:rPr>
          <w:rFonts w:ascii="Garamond" w:hAnsi="Garamond"/>
          <w:sz w:val="24"/>
          <w:szCs w:val="24"/>
          <w:lang w:val="sq-AL"/>
        </w:rPr>
        <w:t>zonat më pak turistike</w:t>
      </w:r>
      <w:r w:rsidR="00C521D5" w:rsidRPr="00551729">
        <w:rPr>
          <w:rFonts w:ascii="Garamond" w:hAnsi="Garamond"/>
          <w:sz w:val="24"/>
          <w:szCs w:val="24"/>
          <w:lang w:val="sq-AL"/>
        </w:rPr>
        <w:t>”</w:t>
      </w:r>
      <w:r w:rsidR="00327C8B">
        <w:rPr>
          <w:rFonts w:ascii="Garamond" w:hAnsi="Garamond"/>
          <w:sz w:val="24"/>
          <w:szCs w:val="24"/>
          <w:lang w:val="sq-AL"/>
        </w:rPr>
        <w:t xml:space="preserve"> në veri</w:t>
      </w:r>
      <w:r w:rsidR="00F61BDE" w:rsidRPr="00551729">
        <w:rPr>
          <w:rFonts w:ascii="Garamond" w:hAnsi="Garamond"/>
          <w:sz w:val="24"/>
          <w:szCs w:val="24"/>
          <w:lang w:val="sq-AL"/>
        </w:rPr>
        <w:t>lindje të Malit të Zi, të cilat kanë karakteristika të ngjashme me veriun e Shqipërisë, në aspektin e mjedisit, natyrës së egër dhe</w:t>
      </w:r>
      <w:r w:rsidR="00F61BDE" w:rsidRPr="00551729">
        <w:rPr>
          <w:rFonts w:ascii="Garamond" w:hAnsi="Garamond"/>
          <w:spacing w:val="-15"/>
          <w:sz w:val="24"/>
          <w:szCs w:val="24"/>
          <w:lang w:val="sq-AL"/>
        </w:rPr>
        <w:t xml:space="preserve"> </w:t>
      </w:r>
      <w:r w:rsidR="00F61BDE" w:rsidRPr="00551729">
        <w:rPr>
          <w:rFonts w:ascii="Garamond" w:hAnsi="Garamond"/>
          <w:sz w:val="24"/>
          <w:szCs w:val="24"/>
          <w:lang w:val="sq-AL"/>
        </w:rPr>
        <w:t>maleve.</w:t>
      </w:r>
    </w:p>
    <w:p w14:paraId="1BADCAD2" w14:textId="3C8F6068" w:rsidR="00F61BDE" w:rsidRPr="00551729" w:rsidRDefault="00FD35BF" w:rsidP="00541C78">
      <w:pPr>
        <w:spacing w:after="0" w:line="240" w:lineRule="auto"/>
        <w:ind w:firstLine="284"/>
        <w:jc w:val="both"/>
        <w:rPr>
          <w:rFonts w:ascii="Garamond" w:hAnsi="Garamond"/>
          <w:sz w:val="24"/>
          <w:szCs w:val="24"/>
        </w:rPr>
      </w:pPr>
      <w:r>
        <w:rPr>
          <w:rFonts w:ascii="Garamond" w:hAnsi="Garamond"/>
          <w:b/>
          <w:sz w:val="24"/>
          <w:szCs w:val="24"/>
        </w:rPr>
        <w:t xml:space="preserve">- </w:t>
      </w:r>
      <w:r w:rsidR="00F61BDE" w:rsidRPr="00551729">
        <w:rPr>
          <w:rFonts w:ascii="Garamond" w:hAnsi="Garamond"/>
          <w:b/>
          <w:sz w:val="24"/>
          <w:szCs w:val="24"/>
        </w:rPr>
        <w:t xml:space="preserve">Ekziston një trashëgimi e pasur historike-kulturore-artistike në zonën në kufi, e cila duhet të ruhet. </w:t>
      </w:r>
      <w:r w:rsidR="00F61BDE" w:rsidRPr="00551729">
        <w:rPr>
          <w:rFonts w:ascii="Garamond" w:hAnsi="Garamond"/>
          <w:sz w:val="24"/>
          <w:szCs w:val="24"/>
        </w:rPr>
        <w:t>Vleftësimi i mëtejshëm i trashëgimisë historike dhe kulturore mund të kontribuojë në forcimin</w:t>
      </w:r>
      <w:r w:rsidR="00F61BDE" w:rsidRPr="00551729">
        <w:rPr>
          <w:rFonts w:ascii="Garamond" w:hAnsi="Garamond"/>
          <w:spacing w:val="14"/>
          <w:sz w:val="24"/>
          <w:szCs w:val="24"/>
        </w:rPr>
        <w:t xml:space="preserve"> </w:t>
      </w:r>
      <w:r w:rsidR="00F61BDE" w:rsidRPr="00551729">
        <w:rPr>
          <w:rFonts w:ascii="Garamond" w:hAnsi="Garamond"/>
          <w:sz w:val="24"/>
          <w:szCs w:val="24"/>
        </w:rPr>
        <w:t>e</w:t>
      </w:r>
      <w:r w:rsidR="00F61BDE" w:rsidRPr="00551729">
        <w:rPr>
          <w:rFonts w:ascii="Garamond" w:hAnsi="Garamond"/>
          <w:spacing w:val="14"/>
          <w:sz w:val="24"/>
          <w:szCs w:val="24"/>
        </w:rPr>
        <w:t xml:space="preserve"> </w:t>
      </w:r>
      <w:r w:rsidR="00F61BDE" w:rsidRPr="00551729">
        <w:rPr>
          <w:rFonts w:ascii="Garamond" w:hAnsi="Garamond"/>
          <w:sz w:val="24"/>
          <w:szCs w:val="24"/>
        </w:rPr>
        <w:t>identitetit</w:t>
      </w:r>
      <w:r w:rsidR="00F61BDE" w:rsidRPr="00551729">
        <w:rPr>
          <w:rFonts w:ascii="Garamond" w:hAnsi="Garamond"/>
          <w:spacing w:val="13"/>
          <w:sz w:val="24"/>
          <w:szCs w:val="24"/>
        </w:rPr>
        <w:t xml:space="preserve"> </w:t>
      </w:r>
      <w:r w:rsidR="00F61BDE" w:rsidRPr="00551729">
        <w:rPr>
          <w:rFonts w:ascii="Garamond" w:hAnsi="Garamond"/>
          <w:sz w:val="24"/>
          <w:szCs w:val="24"/>
        </w:rPr>
        <w:t>të</w:t>
      </w:r>
      <w:r w:rsidR="00F61BDE" w:rsidRPr="00551729">
        <w:rPr>
          <w:rFonts w:ascii="Garamond" w:hAnsi="Garamond"/>
          <w:spacing w:val="14"/>
          <w:sz w:val="24"/>
          <w:szCs w:val="24"/>
        </w:rPr>
        <w:t xml:space="preserve"> </w:t>
      </w:r>
      <w:r w:rsidR="00F61BDE" w:rsidRPr="00551729">
        <w:rPr>
          <w:rFonts w:ascii="Garamond" w:hAnsi="Garamond"/>
          <w:sz w:val="24"/>
          <w:szCs w:val="24"/>
        </w:rPr>
        <w:t>zonës.</w:t>
      </w:r>
      <w:r w:rsidR="00F61BDE" w:rsidRPr="00551729">
        <w:rPr>
          <w:rFonts w:ascii="Garamond" w:hAnsi="Garamond"/>
          <w:spacing w:val="15"/>
          <w:sz w:val="24"/>
          <w:szCs w:val="24"/>
        </w:rPr>
        <w:t xml:space="preserve"> </w:t>
      </w:r>
      <w:r w:rsidR="00F61BDE" w:rsidRPr="00551729">
        <w:rPr>
          <w:rFonts w:ascii="Garamond" w:hAnsi="Garamond"/>
          <w:sz w:val="24"/>
          <w:szCs w:val="24"/>
        </w:rPr>
        <w:t>Trashëgimia</w:t>
      </w:r>
      <w:r w:rsidR="00F61BDE" w:rsidRPr="00551729">
        <w:rPr>
          <w:rFonts w:ascii="Garamond" w:hAnsi="Garamond"/>
          <w:spacing w:val="13"/>
          <w:sz w:val="24"/>
          <w:szCs w:val="24"/>
        </w:rPr>
        <w:t xml:space="preserve"> </w:t>
      </w:r>
      <w:r w:rsidR="00F61BDE" w:rsidRPr="00551729">
        <w:rPr>
          <w:rFonts w:ascii="Garamond" w:hAnsi="Garamond"/>
          <w:sz w:val="24"/>
          <w:szCs w:val="24"/>
        </w:rPr>
        <w:t>kulturore</w:t>
      </w:r>
      <w:r w:rsidR="00F61BDE" w:rsidRPr="00551729">
        <w:rPr>
          <w:rFonts w:ascii="Garamond" w:hAnsi="Garamond"/>
          <w:spacing w:val="14"/>
          <w:sz w:val="24"/>
          <w:szCs w:val="24"/>
        </w:rPr>
        <w:t xml:space="preserve"> </w:t>
      </w:r>
      <w:r w:rsidR="00F61BDE" w:rsidRPr="00551729">
        <w:rPr>
          <w:rFonts w:ascii="Garamond" w:hAnsi="Garamond"/>
          <w:sz w:val="24"/>
          <w:szCs w:val="24"/>
        </w:rPr>
        <w:t>është</w:t>
      </w:r>
      <w:r w:rsidR="00F61BDE" w:rsidRPr="00551729">
        <w:rPr>
          <w:rFonts w:ascii="Garamond" w:hAnsi="Garamond"/>
          <w:spacing w:val="14"/>
          <w:sz w:val="24"/>
          <w:szCs w:val="24"/>
        </w:rPr>
        <w:t xml:space="preserve"> </w:t>
      </w:r>
      <w:r w:rsidR="00F61BDE" w:rsidRPr="00551729">
        <w:rPr>
          <w:rFonts w:ascii="Garamond" w:hAnsi="Garamond"/>
          <w:sz w:val="24"/>
          <w:szCs w:val="24"/>
        </w:rPr>
        <w:t>një</w:t>
      </w:r>
      <w:r w:rsidR="00F61BDE" w:rsidRPr="00551729">
        <w:rPr>
          <w:rFonts w:ascii="Garamond" w:hAnsi="Garamond"/>
          <w:spacing w:val="14"/>
          <w:sz w:val="24"/>
          <w:szCs w:val="24"/>
        </w:rPr>
        <w:t xml:space="preserve"> </w:t>
      </w:r>
      <w:r w:rsidR="00F61BDE" w:rsidRPr="00551729">
        <w:rPr>
          <w:rFonts w:ascii="Garamond" w:hAnsi="Garamond"/>
          <w:sz w:val="24"/>
          <w:szCs w:val="24"/>
        </w:rPr>
        <w:t>pasuri</w:t>
      </w:r>
      <w:r w:rsidR="00F61BDE" w:rsidRPr="00551729">
        <w:rPr>
          <w:rFonts w:ascii="Garamond" w:hAnsi="Garamond"/>
          <w:spacing w:val="15"/>
          <w:sz w:val="24"/>
          <w:szCs w:val="24"/>
        </w:rPr>
        <w:t xml:space="preserve"> </w:t>
      </w:r>
      <w:r w:rsidR="00F61BDE" w:rsidRPr="00551729">
        <w:rPr>
          <w:rFonts w:ascii="Garamond" w:hAnsi="Garamond"/>
          <w:sz w:val="24"/>
          <w:szCs w:val="24"/>
        </w:rPr>
        <w:t>për</w:t>
      </w:r>
      <w:r w:rsidR="00F61BDE" w:rsidRPr="00551729">
        <w:rPr>
          <w:rFonts w:ascii="Garamond" w:hAnsi="Garamond"/>
          <w:spacing w:val="14"/>
          <w:sz w:val="24"/>
          <w:szCs w:val="24"/>
        </w:rPr>
        <w:t xml:space="preserve"> </w:t>
      </w:r>
      <w:r w:rsidR="00F61BDE" w:rsidRPr="00551729">
        <w:rPr>
          <w:rFonts w:ascii="Garamond" w:hAnsi="Garamond"/>
          <w:sz w:val="24"/>
          <w:szCs w:val="24"/>
        </w:rPr>
        <w:t>zhvillimin</w:t>
      </w:r>
      <w:r w:rsidR="00F61BDE" w:rsidRPr="00551729">
        <w:rPr>
          <w:rFonts w:ascii="Garamond" w:hAnsi="Garamond"/>
          <w:spacing w:val="14"/>
          <w:sz w:val="24"/>
          <w:szCs w:val="24"/>
        </w:rPr>
        <w:t xml:space="preserve"> </w:t>
      </w:r>
      <w:r w:rsidR="00F61BDE" w:rsidRPr="00551729">
        <w:rPr>
          <w:rFonts w:ascii="Garamond" w:hAnsi="Garamond"/>
          <w:sz w:val="24"/>
          <w:szCs w:val="24"/>
        </w:rPr>
        <w:t>ekonomik</w:t>
      </w:r>
      <w:r w:rsidR="00F61BDE" w:rsidRPr="00551729">
        <w:rPr>
          <w:rFonts w:ascii="Garamond" w:hAnsi="Garamond"/>
          <w:spacing w:val="13"/>
          <w:sz w:val="24"/>
          <w:szCs w:val="24"/>
        </w:rPr>
        <w:t xml:space="preserve"> </w:t>
      </w:r>
      <w:r w:rsidR="00F61BDE" w:rsidRPr="00551729">
        <w:rPr>
          <w:rFonts w:ascii="Garamond" w:hAnsi="Garamond"/>
          <w:sz w:val="24"/>
          <w:szCs w:val="24"/>
        </w:rPr>
        <w:t>të</w:t>
      </w:r>
      <w:r w:rsidR="00541C78" w:rsidRPr="00551729">
        <w:rPr>
          <w:rFonts w:ascii="Garamond" w:hAnsi="Garamond"/>
          <w:sz w:val="24"/>
          <w:szCs w:val="24"/>
        </w:rPr>
        <w:t xml:space="preserve"> </w:t>
      </w:r>
      <w:r w:rsidR="00F61BDE" w:rsidRPr="00551729">
        <w:rPr>
          <w:rFonts w:ascii="Garamond" w:hAnsi="Garamond"/>
          <w:sz w:val="24"/>
          <w:szCs w:val="24"/>
        </w:rPr>
        <w:t>zonës së programit. Bashkëpunimi midis institucioneve kulturore është i pranishëm, por ai mund të intensifikohet akoma më</w:t>
      </w:r>
      <w:r w:rsidR="00F61BDE" w:rsidRPr="00551729">
        <w:rPr>
          <w:rFonts w:ascii="Garamond" w:hAnsi="Garamond"/>
          <w:spacing w:val="-5"/>
          <w:sz w:val="24"/>
          <w:szCs w:val="24"/>
        </w:rPr>
        <w:t xml:space="preserve"> </w:t>
      </w:r>
      <w:r w:rsidR="00F61BDE" w:rsidRPr="00551729">
        <w:rPr>
          <w:rFonts w:ascii="Garamond" w:hAnsi="Garamond"/>
          <w:sz w:val="24"/>
          <w:szCs w:val="24"/>
        </w:rPr>
        <w:t>tej.</w:t>
      </w:r>
    </w:p>
    <w:p w14:paraId="1BADCAD3" w14:textId="04045540" w:rsidR="00F61BDE" w:rsidRPr="00551729" w:rsidRDefault="006E191B" w:rsidP="00F61BDE">
      <w:pPr>
        <w:spacing w:after="0" w:line="240" w:lineRule="auto"/>
        <w:ind w:firstLine="284"/>
        <w:jc w:val="both"/>
        <w:rPr>
          <w:rFonts w:ascii="Garamond" w:hAnsi="Garamond"/>
          <w:sz w:val="24"/>
          <w:szCs w:val="24"/>
        </w:rPr>
      </w:pPr>
      <w:r w:rsidRPr="00551729">
        <w:rPr>
          <w:rFonts w:ascii="Garamond" w:hAnsi="Garamond"/>
          <w:sz w:val="24"/>
          <w:szCs w:val="24"/>
        </w:rPr>
        <w:t>-</w:t>
      </w:r>
      <w:r w:rsidR="00E3373A">
        <w:rPr>
          <w:rFonts w:ascii="Garamond" w:hAnsi="Garamond"/>
          <w:sz w:val="24"/>
          <w:szCs w:val="24"/>
        </w:rPr>
        <w:t xml:space="preserve"> </w:t>
      </w:r>
      <w:r w:rsidR="00F61BDE" w:rsidRPr="00551729">
        <w:rPr>
          <w:rFonts w:ascii="Garamond" w:hAnsi="Garamond"/>
          <w:b/>
          <w:sz w:val="24"/>
          <w:szCs w:val="24"/>
        </w:rPr>
        <w:t xml:space="preserve">Përmirësimi i cilësisë së sistemit arsimor dhe infrastrukturës shkollore është një sfidë dhe prioritet </w:t>
      </w:r>
      <w:r w:rsidR="00F61BDE" w:rsidRPr="00551729">
        <w:rPr>
          <w:rFonts w:ascii="Garamond" w:hAnsi="Garamond"/>
          <w:sz w:val="24"/>
          <w:szCs w:val="24"/>
        </w:rPr>
        <w:t>për zonën e programit, veçanërisht në zonat rurale. Prezenca e universiteteve të rëndësishme private dhe publike si dhe e qendrave kërkimore të biznesit në zonën e programit është një pasuri për programin BNK. Veprime të mëtejshme të përbashkëta do të mund të ndërmerren për të krijuar rrjetin e qendrave të formimit profesional si dhe të institucioneve të larta, agjencive dhe organizatave</w:t>
      </w:r>
      <w:r w:rsidR="00F61BDE" w:rsidRPr="00551729">
        <w:rPr>
          <w:rFonts w:ascii="Garamond" w:hAnsi="Garamond"/>
          <w:spacing w:val="-13"/>
          <w:sz w:val="24"/>
          <w:szCs w:val="24"/>
        </w:rPr>
        <w:t xml:space="preserve"> </w:t>
      </w:r>
      <w:r w:rsidR="00F61BDE" w:rsidRPr="00551729">
        <w:rPr>
          <w:rFonts w:ascii="Garamond" w:hAnsi="Garamond"/>
          <w:sz w:val="24"/>
          <w:szCs w:val="24"/>
        </w:rPr>
        <w:t>kërkimore.</w:t>
      </w:r>
    </w:p>
    <w:p w14:paraId="1BADCAD4" w14:textId="77777777" w:rsidR="00F61BDE" w:rsidRPr="00551729" w:rsidRDefault="006E191B" w:rsidP="00F61BDE">
      <w:pPr>
        <w:pStyle w:val="BodyText"/>
        <w:ind w:firstLine="284"/>
        <w:jc w:val="both"/>
        <w:rPr>
          <w:rFonts w:ascii="Garamond" w:hAnsi="Garamond"/>
          <w:sz w:val="24"/>
          <w:szCs w:val="24"/>
          <w:lang w:val="sq-AL"/>
        </w:rPr>
      </w:pPr>
      <w:r w:rsidRPr="00551729">
        <w:rPr>
          <w:rFonts w:ascii="Garamond" w:hAnsi="Garamond"/>
          <w:sz w:val="24"/>
          <w:szCs w:val="24"/>
          <w:lang w:val="sq-AL"/>
        </w:rPr>
        <w:t>-</w:t>
      </w:r>
      <w:r w:rsidR="00F61BDE" w:rsidRPr="00551729">
        <w:rPr>
          <w:rFonts w:ascii="Garamond" w:hAnsi="Garamond"/>
          <w:spacing w:val="-20"/>
          <w:sz w:val="24"/>
          <w:szCs w:val="24"/>
          <w:lang w:val="sq-AL"/>
        </w:rPr>
        <w:t xml:space="preserve"> </w:t>
      </w:r>
      <w:r w:rsidR="00F61BDE" w:rsidRPr="00551729">
        <w:rPr>
          <w:rFonts w:ascii="Garamond" w:hAnsi="Garamond"/>
          <w:sz w:val="24"/>
          <w:szCs w:val="24"/>
          <w:lang w:val="sq-AL"/>
        </w:rPr>
        <w:t xml:space="preserve">Në përgjithësi, </w:t>
      </w:r>
      <w:r w:rsidR="00F61BDE" w:rsidRPr="00551729">
        <w:rPr>
          <w:rFonts w:ascii="Garamond" w:hAnsi="Garamond"/>
          <w:b/>
          <w:sz w:val="24"/>
          <w:szCs w:val="24"/>
          <w:lang w:val="sq-AL"/>
        </w:rPr>
        <w:t xml:space="preserve">sektori i shëndetësisë </w:t>
      </w:r>
      <w:r w:rsidR="00F61BDE" w:rsidRPr="00551729">
        <w:rPr>
          <w:rFonts w:ascii="Garamond" w:hAnsi="Garamond"/>
          <w:sz w:val="24"/>
          <w:szCs w:val="24"/>
          <w:lang w:val="sq-AL"/>
        </w:rPr>
        <w:t>është i dobët dhe i zhvilluar në mënyrë të pabarabartë. Mungesa e një kuadri të duhur ligjor për sigurimin shëndetësor në zonat rurale (në anën shqiptare të kufirit), vazhdon të pengojë zhvillimin e këtij sektori. Duke pasur parasysh se sektori i shëndetësisë menaxhohet në nivel qendror, ndoshta nuk mund të bëhet shumë në kuadrin e programeve BNK, por sigurisht që ka vend për aktivitete të mundshme të përbashkëta që lidhen me fushatat parandaluese dhe edukimin</w:t>
      </w:r>
      <w:r w:rsidR="00F61BDE" w:rsidRPr="00551729">
        <w:rPr>
          <w:rFonts w:ascii="Garamond" w:hAnsi="Garamond"/>
          <w:spacing w:val="-16"/>
          <w:sz w:val="24"/>
          <w:szCs w:val="24"/>
          <w:lang w:val="sq-AL"/>
        </w:rPr>
        <w:t xml:space="preserve"> </w:t>
      </w:r>
      <w:r w:rsidR="00F61BDE" w:rsidRPr="00551729">
        <w:rPr>
          <w:rFonts w:ascii="Garamond" w:hAnsi="Garamond"/>
          <w:sz w:val="24"/>
          <w:szCs w:val="24"/>
          <w:lang w:val="sq-AL"/>
        </w:rPr>
        <w:t>shëndetësor.</w:t>
      </w:r>
    </w:p>
    <w:p w14:paraId="1BADCAD5" w14:textId="52B37CF5" w:rsidR="00F61BDE" w:rsidRPr="00551729" w:rsidRDefault="006E191B" w:rsidP="00F61BDE">
      <w:pPr>
        <w:pStyle w:val="BodyText"/>
        <w:ind w:firstLine="284"/>
        <w:jc w:val="both"/>
        <w:rPr>
          <w:rFonts w:ascii="Garamond" w:hAnsi="Garamond"/>
          <w:sz w:val="24"/>
          <w:szCs w:val="24"/>
          <w:lang w:val="sq-AL"/>
        </w:rPr>
      </w:pPr>
      <w:r w:rsidRPr="00551729">
        <w:rPr>
          <w:rFonts w:ascii="Garamond" w:hAnsi="Garamond"/>
          <w:sz w:val="24"/>
          <w:szCs w:val="24"/>
          <w:lang w:val="sq-AL"/>
        </w:rPr>
        <w:t>-</w:t>
      </w:r>
      <w:r w:rsidR="00E3373A">
        <w:rPr>
          <w:rFonts w:ascii="Garamond" w:hAnsi="Garamond"/>
          <w:sz w:val="24"/>
          <w:szCs w:val="24"/>
          <w:lang w:val="sq-AL"/>
        </w:rPr>
        <w:t xml:space="preserve"> </w:t>
      </w:r>
      <w:r w:rsidR="00F61BDE" w:rsidRPr="00551729">
        <w:rPr>
          <w:rFonts w:ascii="Garamond" w:hAnsi="Garamond"/>
          <w:b/>
          <w:sz w:val="24"/>
          <w:szCs w:val="24"/>
          <w:lang w:val="sq-AL"/>
        </w:rPr>
        <w:t xml:space="preserve">Inkurajimi i rrjeteve rajonale të </w:t>
      </w:r>
      <w:r w:rsidR="00A45B01" w:rsidRPr="00551729">
        <w:rPr>
          <w:rFonts w:ascii="Garamond" w:hAnsi="Garamond"/>
          <w:b/>
          <w:sz w:val="24"/>
          <w:szCs w:val="24"/>
          <w:lang w:val="sq-AL"/>
        </w:rPr>
        <w:t>OSHC</w:t>
      </w:r>
      <w:r w:rsidR="00F61BDE" w:rsidRPr="00551729">
        <w:rPr>
          <w:rFonts w:ascii="Garamond" w:hAnsi="Garamond"/>
          <w:b/>
          <w:sz w:val="24"/>
          <w:szCs w:val="24"/>
          <w:lang w:val="sq-AL"/>
        </w:rPr>
        <w:t xml:space="preserve">-ve </w:t>
      </w:r>
      <w:r w:rsidR="00F61BDE" w:rsidRPr="00551729">
        <w:rPr>
          <w:rFonts w:ascii="Garamond" w:hAnsi="Garamond"/>
          <w:sz w:val="24"/>
          <w:szCs w:val="24"/>
          <w:lang w:val="sq-AL"/>
        </w:rPr>
        <w:t>(duke përfshirë organizatat e sportit, rinisë dhe ato kulturore) mund të kontribuojë në ruajtjen dhe forcimin e lidhjeve ndërmjet komuniteteve në të dyja anët e kufirit në këtë zonë të programit</w:t>
      </w:r>
      <w:r w:rsidR="00F61BDE" w:rsidRPr="00551729">
        <w:rPr>
          <w:rFonts w:ascii="Garamond" w:hAnsi="Garamond"/>
          <w:spacing w:val="-16"/>
          <w:sz w:val="24"/>
          <w:szCs w:val="24"/>
          <w:lang w:val="sq-AL"/>
        </w:rPr>
        <w:t xml:space="preserve"> </w:t>
      </w:r>
      <w:r w:rsidR="0000304F">
        <w:rPr>
          <w:rFonts w:ascii="Garamond" w:hAnsi="Garamond"/>
          <w:sz w:val="24"/>
          <w:szCs w:val="24"/>
          <w:lang w:val="sq-AL"/>
        </w:rPr>
        <w:t>shum</w:t>
      </w:r>
      <w:r w:rsidR="00F61BDE" w:rsidRPr="00551729">
        <w:rPr>
          <w:rFonts w:ascii="Garamond" w:hAnsi="Garamond"/>
          <w:sz w:val="24"/>
          <w:szCs w:val="24"/>
          <w:lang w:val="sq-AL"/>
        </w:rPr>
        <w:t>etnik.</w:t>
      </w:r>
    </w:p>
    <w:p w14:paraId="1BADCAD6" w14:textId="4062FAC8" w:rsidR="00F61BDE" w:rsidRPr="00551729" w:rsidRDefault="006E191B" w:rsidP="00F61BDE">
      <w:pPr>
        <w:spacing w:after="0" w:line="240" w:lineRule="auto"/>
        <w:ind w:firstLine="284"/>
        <w:jc w:val="both"/>
        <w:rPr>
          <w:rFonts w:ascii="Garamond" w:hAnsi="Garamond"/>
          <w:sz w:val="24"/>
          <w:szCs w:val="24"/>
        </w:rPr>
      </w:pPr>
      <w:r w:rsidRPr="00551729">
        <w:rPr>
          <w:rFonts w:ascii="Garamond" w:hAnsi="Garamond"/>
          <w:sz w:val="24"/>
          <w:szCs w:val="24"/>
        </w:rPr>
        <w:t>-</w:t>
      </w:r>
      <w:r w:rsidR="00E3373A">
        <w:rPr>
          <w:rFonts w:ascii="Garamond" w:hAnsi="Garamond"/>
          <w:sz w:val="24"/>
          <w:szCs w:val="24"/>
        </w:rPr>
        <w:t xml:space="preserve"> </w:t>
      </w:r>
      <w:r w:rsidR="00F61BDE" w:rsidRPr="00551729">
        <w:rPr>
          <w:rFonts w:ascii="Garamond" w:hAnsi="Garamond"/>
          <w:b/>
          <w:sz w:val="24"/>
          <w:szCs w:val="24"/>
        </w:rPr>
        <w:t xml:space="preserve">Depërtimi i kërkimit shkencor </w:t>
      </w:r>
      <w:r w:rsidR="00A45B01">
        <w:rPr>
          <w:rFonts w:ascii="Garamond" w:hAnsi="Garamond"/>
          <w:b/>
          <w:sz w:val="24"/>
          <w:szCs w:val="24"/>
        </w:rPr>
        <w:t>dhe</w:t>
      </w:r>
      <w:r w:rsidR="00F61BDE" w:rsidRPr="00551729">
        <w:rPr>
          <w:rFonts w:ascii="Garamond" w:hAnsi="Garamond"/>
          <w:b/>
          <w:sz w:val="24"/>
          <w:szCs w:val="24"/>
        </w:rPr>
        <w:t xml:space="preserve"> zhvillimit dhe i teknologjisë së informacionit dhe komunikimit (TIK) është në disproporcion të dukshëm midis vendeve të programit, dhe mbetet në nivel të ulët. </w:t>
      </w:r>
      <w:r w:rsidR="00F61BDE" w:rsidRPr="00551729">
        <w:rPr>
          <w:rFonts w:ascii="Garamond" w:hAnsi="Garamond"/>
          <w:sz w:val="24"/>
          <w:szCs w:val="24"/>
        </w:rPr>
        <w:t>Investimet e pamjaftueshme, mungesa e aktiviteteve mbështetëse në nivel qendror, rajonal ose lokal për kërkimin shkencor dhe zhvillimin, janë të pranishme, pavarësisht faktit që në zonën e programit ka 4 Universitete. Nuk ka të dhëna specifike mbi kërkimin shkencor, zhvillimin dhe inovacionin, por praktikisht mungon bashkëpunimi midis institucioneve edukuese në të dy</w:t>
      </w:r>
      <w:r w:rsidR="001E5AF6">
        <w:rPr>
          <w:rFonts w:ascii="Garamond" w:hAnsi="Garamond"/>
          <w:sz w:val="24"/>
          <w:szCs w:val="24"/>
        </w:rPr>
        <w:t>ja</w:t>
      </w:r>
      <w:r w:rsidR="00F61BDE" w:rsidRPr="00551729">
        <w:rPr>
          <w:rFonts w:ascii="Garamond" w:hAnsi="Garamond"/>
          <w:sz w:val="24"/>
          <w:szCs w:val="24"/>
        </w:rPr>
        <w:t xml:space="preserve"> vendet, dhe kjo fushë është e pa</w:t>
      </w:r>
      <w:r w:rsidR="00F61BDE" w:rsidRPr="00551729">
        <w:rPr>
          <w:rFonts w:ascii="Garamond" w:hAnsi="Garamond"/>
          <w:spacing w:val="-11"/>
          <w:sz w:val="24"/>
          <w:szCs w:val="24"/>
        </w:rPr>
        <w:t xml:space="preserve"> </w:t>
      </w:r>
      <w:r w:rsidR="00F61BDE" w:rsidRPr="00551729">
        <w:rPr>
          <w:rFonts w:ascii="Garamond" w:hAnsi="Garamond"/>
          <w:sz w:val="24"/>
          <w:szCs w:val="24"/>
        </w:rPr>
        <w:t>eksploruar.</w:t>
      </w:r>
    </w:p>
    <w:p w14:paraId="1BADCAD7" w14:textId="7DAF7ECF" w:rsidR="00F61BDE" w:rsidRPr="00551729" w:rsidRDefault="006E191B" w:rsidP="00F61BDE">
      <w:pPr>
        <w:spacing w:after="0" w:line="240" w:lineRule="auto"/>
        <w:ind w:firstLine="284"/>
        <w:jc w:val="both"/>
        <w:rPr>
          <w:rFonts w:ascii="Garamond" w:hAnsi="Garamond"/>
          <w:sz w:val="24"/>
          <w:szCs w:val="24"/>
        </w:rPr>
      </w:pPr>
      <w:r w:rsidRPr="00551729">
        <w:rPr>
          <w:rFonts w:ascii="Garamond" w:hAnsi="Garamond"/>
          <w:sz w:val="24"/>
          <w:szCs w:val="24"/>
        </w:rPr>
        <w:t>-</w:t>
      </w:r>
      <w:r w:rsidR="00F61BDE" w:rsidRPr="00551729">
        <w:rPr>
          <w:rFonts w:ascii="Garamond" w:hAnsi="Garamond"/>
          <w:b/>
          <w:sz w:val="24"/>
          <w:szCs w:val="24"/>
        </w:rPr>
        <w:t xml:space="preserve">Në përgjithësi, qeveritë lokale dhe rajonale janë të dobëta financiarisht dhe nuk mund të nxisin zhvillimin lokal. </w:t>
      </w:r>
      <w:r w:rsidR="00F61BDE" w:rsidRPr="00551729">
        <w:rPr>
          <w:rFonts w:ascii="Garamond" w:hAnsi="Garamond"/>
          <w:sz w:val="24"/>
          <w:szCs w:val="24"/>
        </w:rPr>
        <w:t>Ndryshe nga Shqipëria, Mali i Zi nuk ka qeverisje lokale. Sfidat përfshijnë: mungesën e aftësive në menaxhim, kontroll financiar dhe buxhetim, si dhe qasjet demokratike në proceset vendimmarrëse. Absorbimi i fondeve të BE-së është i ulët. Bashkëpunimi midis qeverive lokale ndërmjet dy vendeve mund të përmirësohet. Procesi i decentralizimit është duke vazhduar në të dy</w:t>
      </w:r>
      <w:r w:rsidR="00B367EE">
        <w:rPr>
          <w:rFonts w:ascii="Garamond" w:hAnsi="Garamond"/>
          <w:sz w:val="24"/>
          <w:szCs w:val="24"/>
        </w:rPr>
        <w:t>ja</w:t>
      </w:r>
      <w:r w:rsidR="00F61BDE" w:rsidRPr="00551729">
        <w:rPr>
          <w:rFonts w:ascii="Garamond" w:hAnsi="Garamond"/>
          <w:spacing w:val="-3"/>
          <w:sz w:val="24"/>
          <w:szCs w:val="24"/>
        </w:rPr>
        <w:t xml:space="preserve"> </w:t>
      </w:r>
      <w:r w:rsidR="00F61BDE" w:rsidRPr="00551729">
        <w:rPr>
          <w:rFonts w:ascii="Garamond" w:hAnsi="Garamond"/>
          <w:sz w:val="24"/>
          <w:szCs w:val="24"/>
        </w:rPr>
        <w:t>vendet.</w:t>
      </w:r>
    </w:p>
    <w:p w14:paraId="1BADCAD8" w14:textId="77777777" w:rsidR="00F61BDE" w:rsidRPr="00551729" w:rsidRDefault="00F61BDE" w:rsidP="00F61BDE">
      <w:pPr>
        <w:pStyle w:val="BodyText"/>
        <w:ind w:firstLine="284"/>
        <w:rPr>
          <w:rFonts w:ascii="Garamond" w:hAnsi="Garamond"/>
          <w:sz w:val="24"/>
          <w:szCs w:val="24"/>
          <w:lang w:val="sq-AL"/>
        </w:rPr>
      </w:pPr>
      <w:r w:rsidRPr="00551729">
        <w:rPr>
          <w:rFonts w:ascii="Garamond" w:hAnsi="Garamond"/>
          <w:sz w:val="24"/>
          <w:szCs w:val="24"/>
          <w:lang w:val="sq-AL"/>
        </w:rPr>
        <w:t>Bazuar në analizën e situatës dhe në analizat PESTLE ose SWOT, ndërhyrjet e mëposhtme të mundshme konsiderohen si thelbësore për zhvillimin e rajonit kufitar:</w:t>
      </w:r>
    </w:p>
    <w:p w14:paraId="1BADCAD9" w14:textId="77777777" w:rsidR="00F61BDE" w:rsidRPr="00551729" w:rsidRDefault="00316427" w:rsidP="00316427">
      <w:pPr>
        <w:pStyle w:val="TEKSTIII"/>
        <w:rPr>
          <w:b/>
        </w:rPr>
      </w:pPr>
      <w:r w:rsidRPr="00551729">
        <w:rPr>
          <w:b/>
        </w:rPr>
        <w:t xml:space="preserve">1. </w:t>
      </w:r>
      <w:r w:rsidR="00F61BDE" w:rsidRPr="00551729">
        <w:rPr>
          <w:b/>
        </w:rPr>
        <w:t>Turizmi dhe trashëgimia</w:t>
      </w:r>
      <w:r w:rsidR="00F61BDE" w:rsidRPr="00551729">
        <w:rPr>
          <w:b/>
          <w:spacing w:val="-11"/>
        </w:rPr>
        <w:t xml:space="preserve"> </w:t>
      </w:r>
      <w:r w:rsidR="00F61BDE" w:rsidRPr="00551729">
        <w:rPr>
          <w:b/>
        </w:rPr>
        <w:t>kulturore;</w:t>
      </w:r>
    </w:p>
    <w:p w14:paraId="1BADCADA" w14:textId="77777777" w:rsidR="00F61BDE" w:rsidRPr="00551729" w:rsidRDefault="00316427" w:rsidP="00316427">
      <w:pPr>
        <w:pStyle w:val="TEKSTIII"/>
        <w:rPr>
          <w:b/>
        </w:rPr>
      </w:pPr>
      <w:r w:rsidRPr="00551729">
        <w:rPr>
          <w:b/>
        </w:rPr>
        <w:t xml:space="preserve">2. </w:t>
      </w:r>
      <w:r w:rsidR="00F61BDE" w:rsidRPr="00551729">
        <w:rPr>
          <w:b/>
        </w:rPr>
        <w:t>Mbrojtja e mjedisit, ndryshimi klimatik dhe parandalimi i</w:t>
      </w:r>
      <w:r w:rsidR="00F61BDE" w:rsidRPr="00551729">
        <w:rPr>
          <w:b/>
          <w:spacing w:val="-28"/>
        </w:rPr>
        <w:t xml:space="preserve"> </w:t>
      </w:r>
      <w:r w:rsidR="00F61BDE" w:rsidRPr="00551729">
        <w:rPr>
          <w:b/>
        </w:rPr>
        <w:t>riskut;</w:t>
      </w:r>
    </w:p>
    <w:p w14:paraId="1BADCADB" w14:textId="77777777" w:rsidR="00F61BDE" w:rsidRPr="00551729" w:rsidRDefault="00316427" w:rsidP="00316427">
      <w:pPr>
        <w:pStyle w:val="TEKSTIII"/>
        <w:rPr>
          <w:b/>
        </w:rPr>
      </w:pPr>
      <w:r w:rsidRPr="00551729">
        <w:rPr>
          <w:b/>
        </w:rPr>
        <w:t xml:space="preserve">3. </w:t>
      </w:r>
      <w:r w:rsidR="00F61BDE" w:rsidRPr="00551729">
        <w:rPr>
          <w:b/>
        </w:rPr>
        <w:t>Punësimi, lëvizja gjeografike e punonjësve dhe përfshirja</w:t>
      </w:r>
      <w:r w:rsidR="00F61BDE" w:rsidRPr="00551729">
        <w:rPr>
          <w:b/>
          <w:spacing w:val="-27"/>
        </w:rPr>
        <w:t xml:space="preserve"> </w:t>
      </w:r>
      <w:r w:rsidR="00F61BDE" w:rsidRPr="00551729">
        <w:rPr>
          <w:b/>
        </w:rPr>
        <w:t>sociale;</w:t>
      </w:r>
    </w:p>
    <w:p w14:paraId="1BADCADC" w14:textId="77777777" w:rsidR="00F61BDE" w:rsidRPr="00551729" w:rsidRDefault="00316427" w:rsidP="00316427">
      <w:pPr>
        <w:pStyle w:val="TEKSTIII"/>
        <w:rPr>
          <w:b/>
        </w:rPr>
      </w:pPr>
      <w:r w:rsidRPr="00551729">
        <w:rPr>
          <w:b/>
        </w:rPr>
        <w:t xml:space="preserve">4. </w:t>
      </w:r>
      <w:r w:rsidR="00F61BDE" w:rsidRPr="00551729">
        <w:rPr>
          <w:b/>
        </w:rPr>
        <w:t>Asistenca</w:t>
      </w:r>
      <w:r w:rsidR="00F61BDE" w:rsidRPr="00551729">
        <w:rPr>
          <w:b/>
          <w:spacing w:val="-4"/>
        </w:rPr>
        <w:t xml:space="preserve"> </w:t>
      </w:r>
      <w:r w:rsidR="00F61BDE" w:rsidRPr="00551729">
        <w:rPr>
          <w:b/>
        </w:rPr>
        <w:t>teknike.</w:t>
      </w:r>
    </w:p>
    <w:p w14:paraId="1BADCADF" w14:textId="77777777" w:rsidR="003360ED" w:rsidRPr="00551729" w:rsidRDefault="003360ED" w:rsidP="003360ED">
      <w:pPr>
        <w:pStyle w:val="TEKSTIII"/>
        <w:rPr>
          <w:b/>
        </w:rPr>
      </w:pPr>
      <w:r w:rsidRPr="00551729">
        <w:rPr>
          <w:b/>
        </w:rPr>
        <w:t>Seksioni 3: Strategjia e Programit</w:t>
      </w:r>
    </w:p>
    <w:p w14:paraId="1BADCAE0" w14:textId="25BC1B92" w:rsidR="003360ED" w:rsidRPr="00551729" w:rsidRDefault="003360ED" w:rsidP="003360ED">
      <w:pPr>
        <w:pStyle w:val="TEKSTIII"/>
        <w:rPr>
          <w:b/>
        </w:rPr>
      </w:pPr>
      <w:bookmarkStart w:id="27" w:name="_bookmark25"/>
      <w:bookmarkEnd w:id="27"/>
      <w:r w:rsidRPr="00551729">
        <w:rPr>
          <w:b/>
        </w:rPr>
        <w:t xml:space="preserve">3.1 Arsyetim </w:t>
      </w:r>
      <w:r w:rsidR="00715E78">
        <w:rPr>
          <w:b/>
        </w:rPr>
        <w:t>–</w:t>
      </w:r>
      <w:r w:rsidRPr="00551729">
        <w:rPr>
          <w:b/>
        </w:rPr>
        <w:t xml:space="preserve"> Arsyetimi për strategjinë e zgjedhur të</w:t>
      </w:r>
      <w:r w:rsidRPr="00551729">
        <w:rPr>
          <w:b/>
          <w:spacing w:val="-30"/>
        </w:rPr>
        <w:t xml:space="preserve"> </w:t>
      </w:r>
      <w:r w:rsidRPr="00551729">
        <w:rPr>
          <w:b/>
        </w:rPr>
        <w:t>ndërhyrjes</w:t>
      </w:r>
    </w:p>
    <w:p w14:paraId="1BADCAE1" w14:textId="260CBF98"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Programi BNK do të synojë të promovojë iniciativa të përbashkëta ndërkufitare dhe veprime që synojnë të përmirësojnë ekonominë e zonave kufitare në mënyrë të qëndrueshme sociale dhe mjedisore. Në kuadër të këtij programi janë zgjedhur tr</w:t>
      </w:r>
      <w:r w:rsidR="00433AF3">
        <w:rPr>
          <w:rFonts w:ascii="Garamond" w:hAnsi="Garamond"/>
          <w:sz w:val="24"/>
          <w:szCs w:val="24"/>
          <w:lang w:val="sq-AL"/>
        </w:rPr>
        <w:t>i</w:t>
      </w:r>
      <w:r w:rsidRPr="00551729">
        <w:rPr>
          <w:rFonts w:ascii="Garamond" w:hAnsi="Garamond"/>
          <w:sz w:val="24"/>
          <w:szCs w:val="24"/>
          <w:lang w:val="sq-AL"/>
        </w:rPr>
        <w:t xml:space="preserve"> prioritete tematike, të cilat përfshijnë:</w:t>
      </w:r>
    </w:p>
    <w:p w14:paraId="1BADCAE2" w14:textId="0A357593" w:rsidR="003360ED" w:rsidRPr="00551729" w:rsidRDefault="003360ED" w:rsidP="003360ED">
      <w:pPr>
        <w:pStyle w:val="TEKSTIII"/>
        <w:rPr>
          <w:b/>
        </w:rPr>
      </w:pPr>
      <w:r w:rsidRPr="00551729">
        <w:rPr>
          <w:b/>
        </w:rPr>
        <w:t>PRIORITETI TEMATIK 1:</w:t>
      </w:r>
      <w:r w:rsidR="00C521D5" w:rsidRPr="00551729">
        <w:rPr>
          <w:b/>
        </w:rPr>
        <w:t xml:space="preserve"> </w:t>
      </w:r>
      <w:r w:rsidRPr="00551729">
        <w:rPr>
          <w:b/>
        </w:rPr>
        <w:t>Nxitja e turizmit dhe e trashëgimisë kulturore dhe natyrore</w:t>
      </w:r>
    </w:p>
    <w:p w14:paraId="1BADCAE3" w14:textId="10C7ACF7" w:rsidR="003360ED" w:rsidRPr="00551729" w:rsidRDefault="003360ED" w:rsidP="00B65E6C">
      <w:pPr>
        <w:pStyle w:val="BodyText"/>
        <w:ind w:firstLine="284"/>
        <w:jc w:val="both"/>
        <w:rPr>
          <w:rFonts w:ascii="Garamond" w:hAnsi="Garamond"/>
          <w:sz w:val="24"/>
          <w:szCs w:val="24"/>
          <w:lang w:val="sq-AL"/>
        </w:rPr>
      </w:pPr>
      <w:r w:rsidRPr="00551729">
        <w:rPr>
          <w:rFonts w:ascii="Garamond" w:hAnsi="Garamond"/>
          <w:sz w:val="24"/>
          <w:szCs w:val="24"/>
          <w:lang w:val="sq-AL"/>
        </w:rPr>
        <w:t>Prioriteti i parë do të promovojë iniciativa të përbashkëta ndërkufitare dhe veprime që synojnë të mbështesin zhvillimin ekonomik me fokus turizmin (por jo ekskluzivisht), pasi ai konsiderohet të ketë një potencial të madh për të gjithë zonën e programit si një e tërë. Përveç kësaj, do të mbështeten shkëmbime kulturore dhe sociale. Ky prioritet i programit do të kontribuojë në përmirësimin dhe rritjen</w:t>
      </w:r>
      <w:r w:rsidR="00C521D5" w:rsidRPr="00551729">
        <w:rPr>
          <w:rFonts w:ascii="Garamond" w:hAnsi="Garamond"/>
          <w:sz w:val="24"/>
          <w:szCs w:val="24"/>
          <w:lang w:val="sq-AL"/>
        </w:rPr>
        <w:t xml:space="preserve"> </w:t>
      </w:r>
      <w:r w:rsidRPr="00551729">
        <w:rPr>
          <w:rFonts w:ascii="Garamond" w:hAnsi="Garamond"/>
          <w:sz w:val="24"/>
          <w:szCs w:val="24"/>
          <w:lang w:val="sq-AL"/>
        </w:rPr>
        <w:t>e standardeve të jetesës, duke ofruar mundësi për partneritete më të gjera dhe shkëmbime të interesit të përbashkët përtej kufirit, për të zhvilluar turizmin dhe për të vlerësuar trashëgiminë kulturore të zonës. Aktivitetet që do të zbatohen, pritet të ndikojnë në përmirësimin e cilësisë</w:t>
      </w:r>
      <w:r w:rsidR="00C521D5" w:rsidRPr="00551729">
        <w:rPr>
          <w:rFonts w:ascii="Garamond" w:hAnsi="Garamond"/>
          <w:sz w:val="24"/>
          <w:szCs w:val="24"/>
          <w:lang w:val="sq-AL"/>
        </w:rPr>
        <w:t xml:space="preserve"> </w:t>
      </w:r>
      <w:r w:rsidRPr="00551729">
        <w:rPr>
          <w:rFonts w:ascii="Garamond" w:hAnsi="Garamond"/>
          <w:sz w:val="24"/>
          <w:szCs w:val="24"/>
          <w:lang w:val="sq-AL"/>
        </w:rPr>
        <w:t>së</w:t>
      </w:r>
      <w:r w:rsidR="00C521D5" w:rsidRPr="00551729">
        <w:rPr>
          <w:rFonts w:ascii="Garamond" w:hAnsi="Garamond"/>
          <w:sz w:val="24"/>
          <w:szCs w:val="24"/>
          <w:lang w:val="sq-AL"/>
        </w:rPr>
        <w:t xml:space="preserve"> </w:t>
      </w:r>
      <w:r w:rsidRPr="00551729">
        <w:rPr>
          <w:rFonts w:ascii="Garamond" w:hAnsi="Garamond"/>
          <w:sz w:val="24"/>
          <w:szCs w:val="24"/>
          <w:lang w:val="sq-AL"/>
        </w:rPr>
        <w:t xml:space="preserve">shërbimeve, krijimin e rrjeteve dhe partneriteteve ndërmjet pushtetit vendor dhe palëve të interesuara në nivel lokal për të promovuar vendet e përbashkëta turistike, ruajtjen e trashëgimisë kulturore, inkurajimin e sipërmarrjes dhe konkurrencës në sektorin e turizmit, promovimin e ofertave të përbashkëta turistike, zhvillimin dhe promovimin e markave të reja të produkteve vendase, promovimin e imazhit </w:t>
      </w:r>
      <w:r w:rsidRPr="00551729">
        <w:rPr>
          <w:rFonts w:ascii="Garamond" w:hAnsi="Garamond"/>
          <w:spacing w:val="3"/>
          <w:sz w:val="24"/>
          <w:szCs w:val="24"/>
          <w:lang w:val="sq-AL"/>
        </w:rPr>
        <w:t xml:space="preserve">të </w:t>
      </w:r>
      <w:r w:rsidRPr="00551729">
        <w:rPr>
          <w:rFonts w:ascii="Garamond" w:hAnsi="Garamond"/>
          <w:sz w:val="24"/>
          <w:szCs w:val="24"/>
          <w:lang w:val="sq-AL"/>
        </w:rPr>
        <w:t>zonës për investitorët dhe vizitorët potencial</w:t>
      </w:r>
      <w:r w:rsidR="00B65E6C">
        <w:rPr>
          <w:rFonts w:ascii="Garamond" w:hAnsi="Garamond"/>
          <w:sz w:val="24"/>
          <w:szCs w:val="24"/>
          <w:lang w:val="sq-AL"/>
        </w:rPr>
        <w:t xml:space="preserve"> etj</w:t>
      </w:r>
      <w:r w:rsidRPr="00551729">
        <w:rPr>
          <w:rFonts w:ascii="Garamond" w:hAnsi="Garamond"/>
          <w:sz w:val="24"/>
          <w:szCs w:val="24"/>
          <w:lang w:val="sq-AL"/>
        </w:rPr>
        <w:t>. Rezultatet e pritshme do të kenë një ndikim në promovimin e aktiviteteve sipërmarrëse turistike përtej kufirit dhe rritjen e shkëmbimeve të diversitetit kulturor, vlerave historike dhe kulturore, si një tipar unik i përbashkët i zonave në secilën anë të</w:t>
      </w:r>
      <w:r w:rsidRPr="00551729">
        <w:rPr>
          <w:rFonts w:ascii="Garamond" w:hAnsi="Garamond"/>
          <w:spacing w:val="-28"/>
          <w:sz w:val="24"/>
          <w:szCs w:val="24"/>
          <w:lang w:val="sq-AL"/>
        </w:rPr>
        <w:t xml:space="preserve"> </w:t>
      </w:r>
      <w:r w:rsidRPr="00551729">
        <w:rPr>
          <w:rFonts w:ascii="Garamond" w:hAnsi="Garamond"/>
          <w:sz w:val="24"/>
          <w:szCs w:val="24"/>
          <w:lang w:val="sq-AL"/>
        </w:rPr>
        <w:t>kufirit.</w:t>
      </w:r>
    </w:p>
    <w:p w14:paraId="1BADCAE4" w14:textId="77777777" w:rsidR="003360ED" w:rsidRPr="00551729" w:rsidRDefault="003360ED" w:rsidP="003360ED">
      <w:pPr>
        <w:pStyle w:val="TEKSTIII"/>
        <w:rPr>
          <w:b/>
        </w:rPr>
      </w:pPr>
      <w:r w:rsidRPr="00551729">
        <w:rPr>
          <w:b/>
        </w:rPr>
        <w:t>PRIORITETI TEMATIK 2: Mbrojtja e mjedisit, nxitja e përshtatjes dhe lehtësimit ndaj ndryshimeve klimatike, parandalimi dhe menaxhimi i rrezikut</w:t>
      </w:r>
    </w:p>
    <w:p w14:paraId="1BADCAE5" w14:textId="4A6ECEA3"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Me zhvillimin e përgjithshëm të zonës së programit duke u mbështetur kryesisht tek burimet natyrore, mbrojtja e mjedisit dhe ruajtja e burimeve natyrore janë vendimtare për zhvillimin e qëndrueshëm. Aktivitetet në kuadër të këtij prioriteti do të mbështesin bashkëpunimin për mbrojtjen e mjedisit, si për shembull Shkodra/Liqeni i Shkodrës dhe rrethinat e saj, duke krijuar sinergji ndërkufitare për menaxhimin e zonave të mbrojtura që ndodhen në zonën kufitare, do të mbështesin reduktimin e ndotjes dhe mbrojtjen e integruar, menaxhimin e ekosistemeve të ndjeshme dhe përdorimin e mirë të ujërave sipërfaqësore, sistemet e integruara të monitorimit të mjedisit dhe bazat e të dhënave, veprime të përcaktuara për të inkurajuar aktivitetet ekonomike ekologjikisht-miqësore</w:t>
      </w:r>
      <w:r w:rsidR="00B65E6C">
        <w:rPr>
          <w:rFonts w:ascii="Garamond" w:hAnsi="Garamond"/>
          <w:sz w:val="24"/>
          <w:szCs w:val="24"/>
          <w:lang w:val="sq-AL"/>
        </w:rPr>
        <w:t xml:space="preserve"> etj</w:t>
      </w:r>
      <w:r w:rsidRPr="00551729">
        <w:rPr>
          <w:rFonts w:ascii="Garamond" w:hAnsi="Garamond"/>
          <w:sz w:val="24"/>
          <w:szCs w:val="24"/>
          <w:lang w:val="sq-AL"/>
        </w:rPr>
        <w:t>., me qëllim vlerësimin e mëtejshëm të burimeve natyrore në funksion të zhvillimit ekonomik.</w:t>
      </w:r>
    </w:p>
    <w:p w14:paraId="1BADCAE6" w14:textId="77777777" w:rsidR="003360ED" w:rsidRPr="00551729" w:rsidRDefault="003360ED" w:rsidP="003360ED">
      <w:pPr>
        <w:pStyle w:val="TEKSTIII"/>
        <w:rPr>
          <w:b/>
        </w:rPr>
      </w:pPr>
      <w:r w:rsidRPr="00551729">
        <w:rPr>
          <w:b/>
        </w:rPr>
        <w:t>PRIORITETI TEMATIK 3: Nxitja e punësimit, lëvizjes gjeografike të punonjësve, dhe përfshirjes sociale dhe kulturore përtej kufirit</w:t>
      </w:r>
    </w:p>
    <w:p w14:paraId="1BADCAE7" w14:textId="7E742617"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 xml:space="preserve">Ky prioritet do të synojë të adresojë çështjet që lidhen me normat e larta të papunësisë, veçanërisht tek të rinjtë dhe gratë, integrimin e ulët të tregjeve të punës ndërkufitare, dhe lëvizjen gjeografike të punonjësve. Aktivitetet në kuadër të këtij prioriteti do të synojnë të promovojnë lidhjen më të mirë të formimit profesional me kërkesat e tregut të punës, në mënyrë që të rriten aftësitë e fuqisë punëtore dhe mundësitë për punësim, iniciativat ekonomike të punës intensive me një shtrirje ndërkufitare, bashkëpunimin ndërmjet institucioneve të arsimit dhe sektorit privat për të përmirësuar përputhjen e kurrikulave të trajnimit me kërkesat e tregut të punës, zhvillimin e </w:t>
      </w:r>
      <w:r w:rsidRPr="00551729">
        <w:rPr>
          <w:rFonts w:ascii="Garamond" w:hAnsi="Garamond"/>
          <w:i/>
          <w:sz w:val="24"/>
          <w:szCs w:val="24"/>
          <w:lang w:val="sq-AL"/>
        </w:rPr>
        <w:t xml:space="preserve">mësimit virtual </w:t>
      </w:r>
      <w:r w:rsidRPr="00551729">
        <w:rPr>
          <w:rFonts w:ascii="Garamond" w:hAnsi="Garamond"/>
          <w:sz w:val="24"/>
          <w:szCs w:val="24"/>
          <w:lang w:val="sq-AL"/>
        </w:rPr>
        <w:t>të vazhdueshëm për</w:t>
      </w:r>
      <w:r w:rsidR="00C521D5" w:rsidRPr="00551729">
        <w:rPr>
          <w:rFonts w:ascii="Garamond" w:hAnsi="Garamond"/>
          <w:sz w:val="24"/>
          <w:szCs w:val="24"/>
          <w:lang w:val="sq-AL"/>
        </w:rPr>
        <w:t xml:space="preserve"> </w:t>
      </w:r>
      <w:r w:rsidRPr="00551729">
        <w:rPr>
          <w:rFonts w:ascii="Garamond" w:hAnsi="Garamond"/>
          <w:sz w:val="24"/>
          <w:szCs w:val="24"/>
          <w:lang w:val="sq-AL"/>
        </w:rPr>
        <w:t>të përmirësuar aftësitë e personave të punësuar si dhe atyre të papunë, për të rritur mundësitë e tyre në tregun e punës, mbështetjen e shfrytëzimit të teknologjive TIK për krijimin e rrjeteve dhe lëvizjet ndërkufitare të fuqisë</w:t>
      </w:r>
      <w:r w:rsidRPr="00551729">
        <w:rPr>
          <w:rFonts w:ascii="Garamond" w:hAnsi="Garamond"/>
          <w:spacing w:val="-6"/>
          <w:sz w:val="24"/>
          <w:szCs w:val="24"/>
          <w:lang w:val="sq-AL"/>
        </w:rPr>
        <w:t xml:space="preserve"> </w:t>
      </w:r>
      <w:r w:rsidRPr="00551729">
        <w:rPr>
          <w:rFonts w:ascii="Garamond" w:hAnsi="Garamond"/>
          <w:sz w:val="24"/>
          <w:szCs w:val="24"/>
          <w:lang w:val="sq-AL"/>
        </w:rPr>
        <w:t>punëtore.</w:t>
      </w:r>
    </w:p>
    <w:p w14:paraId="1BADCAE9" w14:textId="77777777"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Tabela e mëposhtme paraqet një përmbledhje të kontekstit dhe arsyetimet që çojnë në zgjedhjen e këtyre prioriteteve.</w:t>
      </w:r>
    </w:p>
    <w:p w14:paraId="1BADCAEA" w14:textId="48E62A4E" w:rsidR="003360ED" w:rsidRPr="00551729" w:rsidRDefault="003360ED" w:rsidP="003360ED">
      <w:pPr>
        <w:pStyle w:val="Heading5"/>
        <w:spacing w:before="0" w:line="240" w:lineRule="auto"/>
        <w:ind w:firstLine="284"/>
        <w:jc w:val="both"/>
        <w:rPr>
          <w:rFonts w:ascii="Garamond" w:hAnsi="Garamond"/>
          <w:color w:val="000000" w:themeColor="text1"/>
          <w:sz w:val="24"/>
          <w:szCs w:val="24"/>
        </w:rPr>
      </w:pPr>
      <w:r w:rsidRPr="00551729">
        <w:rPr>
          <w:rFonts w:ascii="Garamond" w:hAnsi="Garamond"/>
          <w:color w:val="000000" w:themeColor="text1"/>
          <w:sz w:val="24"/>
          <w:szCs w:val="24"/>
        </w:rPr>
        <w:t>Tabela 1:</w:t>
      </w:r>
      <w:r w:rsidR="00C521D5" w:rsidRPr="00551729">
        <w:rPr>
          <w:rFonts w:ascii="Garamond" w:hAnsi="Garamond"/>
          <w:color w:val="000000" w:themeColor="text1"/>
          <w:sz w:val="24"/>
          <w:szCs w:val="24"/>
        </w:rPr>
        <w:t xml:space="preserve"> </w:t>
      </w:r>
      <w:r w:rsidRPr="00551729">
        <w:rPr>
          <w:rFonts w:ascii="Garamond" w:hAnsi="Garamond"/>
          <w:color w:val="000000" w:themeColor="text1"/>
          <w:sz w:val="24"/>
          <w:szCs w:val="24"/>
        </w:rPr>
        <w:t>Pasqyrë sintetike e justifikimit për përzgjedhjen e prioriteteve tematike</w:t>
      </w:r>
    </w:p>
    <w:p w14:paraId="1BADCAEB" w14:textId="77777777" w:rsidR="003360ED" w:rsidRPr="00551729" w:rsidRDefault="003360ED" w:rsidP="003360ED">
      <w:pPr>
        <w:pStyle w:val="BodyText"/>
        <w:ind w:firstLine="284"/>
        <w:rPr>
          <w:rFonts w:ascii="Garamond" w:hAnsi="Garamond"/>
          <w:b/>
          <w:sz w:val="24"/>
          <w:szCs w:val="24"/>
          <w:lang w:val="sq-AL"/>
        </w:rPr>
      </w:pPr>
    </w:p>
    <w:tbl>
      <w:tblPr>
        <w:tblW w:w="0" w:type="auto"/>
        <w:tblInd w:w="10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192"/>
        <w:gridCol w:w="5347"/>
      </w:tblGrid>
      <w:tr w:rsidR="003360ED" w:rsidRPr="00551729" w14:paraId="1BADCAEE" w14:textId="77777777" w:rsidTr="00B65E6C">
        <w:trPr>
          <w:trHeight w:hRule="exact" w:val="512"/>
        </w:trPr>
        <w:tc>
          <w:tcPr>
            <w:tcW w:w="4192" w:type="dxa"/>
            <w:tcBorders>
              <w:bottom w:val="single" w:sz="24" w:space="0" w:color="FFFFFF"/>
            </w:tcBorders>
            <w:shd w:val="clear" w:color="auto" w:fill="4F81BC"/>
            <w:vAlign w:val="center"/>
          </w:tcPr>
          <w:p w14:paraId="1BADCAEC" w14:textId="77777777" w:rsidR="003360ED" w:rsidRPr="00551729" w:rsidRDefault="003360ED" w:rsidP="00B65E6C">
            <w:pPr>
              <w:pStyle w:val="TableParagraph"/>
              <w:jc w:val="center"/>
              <w:rPr>
                <w:rFonts w:ascii="Garamond" w:hAnsi="Garamond"/>
                <w:b/>
                <w:sz w:val="20"/>
                <w:szCs w:val="24"/>
                <w:lang w:val="sq-AL"/>
              </w:rPr>
            </w:pPr>
            <w:r w:rsidRPr="00551729">
              <w:rPr>
                <w:rFonts w:ascii="Garamond" w:hAnsi="Garamond"/>
                <w:b/>
                <w:sz w:val="20"/>
                <w:szCs w:val="24"/>
                <w:lang w:val="sq-AL"/>
              </w:rPr>
              <w:t>Prioritetet tematike të zgjedhur</w:t>
            </w:r>
          </w:p>
        </w:tc>
        <w:tc>
          <w:tcPr>
            <w:tcW w:w="5347" w:type="dxa"/>
            <w:tcBorders>
              <w:bottom w:val="single" w:sz="24" w:space="0" w:color="FFFFFF"/>
            </w:tcBorders>
            <w:shd w:val="clear" w:color="auto" w:fill="4F81BC"/>
            <w:vAlign w:val="center"/>
          </w:tcPr>
          <w:p w14:paraId="1BADCAED" w14:textId="77777777" w:rsidR="003360ED" w:rsidRPr="00551729" w:rsidRDefault="003360ED" w:rsidP="00B65E6C">
            <w:pPr>
              <w:pStyle w:val="TableParagraph"/>
              <w:jc w:val="center"/>
              <w:rPr>
                <w:rFonts w:ascii="Garamond" w:hAnsi="Garamond"/>
                <w:b/>
                <w:sz w:val="20"/>
                <w:szCs w:val="24"/>
                <w:lang w:val="sq-AL"/>
              </w:rPr>
            </w:pPr>
            <w:r w:rsidRPr="00551729">
              <w:rPr>
                <w:rFonts w:ascii="Garamond" w:hAnsi="Garamond"/>
                <w:b/>
                <w:sz w:val="20"/>
                <w:szCs w:val="24"/>
                <w:lang w:val="sq-AL"/>
              </w:rPr>
              <w:t>Justifikimi për përzgjedhjen</w:t>
            </w:r>
          </w:p>
        </w:tc>
      </w:tr>
      <w:tr w:rsidR="003360ED" w:rsidRPr="00551729" w14:paraId="1BADCAF6" w14:textId="77777777" w:rsidTr="00E3373A">
        <w:trPr>
          <w:trHeight w:hRule="exact" w:val="3453"/>
        </w:trPr>
        <w:tc>
          <w:tcPr>
            <w:tcW w:w="4192" w:type="dxa"/>
            <w:tcBorders>
              <w:top w:val="single" w:sz="24" w:space="0" w:color="FFFFFF"/>
              <w:bottom w:val="single" w:sz="9" w:space="0" w:color="FFFFFF"/>
              <w:right w:val="single" w:sz="24" w:space="0" w:color="FFFFFF"/>
            </w:tcBorders>
            <w:shd w:val="clear" w:color="auto" w:fill="4F81BC"/>
          </w:tcPr>
          <w:p w14:paraId="1BADCAEF" w14:textId="77777777" w:rsidR="003360ED" w:rsidRPr="00551729" w:rsidRDefault="003360ED" w:rsidP="00E3373A">
            <w:pPr>
              <w:pStyle w:val="TableParagraph"/>
              <w:rPr>
                <w:rFonts w:ascii="Garamond" w:hAnsi="Garamond"/>
                <w:b/>
                <w:sz w:val="20"/>
                <w:szCs w:val="24"/>
                <w:lang w:val="sq-AL"/>
              </w:rPr>
            </w:pPr>
          </w:p>
          <w:p w14:paraId="1BADCAF0" w14:textId="77777777" w:rsidR="003360ED" w:rsidRPr="00551729" w:rsidRDefault="003360ED" w:rsidP="00E3373A">
            <w:pPr>
              <w:pStyle w:val="TableParagraph"/>
              <w:rPr>
                <w:rFonts w:ascii="Garamond" w:hAnsi="Garamond"/>
                <w:b/>
                <w:sz w:val="20"/>
                <w:szCs w:val="24"/>
                <w:lang w:val="sq-AL"/>
              </w:rPr>
            </w:pPr>
          </w:p>
          <w:p w14:paraId="1BADCAF1" w14:textId="77777777" w:rsidR="003360ED" w:rsidRPr="00551729" w:rsidRDefault="003360ED" w:rsidP="00E3373A">
            <w:pPr>
              <w:pStyle w:val="TableParagraph"/>
              <w:rPr>
                <w:rFonts w:ascii="Garamond" w:hAnsi="Garamond"/>
                <w:b/>
                <w:sz w:val="20"/>
                <w:szCs w:val="24"/>
                <w:lang w:val="sq-AL"/>
              </w:rPr>
            </w:pPr>
            <w:r w:rsidRPr="00551729">
              <w:rPr>
                <w:rFonts w:ascii="Garamond" w:hAnsi="Garamond"/>
                <w:b/>
                <w:sz w:val="20"/>
                <w:szCs w:val="24"/>
                <w:lang w:val="sq-AL"/>
              </w:rPr>
              <w:t>Nxitja e turizmit dhe e trashëgimisë kulturore dhe natyrore.</w:t>
            </w:r>
          </w:p>
        </w:tc>
        <w:tc>
          <w:tcPr>
            <w:tcW w:w="5347" w:type="dxa"/>
            <w:tcBorders>
              <w:top w:val="single" w:sz="24" w:space="0" w:color="FFFFFF"/>
              <w:left w:val="single" w:sz="24" w:space="0" w:color="FFFFFF"/>
              <w:bottom w:val="single" w:sz="9" w:space="0" w:color="FFFFFF"/>
            </w:tcBorders>
            <w:shd w:val="clear" w:color="auto" w:fill="A7BEDE"/>
          </w:tcPr>
          <w:p w14:paraId="1BADCAF2" w14:textId="1B759A59"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Turizmi është sektori ekonomik më premtues në Mal të Zi, ndërkohë që edhe në zonën e programit në Shqipëri ka një potencial të lartë për</w:t>
            </w:r>
            <w:r w:rsidR="003360ED" w:rsidRPr="00551729">
              <w:rPr>
                <w:rFonts w:ascii="Garamond" w:hAnsi="Garamond"/>
                <w:spacing w:val="-11"/>
                <w:sz w:val="20"/>
                <w:szCs w:val="24"/>
                <w:lang w:val="sq-AL"/>
              </w:rPr>
              <w:t xml:space="preserve"> </w:t>
            </w:r>
            <w:r w:rsidR="003360ED" w:rsidRPr="00551729">
              <w:rPr>
                <w:rFonts w:ascii="Garamond" w:hAnsi="Garamond"/>
                <w:sz w:val="20"/>
                <w:szCs w:val="24"/>
                <w:lang w:val="sq-AL"/>
              </w:rPr>
              <w:t>zhvillim;</w:t>
            </w:r>
          </w:p>
          <w:p w14:paraId="1BADCAF3" w14:textId="2B90275F"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nxitur zhvillimin e llojeve të ndryshme të turizmit (malor, kulinar, dhe agroturizmi) në të gjithë zonën e programit, pasi ka një zhvillim të çekuilibruar të turizmit, me mbizotërimin e turizmit</w:t>
            </w:r>
            <w:r w:rsidR="003360ED" w:rsidRPr="00551729">
              <w:rPr>
                <w:rFonts w:ascii="Garamond" w:hAnsi="Garamond"/>
                <w:spacing w:val="-15"/>
                <w:sz w:val="20"/>
                <w:szCs w:val="24"/>
                <w:lang w:val="sq-AL"/>
              </w:rPr>
              <w:t xml:space="preserve"> </w:t>
            </w:r>
            <w:r w:rsidR="003360ED" w:rsidRPr="00551729">
              <w:rPr>
                <w:rFonts w:ascii="Garamond" w:hAnsi="Garamond"/>
                <w:sz w:val="20"/>
                <w:szCs w:val="24"/>
                <w:lang w:val="sq-AL"/>
              </w:rPr>
              <w:t>bregdetar;</w:t>
            </w:r>
          </w:p>
          <w:p w14:paraId="1BADCAF4" w14:textId="35CCEB38"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rritur vizibilitetin e trashëgimisë së pasur historike dhe kulturore, si dhe të veçorive tradicionale, me qëllim rritjen e të ardhurave në zonën e programit, duke nxitur aktivitetet për të ruajtur traditën dhe trashëgiminë kulturore dhe</w:t>
            </w:r>
            <w:r w:rsidR="003360ED" w:rsidRPr="00551729">
              <w:rPr>
                <w:rFonts w:ascii="Garamond" w:hAnsi="Garamond"/>
                <w:spacing w:val="-9"/>
                <w:sz w:val="20"/>
                <w:szCs w:val="24"/>
                <w:lang w:val="sq-AL"/>
              </w:rPr>
              <w:t xml:space="preserve"> </w:t>
            </w:r>
            <w:r w:rsidR="003360ED" w:rsidRPr="00551729">
              <w:rPr>
                <w:rFonts w:ascii="Garamond" w:hAnsi="Garamond"/>
                <w:sz w:val="20"/>
                <w:szCs w:val="24"/>
                <w:lang w:val="sq-AL"/>
              </w:rPr>
              <w:t>natyrore;</w:t>
            </w:r>
          </w:p>
          <w:p w14:paraId="1BADCAF5" w14:textId="7174D302"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rritur nivelin e bashkëpunimit ndërmjet aktorëve në fushën e zhvillimit të turizmit dhe ruajtjes së trashëgimisë kulturore dhe</w:t>
            </w:r>
            <w:r w:rsidR="003360ED" w:rsidRPr="00551729">
              <w:rPr>
                <w:rFonts w:ascii="Garamond" w:hAnsi="Garamond"/>
                <w:spacing w:val="-11"/>
                <w:sz w:val="20"/>
                <w:szCs w:val="24"/>
                <w:lang w:val="sq-AL"/>
              </w:rPr>
              <w:t xml:space="preserve"> </w:t>
            </w:r>
            <w:r w:rsidR="003360ED" w:rsidRPr="00551729">
              <w:rPr>
                <w:rFonts w:ascii="Garamond" w:hAnsi="Garamond"/>
                <w:sz w:val="20"/>
                <w:szCs w:val="24"/>
                <w:lang w:val="sq-AL"/>
              </w:rPr>
              <w:t>natyrore.</w:t>
            </w:r>
          </w:p>
        </w:tc>
      </w:tr>
      <w:tr w:rsidR="003360ED" w:rsidRPr="00551729" w14:paraId="1BADCAFE" w14:textId="77777777" w:rsidTr="00B628D7">
        <w:trPr>
          <w:trHeight w:hRule="exact" w:val="4157"/>
        </w:trPr>
        <w:tc>
          <w:tcPr>
            <w:tcW w:w="4192" w:type="dxa"/>
            <w:tcBorders>
              <w:top w:val="single" w:sz="9" w:space="0" w:color="FFFFFF"/>
              <w:right w:val="single" w:sz="24" w:space="0" w:color="FFFFFF"/>
            </w:tcBorders>
            <w:shd w:val="clear" w:color="auto" w:fill="4F81BC"/>
          </w:tcPr>
          <w:p w14:paraId="1BADCAF7" w14:textId="77777777" w:rsidR="003360ED" w:rsidRPr="00551729" w:rsidRDefault="003360ED" w:rsidP="003360ED">
            <w:pPr>
              <w:pStyle w:val="TableParagraph"/>
              <w:rPr>
                <w:rFonts w:ascii="Garamond" w:hAnsi="Garamond"/>
                <w:b/>
                <w:sz w:val="20"/>
                <w:szCs w:val="24"/>
                <w:lang w:val="sq-AL"/>
              </w:rPr>
            </w:pPr>
          </w:p>
          <w:p w14:paraId="1BADCAF8" w14:textId="77777777" w:rsidR="003360ED" w:rsidRPr="00551729" w:rsidRDefault="003360ED" w:rsidP="003360ED">
            <w:pPr>
              <w:pStyle w:val="TableParagraph"/>
              <w:rPr>
                <w:rFonts w:ascii="Garamond" w:hAnsi="Garamond"/>
                <w:b/>
                <w:sz w:val="20"/>
                <w:szCs w:val="24"/>
                <w:lang w:val="sq-AL"/>
              </w:rPr>
            </w:pPr>
          </w:p>
          <w:p w14:paraId="1BADCAF9"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Mbrojtja e mjedisit, nxitja e përshtatjes dhe lehtësimit ndaj ndryshimeve klimatike, parandalimi dhe menaxhimi i rrezikut.</w:t>
            </w:r>
          </w:p>
        </w:tc>
        <w:tc>
          <w:tcPr>
            <w:tcW w:w="5347" w:type="dxa"/>
            <w:tcBorders>
              <w:top w:val="single" w:sz="9" w:space="0" w:color="FFFFFF"/>
              <w:left w:val="single" w:sz="24" w:space="0" w:color="FFFFFF"/>
            </w:tcBorders>
            <w:shd w:val="clear" w:color="auto" w:fill="D2DFED"/>
          </w:tcPr>
          <w:p w14:paraId="1BADCAFA" w14:textId="61CC6136"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Biodiversiteti i pasur natyror dhe ekzistenca e disa zonave të mbrojtura dhe parqeve kombëtare në zonën e programit, si dhe c</w:t>
            </w:r>
            <w:r>
              <w:rPr>
                <w:rFonts w:ascii="Garamond" w:hAnsi="Garamond"/>
                <w:sz w:val="20"/>
                <w:szCs w:val="24"/>
                <w:lang w:val="sq-AL"/>
              </w:rPr>
              <w:t>e</w:t>
            </w:r>
            <w:r w:rsidR="003360ED" w:rsidRPr="00551729">
              <w:rPr>
                <w:rFonts w:ascii="Garamond" w:hAnsi="Garamond"/>
                <w:sz w:val="20"/>
                <w:szCs w:val="24"/>
                <w:lang w:val="sq-AL"/>
              </w:rPr>
              <w:t>nueshmëria e lartë e rajonit nga përmbytjet;</w:t>
            </w:r>
          </w:p>
          <w:p w14:paraId="1BADCAFB" w14:textId="0C3F1309"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promovuar dhe për të përmirësuar zbatimin</w:t>
            </w:r>
            <w:r w:rsidR="00C521D5" w:rsidRPr="00551729">
              <w:rPr>
                <w:rFonts w:ascii="Garamond" w:hAnsi="Garamond"/>
                <w:sz w:val="20"/>
                <w:szCs w:val="24"/>
                <w:lang w:val="sq-AL"/>
              </w:rPr>
              <w:t xml:space="preserve"> </w:t>
            </w:r>
            <w:r w:rsidR="003360ED" w:rsidRPr="00551729">
              <w:rPr>
                <w:rFonts w:ascii="Garamond" w:hAnsi="Garamond"/>
                <w:sz w:val="20"/>
                <w:szCs w:val="24"/>
                <w:lang w:val="sq-AL"/>
              </w:rPr>
              <w:t>e ligjit dhe standardeve mbi mjedisin, për të siguruar menaxhim më të mirë të pyjeve dhe zonave të mbrojtura, në mënyrë që të parandalohet degradimi i</w:t>
            </w:r>
            <w:r w:rsidR="003360ED" w:rsidRPr="00551729">
              <w:rPr>
                <w:rFonts w:ascii="Garamond" w:hAnsi="Garamond"/>
                <w:spacing w:val="-21"/>
                <w:sz w:val="20"/>
                <w:szCs w:val="24"/>
                <w:lang w:val="sq-AL"/>
              </w:rPr>
              <w:t xml:space="preserve"> </w:t>
            </w:r>
            <w:r w:rsidR="003360ED" w:rsidRPr="00551729">
              <w:rPr>
                <w:rFonts w:ascii="Garamond" w:hAnsi="Garamond"/>
                <w:sz w:val="20"/>
                <w:szCs w:val="24"/>
                <w:lang w:val="sq-AL"/>
              </w:rPr>
              <w:t>mjedisit;</w:t>
            </w:r>
          </w:p>
          <w:p w14:paraId="1BADCAFC" w14:textId="1E8B9704"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nxitur përpjekjet e përbashkëta në menaxhimin dhe kontrollin për mbrojtjen e burimeve natyrore dhe parandalimin e shfrytëzimit të pakontrolluar të burimeve natyrore në zonën e</w:t>
            </w:r>
            <w:r w:rsidR="003360ED" w:rsidRPr="00551729">
              <w:rPr>
                <w:rFonts w:ascii="Garamond" w:hAnsi="Garamond"/>
                <w:spacing w:val="-14"/>
                <w:sz w:val="20"/>
                <w:szCs w:val="24"/>
                <w:lang w:val="sq-AL"/>
              </w:rPr>
              <w:t xml:space="preserve"> </w:t>
            </w:r>
            <w:r w:rsidR="003360ED" w:rsidRPr="00551729">
              <w:rPr>
                <w:rFonts w:ascii="Garamond" w:hAnsi="Garamond"/>
                <w:sz w:val="20"/>
                <w:szCs w:val="24"/>
                <w:lang w:val="sq-AL"/>
              </w:rPr>
              <w:t>programit;</w:t>
            </w:r>
          </w:p>
          <w:p w14:paraId="1BADCAFD" w14:textId="1E4D0583" w:rsidR="003360ED" w:rsidRPr="00551729" w:rsidRDefault="00E3373A" w:rsidP="00E3373A">
            <w:pPr>
              <w:pStyle w:val="TableParagraph"/>
              <w:tabs>
                <w:tab w:val="left" w:pos="378"/>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nxitur rritjen e ndërgjegjësimit të aktorëve lokalë për një përdorimin më të mirë të burimeve natyrore, për potencialin e lartë ekzistues në pyje, si dhe për promovimin e</w:t>
            </w:r>
            <w:r w:rsidR="003360ED" w:rsidRPr="00551729">
              <w:rPr>
                <w:rFonts w:ascii="Garamond" w:hAnsi="Garamond"/>
                <w:spacing w:val="-9"/>
                <w:sz w:val="20"/>
                <w:szCs w:val="24"/>
                <w:lang w:val="sq-AL"/>
              </w:rPr>
              <w:t xml:space="preserve"> </w:t>
            </w:r>
            <w:r w:rsidR="003360ED" w:rsidRPr="00551729">
              <w:rPr>
                <w:rFonts w:ascii="Garamond" w:hAnsi="Garamond"/>
                <w:sz w:val="20"/>
                <w:szCs w:val="24"/>
                <w:lang w:val="sq-AL"/>
              </w:rPr>
              <w:t>ekoturizmit.</w:t>
            </w:r>
          </w:p>
        </w:tc>
      </w:tr>
    </w:tbl>
    <w:p w14:paraId="1BADCAFF" w14:textId="77777777" w:rsidR="003360ED" w:rsidRPr="00551729" w:rsidRDefault="003360ED" w:rsidP="003360ED">
      <w:pPr>
        <w:pStyle w:val="BodyText"/>
        <w:ind w:firstLine="284"/>
        <w:rPr>
          <w:rFonts w:ascii="Garamond" w:hAnsi="Garamond"/>
          <w:b/>
          <w:sz w:val="24"/>
          <w:szCs w:val="24"/>
          <w:lang w:val="sq-AL"/>
        </w:rPr>
      </w:pPr>
    </w:p>
    <w:p w14:paraId="1BADCB00" w14:textId="77777777" w:rsidR="003360ED" w:rsidRPr="00551729" w:rsidRDefault="003360ED" w:rsidP="003360ED">
      <w:pPr>
        <w:pStyle w:val="BodyText"/>
        <w:ind w:firstLine="284"/>
        <w:rPr>
          <w:rFonts w:ascii="Garamond" w:hAnsi="Garamond"/>
          <w:b/>
          <w:sz w:val="24"/>
          <w:szCs w:val="24"/>
          <w:lang w:val="sq-AL"/>
        </w:rPr>
      </w:pPr>
    </w:p>
    <w:tbl>
      <w:tblPr>
        <w:tblW w:w="0" w:type="auto"/>
        <w:tblInd w:w="12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192"/>
        <w:gridCol w:w="5347"/>
      </w:tblGrid>
      <w:tr w:rsidR="003360ED" w:rsidRPr="00551729" w14:paraId="1BADCB09" w14:textId="77777777" w:rsidTr="00B628D7">
        <w:trPr>
          <w:trHeight w:hRule="exact" w:val="6162"/>
        </w:trPr>
        <w:tc>
          <w:tcPr>
            <w:tcW w:w="4192" w:type="dxa"/>
            <w:shd w:val="clear" w:color="auto" w:fill="4F81BC"/>
          </w:tcPr>
          <w:p w14:paraId="1BADCB01" w14:textId="77777777" w:rsidR="003360ED" w:rsidRPr="00551729" w:rsidRDefault="003360ED" w:rsidP="003360ED">
            <w:pPr>
              <w:pStyle w:val="TableParagraph"/>
              <w:rPr>
                <w:rFonts w:ascii="Garamond" w:hAnsi="Garamond"/>
                <w:b/>
                <w:sz w:val="20"/>
                <w:szCs w:val="24"/>
                <w:lang w:val="sq-AL"/>
              </w:rPr>
            </w:pPr>
          </w:p>
          <w:p w14:paraId="1BADCB02" w14:textId="77777777" w:rsidR="003360ED" w:rsidRPr="00551729" w:rsidRDefault="003360ED" w:rsidP="003360ED">
            <w:pPr>
              <w:pStyle w:val="TableParagraph"/>
              <w:rPr>
                <w:rFonts w:ascii="Garamond" w:hAnsi="Garamond"/>
                <w:b/>
                <w:sz w:val="20"/>
                <w:szCs w:val="24"/>
                <w:lang w:val="sq-AL"/>
              </w:rPr>
            </w:pPr>
          </w:p>
          <w:p w14:paraId="1BADCB03"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Nxitja e punësimit, lëvizjes gjeografike të punonjësve, dhe përfshirjes sociale.</w:t>
            </w:r>
          </w:p>
        </w:tc>
        <w:tc>
          <w:tcPr>
            <w:tcW w:w="5347" w:type="dxa"/>
            <w:shd w:val="clear" w:color="auto" w:fill="A7BEDE"/>
          </w:tcPr>
          <w:p w14:paraId="1BADCB04" w14:textId="24F227B6" w:rsidR="003360ED" w:rsidRPr="00551729" w:rsidRDefault="00E3373A" w:rsidP="00E3373A">
            <w:pPr>
              <w:pStyle w:val="TableParagraph"/>
              <w:tabs>
                <w:tab w:val="left" w:pos="440"/>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Shkalla e lartë e papunësisë, veçanërisht tek të rinjtë dhe gratë, reduktimi i popullsisë dhe largimi i personave të aftë dhe të arsimuar nga pjesa rurale e zonës së programit, integrimi shumë i ulët i tregjeve të punës ndërkufitare, dhe lëvizja e ulët ndërkufitare e</w:t>
            </w:r>
            <w:r w:rsidR="003360ED" w:rsidRPr="00551729">
              <w:rPr>
                <w:rFonts w:ascii="Garamond" w:hAnsi="Garamond"/>
                <w:spacing w:val="-17"/>
                <w:sz w:val="20"/>
                <w:szCs w:val="24"/>
                <w:lang w:val="sq-AL"/>
              </w:rPr>
              <w:t xml:space="preserve"> </w:t>
            </w:r>
            <w:r w:rsidR="003360ED" w:rsidRPr="00551729">
              <w:rPr>
                <w:rFonts w:ascii="Garamond" w:hAnsi="Garamond"/>
                <w:sz w:val="20"/>
                <w:szCs w:val="24"/>
                <w:lang w:val="sq-AL"/>
              </w:rPr>
              <w:t>punonjësve;</w:t>
            </w:r>
          </w:p>
          <w:p w14:paraId="1BADCB05" w14:textId="2AC943F0" w:rsidR="003360ED" w:rsidRPr="00551729" w:rsidRDefault="00E3373A" w:rsidP="00E3373A">
            <w:pPr>
              <w:pStyle w:val="TableParagraph"/>
              <w:tabs>
                <w:tab w:val="left" w:pos="440"/>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rritur aksesin në tregun e punës, veçanërisht të popullsisë rurale, duke nxitur zhvillimin e programeve të punësimit për integrimin social të grupeve të margjinalizuara, në mënyrë që të zbutet rreziku i normave të larta të</w:t>
            </w:r>
            <w:r w:rsidR="003360ED" w:rsidRPr="00551729">
              <w:rPr>
                <w:rFonts w:ascii="Garamond" w:hAnsi="Garamond"/>
                <w:spacing w:val="-7"/>
                <w:sz w:val="20"/>
                <w:szCs w:val="24"/>
                <w:lang w:val="sq-AL"/>
              </w:rPr>
              <w:t xml:space="preserve"> </w:t>
            </w:r>
            <w:r w:rsidR="003360ED" w:rsidRPr="00551729">
              <w:rPr>
                <w:rFonts w:ascii="Garamond" w:hAnsi="Garamond"/>
                <w:sz w:val="20"/>
                <w:szCs w:val="24"/>
                <w:lang w:val="sq-AL"/>
              </w:rPr>
              <w:t>migrimit;</w:t>
            </w:r>
          </w:p>
          <w:p w14:paraId="1BADCB06" w14:textId="634CE8BE" w:rsidR="003360ED" w:rsidRPr="00551729" w:rsidRDefault="00E3373A" w:rsidP="00E3373A">
            <w:pPr>
              <w:pStyle w:val="TableParagraph"/>
              <w:tabs>
                <w:tab w:val="left" w:pos="440"/>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nxitur lidhjen më të mirë të formimit profesional me kërkesat e tregut të punës, në mënyrë që të rriten aftësitë e fuqisë punëtore dhe si rrjedhojë të rriten mundësitë për</w:t>
            </w:r>
            <w:r w:rsidR="003360ED" w:rsidRPr="00551729">
              <w:rPr>
                <w:rFonts w:ascii="Garamond" w:hAnsi="Garamond"/>
                <w:spacing w:val="-10"/>
                <w:sz w:val="20"/>
                <w:szCs w:val="24"/>
                <w:lang w:val="sq-AL"/>
              </w:rPr>
              <w:t xml:space="preserve"> </w:t>
            </w:r>
            <w:r w:rsidR="003360ED" w:rsidRPr="00551729">
              <w:rPr>
                <w:rFonts w:ascii="Garamond" w:hAnsi="Garamond"/>
                <w:sz w:val="20"/>
                <w:szCs w:val="24"/>
                <w:lang w:val="sq-AL"/>
              </w:rPr>
              <w:t>punësim;</w:t>
            </w:r>
          </w:p>
          <w:p w14:paraId="1BADCB07" w14:textId="75E0D598" w:rsidR="003360ED" w:rsidRPr="00551729" w:rsidRDefault="00E3373A" w:rsidP="00E3373A">
            <w:pPr>
              <w:pStyle w:val="TableParagraph"/>
              <w:tabs>
                <w:tab w:val="left" w:pos="440"/>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promovuar kthimin e multietnicitetit në zonën e programit si një avantazh për përfshirjen ekonomike, sociale dhe kulturore që rrit nivelin e integrimit të tregjeve të punës ndërkufitar, si dhe lëvizjen gjeografike të</w:t>
            </w:r>
            <w:r w:rsidR="003360ED" w:rsidRPr="00551729">
              <w:rPr>
                <w:rFonts w:ascii="Garamond" w:hAnsi="Garamond"/>
                <w:spacing w:val="-9"/>
                <w:sz w:val="20"/>
                <w:szCs w:val="24"/>
                <w:lang w:val="sq-AL"/>
              </w:rPr>
              <w:t xml:space="preserve"> </w:t>
            </w:r>
            <w:r w:rsidR="003360ED" w:rsidRPr="00551729">
              <w:rPr>
                <w:rFonts w:ascii="Garamond" w:hAnsi="Garamond"/>
                <w:sz w:val="20"/>
                <w:szCs w:val="24"/>
                <w:lang w:val="sq-AL"/>
              </w:rPr>
              <w:t>punonjësve;</w:t>
            </w:r>
          </w:p>
          <w:p w14:paraId="1BADCB08" w14:textId="3D405F77" w:rsidR="003360ED" w:rsidRPr="00551729" w:rsidRDefault="00E3373A" w:rsidP="00E3373A">
            <w:pPr>
              <w:pStyle w:val="TableParagraph"/>
              <w:tabs>
                <w:tab w:val="left" w:pos="0"/>
                <w:tab w:val="left" w:pos="113"/>
                <w:tab w:val="left" w:pos="440"/>
              </w:tabs>
              <w:jc w:val="both"/>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Nevoja për të promovuar aktivitetet e kërkimit shkencor dhe zhvillimit duke përdorur institucionet ekzistuese kërkimore dhe ato të arsimit të lartë në fushat me interes të përbashkët, të cilët rrisin përfitimet që rrjedhin nga të tilla bashkëpunime</w:t>
            </w:r>
            <w:r w:rsidR="003360ED" w:rsidRPr="00551729">
              <w:rPr>
                <w:rFonts w:ascii="Garamond" w:hAnsi="Garamond"/>
                <w:spacing w:val="-11"/>
                <w:sz w:val="20"/>
                <w:szCs w:val="24"/>
                <w:lang w:val="sq-AL"/>
              </w:rPr>
              <w:t xml:space="preserve"> </w:t>
            </w:r>
            <w:r w:rsidR="003360ED" w:rsidRPr="00551729">
              <w:rPr>
                <w:rFonts w:ascii="Garamond" w:hAnsi="Garamond"/>
                <w:sz w:val="20"/>
                <w:szCs w:val="24"/>
                <w:lang w:val="sq-AL"/>
              </w:rPr>
              <w:t>ndërkufitare.</w:t>
            </w:r>
          </w:p>
        </w:tc>
      </w:tr>
    </w:tbl>
    <w:p w14:paraId="1BADCB0A" w14:textId="77777777" w:rsidR="003360ED" w:rsidRPr="00551729" w:rsidRDefault="003360ED" w:rsidP="003360ED">
      <w:pPr>
        <w:pStyle w:val="BodyText"/>
        <w:ind w:firstLine="284"/>
        <w:rPr>
          <w:rFonts w:ascii="Garamond" w:hAnsi="Garamond"/>
          <w:b/>
          <w:sz w:val="24"/>
          <w:szCs w:val="24"/>
          <w:lang w:val="sq-AL"/>
        </w:rPr>
      </w:pPr>
    </w:p>
    <w:p w14:paraId="1BADCB0B" w14:textId="164CB65E" w:rsidR="003360ED" w:rsidRPr="00551729" w:rsidRDefault="003360ED" w:rsidP="003360ED">
      <w:pPr>
        <w:pStyle w:val="TEKSTIII"/>
        <w:rPr>
          <w:b/>
        </w:rPr>
      </w:pPr>
      <w:r w:rsidRPr="00551729">
        <w:rPr>
          <w:b/>
          <w:noProof/>
          <w:lang w:eastAsia="sq-AL"/>
        </w:rPr>
        <mc:AlternateContent>
          <mc:Choice Requires="wps">
            <w:drawing>
              <wp:anchor distT="0" distB="0" distL="114300" distR="114300" simplePos="0" relativeHeight="251658241" behindDoc="1" locked="0" layoutInCell="1" allowOverlap="1" wp14:anchorId="1BADD789" wp14:editId="1BADD78A">
                <wp:simplePos x="0" y="0"/>
                <wp:positionH relativeFrom="page">
                  <wp:posOffset>3495040</wp:posOffset>
                </wp:positionH>
                <wp:positionV relativeFrom="paragraph">
                  <wp:posOffset>-4218305</wp:posOffset>
                </wp:positionV>
                <wp:extent cx="38100" cy="3912870"/>
                <wp:effectExtent l="0" t="0" r="635" b="254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391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275.2pt;margin-top:-332.15pt;width:3pt;height:308.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" stroked="f">
                <w10:wrap anchorx="page"/>
              </v:rect>
            </w:pict>
          </mc:Fallback>
        </mc:AlternateContent>
      </w:r>
      <w:bookmarkStart w:id="28" w:name="_bookmark26"/>
      <w:bookmarkEnd w:id="28"/>
      <w:r w:rsidRPr="00551729">
        <w:rPr>
          <w:b/>
        </w:rPr>
        <w:t>3.2 Përshkrimi i prioriteteve të</w:t>
      </w:r>
      <w:r w:rsidRPr="00551729">
        <w:rPr>
          <w:b/>
          <w:spacing w:val="-16"/>
        </w:rPr>
        <w:t xml:space="preserve"> </w:t>
      </w:r>
      <w:r w:rsidRPr="00551729">
        <w:rPr>
          <w:b/>
        </w:rPr>
        <w:t>programit</w:t>
      </w:r>
    </w:p>
    <w:p w14:paraId="1BADCB0C" w14:textId="77777777" w:rsidR="003360ED" w:rsidRPr="00551729" w:rsidRDefault="003360ED" w:rsidP="003360ED">
      <w:pPr>
        <w:pStyle w:val="TEKSTIII"/>
      </w:pPr>
      <w:r w:rsidRPr="00551729">
        <w:t>Tabelat e mëposhtme paraqesin një përshkrim të çdo prioriteti, të mbështetur nga objektivat specifikë, rezultatet, aktivitetet dhe treguesit e suksesit:</w:t>
      </w:r>
    </w:p>
    <w:p w14:paraId="1BADCB0D" w14:textId="77777777" w:rsidR="003360ED" w:rsidRPr="00551729" w:rsidRDefault="003360ED" w:rsidP="003360ED">
      <w:pPr>
        <w:pStyle w:val="TEKSTIII"/>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39"/>
        <w:gridCol w:w="1349"/>
        <w:gridCol w:w="2012"/>
        <w:gridCol w:w="2036"/>
        <w:gridCol w:w="2542"/>
      </w:tblGrid>
      <w:tr w:rsidR="003360ED" w:rsidRPr="00551729" w14:paraId="1BADCB0F" w14:textId="77777777" w:rsidTr="00E3373A">
        <w:trPr>
          <w:trHeight w:hRule="exact" w:val="398"/>
        </w:trPr>
        <w:tc>
          <w:tcPr>
            <w:tcW w:w="9578" w:type="dxa"/>
            <w:gridSpan w:val="5"/>
            <w:shd w:val="clear" w:color="auto" w:fill="C5D9F0"/>
            <w:vAlign w:val="center"/>
          </w:tcPr>
          <w:p w14:paraId="1BADCB0E" w14:textId="77777777" w:rsidR="003360ED" w:rsidRPr="00551729" w:rsidRDefault="003360ED" w:rsidP="00E3373A">
            <w:pPr>
              <w:pStyle w:val="TableParagraph"/>
              <w:jc w:val="center"/>
              <w:rPr>
                <w:rFonts w:ascii="Garamond" w:hAnsi="Garamond"/>
                <w:b/>
                <w:sz w:val="20"/>
                <w:szCs w:val="24"/>
                <w:lang w:val="sq-AL"/>
              </w:rPr>
            </w:pPr>
            <w:r w:rsidRPr="00551729">
              <w:rPr>
                <w:rFonts w:ascii="Garamond" w:hAnsi="Garamond"/>
                <w:b/>
                <w:sz w:val="20"/>
                <w:szCs w:val="24"/>
                <w:lang w:val="sq-AL"/>
              </w:rPr>
              <w:t>PRIORITETI 1 – NXITJA E TURIZMIT DHE E TRASHËGIMISË KULTURORE DHE NATYRORE</w:t>
            </w:r>
          </w:p>
        </w:tc>
      </w:tr>
      <w:tr w:rsidR="003360ED" w:rsidRPr="00551729" w14:paraId="1BADCB15" w14:textId="77777777" w:rsidTr="00E3373A">
        <w:trPr>
          <w:trHeight w:hRule="exact" w:val="618"/>
        </w:trPr>
        <w:tc>
          <w:tcPr>
            <w:tcW w:w="1639" w:type="dxa"/>
            <w:shd w:val="clear" w:color="auto" w:fill="DBE4F0"/>
            <w:vAlign w:val="center"/>
          </w:tcPr>
          <w:p w14:paraId="1BADCB10" w14:textId="77777777" w:rsidR="003360ED" w:rsidRPr="00551729" w:rsidRDefault="003360ED" w:rsidP="00E3373A">
            <w:pPr>
              <w:pStyle w:val="TableParagraph"/>
              <w:jc w:val="center"/>
              <w:rPr>
                <w:rFonts w:ascii="Garamond" w:hAnsi="Garamond"/>
                <w:b/>
                <w:sz w:val="20"/>
                <w:szCs w:val="24"/>
                <w:lang w:val="sq-AL"/>
              </w:rPr>
            </w:pPr>
            <w:r w:rsidRPr="00551729">
              <w:rPr>
                <w:rFonts w:ascii="Garamond" w:hAnsi="Garamond"/>
                <w:b/>
                <w:w w:val="95"/>
                <w:sz w:val="20"/>
                <w:szCs w:val="24"/>
                <w:lang w:val="sq-AL"/>
              </w:rPr>
              <w:t xml:space="preserve">Objektivi </w:t>
            </w:r>
            <w:r w:rsidRPr="00551729">
              <w:rPr>
                <w:rFonts w:ascii="Garamond" w:hAnsi="Garamond"/>
                <w:b/>
                <w:sz w:val="20"/>
                <w:szCs w:val="24"/>
                <w:lang w:val="sq-AL"/>
              </w:rPr>
              <w:t>specifik</w:t>
            </w:r>
          </w:p>
        </w:tc>
        <w:tc>
          <w:tcPr>
            <w:tcW w:w="1349" w:type="dxa"/>
            <w:shd w:val="clear" w:color="auto" w:fill="DBE4F0"/>
            <w:vAlign w:val="center"/>
          </w:tcPr>
          <w:p w14:paraId="1BADCB11" w14:textId="77777777" w:rsidR="003360ED" w:rsidRPr="00551729" w:rsidRDefault="003360ED" w:rsidP="00E3373A">
            <w:pPr>
              <w:pStyle w:val="TableParagraph"/>
              <w:jc w:val="center"/>
              <w:rPr>
                <w:rFonts w:ascii="Garamond" w:hAnsi="Garamond"/>
                <w:b/>
                <w:sz w:val="20"/>
                <w:szCs w:val="24"/>
                <w:lang w:val="sq-AL"/>
              </w:rPr>
            </w:pPr>
            <w:r w:rsidRPr="00551729">
              <w:rPr>
                <w:rFonts w:ascii="Garamond" w:hAnsi="Garamond"/>
                <w:b/>
                <w:sz w:val="20"/>
                <w:szCs w:val="24"/>
                <w:lang w:val="sq-AL"/>
              </w:rPr>
              <w:t>Rezultatet</w:t>
            </w:r>
          </w:p>
        </w:tc>
        <w:tc>
          <w:tcPr>
            <w:tcW w:w="2012" w:type="dxa"/>
            <w:shd w:val="clear" w:color="auto" w:fill="DBE4F0"/>
            <w:vAlign w:val="center"/>
          </w:tcPr>
          <w:p w14:paraId="1BADCB12" w14:textId="77777777" w:rsidR="003360ED" w:rsidRPr="00551729" w:rsidRDefault="003360ED" w:rsidP="00E3373A">
            <w:pPr>
              <w:pStyle w:val="TableParagraph"/>
              <w:jc w:val="center"/>
              <w:rPr>
                <w:rFonts w:ascii="Garamond" w:hAnsi="Garamond"/>
                <w:b/>
                <w:sz w:val="20"/>
                <w:szCs w:val="24"/>
                <w:lang w:val="sq-AL"/>
              </w:rPr>
            </w:pPr>
            <w:r w:rsidRPr="00551729">
              <w:rPr>
                <w:rFonts w:ascii="Garamond" w:hAnsi="Garamond"/>
                <w:b/>
                <w:sz w:val="20"/>
                <w:szCs w:val="24"/>
                <w:lang w:val="sq-AL"/>
              </w:rPr>
              <w:t>Treguesit</w:t>
            </w:r>
            <w:r w:rsidRPr="00551729">
              <w:rPr>
                <w:rFonts w:ascii="Garamond" w:hAnsi="Garamond"/>
                <w:b/>
                <w:position w:val="6"/>
                <w:sz w:val="20"/>
                <w:szCs w:val="24"/>
                <w:lang w:val="sq-AL"/>
              </w:rPr>
              <w:t>*</w:t>
            </w:r>
          </w:p>
        </w:tc>
        <w:tc>
          <w:tcPr>
            <w:tcW w:w="2036" w:type="dxa"/>
            <w:shd w:val="clear" w:color="auto" w:fill="FFFFFF" w:themeFill="background1"/>
            <w:vAlign w:val="center"/>
          </w:tcPr>
          <w:p w14:paraId="1BADCB13" w14:textId="77777777" w:rsidR="003360ED" w:rsidRPr="00551729" w:rsidRDefault="003360ED" w:rsidP="00E3373A">
            <w:pPr>
              <w:pStyle w:val="TableParagraph"/>
              <w:jc w:val="center"/>
              <w:rPr>
                <w:rFonts w:ascii="Garamond" w:hAnsi="Garamond"/>
                <w:b/>
                <w:sz w:val="20"/>
                <w:szCs w:val="24"/>
                <w:lang w:val="sq-AL"/>
              </w:rPr>
            </w:pPr>
            <w:r w:rsidRPr="00551729">
              <w:rPr>
                <w:rFonts w:ascii="Garamond" w:hAnsi="Garamond"/>
                <w:b/>
                <w:sz w:val="20"/>
                <w:szCs w:val="24"/>
                <w:lang w:val="sq-AL"/>
              </w:rPr>
              <w:t>Burimet e verifikimit</w:t>
            </w:r>
          </w:p>
        </w:tc>
        <w:tc>
          <w:tcPr>
            <w:tcW w:w="2542" w:type="dxa"/>
            <w:shd w:val="clear" w:color="auto" w:fill="DBE4F0"/>
            <w:vAlign w:val="center"/>
          </w:tcPr>
          <w:p w14:paraId="1BADCB14" w14:textId="77777777" w:rsidR="003360ED" w:rsidRPr="00551729" w:rsidRDefault="003360ED" w:rsidP="00E3373A">
            <w:pPr>
              <w:pStyle w:val="TableParagraph"/>
              <w:jc w:val="center"/>
              <w:rPr>
                <w:rFonts w:ascii="Garamond" w:hAnsi="Garamond"/>
                <w:b/>
                <w:sz w:val="20"/>
                <w:szCs w:val="24"/>
                <w:lang w:val="sq-AL"/>
              </w:rPr>
            </w:pPr>
            <w:r w:rsidRPr="00551729">
              <w:rPr>
                <w:rFonts w:ascii="Garamond" w:hAnsi="Garamond"/>
                <w:b/>
                <w:sz w:val="20"/>
                <w:szCs w:val="24"/>
                <w:lang w:val="sq-AL"/>
              </w:rPr>
              <w:t>Llojet e aktiviteteve</w:t>
            </w:r>
          </w:p>
        </w:tc>
      </w:tr>
      <w:tr w:rsidR="003360ED" w:rsidRPr="00551729" w14:paraId="1BADCB28" w14:textId="77777777" w:rsidTr="00E3373A">
        <w:trPr>
          <w:trHeight w:hRule="exact" w:val="2204"/>
        </w:trPr>
        <w:tc>
          <w:tcPr>
            <w:tcW w:w="1639" w:type="dxa"/>
          </w:tcPr>
          <w:p w14:paraId="1BADCB16" w14:textId="6D914B0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 xml:space="preserve">Objektivi </w:t>
            </w:r>
            <w:r w:rsidR="0096601B" w:rsidRPr="00551729">
              <w:rPr>
                <w:rFonts w:ascii="Garamond" w:hAnsi="Garamond"/>
                <w:b/>
                <w:sz w:val="20"/>
                <w:szCs w:val="24"/>
                <w:lang w:val="sq-AL"/>
              </w:rPr>
              <w:t xml:space="preserve">specifik </w:t>
            </w:r>
            <w:r w:rsidRPr="00551729">
              <w:rPr>
                <w:rFonts w:ascii="Garamond" w:hAnsi="Garamond"/>
                <w:b/>
                <w:sz w:val="20"/>
                <w:szCs w:val="24"/>
                <w:lang w:val="sq-AL"/>
              </w:rPr>
              <w:t>1</w:t>
            </w:r>
          </w:p>
          <w:p w14:paraId="1BADCB17" w14:textId="77777777" w:rsidR="003360ED" w:rsidRPr="00551729" w:rsidRDefault="003360ED" w:rsidP="003360ED">
            <w:pPr>
              <w:pStyle w:val="TableParagraph"/>
              <w:rPr>
                <w:rFonts w:ascii="Garamond" w:hAnsi="Garamond"/>
                <w:sz w:val="20"/>
                <w:szCs w:val="24"/>
                <w:lang w:val="sq-AL"/>
              </w:rPr>
            </w:pPr>
          </w:p>
          <w:p w14:paraId="1BADCB18" w14:textId="77777777" w:rsidR="003360ED" w:rsidRPr="00551729" w:rsidRDefault="003360ED" w:rsidP="003360ED">
            <w:pPr>
              <w:pStyle w:val="TableParagraph"/>
              <w:rPr>
                <w:rFonts w:ascii="Garamond" w:hAnsi="Garamond"/>
                <w:sz w:val="20"/>
                <w:szCs w:val="24"/>
                <w:lang w:val="sq-AL"/>
              </w:rPr>
            </w:pPr>
          </w:p>
          <w:p w14:paraId="1BADCB19"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Konkurrenca e sektorit të turizmit rritet nga vlerësimi ekonomik i</w:t>
            </w:r>
          </w:p>
        </w:tc>
        <w:tc>
          <w:tcPr>
            <w:tcW w:w="1349" w:type="dxa"/>
          </w:tcPr>
          <w:p w14:paraId="1BADCB1A"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Rezultati 1.1</w:t>
            </w:r>
          </w:p>
          <w:p w14:paraId="1BADCB1B" w14:textId="77777777" w:rsidR="003360ED" w:rsidRPr="00551729" w:rsidRDefault="003360ED" w:rsidP="003360ED">
            <w:pPr>
              <w:pStyle w:val="TableParagraph"/>
              <w:rPr>
                <w:rFonts w:ascii="Garamond" w:hAnsi="Garamond"/>
                <w:sz w:val="20"/>
                <w:szCs w:val="24"/>
                <w:lang w:val="sq-AL"/>
              </w:rPr>
            </w:pPr>
          </w:p>
          <w:p w14:paraId="1BADCB1C" w14:textId="77777777" w:rsidR="003360ED" w:rsidRPr="00551729" w:rsidRDefault="003360ED" w:rsidP="003360ED">
            <w:pPr>
              <w:pStyle w:val="TableParagraph"/>
              <w:rPr>
                <w:rFonts w:ascii="Garamond" w:hAnsi="Garamond"/>
                <w:sz w:val="20"/>
                <w:szCs w:val="24"/>
                <w:lang w:val="sq-AL"/>
              </w:rPr>
            </w:pPr>
          </w:p>
          <w:p w14:paraId="1BADCB1D"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 xml:space="preserve">Cilësia e </w:t>
            </w:r>
            <w:r w:rsidRPr="00551729">
              <w:rPr>
                <w:rFonts w:ascii="Garamond" w:hAnsi="Garamond"/>
                <w:b/>
                <w:w w:val="95"/>
                <w:sz w:val="20"/>
                <w:szCs w:val="24"/>
                <w:lang w:val="sq-AL"/>
              </w:rPr>
              <w:t xml:space="preserve">shërbimeve </w:t>
            </w:r>
            <w:r w:rsidRPr="00551729">
              <w:rPr>
                <w:rFonts w:ascii="Garamond" w:hAnsi="Garamond"/>
                <w:b/>
                <w:sz w:val="20"/>
                <w:szCs w:val="24"/>
                <w:lang w:val="sq-AL"/>
              </w:rPr>
              <w:t>dhe produkteve të turizmit është</w:t>
            </w:r>
          </w:p>
        </w:tc>
        <w:tc>
          <w:tcPr>
            <w:tcW w:w="2012" w:type="dxa"/>
          </w:tcPr>
          <w:p w14:paraId="1BADCB1E" w14:textId="4FC59CB4"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1.1.1 Kontributi i</w:t>
            </w:r>
          </w:p>
          <w:p w14:paraId="1BADCB1F"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turizmit në GDP-të rajonale për çdo anë të programit, rritur me 20%</w:t>
            </w:r>
          </w:p>
          <w:p w14:paraId="1BADCB20" w14:textId="77777777" w:rsidR="003360ED" w:rsidRPr="00551729" w:rsidRDefault="003360ED" w:rsidP="003360ED">
            <w:pPr>
              <w:pStyle w:val="TableParagraph"/>
              <w:rPr>
                <w:rFonts w:ascii="Garamond" w:hAnsi="Garamond"/>
                <w:i/>
                <w:sz w:val="20"/>
                <w:szCs w:val="24"/>
                <w:lang w:val="sq-AL"/>
              </w:rPr>
            </w:pPr>
            <w:r w:rsidRPr="00551729">
              <w:rPr>
                <w:rFonts w:ascii="Garamond" w:hAnsi="Garamond"/>
                <w:i/>
                <w:sz w:val="20"/>
                <w:szCs w:val="24"/>
                <w:lang w:val="sq-AL"/>
              </w:rPr>
              <w:t>(standardi bazë 2013, Mali i Zi 9.9% të GDP, Shqipëria 6.4% të GDP)</w:t>
            </w:r>
          </w:p>
        </w:tc>
        <w:tc>
          <w:tcPr>
            <w:tcW w:w="2036" w:type="dxa"/>
            <w:shd w:val="clear" w:color="auto" w:fill="FFFFFF" w:themeFill="background1"/>
          </w:tcPr>
          <w:p w14:paraId="1BADCB21" w14:textId="77777777" w:rsidR="003360ED" w:rsidRPr="00551729" w:rsidRDefault="003360ED" w:rsidP="003360ED">
            <w:pPr>
              <w:pStyle w:val="TableParagraph"/>
              <w:rPr>
                <w:rFonts w:ascii="Garamond" w:hAnsi="Garamond"/>
                <w:sz w:val="20"/>
                <w:szCs w:val="24"/>
                <w:lang w:val="sq-AL"/>
              </w:rPr>
            </w:pPr>
          </w:p>
          <w:p w14:paraId="1BADCB22"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Statistikat zyrtare</w:t>
            </w:r>
          </w:p>
          <w:p w14:paraId="1BADCB23" w14:textId="77777777" w:rsidR="003360ED" w:rsidRPr="00551729" w:rsidRDefault="003360ED" w:rsidP="003360ED">
            <w:pPr>
              <w:pStyle w:val="TableParagraph"/>
              <w:rPr>
                <w:rFonts w:ascii="Garamond" w:hAnsi="Garamond"/>
                <w:sz w:val="20"/>
                <w:szCs w:val="24"/>
                <w:lang w:val="sq-AL"/>
              </w:rPr>
            </w:pPr>
          </w:p>
          <w:p w14:paraId="1BADCB24" w14:textId="77777777" w:rsidR="003360ED" w:rsidRPr="00551729" w:rsidRDefault="003360ED" w:rsidP="003360ED">
            <w:pPr>
              <w:pStyle w:val="TableParagraph"/>
              <w:rPr>
                <w:rFonts w:ascii="Garamond" w:hAnsi="Garamond"/>
                <w:sz w:val="20"/>
                <w:szCs w:val="24"/>
                <w:lang w:val="sq-AL"/>
              </w:rPr>
            </w:pPr>
          </w:p>
          <w:p w14:paraId="1BADCB25"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 xml:space="preserve">Raportet nga </w:t>
            </w:r>
            <w:r w:rsidRPr="00551729">
              <w:rPr>
                <w:rFonts w:ascii="Garamond" w:hAnsi="Garamond"/>
                <w:w w:val="95"/>
                <w:sz w:val="20"/>
                <w:szCs w:val="24"/>
                <w:lang w:val="sq-AL"/>
              </w:rPr>
              <w:t xml:space="preserve">ministritë/autoritetet </w:t>
            </w:r>
            <w:r w:rsidRPr="00551729">
              <w:rPr>
                <w:rFonts w:ascii="Garamond" w:hAnsi="Garamond"/>
                <w:sz w:val="20"/>
                <w:szCs w:val="24"/>
                <w:lang w:val="sq-AL"/>
              </w:rPr>
              <w:t>përkatëse kombëtare</w:t>
            </w:r>
          </w:p>
        </w:tc>
        <w:tc>
          <w:tcPr>
            <w:tcW w:w="2542" w:type="dxa"/>
          </w:tcPr>
          <w:p w14:paraId="1BADCB26" w14:textId="4F4C2869" w:rsidR="003360ED" w:rsidRPr="00551729" w:rsidRDefault="001023A4" w:rsidP="001023A4">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Inkurajimi i</w:t>
            </w:r>
            <w:r w:rsidR="003360ED" w:rsidRPr="00551729">
              <w:rPr>
                <w:rFonts w:ascii="Garamond" w:hAnsi="Garamond"/>
                <w:spacing w:val="-10"/>
                <w:sz w:val="20"/>
                <w:szCs w:val="24"/>
                <w:lang w:val="sq-AL"/>
              </w:rPr>
              <w:t xml:space="preserve"> </w:t>
            </w:r>
            <w:r w:rsidR="003360ED" w:rsidRPr="00551729">
              <w:rPr>
                <w:rFonts w:ascii="Garamond" w:hAnsi="Garamond"/>
                <w:sz w:val="20"/>
                <w:szCs w:val="24"/>
                <w:lang w:val="sq-AL"/>
              </w:rPr>
              <w:t>sipërmarrjes dhe konkurrencës në sektorin e</w:t>
            </w:r>
            <w:r w:rsidR="003360ED" w:rsidRPr="00551729">
              <w:rPr>
                <w:rFonts w:ascii="Garamond" w:hAnsi="Garamond"/>
                <w:spacing w:val="-10"/>
                <w:sz w:val="20"/>
                <w:szCs w:val="24"/>
                <w:lang w:val="sq-AL"/>
              </w:rPr>
              <w:t xml:space="preserve"> </w:t>
            </w:r>
            <w:r w:rsidR="003360ED" w:rsidRPr="00551729">
              <w:rPr>
                <w:rFonts w:ascii="Garamond" w:hAnsi="Garamond"/>
                <w:sz w:val="20"/>
                <w:szCs w:val="24"/>
                <w:lang w:val="sq-AL"/>
              </w:rPr>
              <w:t>turizmit</w:t>
            </w:r>
          </w:p>
          <w:p w14:paraId="1BADCB27" w14:textId="5B8A93CB" w:rsidR="003360ED" w:rsidRPr="00551729" w:rsidRDefault="001023A4" w:rsidP="001023A4">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Diversifikimi i ofertës turistike, përmirësimi i saj dhe promovimi i atraksioneve turistike më pak të njohura në zonën</w:t>
            </w:r>
            <w:r w:rsidR="003360ED" w:rsidRPr="00551729">
              <w:rPr>
                <w:rFonts w:ascii="Garamond" w:hAnsi="Garamond"/>
                <w:spacing w:val="-11"/>
                <w:sz w:val="20"/>
                <w:szCs w:val="24"/>
                <w:lang w:val="sq-AL"/>
              </w:rPr>
              <w:t xml:space="preserve"> </w:t>
            </w:r>
            <w:r w:rsidR="003360ED" w:rsidRPr="00551729">
              <w:rPr>
                <w:rFonts w:ascii="Garamond" w:hAnsi="Garamond"/>
                <w:sz w:val="20"/>
                <w:szCs w:val="24"/>
                <w:lang w:val="sq-AL"/>
              </w:rPr>
              <w:t>e</w:t>
            </w:r>
          </w:p>
        </w:tc>
      </w:tr>
    </w:tbl>
    <w:p w14:paraId="1BADCB29" w14:textId="7AE5DBCA" w:rsidR="003360ED" w:rsidRPr="00551729" w:rsidRDefault="003360ED" w:rsidP="003360ED">
      <w:pPr>
        <w:pStyle w:val="BodyText"/>
        <w:ind w:firstLine="284"/>
        <w:rPr>
          <w:rFonts w:ascii="Garamond" w:hAnsi="Garamond"/>
          <w:sz w:val="24"/>
          <w:szCs w:val="24"/>
          <w:lang w:val="sq-AL"/>
        </w:rPr>
      </w:pPr>
      <w:r w:rsidRPr="00551729">
        <w:rPr>
          <w:rFonts w:ascii="Garamond" w:hAnsi="Garamond"/>
          <w:noProof/>
          <w:sz w:val="24"/>
          <w:szCs w:val="24"/>
          <w:lang w:val="sq-AL" w:eastAsia="sq-AL"/>
        </w:rPr>
        <mc:AlternateContent>
          <mc:Choice Requires="wps">
            <w:drawing>
              <wp:anchor distT="0" distB="0" distL="0" distR="0" simplePos="0" relativeHeight="251658240" behindDoc="0" locked="0" layoutInCell="1" allowOverlap="1" wp14:anchorId="1BADD78B" wp14:editId="1BADD78C">
                <wp:simplePos x="0" y="0"/>
                <wp:positionH relativeFrom="page">
                  <wp:posOffset>914400</wp:posOffset>
                </wp:positionH>
                <wp:positionV relativeFrom="paragraph">
                  <wp:posOffset>156845</wp:posOffset>
                </wp:positionV>
                <wp:extent cx="1829435" cy="0"/>
                <wp:effectExtent l="9525" t="12065" r="8890" b="6985"/>
                <wp:wrapTopAndBottom/>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35pt" to="216.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TZUHgIAADgEAAAOAAAAZHJzL2Uyb0RvYy54bWysU8GO2jAQvVfqP1i+QwhkKU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" strokeweight=".72pt">
                <w10:wrap type="topAndBottom" anchorx="page"/>
              </v:line>
            </w:pict>
          </mc:Fallback>
        </mc:AlternateContent>
      </w:r>
      <w:r w:rsidRPr="00551729">
        <w:rPr>
          <w:rFonts w:ascii="Garamond" w:hAnsi="Garamond"/>
          <w:sz w:val="24"/>
          <w:szCs w:val="24"/>
          <w:lang w:val="sq-AL"/>
        </w:rPr>
        <w:t xml:space="preserve">* Bazuar në aktivitetet mbështetëse të programit deri </w:t>
      </w:r>
      <w:r w:rsidR="001F04D8">
        <w:rPr>
          <w:rFonts w:ascii="Garamond" w:hAnsi="Garamond"/>
          <w:sz w:val="24"/>
          <w:szCs w:val="24"/>
          <w:lang w:val="sq-AL"/>
        </w:rPr>
        <w:t>m</w:t>
      </w:r>
      <w:r w:rsidRPr="00551729">
        <w:rPr>
          <w:rFonts w:ascii="Garamond" w:hAnsi="Garamond"/>
          <w:sz w:val="24"/>
          <w:szCs w:val="24"/>
          <w:lang w:val="sq-AL"/>
        </w:rPr>
        <w:t>ë</w:t>
      </w:r>
      <w:r w:rsidRPr="00551729">
        <w:rPr>
          <w:rFonts w:ascii="Garamond" w:hAnsi="Garamond"/>
          <w:spacing w:val="-28"/>
          <w:sz w:val="24"/>
          <w:szCs w:val="24"/>
          <w:lang w:val="sq-AL"/>
        </w:rPr>
        <w:t xml:space="preserve"> </w:t>
      </w:r>
      <w:r w:rsidRPr="00551729">
        <w:rPr>
          <w:rFonts w:ascii="Garamond" w:hAnsi="Garamond"/>
          <w:sz w:val="24"/>
          <w:szCs w:val="24"/>
          <w:lang w:val="sq-AL"/>
        </w:rPr>
        <w:t>2022</w:t>
      </w:r>
      <w:r w:rsidR="001F04D8">
        <w:rPr>
          <w:rFonts w:ascii="Garamond" w:hAnsi="Garamond"/>
          <w:sz w:val="24"/>
          <w:szCs w:val="24"/>
          <w:lang w:val="sq-AL"/>
        </w:rPr>
        <w:t>-shin</w:t>
      </w:r>
      <w:r w:rsidRPr="00551729">
        <w:rPr>
          <w:rFonts w:ascii="Garamond" w:hAnsi="Garamond"/>
          <w:sz w:val="24"/>
          <w:szCs w:val="24"/>
          <w:lang w:val="sq-AL"/>
        </w:rPr>
        <w:t>.</w:t>
      </w:r>
    </w:p>
    <w:p w14:paraId="1BADCB2A" w14:textId="77777777" w:rsidR="003360ED" w:rsidRPr="00551729" w:rsidRDefault="003360ED" w:rsidP="003360ED">
      <w:pPr>
        <w:widowControl w:val="0"/>
        <w:tabs>
          <w:tab w:val="left" w:pos="346"/>
        </w:tabs>
        <w:spacing w:after="0" w:line="240" w:lineRule="auto"/>
        <w:rPr>
          <w:rFonts w:ascii="Garamond" w:hAnsi="Garamond"/>
          <w:sz w:val="24"/>
          <w:szCs w:val="24"/>
        </w:rPr>
      </w:pPr>
    </w:p>
    <w:p w14:paraId="1BADCB2B" w14:textId="77777777" w:rsidR="003360ED" w:rsidRPr="00551729" w:rsidRDefault="003360ED" w:rsidP="003360ED">
      <w:pPr>
        <w:pStyle w:val="BodyText"/>
        <w:ind w:firstLine="284"/>
        <w:rPr>
          <w:rFonts w:ascii="Garamond" w:hAnsi="Garamond"/>
          <w:sz w:val="24"/>
          <w:szCs w:val="24"/>
          <w:lang w:val="sq-AL"/>
        </w:rPr>
      </w:pPr>
    </w:p>
    <w:p w14:paraId="1BADCB2C" w14:textId="77777777" w:rsidR="003360ED" w:rsidRPr="00551729" w:rsidRDefault="003360ED" w:rsidP="003360ED">
      <w:pPr>
        <w:pStyle w:val="BodyText"/>
        <w:ind w:firstLine="284"/>
        <w:rPr>
          <w:rFonts w:ascii="Garamond" w:hAnsi="Garamond"/>
          <w:sz w:val="24"/>
          <w:szCs w:val="24"/>
          <w:lang w:val="sq-AL"/>
        </w:rPr>
      </w:pPr>
    </w:p>
    <w:tbl>
      <w:tblPr>
        <w:tblW w:w="957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349"/>
        <w:gridCol w:w="2012"/>
        <w:gridCol w:w="2036"/>
        <w:gridCol w:w="2542"/>
      </w:tblGrid>
      <w:tr w:rsidR="003360ED" w:rsidRPr="00551729" w14:paraId="1BADCB3C" w14:textId="77777777" w:rsidTr="00E3373A">
        <w:trPr>
          <w:trHeight w:hRule="exact" w:val="4266"/>
        </w:trPr>
        <w:tc>
          <w:tcPr>
            <w:tcW w:w="1639" w:type="dxa"/>
            <w:vMerge w:val="restart"/>
          </w:tcPr>
          <w:p w14:paraId="1BADCB2D"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trashëgimisë kulturore dhe natyrore</w:t>
            </w:r>
          </w:p>
        </w:tc>
        <w:tc>
          <w:tcPr>
            <w:tcW w:w="1349" w:type="dxa"/>
          </w:tcPr>
          <w:p w14:paraId="1BADCB2E"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përmirësuar</w:t>
            </w:r>
          </w:p>
        </w:tc>
        <w:tc>
          <w:tcPr>
            <w:tcW w:w="2012" w:type="dxa"/>
          </w:tcPr>
          <w:p w14:paraId="1BADCB2F" w14:textId="77777777" w:rsidR="003360ED" w:rsidRPr="00551729" w:rsidRDefault="003360ED" w:rsidP="001023A4">
            <w:pPr>
              <w:pStyle w:val="TableParagraph"/>
              <w:tabs>
                <w:tab w:val="left" w:pos="267"/>
              </w:tabs>
              <w:rPr>
                <w:rFonts w:ascii="Garamond" w:hAnsi="Garamond"/>
                <w:sz w:val="20"/>
                <w:szCs w:val="24"/>
                <w:lang w:val="sq-AL"/>
              </w:rPr>
            </w:pPr>
            <w:r w:rsidRPr="00551729">
              <w:rPr>
                <w:rFonts w:ascii="Garamond" w:hAnsi="Garamond"/>
                <w:sz w:val="20"/>
                <w:szCs w:val="24"/>
                <w:lang w:val="sq-AL"/>
              </w:rPr>
              <w:t>1.1.2 Të paktën 5 oferta të reja turistike të përbashkëta, të zhvilluara për zonën e</w:t>
            </w:r>
            <w:r w:rsidRPr="00551729">
              <w:rPr>
                <w:rFonts w:ascii="Garamond" w:hAnsi="Garamond"/>
                <w:spacing w:val="-7"/>
                <w:sz w:val="20"/>
                <w:szCs w:val="24"/>
                <w:lang w:val="sq-AL"/>
              </w:rPr>
              <w:t xml:space="preserve"> </w:t>
            </w:r>
            <w:r w:rsidRPr="00551729">
              <w:rPr>
                <w:rFonts w:ascii="Garamond" w:hAnsi="Garamond"/>
                <w:sz w:val="20"/>
                <w:szCs w:val="24"/>
                <w:lang w:val="sq-AL"/>
              </w:rPr>
              <w:t>programit</w:t>
            </w:r>
          </w:p>
          <w:p w14:paraId="1BADCB30" w14:textId="77777777" w:rsidR="003360ED" w:rsidRPr="00551729" w:rsidRDefault="003360ED" w:rsidP="003360ED">
            <w:pPr>
              <w:pStyle w:val="TableParagraph"/>
              <w:rPr>
                <w:rFonts w:ascii="Garamond" w:hAnsi="Garamond"/>
                <w:i/>
                <w:sz w:val="20"/>
                <w:szCs w:val="24"/>
                <w:lang w:val="sq-AL"/>
              </w:rPr>
            </w:pPr>
            <w:r w:rsidRPr="00551729">
              <w:rPr>
                <w:rFonts w:ascii="Garamond" w:hAnsi="Garamond"/>
                <w:i/>
                <w:sz w:val="20"/>
                <w:szCs w:val="24"/>
                <w:lang w:val="sq-AL"/>
              </w:rPr>
              <w:t>(standardi bazë 2013 = 2)</w:t>
            </w:r>
          </w:p>
          <w:p w14:paraId="1BADCB31" w14:textId="77777777" w:rsidR="003360ED" w:rsidRPr="00551729" w:rsidRDefault="003360ED" w:rsidP="001023A4">
            <w:pPr>
              <w:pStyle w:val="TableParagraph"/>
              <w:tabs>
                <w:tab w:val="left" w:pos="267"/>
              </w:tabs>
              <w:rPr>
                <w:rFonts w:ascii="Garamond" w:hAnsi="Garamond"/>
                <w:sz w:val="20"/>
                <w:szCs w:val="24"/>
                <w:lang w:val="sq-AL"/>
              </w:rPr>
            </w:pPr>
            <w:r w:rsidRPr="00551729">
              <w:rPr>
                <w:rFonts w:ascii="Garamond" w:hAnsi="Garamond"/>
                <w:sz w:val="20"/>
                <w:szCs w:val="24"/>
                <w:lang w:val="sq-AL"/>
              </w:rPr>
              <w:t>1.1.3 Ofertat turistike të krijuara nga iniciativat</w:t>
            </w:r>
            <w:r w:rsidRPr="00551729">
              <w:rPr>
                <w:rFonts w:ascii="Garamond" w:hAnsi="Garamond"/>
                <w:spacing w:val="-7"/>
                <w:sz w:val="20"/>
                <w:szCs w:val="24"/>
                <w:lang w:val="sq-AL"/>
              </w:rPr>
              <w:t xml:space="preserve"> </w:t>
            </w:r>
            <w:r w:rsidRPr="00551729">
              <w:rPr>
                <w:rFonts w:ascii="Garamond" w:hAnsi="Garamond"/>
                <w:sz w:val="20"/>
                <w:szCs w:val="24"/>
                <w:lang w:val="sq-AL"/>
              </w:rPr>
              <w:t>BNK, të miratuara dhe pranuara nga të paktën 40% e operatorëve turistikë aktivë në zonë</w:t>
            </w:r>
          </w:p>
          <w:p w14:paraId="1BADCB32" w14:textId="77777777" w:rsidR="003360ED" w:rsidRPr="00551729" w:rsidRDefault="003360ED" w:rsidP="001023A4">
            <w:pPr>
              <w:pStyle w:val="TableParagraph"/>
              <w:tabs>
                <w:tab w:val="left" w:pos="267"/>
              </w:tabs>
              <w:rPr>
                <w:rFonts w:ascii="Garamond" w:hAnsi="Garamond"/>
                <w:sz w:val="20"/>
                <w:szCs w:val="24"/>
                <w:lang w:val="sq-AL"/>
              </w:rPr>
            </w:pPr>
            <w:r w:rsidRPr="00551729">
              <w:rPr>
                <w:rFonts w:ascii="Garamond" w:hAnsi="Garamond"/>
                <w:sz w:val="20"/>
                <w:szCs w:val="24"/>
                <w:lang w:val="sq-AL"/>
              </w:rPr>
              <w:t>1.1.4 Dy harta turistike dhe</w:t>
            </w:r>
            <w:r w:rsidRPr="00551729">
              <w:rPr>
                <w:rFonts w:ascii="Garamond" w:hAnsi="Garamond"/>
                <w:spacing w:val="-10"/>
                <w:sz w:val="20"/>
                <w:szCs w:val="24"/>
                <w:lang w:val="sq-AL"/>
              </w:rPr>
              <w:t xml:space="preserve"> </w:t>
            </w:r>
            <w:r w:rsidRPr="00551729">
              <w:rPr>
                <w:rFonts w:ascii="Garamond" w:hAnsi="Garamond"/>
                <w:sz w:val="20"/>
                <w:szCs w:val="24"/>
                <w:lang w:val="sq-AL"/>
              </w:rPr>
              <w:t>oferta të integruara turistike të prezantuara për zonat malore (më pak të favorshme) në të dyja anët e kufirit</w:t>
            </w:r>
          </w:p>
        </w:tc>
        <w:tc>
          <w:tcPr>
            <w:tcW w:w="2036" w:type="dxa"/>
            <w:shd w:val="clear" w:color="auto" w:fill="FFFFFF" w:themeFill="background1"/>
          </w:tcPr>
          <w:p w14:paraId="1BADCB33" w14:textId="77777777" w:rsidR="003360ED" w:rsidRPr="00551729" w:rsidRDefault="003360ED" w:rsidP="003360ED">
            <w:pPr>
              <w:pStyle w:val="TableParagraph"/>
              <w:rPr>
                <w:rFonts w:ascii="Garamond" w:hAnsi="Garamond"/>
                <w:sz w:val="20"/>
                <w:szCs w:val="24"/>
                <w:lang w:val="sq-AL"/>
              </w:rPr>
            </w:pPr>
          </w:p>
          <w:p w14:paraId="1BADCB34"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Raportet e organizatave kombëtare dhe lokale të turizmit</w:t>
            </w:r>
          </w:p>
          <w:p w14:paraId="1BADCB35" w14:textId="77777777" w:rsidR="003360ED" w:rsidRPr="00551729" w:rsidRDefault="003360ED" w:rsidP="003360ED">
            <w:pPr>
              <w:pStyle w:val="TableParagraph"/>
              <w:rPr>
                <w:rFonts w:ascii="Garamond" w:hAnsi="Garamond"/>
                <w:sz w:val="20"/>
                <w:szCs w:val="24"/>
                <w:lang w:val="sq-AL"/>
              </w:rPr>
            </w:pPr>
          </w:p>
          <w:p w14:paraId="1BADCB36" w14:textId="77777777" w:rsidR="003360ED" w:rsidRPr="00551729" w:rsidRDefault="003360ED" w:rsidP="003360ED">
            <w:pPr>
              <w:pStyle w:val="TableParagraph"/>
              <w:rPr>
                <w:rFonts w:ascii="Garamond" w:hAnsi="Garamond"/>
                <w:sz w:val="20"/>
                <w:szCs w:val="24"/>
                <w:lang w:val="sq-AL"/>
              </w:rPr>
            </w:pPr>
          </w:p>
          <w:p w14:paraId="1BADCB37"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Raportet e monitorimit / projektit</w:t>
            </w:r>
          </w:p>
        </w:tc>
        <w:tc>
          <w:tcPr>
            <w:tcW w:w="2542" w:type="dxa"/>
          </w:tcPr>
          <w:p w14:paraId="1BADCB38"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programit</w:t>
            </w:r>
          </w:p>
          <w:p w14:paraId="1BADCB39" w14:textId="12225B61" w:rsidR="003360ED" w:rsidRPr="00551729" w:rsidRDefault="00B65E6C" w:rsidP="00B65E6C">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Rritja e kapaciteteve</w:t>
            </w:r>
            <w:r w:rsidR="003360ED" w:rsidRPr="00551729">
              <w:rPr>
                <w:rFonts w:ascii="Garamond" w:hAnsi="Garamond"/>
                <w:spacing w:val="-9"/>
                <w:sz w:val="20"/>
                <w:szCs w:val="24"/>
                <w:lang w:val="sq-AL"/>
              </w:rPr>
              <w:t xml:space="preserve"> </w:t>
            </w:r>
            <w:r w:rsidR="003360ED" w:rsidRPr="00551729">
              <w:rPr>
                <w:rFonts w:ascii="Garamond" w:hAnsi="Garamond"/>
                <w:sz w:val="20"/>
                <w:szCs w:val="24"/>
                <w:lang w:val="sq-AL"/>
              </w:rPr>
              <w:t>dhe futja e teknikave dhe qasjeve të reja për promovimin, duke përfshirë hartat, përdorimin e TIK, multimedian, hulumtimin</w:t>
            </w:r>
            <w:r>
              <w:rPr>
                <w:rFonts w:ascii="Garamond" w:hAnsi="Garamond"/>
                <w:sz w:val="20"/>
                <w:szCs w:val="24"/>
                <w:lang w:val="sq-AL"/>
              </w:rPr>
              <w:t xml:space="preserve"> etj</w:t>
            </w:r>
            <w:r w:rsidR="003360ED" w:rsidRPr="00551729">
              <w:rPr>
                <w:rFonts w:ascii="Garamond" w:hAnsi="Garamond"/>
                <w:sz w:val="20"/>
                <w:szCs w:val="24"/>
                <w:lang w:val="sq-AL"/>
              </w:rPr>
              <w:t>.</w:t>
            </w:r>
          </w:p>
          <w:p w14:paraId="1BADCB3A" w14:textId="1E8061A3" w:rsidR="003360ED" w:rsidRPr="00551729" w:rsidRDefault="00B65E6C" w:rsidP="00B65E6C">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Iniciativa të përbashkëta lidhur me trajnimin profesional, të cilat synojnë aftësitë që lidhen me një ofertë konkurruese turistike dhe kërkesat e tregut</w:t>
            </w:r>
          </w:p>
          <w:p w14:paraId="1BADCB3B" w14:textId="1FBE621D" w:rsidR="003360ED" w:rsidRPr="00551729" w:rsidRDefault="00B65E6C" w:rsidP="00B65E6C">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Vepra të vogla infrastrukturore dhe sigurimi i pajisjeve për të përmirësuar standardet</w:t>
            </w:r>
            <w:r w:rsidR="003360ED" w:rsidRPr="00551729">
              <w:rPr>
                <w:rFonts w:ascii="Garamond" w:hAnsi="Garamond"/>
                <w:spacing w:val="-12"/>
                <w:sz w:val="20"/>
                <w:szCs w:val="24"/>
                <w:lang w:val="sq-AL"/>
              </w:rPr>
              <w:t xml:space="preserve"> </w:t>
            </w:r>
            <w:r w:rsidR="003360ED" w:rsidRPr="00551729">
              <w:rPr>
                <w:rFonts w:ascii="Garamond" w:hAnsi="Garamond"/>
                <w:sz w:val="20"/>
                <w:szCs w:val="24"/>
                <w:lang w:val="sq-AL"/>
              </w:rPr>
              <w:t>e ofertës turistike dhe restaurimi ose ruajtja e trashëgimisë</w:t>
            </w:r>
            <w:r w:rsidR="003360ED" w:rsidRPr="00551729">
              <w:rPr>
                <w:rFonts w:ascii="Garamond" w:hAnsi="Garamond"/>
                <w:spacing w:val="-7"/>
                <w:sz w:val="20"/>
                <w:szCs w:val="24"/>
                <w:lang w:val="sq-AL"/>
              </w:rPr>
              <w:t xml:space="preserve"> </w:t>
            </w:r>
            <w:r w:rsidR="003360ED" w:rsidRPr="00551729">
              <w:rPr>
                <w:rFonts w:ascii="Garamond" w:hAnsi="Garamond"/>
                <w:sz w:val="20"/>
                <w:szCs w:val="24"/>
                <w:lang w:val="sq-AL"/>
              </w:rPr>
              <w:t>historike</w:t>
            </w:r>
          </w:p>
        </w:tc>
      </w:tr>
      <w:tr w:rsidR="003360ED" w:rsidRPr="00551729" w14:paraId="1BADCB56" w14:textId="77777777" w:rsidTr="00E3373A">
        <w:trPr>
          <w:trHeight w:hRule="exact" w:val="5255"/>
        </w:trPr>
        <w:tc>
          <w:tcPr>
            <w:tcW w:w="1639" w:type="dxa"/>
            <w:vMerge/>
          </w:tcPr>
          <w:p w14:paraId="1BADCB3D" w14:textId="77777777" w:rsidR="003360ED" w:rsidRPr="00551729" w:rsidRDefault="003360ED" w:rsidP="003360ED">
            <w:pPr>
              <w:spacing w:after="0" w:line="240" w:lineRule="auto"/>
              <w:rPr>
                <w:rFonts w:ascii="Garamond" w:hAnsi="Garamond"/>
                <w:sz w:val="20"/>
                <w:szCs w:val="24"/>
              </w:rPr>
            </w:pPr>
          </w:p>
        </w:tc>
        <w:tc>
          <w:tcPr>
            <w:tcW w:w="1349" w:type="dxa"/>
          </w:tcPr>
          <w:p w14:paraId="1BADCB3E" w14:textId="77777777" w:rsidR="003360ED" w:rsidRPr="00551729" w:rsidRDefault="003360ED" w:rsidP="003360ED">
            <w:pPr>
              <w:pStyle w:val="TableParagraph"/>
              <w:rPr>
                <w:rFonts w:ascii="Garamond" w:hAnsi="Garamond"/>
                <w:sz w:val="20"/>
                <w:szCs w:val="24"/>
                <w:lang w:val="sq-AL"/>
              </w:rPr>
            </w:pPr>
          </w:p>
          <w:p w14:paraId="1BADCB3F"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Rezultati 1.2</w:t>
            </w:r>
          </w:p>
          <w:p w14:paraId="1BADCB40" w14:textId="77777777" w:rsidR="003360ED" w:rsidRPr="00551729" w:rsidRDefault="003360ED" w:rsidP="003360ED">
            <w:pPr>
              <w:pStyle w:val="TableParagraph"/>
              <w:rPr>
                <w:rFonts w:ascii="Garamond" w:hAnsi="Garamond"/>
                <w:sz w:val="20"/>
                <w:szCs w:val="24"/>
                <w:lang w:val="sq-AL"/>
              </w:rPr>
            </w:pPr>
          </w:p>
          <w:p w14:paraId="1BADCB41" w14:textId="77777777" w:rsidR="003360ED" w:rsidRPr="00551729" w:rsidRDefault="003360ED" w:rsidP="003360ED">
            <w:pPr>
              <w:pStyle w:val="TableParagraph"/>
              <w:rPr>
                <w:rFonts w:ascii="Garamond" w:hAnsi="Garamond"/>
                <w:sz w:val="20"/>
                <w:szCs w:val="24"/>
                <w:lang w:val="sq-AL"/>
              </w:rPr>
            </w:pPr>
          </w:p>
          <w:p w14:paraId="1BADCB42"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w w:val="95"/>
                <w:sz w:val="20"/>
                <w:szCs w:val="24"/>
                <w:lang w:val="sq-AL"/>
              </w:rPr>
              <w:t xml:space="preserve">Bashkëpunim </w:t>
            </w:r>
            <w:r w:rsidRPr="00551729">
              <w:rPr>
                <w:rFonts w:ascii="Garamond" w:hAnsi="Garamond"/>
                <w:b/>
                <w:sz w:val="20"/>
                <w:szCs w:val="24"/>
                <w:lang w:val="sq-AL"/>
              </w:rPr>
              <w:t>i në fushën e ruajtjes së trashëgimisë kulturore dhe natyrore është rritur (p.sh. rreth zonës së Shkodrës / Liqenit të Shkodrës)</w:t>
            </w:r>
          </w:p>
        </w:tc>
        <w:tc>
          <w:tcPr>
            <w:tcW w:w="2012" w:type="dxa"/>
          </w:tcPr>
          <w:p w14:paraId="1BADCB43" w14:textId="77777777" w:rsidR="003360ED" w:rsidRPr="00551729" w:rsidRDefault="003360ED" w:rsidP="007D1FAB">
            <w:pPr>
              <w:pStyle w:val="TableParagraph"/>
              <w:numPr>
                <w:ilvl w:val="0"/>
                <w:numId w:val="8"/>
              </w:numPr>
              <w:tabs>
                <w:tab w:val="left" w:pos="248"/>
              </w:tabs>
              <w:ind w:left="0" w:firstLine="0"/>
              <w:rPr>
                <w:rFonts w:ascii="Garamond" w:hAnsi="Garamond"/>
                <w:sz w:val="20"/>
                <w:szCs w:val="24"/>
                <w:lang w:val="sq-AL"/>
              </w:rPr>
            </w:pPr>
            <w:r w:rsidRPr="00551729">
              <w:rPr>
                <w:rFonts w:ascii="Garamond" w:hAnsi="Garamond"/>
                <w:sz w:val="20"/>
                <w:szCs w:val="24"/>
                <w:lang w:val="sq-AL"/>
              </w:rPr>
              <w:t>1.2.1 Nr. i turistëve (të ndarë sipas gjinisë dhe</w:t>
            </w:r>
            <w:r w:rsidRPr="00551729">
              <w:rPr>
                <w:rFonts w:ascii="Garamond" w:hAnsi="Garamond"/>
                <w:spacing w:val="-9"/>
                <w:sz w:val="20"/>
                <w:szCs w:val="24"/>
                <w:lang w:val="sq-AL"/>
              </w:rPr>
              <w:t xml:space="preserve"> </w:t>
            </w:r>
            <w:r w:rsidRPr="00551729">
              <w:rPr>
                <w:rFonts w:ascii="Garamond" w:hAnsi="Garamond"/>
                <w:sz w:val="20"/>
                <w:szCs w:val="24"/>
                <w:lang w:val="sq-AL"/>
              </w:rPr>
              <w:t>moshës) që vizitojnë zona të tilla si Shkodra / Liqeni i Shkodrës, i rritur me</w:t>
            </w:r>
            <w:r w:rsidRPr="00551729">
              <w:rPr>
                <w:rFonts w:ascii="Garamond" w:hAnsi="Garamond"/>
                <w:spacing w:val="-4"/>
                <w:sz w:val="20"/>
                <w:szCs w:val="24"/>
                <w:lang w:val="sq-AL"/>
              </w:rPr>
              <w:t xml:space="preserve"> </w:t>
            </w:r>
            <w:r w:rsidRPr="00551729">
              <w:rPr>
                <w:rFonts w:ascii="Garamond" w:hAnsi="Garamond"/>
                <w:sz w:val="20"/>
                <w:szCs w:val="24"/>
                <w:lang w:val="sq-AL"/>
              </w:rPr>
              <w:t>30%</w:t>
            </w:r>
          </w:p>
          <w:p w14:paraId="1BADCB44"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- 1.2.2 2000</w:t>
            </w:r>
          </w:p>
          <w:p w14:paraId="1BADCB45"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pjesëmarrës (të ndarë sipas gjinisë dhe moshës) në eventet e reja kulturore</w:t>
            </w:r>
          </w:p>
          <w:p w14:paraId="1BADCB46" w14:textId="77777777" w:rsidR="003360ED" w:rsidRPr="00551729" w:rsidRDefault="003360ED" w:rsidP="007D1FAB">
            <w:pPr>
              <w:pStyle w:val="TableParagraph"/>
              <w:numPr>
                <w:ilvl w:val="0"/>
                <w:numId w:val="8"/>
              </w:numPr>
              <w:tabs>
                <w:tab w:val="left" w:pos="248"/>
              </w:tabs>
              <w:ind w:left="0" w:firstLine="0"/>
              <w:rPr>
                <w:rFonts w:ascii="Garamond" w:hAnsi="Garamond"/>
                <w:sz w:val="20"/>
                <w:szCs w:val="24"/>
                <w:lang w:val="sq-AL"/>
              </w:rPr>
            </w:pPr>
            <w:r w:rsidRPr="00551729">
              <w:rPr>
                <w:rFonts w:ascii="Garamond" w:hAnsi="Garamond"/>
                <w:sz w:val="20"/>
                <w:szCs w:val="24"/>
                <w:lang w:val="sq-AL"/>
              </w:rPr>
              <w:t>1.2.3 Nr. i vizitorëve (të ndarë sipas gjinisë dhe moshës) në vendet kulturore dhe natyrore ku janë bërë ndërhyrjet e vogla,</w:t>
            </w:r>
            <w:r w:rsidRPr="00551729">
              <w:rPr>
                <w:rFonts w:ascii="Garamond" w:hAnsi="Garamond"/>
                <w:spacing w:val="-7"/>
                <w:sz w:val="20"/>
                <w:szCs w:val="24"/>
                <w:lang w:val="sq-AL"/>
              </w:rPr>
              <w:t xml:space="preserve"> </w:t>
            </w:r>
            <w:r w:rsidRPr="00551729">
              <w:rPr>
                <w:rFonts w:ascii="Garamond" w:hAnsi="Garamond"/>
                <w:sz w:val="20"/>
                <w:szCs w:val="24"/>
                <w:lang w:val="sq-AL"/>
              </w:rPr>
              <w:t>i</w:t>
            </w:r>
          </w:p>
        </w:tc>
        <w:tc>
          <w:tcPr>
            <w:tcW w:w="2036" w:type="dxa"/>
            <w:shd w:val="clear" w:color="auto" w:fill="FFFFFF" w:themeFill="background1"/>
          </w:tcPr>
          <w:p w14:paraId="1BADCB47" w14:textId="77777777" w:rsidR="003360ED" w:rsidRPr="00551729" w:rsidRDefault="003360ED" w:rsidP="003360ED">
            <w:pPr>
              <w:pStyle w:val="TableParagraph"/>
              <w:rPr>
                <w:rFonts w:ascii="Garamond" w:hAnsi="Garamond"/>
                <w:sz w:val="20"/>
                <w:szCs w:val="24"/>
                <w:lang w:val="sq-AL"/>
              </w:rPr>
            </w:pPr>
          </w:p>
          <w:p w14:paraId="1BADCB48"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Statistikat zyrtare</w:t>
            </w:r>
          </w:p>
          <w:p w14:paraId="1BADCB49" w14:textId="77777777" w:rsidR="003360ED" w:rsidRPr="00551729" w:rsidRDefault="003360ED" w:rsidP="003360ED">
            <w:pPr>
              <w:pStyle w:val="TableParagraph"/>
              <w:rPr>
                <w:rFonts w:ascii="Garamond" w:hAnsi="Garamond"/>
                <w:sz w:val="20"/>
                <w:szCs w:val="24"/>
                <w:lang w:val="sq-AL"/>
              </w:rPr>
            </w:pPr>
          </w:p>
          <w:p w14:paraId="1BADCB4A" w14:textId="77777777" w:rsidR="003360ED" w:rsidRPr="00551729" w:rsidRDefault="003360ED" w:rsidP="003360ED">
            <w:pPr>
              <w:pStyle w:val="TableParagraph"/>
              <w:rPr>
                <w:rFonts w:ascii="Garamond" w:hAnsi="Garamond"/>
                <w:sz w:val="20"/>
                <w:szCs w:val="24"/>
                <w:lang w:val="sq-AL"/>
              </w:rPr>
            </w:pPr>
          </w:p>
          <w:p w14:paraId="1BADCB4B"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 xml:space="preserve">Raportet nga </w:t>
            </w:r>
            <w:r w:rsidRPr="00551729">
              <w:rPr>
                <w:rFonts w:ascii="Garamond" w:hAnsi="Garamond"/>
                <w:w w:val="95"/>
                <w:sz w:val="20"/>
                <w:szCs w:val="24"/>
                <w:lang w:val="sq-AL"/>
              </w:rPr>
              <w:t xml:space="preserve">ministritë/autoritetet </w:t>
            </w:r>
            <w:r w:rsidRPr="00551729">
              <w:rPr>
                <w:rFonts w:ascii="Garamond" w:hAnsi="Garamond"/>
                <w:sz w:val="20"/>
                <w:szCs w:val="24"/>
                <w:lang w:val="sq-AL"/>
              </w:rPr>
              <w:t>përkatëse kombëtare</w:t>
            </w:r>
          </w:p>
          <w:p w14:paraId="1BADCB4C" w14:textId="77777777" w:rsidR="003360ED" w:rsidRPr="00551729" w:rsidRDefault="003360ED" w:rsidP="003360ED">
            <w:pPr>
              <w:pStyle w:val="TableParagraph"/>
              <w:rPr>
                <w:rFonts w:ascii="Garamond" w:hAnsi="Garamond"/>
                <w:sz w:val="20"/>
                <w:szCs w:val="24"/>
                <w:lang w:val="sq-AL"/>
              </w:rPr>
            </w:pPr>
          </w:p>
          <w:p w14:paraId="1BADCB4D" w14:textId="77777777" w:rsidR="003360ED" w:rsidRPr="00551729" w:rsidRDefault="003360ED" w:rsidP="003360ED">
            <w:pPr>
              <w:pStyle w:val="TableParagraph"/>
              <w:rPr>
                <w:rFonts w:ascii="Garamond" w:hAnsi="Garamond"/>
                <w:sz w:val="20"/>
                <w:szCs w:val="24"/>
                <w:lang w:val="sq-AL"/>
              </w:rPr>
            </w:pPr>
          </w:p>
          <w:p w14:paraId="1BADCB4E"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Raportet e organizatave kombëtare dhe lokale të turizmit</w:t>
            </w:r>
          </w:p>
          <w:p w14:paraId="1BADCB4F" w14:textId="77777777" w:rsidR="003360ED" w:rsidRPr="00551729" w:rsidRDefault="003360ED" w:rsidP="003360ED">
            <w:pPr>
              <w:pStyle w:val="TableParagraph"/>
              <w:rPr>
                <w:rFonts w:ascii="Garamond" w:hAnsi="Garamond"/>
                <w:sz w:val="20"/>
                <w:szCs w:val="24"/>
                <w:lang w:val="sq-AL"/>
              </w:rPr>
            </w:pPr>
          </w:p>
          <w:p w14:paraId="1BADCB50" w14:textId="77777777" w:rsidR="003360ED" w:rsidRPr="00551729" w:rsidRDefault="003360ED" w:rsidP="003360ED">
            <w:pPr>
              <w:pStyle w:val="TableParagraph"/>
              <w:rPr>
                <w:rFonts w:ascii="Garamond" w:hAnsi="Garamond"/>
                <w:sz w:val="20"/>
                <w:szCs w:val="24"/>
                <w:lang w:val="sq-AL"/>
              </w:rPr>
            </w:pPr>
          </w:p>
          <w:p w14:paraId="1BADCB51"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Raportet e monitorimit / projektit</w:t>
            </w:r>
          </w:p>
        </w:tc>
        <w:tc>
          <w:tcPr>
            <w:tcW w:w="2542" w:type="dxa"/>
          </w:tcPr>
          <w:p w14:paraId="1BADCB52" w14:textId="4C0D7993" w:rsidR="003360ED" w:rsidRPr="00551729" w:rsidRDefault="00B65E6C" w:rsidP="00B65E6C">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Fushata ndërgjegjësimi</w:t>
            </w:r>
            <w:r w:rsidR="003360ED" w:rsidRPr="00551729">
              <w:rPr>
                <w:rFonts w:ascii="Garamond" w:hAnsi="Garamond"/>
                <w:spacing w:val="-12"/>
                <w:sz w:val="20"/>
                <w:szCs w:val="24"/>
                <w:lang w:val="sq-AL"/>
              </w:rPr>
              <w:t xml:space="preserve"> </w:t>
            </w:r>
            <w:r w:rsidR="003360ED" w:rsidRPr="00551729">
              <w:rPr>
                <w:rFonts w:ascii="Garamond" w:hAnsi="Garamond"/>
                <w:sz w:val="20"/>
                <w:szCs w:val="24"/>
                <w:lang w:val="sq-AL"/>
              </w:rPr>
              <w:t>dhe programe dhe kurrikula edukative lidhur me turizmin dhe shfrytëzimin më të mirë të potencialeve të tij në</w:t>
            </w:r>
            <w:r w:rsidR="003360ED" w:rsidRPr="00551729">
              <w:rPr>
                <w:rFonts w:ascii="Garamond" w:hAnsi="Garamond"/>
                <w:spacing w:val="-4"/>
                <w:sz w:val="20"/>
                <w:szCs w:val="24"/>
                <w:lang w:val="sq-AL"/>
              </w:rPr>
              <w:t xml:space="preserve"> </w:t>
            </w:r>
            <w:r w:rsidR="003360ED" w:rsidRPr="00551729">
              <w:rPr>
                <w:rFonts w:ascii="Garamond" w:hAnsi="Garamond"/>
                <w:sz w:val="20"/>
                <w:szCs w:val="24"/>
                <w:lang w:val="sq-AL"/>
              </w:rPr>
              <w:t>zonë</w:t>
            </w:r>
          </w:p>
          <w:p w14:paraId="1BADCB53" w14:textId="4A02BECB" w:rsidR="003360ED" w:rsidRPr="00551729" w:rsidRDefault="00B65E6C" w:rsidP="00B65E6C">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Aktivitete për të promovuar</w:t>
            </w:r>
            <w:r w:rsidR="003360ED" w:rsidRPr="00551729">
              <w:rPr>
                <w:rFonts w:ascii="Garamond" w:hAnsi="Garamond"/>
                <w:spacing w:val="-7"/>
                <w:sz w:val="20"/>
                <w:szCs w:val="24"/>
                <w:lang w:val="sq-AL"/>
              </w:rPr>
              <w:t xml:space="preserve"> </w:t>
            </w:r>
            <w:r w:rsidR="003360ED" w:rsidRPr="00551729">
              <w:rPr>
                <w:rFonts w:ascii="Garamond" w:hAnsi="Garamond"/>
                <w:sz w:val="20"/>
                <w:szCs w:val="24"/>
                <w:lang w:val="sq-AL"/>
              </w:rPr>
              <w:t>potencialin turistik kulturor dhe natyror të zonës së programit</w:t>
            </w:r>
          </w:p>
          <w:p w14:paraId="1BADCB54" w14:textId="6F3E745B" w:rsidR="003360ED" w:rsidRPr="00551729" w:rsidRDefault="00B65E6C" w:rsidP="00B65E6C">
            <w:pPr>
              <w:pStyle w:val="TableParagraph"/>
              <w:tabs>
                <w:tab w:val="left" w:pos="161"/>
              </w:tabs>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Aktivitete të përbashkëta për të nxitur, por edhe për të përtërirë vlerat</w:t>
            </w:r>
            <w:r w:rsidR="003360ED" w:rsidRPr="00551729">
              <w:rPr>
                <w:rFonts w:ascii="Garamond" w:hAnsi="Garamond"/>
                <w:spacing w:val="-10"/>
                <w:sz w:val="20"/>
                <w:szCs w:val="24"/>
                <w:lang w:val="sq-AL"/>
              </w:rPr>
              <w:t xml:space="preserve"> </w:t>
            </w:r>
            <w:r w:rsidR="003360ED" w:rsidRPr="00551729">
              <w:rPr>
                <w:rFonts w:ascii="Garamond" w:hAnsi="Garamond"/>
                <w:sz w:val="20"/>
                <w:szCs w:val="24"/>
                <w:lang w:val="sq-AL"/>
              </w:rPr>
              <w:t>kulturore dhe trashëgiminë natyrore nëpërmjet festivaleve, panaireve,</w:t>
            </w:r>
            <w:r w:rsidR="003360ED" w:rsidRPr="00551729">
              <w:rPr>
                <w:rFonts w:ascii="Garamond" w:hAnsi="Garamond"/>
                <w:spacing w:val="-10"/>
                <w:sz w:val="20"/>
                <w:szCs w:val="24"/>
                <w:lang w:val="sq-AL"/>
              </w:rPr>
              <w:t xml:space="preserve"> </w:t>
            </w:r>
            <w:r w:rsidR="003360ED" w:rsidRPr="00551729">
              <w:rPr>
                <w:rFonts w:ascii="Garamond" w:hAnsi="Garamond"/>
                <w:sz w:val="20"/>
                <w:szCs w:val="24"/>
                <w:lang w:val="sq-AL"/>
              </w:rPr>
              <w:t>konkurseve</w:t>
            </w:r>
          </w:p>
          <w:p w14:paraId="1BADCB55" w14:textId="0B61EF03" w:rsidR="003360ED" w:rsidRPr="00551729" w:rsidRDefault="00B65E6C" w:rsidP="00B65E6C">
            <w:pPr>
              <w:pStyle w:val="TableParagraph"/>
              <w:tabs>
                <w:tab w:val="left" w:pos="161"/>
              </w:tabs>
              <w:ind w:left="18"/>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Trajnime për të rritur cilësinë e shërbimeve</w:t>
            </w:r>
            <w:r w:rsidR="003360ED" w:rsidRPr="00551729">
              <w:rPr>
                <w:rFonts w:ascii="Garamond" w:hAnsi="Garamond"/>
                <w:spacing w:val="-9"/>
                <w:sz w:val="20"/>
                <w:szCs w:val="24"/>
                <w:lang w:val="sq-AL"/>
              </w:rPr>
              <w:t xml:space="preserve"> </w:t>
            </w:r>
            <w:r w:rsidR="003360ED" w:rsidRPr="00551729">
              <w:rPr>
                <w:rFonts w:ascii="Garamond" w:hAnsi="Garamond"/>
                <w:sz w:val="20"/>
                <w:szCs w:val="24"/>
                <w:lang w:val="sq-AL"/>
              </w:rPr>
              <w:t>në vendet kulturore</w:t>
            </w:r>
            <w:r w:rsidR="003360ED" w:rsidRPr="00551729">
              <w:rPr>
                <w:rFonts w:ascii="Garamond" w:hAnsi="Garamond"/>
                <w:spacing w:val="-10"/>
                <w:sz w:val="20"/>
                <w:szCs w:val="24"/>
                <w:lang w:val="sq-AL"/>
              </w:rPr>
              <w:t xml:space="preserve"> </w:t>
            </w:r>
            <w:r w:rsidR="003360ED" w:rsidRPr="00551729">
              <w:rPr>
                <w:rFonts w:ascii="Garamond" w:hAnsi="Garamond"/>
                <w:sz w:val="20"/>
                <w:szCs w:val="24"/>
                <w:lang w:val="sq-AL"/>
              </w:rPr>
              <w:t>dhe</w:t>
            </w:r>
          </w:p>
        </w:tc>
      </w:tr>
      <w:tr w:rsidR="003360ED" w:rsidRPr="00551729" w14:paraId="1BADCB5F" w14:textId="77777777" w:rsidTr="00E3373A">
        <w:trPr>
          <w:trHeight w:hRule="exact" w:val="1959"/>
        </w:trPr>
        <w:tc>
          <w:tcPr>
            <w:tcW w:w="1639" w:type="dxa"/>
          </w:tcPr>
          <w:p w14:paraId="1BADCB59" w14:textId="77777777" w:rsidR="003360ED" w:rsidRPr="00551729" w:rsidRDefault="003360ED" w:rsidP="003360ED">
            <w:pPr>
              <w:spacing w:after="0" w:line="240" w:lineRule="auto"/>
              <w:rPr>
                <w:rFonts w:ascii="Garamond" w:hAnsi="Garamond"/>
                <w:sz w:val="20"/>
                <w:szCs w:val="24"/>
              </w:rPr>
            </w:pPr>
          </w:p>
        </w:tc>
        <w:tc>
          <w:tcPr>
            <w:tcW w:w="1349" w:type="dxa"/>
          </w:tcPr>
          <w:p w14:paraId="1BADCB5A" w14:textId="77777777" w:rsidR="003360ED" w:rsidRPr="00551729" w:rsidRDefault="003360ED" w:rsidP="003360ED">
            <w:pPr>
              <w:spacing w:after="0" w:line="240" w:lineRule="auto"/>
              <w:rPr>
                <w:rFonts w:ascii="Garamond" w:hAnsi="Garamond"/>
                <w:sz w:val="20"/>
                <w:szCs w:val="24"/>
              </w:rPr>
            </w:pPr>
          </w:p>
        </w:tc>
        <w:tc>
          <w:tcPr>
            <w:tcW w:w="2012" w:type="dxa"/>
          </w:tcPr>
          <w:p w14:paraId="1BADCB5B"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rritur me 20%</w:t>
            </w:r>
          </w:p>
        </w:tc>
        <w:tc>
          <w:tcPr>
            <w:tcW w:w="2036" w:type="dxa"/>
            <w:shd w:val="clear" w:color="auto" w:fill="FFFFFF" w:themeFill="background1"/>
          </w:tcPr>
          <w:p w14:paraId="1BADCB5C" w14:textId="77777777" w:rsidR="003360ED" w:rsidRPr="00551729" w:rsidRDefault="003360ED" w:rsidP="003360ED">
            <w:pPr>
              <w:spacing w:after="0" w:line="240" w:lineRule="auto"/>
              <w:rPr>
                <w:rFonts w:ascii="Garamond" w:hAnsi="Garamond"/>
                <w:sz w:val="20"/>
                <w:szCs w:val="24"/>
              </w:rPr>
            </w:pPr>
          </w:p>
        </w:tc>
        <w:tc>
          <w:tcPr>
            <w:tcW w:w="2542" w:type="dxa"/>
          </w:tcPr>
          <w:p w14:paraId="1BADCB5D"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natyrore</w:t>
            </w:r>
          </w:p>
          <w:p w14:paraId="1BADCB5E" w14:textId="612C4ADD" w:rsidR="003360ED" w:rsidRPr="00551729" w:rsidRDefault="00B65E6C" w:rsidP="00B65E6C">
            <w:pPr>
              <w:pStyle w:val="TableParagraph"/>
              <w:tabs>
                <w:tab w:val="left" w:pos="161"/>
              </w:tabs>
              <w:ind w:left="18"/>
              <w:rPr>
                <w:rFonts w:ascii="Garamond" w:hAnsi="Garamond"/>
                <w:sz w:val="20"/>
                <w:szCs w:val="24"/>
                <w:lang w:val="sq-AL"/>
              </w:rPr>
            </w:pPr>
            <w:r>
              <w:rPr>
                <w:rFonts w:ascii="Garamond" w:hAnsi="Garamond"/>
                <w:sz w:val="20"/>
                <w:szCs w:val="24"/>
                <w:lang w:val="sq-AL"/>
              </w:rPr>
              <w:t xml:space="preserve">- </w:t>
            </w:r>
            <w:r w:rsidR="003360ED" w:rsidRPr="00551729">
              <w:rPr>
                <w:rFonts w:ascii="Garamond" w:hAnsi="Garamond"/>
                <w:sz w:val="20"/>
                <w:szCs w:val="24"/>
                <w:lang w:val="sq-AL"/>
              </w:rPr>
              <w:t>Aktivitete për të rritur ndërgjegjësimin e njerëzve mbi rëndësinë e trashëgimisë kulturore</w:t>
            </w:r>
            <w:r w:rsidR="003360ED" w:rsidRPr="00551729">
              <w:rPr>
                <w:rFonts w:ascii="Garamond" w:hAnsi="Garamond"/>
                <w:spacing w:val="-9"/>
                <w:sz w:val="20"/>
                <w:szCs w:val="24"/>
                <w:lang w:val="sq-AL"/>
              </w:rPr>
              <w:t xml:space="preserve"> </w:t>
            </w:r>
            <w:r w:rsidR="003360ED" w:rsidRPr="00551729">
              <w:rPr>
                <w:rFonts w:ascii="Garamond" w:hAnsi="Garamond"/>
                <w:sz w:val="20"/>
                <w:szCs w:val="24"/>
                <w:lang w:val="sq-AL"/>
              </w:rPr>
              <w:t>dhe natyrore, veçanërisht në shkolla</w:t>
            </w:r>
          </w:p>
        </w:tc>
      </w:tr>
    </w:tbl>
    <w:p w14:paraId="1BADCB60" w14:textId="38CF1911" w:rsidR="003360ED" w:rsidRDefault="003360ED" w:rsidP="003360ED">
      <w:pPr>
        <w:spacing w:after="0" w:line="240" w:lineRule="auto"/>
        <w:ind w:firstLine="284"/>
        <w:jc w:val="both"/>
        <w:rPr>
          <w:rFonts w:ascii="Garamond" w:hAnsi="Garamond"/>
          <w:sz w:val="24"/>
          <w:szCs w:val="24"/>
        </w:rPr>
      </w:pPr>
      <w:r w:rsidRPr="00551729">
        <w:rPr>
          <w:rFonts w:ascii="Garamond" w:hAnsi="Garamond"/>
          <w:sz w:val="24"/>
          <w:szCs w:val="24"/>
        </w:rPr>
        <w:t xml:space="preserve">*- Shumica e treguesve kanë si bazë </w:t>
      </w:r>
      <w:r w:rsidR="00B65E6C">
        <w:rPr>
          <w:rFonts w:ascii="Garamond" w:hAnsi="Garamond"/>
          <w:sz w:val="24"/>
          <w:szCs w:val="24"/>
        </w:rPr>
        <w:t>“</w:t>
      </w:r>
      <w:r w:rsidRPr="00551729">
        <w:rPr>
          <w:rFonts w:ascii="Garamond" w:hAnsi="Garamond"/>
          <w:sz w:val="24"/>
          <w:szCs w:val="24"/>
        </w:rPr>
        <w:t>0</w:t>
      </w:r>
      <w:r w:rsidR="00B65E6C">
        <w:rPr>
          <w:rFonts w:ascii="Garamond" w:hAnsi="Garamond"/>
          <w:sz w:val="24"/>
          <w:szCs w:val="24"/>
        </w:rPr>
        <w:t>”</w:t>
      </w:r>
      <w:r w:rsidRPr="00551729">
        <w:rPr>
          <w:rFonts w:ascii="Garamond" w:hAnsi="Garamond"/>
          <w:sz w:val="24"/>
          <w:szCs w:val="24"/>
        </w:rPr>
        <w:t>. Përkatësisht, disponueshmëria e kufizuar e informacionit statistikor dhe burimeve nuk lejon përcaktimin e saktë të treguesve në nivelin bazë. E njëjta qasje vlen për të tri prioritetet tematike. Ju lutem kini parasysh se kudo ka synime, ato janë thjesht tentativë, pasi shumat e alokimeve të programit janë ende të</w:t>
      </w:r>
      <w:r w:rsidRPr="00551729">
        <w:rPr>
          <w:rFonts w:ascii="Garamond" w:hAnsi="Garamond"/>
          <w:spacing w:val="-24"/>
          <w:sz w:val="24"/>
          <w:szCs w:val="24"/>
        </w:rPr>
        <w:t xml:space="preserve"> </w:t>
      </w:r>
      <w:r w:rsidRPr="00551729">
        <w:rPr>
          <w:rFonts w:ascii="Garamond" w:hAnsi="Garamond"/>
          <w:sz w:val="24"/>
          <w:szCs w:val="24"/>
        </w:rPr>
        <w:t>panjohura.</w:t>
      </w:r>
    </w:p>
    <w:p w14:paraId="0DDBD79C" w14:textId="77777777" w:rsidR="00FD35BF" w:rsidRDefault="00FD35BF" w:rsidP="003360ED">
      <w:pPr>
        <w:spacing w:after="0" w:line="240" w:lineRule="auto"/>
        <w:ind w:firstLine="284"/>
        <w:jc w:val="both"/>
        <w:rPr>
          <w:rFonts w:ascii="Garamond" w:hAnsi="Garamond"/>
          <w:sz w:val="24"/>
          <w:szCs w:val="24"/>
        </w:rPr>
      </w:pPr>
    </w:p>
    <w:p w14:paraId="45EB245C" w14:textId="77777777" w:rsidR="00FD35BF" w:rsidRDefault="00FD35BF" w:rsidP="003360ED">
      <w:pPr>
        <w:spacing w:after="0" w:line="240" w:lineRule="auto"/>
        <w:ind w:firstLine="284"/>
        <w:jc w:val="both"/>
        <w:rPr>
          <w:rFonts w:ascii="Garamond" w:hAnsi="Garamond"/>
          <w:sz w:val="24"/>
          <w:szCs w:val="24"/>
        </w:rPr>
      </w:pPr>
    </w:p>
    <w:p w14:paraId="68DEA919" w14:textId="77777777" w:rsidR="00FD35BF" w:rsidRPr="00551729" w:rsidRDefault="00FD35BF" w:rsidP="003360ED">
      <w:pPr>
        <w:spacing w:after="0" w:line="240" w:lineRule="auto"/>
        <w:ind w:firstLine="284"/>
        <w:jc w:val="both"/>
        <w:rPr>
          <w:rFonts w:ascii="Garamond" w:hAnsi="Garamond"/>
          <w:sz w:val="24"/>
          <w:szCs w:val="24"/>
        </w:rPr>
      </w:pPr>
    </w:p>
    <w:p w14:paraId="1BADCB61" w14:textId="77777777" w:rsidR="003360ED" w:rsidRPr="00551729" w:rsidRDefault="003360ED" w:rsidP="003360ED">
      <w:pPr>
        <w:pStyle w:val="BodyText"/>
        <w:ind w:firstLine="284"/>
        <w:rPr>
          <w:rFonts w:ascii="Garamond" w:hAnsi="Garamond"/>
          <w:sz w:val="24"/>
          <w:szCs w:val="24"/>
          <w:lang w:val="sq-AL"/>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532"/>
        <w:gridCol w:w="2148"/>
        <w:gridCol w:w="2002"/>
        <w:gridCol w:w="2531"/>
      </w:tblGrid>
      <w:tr w:rsidR="003360ED" w:rsidRPr="00551729" w14:paraId="1BADCB63" w14:textId="77777777" w:rsidTr="003360ED">
        <w:trPr>
          <w:trHeight w:hRule="exact" w:val="665"/>
        </w:trPr>
        <w:tc>
          <w:tcPr>
            <w:tcW w:w="9583" w:type="dxa"/>
            <w:gridSpan w:val="5"/>
            <w:tcBorders>
              <w:bottom w:val="single" w:sz="49" w:space="0" w:color="DBE4F0"/>
            </w:tcBorders>
            <w:shd w:val="clear" w:color="auto" w:fill="C5D9F0"/>
          </w:tcPr>
          <w:p w14:paraId="1BADCB62"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PRIORITETI 2 – MBROJTJA E MJEDISIT, NXITJA E PËRSHTATJES DHE LEHTËSIMIT NDAJ NDRYSHIMEVE KLIMATIKE, PARANDALIMI DHE MENAXHIMI I RREZIKUT</w:t>
            </w:r>
          </w:p>
        </w:tc>
      </w:tr>
      <w:tr w:rsidR="003360ED" w:rsidRPr="00551729" w14:paraId="1BADCB69" w14:textId="77777777" w:rsidTr="003360ED">
        <w:trPr>
          <w:trHeight w:hRule="exact" w:val="624"/>
        </w:trPr>
        <w:tc>
          <w:tcPr>
            <w:tcW w:w="1370" w:type="dxa"/>
            <w:shd w:val="clear" w:color="auto" w:fill="DBE4F0"/>
          </w:tcPr>
          <w:p w14:paraId="1BADCB64"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w w:val="95"/>
                <w:sz w:val="20"/>
                <w:szCs w:val="20"/>
                <w:lang w:val="sq-AL"/>
              </w:rPr>
              <w:t xml:space="preserve">Objektivi </w:t>
            </w:r>
            <w:r w:rsidRPr="00551729">
              <w:rPr>
                <w:rFonts w:ascii="Garamond" w:hAnsi="Garamond"/>
                <w:b/>
                <w:sz w:val="20"/>
                <w:szCs w:val="20"/>
                <w:lang w:val="sq-AL"/>
              </w:rPr>
              <w:t>specifik</w:t>
            </w:r>
          </w:p>
        </w:tc>
        <w:tc>
          <w:tcPr>
            <w:tcW w:w="1532" w:type="dxa"/>
            <w:shd w:val="clear" w:color="auto" w:fill="DBE4F0"/>
          </w:tcPr>
          <w:p w14:paraId="1BADCB65"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Rezultatet</w:t>
            </w:r>
          </w:p>
        </w:tc>
        <w:tc>
          <w:tcPr>
            <w:tcW w:w="2148" w:type="dxa"/>
            <w:shd w:val="clear" w:color="auto" w:fill="DBE4F0"/>
          </w:tcPr>
          <w:p w14:paraId="1BADCB66"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Treguesit</w:t>
            </w:r>
            <w:r w:rsidRPr="00551729">
              <w:rPr>
                <w:rFonts w:ascii="Garamond" w:hAnsi="Garamond"/>
                <w:b/>
                <w:position w:val="6"/>
                <w:sz w:val="20"/>
                <w:szCs w:val="20"/>
                <w:lang w:val="sq-AL"/>
              </w:rPr>
              <w:t>*</w:t>
            </w:r>
          </w:p>
        </w:tc>
        <w:tc>
          <w:tcPr>
            <w:tcW w:w="2002" w:type="dxa"/>
            <w:tcBorders>
              <w:left w:val="single" w:sz="45" w:space="0" w:color="DBE4F0"/>
              <w:right w:val="single" w:sz="41" w:space="0" w:color="DBE4F0"/>
            </w:tcBorders>
            <w:shd w:val="clear" w:color="auto" w:fill="FFFFFF" w:themeFill="background1"/>
          </w:tcPr>
          <w:p w14:paraId="1BADCB67"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Burimet e verifikimit</w:t>
            </w:r>
          </w:p>
        </w:tc>
        <w:tc>
          <w:tcPr>
            <w:tcW w:w="2531" w:type="dxa"/>
            <w:shd w:val="clear" w:color="auto" w:fill="DBE4F0"/>
          </w:tcPr>
          <w:p w14:paraId="1BADCB68"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Llojet e aktiviteteve</w:t>
            </w:r>
          </w:p>
        </w:tc>
      </w:tr>
      <w:tr w:rsidR="003360ED" w:rsidRPr="00551729" w14:paraId="1BADCBA2" w14:textId="77777777" w:rsidTr="003360ED">
        <w:trPr>
          <w:trHeight w:hRule="exact" w:val="5505"/>
        </w:trPr>
        <w:tc>
          <w:tcPr>
            <w:tcW w:w="1370" w:type="dxa"/>
          </w:tcPr>
          <w:p w14:paraId="1BADCB6A" w14:textId="77777777" w:rsidR="003360ED" w:rsidRPr="00551729" w:rsidRDefault="003360ED" w:rsidP="003360ED">
            <w:pPr>
              <w:pStyle w:val="TableParagraph"/>
              <w:rPr>
                <w:rFonts w:ascii="Garamond" w:hAnsi="Garamond"/>
                <w:sz w:val="20"/>
                <w:szCs w:val="20"/>
                <w:lang w:val="sq-AL"/>
              </w:rPr>
            </w:pPr>
          </w:p>
          <w:p w14:paraId="1BADCB6B" w14:textId="77777777" w:rsidR="003360ED" w:rsidRPr="00551729" w:rsidRDefault="003360ED" w:rsidP="003360ED">
            <w:pPr>
              <w:pStyle w:val="TableParagraph"/>
              <w:rPr>
                <w:rFonts w:ascii="Garamond" w:hAnsi="Garamond"/>
                <w:sz w:val="20"/>
                <w:szCs w:val="20"/>
                <w:lang w:val="sq-AL"/>
              </w:rPr>
            </w:pPr>
          </w:p>
          <w:p w14:paraId="1BADCB6C" w14:textId="77777777" w:rsidR="003360ED" w:rsidRPr="00551729" w:rsidRDefault="003360ED" w:rsidP="003360ED">
            <w:pPr>
              <w:pStyle w:val="TableParagraph"/>
              <w:rPr>
                <w:rFonts w:ascii="Garamond" w:hAnsi="Garamond"/>
                <w:sz w:val="20"/>
                <w:szCs w:val="20"/>
                <w:lang w:val="sq-AL"/>
              </w:rPr>
            </w:pPr>
          </w:p>
          <w:p w14:paraId="1BADCB6D" w14:textId="77777777" w:rsidR="003360ED" w:rsidRPr="00551729" w:rsidRDefault="003360ED" w:rsidP="003360ED">
            <w:pPr>
              <w:pStyle w:val="TableParagraph"/>
              <w:rPr>
                <w:rFonts w:ascii="Garamond" w:hAnsi="Garamond"/>
                <w:sz w:val="20"/>
                <w:szCs w:val="20"/>
                <w:lang w:val="sq-AL"/>
              </w:rPr>
            </w:pPr>
          </w:p>
          <w:p w14:paraId="1BADCB6E" w14:textId="77777777" w:rsidR="003360ED" w:rsidRPr="00551729" w:rsidRDefault="003360ED" w:rsidP="003360ED">
            <w:pPr>
              <w:pStyle w:val="TableParagraph"/>
              <w:rPr>
                <w:rFonts w:ascii="Garamond" w:hAnsi="Garamond"/>
                <w:sz w:val="20"/>
                <w:szCs w:val="20"/>
                <w:lang w:val="sq-AL"/>
              </w:rPr>
            </w:pPr>
          </w:p>
          <w:p w14:paraId="1BADCB6F" w14:textId="77777777" w:rsidR="003360ED" w:rsidRPr="00551729" w:rsidRDefault="003360ED" w:rsidP="003360ED">
            <w:pPr>
              <w:pStyle w:val="TableParagraph"/>
              <w:rPr>
                <w:rFonts w:ascii="Garamond" w:hAnsi="Garamond"/>
                <w:sz w:val="20"/>
                <w:szCs w:val="20"/>
                <w:lang w:val="sq-AL"/>
              </w:rPr>
            </w:pPr>
          </w:p>
          <w:p w14:paraId="1BADCB70" w14:textId="77777777" w:rsidR="003360ED" w:rsidRPr="00551729" w:rsidRDefault="003360ED" w:rsidP="003360ED">
            <w:pPr>
              <w:pStyle w:val="TableParagraph"/>
              <w:rPr>
                <w:rFonts w:ascii="Garamond" w:hAnsi="Garamond"/>
                <w:sz w:val="20"/>
                <w:szCs w:val="20"/>
                <w:lang w:val="sq-AL"/>
              </w:rPr>
            </w:pPr>
          </w:p>
          <w:p w14:paraId="1BADCB71" w14:textId="77777777" w:rsidR="003360ED" w:rsidRPr="00551729" w:rsidRDefault="003360ED" w:rsidP="003360ED">
            <w:pPr>
              <w:pStyle w:val="TableParagraph"/>
              <w:rPr>
                <w:rFonts w:ascii="Garamond" w:hAnsi="Garamond"/>
                <w:sz w:val="20"/>
                <w:szCs w:val="20"/>
                <w:lang w:val="sq-AL"/>
              </w:rPr>
            </w:pPr>
          </w:p>
          <w:p w14:paraId="1BADCB72" w14:textId="77777777" w:rsidR="003360ED" w:rsidRPr="00551729" w:rsidRDefault="003360ED" w:rsidP="003360ED">
            <w:pPr>
              <w:pStyle w:val="TableParagraph"/>
              <w:rPr>
                <w:rFonts w:ascii="Garamond" w:hAnsi="Garamond"/>
                <w:sz w:val="20"/>
                <w:szCs w:val="20"/>
                <w:lang w:val="sq-AL"/>
              </w:rPr>
            </w:pPr>
          </w:p>
          <w:p w14:paraId="1BADCB73" w14:textId="77777777" w:rsidR="003360ED" w:rsidRPr="00551729" w:rsidRDefault="003360ED" w:rsidP="003360ED">
            <w:pPr>
              <w:pStyle w:val="TableParagraph"/>
              <w:rPr>
                <w:rFonts w:ascii="Garamond" w:hAnsi="Garamond"/>
                <w:sz w:val="20"/>
                <w:szCs w:val="20"/>
                <w:lang w:val="sq-AL"/>
              </w:rPr>
            </w:pPr>
          </w:p>
          <w:p w14:paraId="1BADCB74" w14:textId="77777777" w:rsidR="003360ED" w:rsidRPr="00551729" w:rsidRDefault="003360ED" w:rsidP="003360ED">
            <w:pPr>
              <w:pStyle w:val="TableParagraph"/>
              <w:rPr>
                <w:rFonts w:ascii="Garamond" w:hAnsi="Garamond"/>
                <w:sz w:val="20"/>
                <w:szCs w:val="20"/>
                <w:lang w:val="sq-AL"/>
              </w:rPr>
            </w:pPr>
          </w:p>
          <w:p w14:paraId="1BADCB75"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Objektivi Specifik 2</w:t>
            </w:r>
          </w:p>
          <w:p w14:paraId="1BADCB76" w14:textId="77777777" w:rsidR="003360ED" w:rsidRPr="00551729" w:rsidRDefault="003360ED" w:rsidP="003360ED">
            <w:pPr>
              <w:pStyle w:val="TableParagraph"/>
              <w:rPr>
                <w:rFonts w:ascii="Garamond" w:hAnsi="Garamond"/>
                <w:sz w:val="20"/>
                <w:szCs w:val="20"/>
                <w:lang w:val="sq-AL"/>
              </w:rPr>
            </w:pPr>
          </w:p>
          <w:p w14:paraId="1BADCB77" w14:textId="77777777" w:rsidR="003360ED" w:rsidRPr="00551729" w:rsidRDefault="003360ED" w:rsidP="003360ED">
            <w:pPr>
              <w:pStyle w:val="TableParagraph"/>
              <w:rPr>
                <w:rFonts w:ascii="Garamond" w:hAnsi="Garamond"/>
                <w:sz w:val="20"/>
                <w:szCs w:val="20"/>
                <w:lang w:val="sq-AL"/>
              </w:rPr>
            </w:pPr>
          </w:p>
          <w:p w14:paraId="1BADCB78"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Mbrojtja e burimeve mjedisore tek liqeni dhe zonat alpine, çohet më tej</w:t>
            </w:r>
          </w:p>
        </w:tc>
        <w:tc>
          <w:tcPr>
            <w:tcW w:w="1532" w:type="dxa"/>
            <w:tcBorders>
              <w:top w:val="single" w:sz="49" w:space="0" w:color="DBE4F0"/>
            </w:tcBorders>
          </w:tcPr>
          <w:p w14:paraId="1BADCB79" w14:textId="77777777" w:rsidR="003360ED" w:rsidRPr="00551729" w:rsidRDefault="003360ED" w:rsidP="003360ED">
            <w:pPr>
              <w:pStyle w:val="TableParagraph"/>
              <w:rPr>
                <w:rFonts w:ascii="Garamond" w:hAnsi="Garamond"/>
                <w:sz w:val="20"/>
                <w:szCs w:val="20"/>
                <w:lang w:val="sq-AL"/>
              </w:rPr>
            </w:pPr>
          </w:p>
          <w:p w14:paraId="1BADCB7A" w14:textId="77777777" w:rsidR="003360ED" w:rsidRPr="00551729" w:rsidRDefault="003360ED" w:rsidP="003360ED">
            <w:pPr>
              <w:pStyle w:val="TableParagraph"/>
              <w:rPr>
                <w:rFonts w:ascii="Garamond" w:hAnsi="Garamond"/>
                <w:sz w:val="20"/>
                <w:szCs w:val="20"/>
                <w:lang w:val="sq-AL"/>
              </w:rPr>
            </w:pPr>
          </w:p>
          <w:p w14:paraId="1BADCB7B" w14:textId="77777777" w:rsidR="003360ED" w:rsidRPr="00551729" w:rsidRDefault="003360ED" w:rsidP="003360ED">
            <w:pPr>
              <w:pStyle w:val="TableParagraph"/>
              <w:rPr>
                <w:rFonts w:ascii="Garamond" w:hAnsi="Garamond"/>
                <w:sz w:val="20"/>
                <w:szCs w:val="20"/>
                <w:lang w:val="sq-AL"/>
              </w:rPr>
            </w:pPr>
          </w:p>
          <w:p w14:paraId="1BADCB7C" w14:textId="77777777" w:rsidR="003360ED" w:rsidRPr="00551729" w:rsidRDefault="003360ED" w:rsidP="003360ED">
            <w:pPr>
              <w:pStyle w:val="TableParagraph"/>
              <w:rPr>
                <w:rFonts w:ascii="Garamond" w:hAnsi="Garamond"/>
                <w:sz w:val="20"/>
                <w:szCs w:val="20"/>
                <w:lang w:val="sq-AL"/>
              </w:rPr>
            </w:pPr>
          </w:p>
          <w:p w14:paraId="1BADCB7D" w14:textId="77777777" w:rsidR="003360ED" w:rsidRPr="00551729" w:rsidRDefault="003360ED" w:rsidP="003360ED">
            <w:pPr>
              <w:pStyle w:val="TableParagraph"/>
              <w:rPr>
                <w:rFonts w:ascii="Garamond" w:hAnsi="Garamond"/>
                <w:sz w:val="20"/>
                <w:szCs w:val="20"/>
                <w:lang w:val="sq-AL"/>
              </w:rPr>
            </w:pPr>
          </w:p>
          <w:p w14:paraId="1BADCB7E" w14:textId="77777777" w:rsidR="003360ED" w:rsidRPr="00551729" w:rsidRDefault="003360ED" w:rsidP="003360ED">
            <w:pPr>
              <w:pStyle w:val="TableParagraph"/>
              <w:rPr>
                <w:rFonts w:ascii="Garamond" w:hAnsi="Garamond"/>
                <w:sz w:val="20"/>
                <w:szCs w:val="20"/>
                <w:lang w:val="sq-AL"/>
              </w:rPr>
            </w:pPr>
          </w:p>
          <w:p w14:paraId="1BADCB7F" w14:textId="77777777" w:rsidR="003360ED" w:rsidRPr="00551729" w:rsidRDefault="003360ED" w:rsidP="003360ED">
            <w:pPr>
              <w:pStyle w:val="TableParagraph"/>
              <w:rPr>
                <w:rFonts w:ascii="Garamond" w:hAnsi="Garamond"/>
                <w:sz w:val="20"/>
                <w:szCs w:val="20"/>
                <w:lang w:val="sq-AL"/>
              </w:rPr>
            </w:pPr>
          </w:p>
          <w:p w14:paraId="1BADCB80" w14:textId="77777777" w:rsidR="003360ED" w:rsidRPr="00551729" w:rsidRDefault="003360ED" w:rsidP="003360ED">
            <w:pPr>
              <w:pStyle w:val="TableParagraph"/>
              <w:rPr>
                <w:rFonts w:ascii="Garamond" w:hAnsi="Garamond"/>
                <w:sz w:val="20"/>
                <w:szCs w:val="20"/>
                <w:lang w:val="sq-AL"/>
              </w:rPr>
            </w:pPr>
          </w:p>
          <w:p w14:paraId="1BADCB81" w14:textId="77777777" w:rsidR="003360ED" w:rsidRPr="00551729" w:rsidRDefault="003360ED" w:rsidP="003360ED">
            <w:pPr>
              <w:pStyle w:val="TableParagraph"/>
              <w:rPr>
                <w:rFonts w:ascii="Garamond" w:hAnsi="Garamond"/>
                <w:sz w:val="20"/>
                <w:szCs w:val="20"/>
                <w:lang w:val="sq-AL"/>
              </w:rPr>
            </w:pPr>
          </w:p>
          <w:p w14:paraId="1BADCB82" w14:textId="77777777" w:rsidR="003360ED" w:rsidRPr="00551729" w:rsidRDefault="003360ED" w:rsidP="003360ED">
            <w:pPr>
              <w:pStyle w:val="TableParagraph"/>
              <w:rPr>
                <w:rFonts w:ascii="Garamond" w:hAnsi="Garamond"/>
                <w:sz w:val="20"/>
                <w:szCs w:val="20"/>
                <w:lang w:val="sq-AL"/>
              </w:rPr>
            </w:pPr>
          </w:p>
          <w:p w14:paraId="1BADCB83" w14:textId="77777777" w:rsidR="003360ED" w:rsidRPr="00551729" w:rsidRDefault="003360ED" w:rsidP="003360ED">
            <w:pPr>
              <w:pStyle w:val="TableParagraph"/>
              <w:rPr>
                <w:rFonts w:ascii="Garamond" w:hAnsi="Garamond"/>
                <w:sz w:val="20"/>
                <w:szCs w:val="20"/>
                <w:lang w:val="sq-AL"/>
              </w:rPr>
            </w:pPr>
          </w:p>
          <w:p w14:paraId="1BADCB84" w14:textId="77777777" w:rsidR="003360ED" w:rsidRPr="00551729" w:rsidRDefault="003360ED" w:rsidP="003360ED">
            <w:pPr>
              <w:pStyle w:val="TableParagraph"/>
              <w:rPr>
                <w:rFonts w:ascii="Garamond" w:hAnsi="Garamond"/>
                <w:b/>
                <w:sz w:val="20"/>
                <w:szCs w:val="20"/>
                <w:lang w:val="sq-AL"/>
              </w:rPr>
            </w:pPr>
            <w:r w:rsidRPr="00551729">
              <w:rPr>
                <w:rFonts w:ascii="Garamond" w:hAnsi="Garamond"/>
                <w:b/>
                <w:sz w:val="20"/>
                <w:szCs w:val="20"/>
                <w:lang w:val="sq-AL"/>
              </w:rPr>
              <w:t>Rezultati 2.1</w:t>
            </w:r>
          </w:p>
          <w:p w14:paraId="1BADCB85" w14:textId="77777777" w:rsidR="003360ED" w:rsidRPr="00551729" w:rsidRDefault="003360ED" w:rsidP="003360ED">
            <w:pPr>
              <w:pStyle w:val="TableParagraph"/>
              <w:rPr>
                <w:rFonts w:ascii="Garamond" w:hAnsi="Garamond"/>
                <w:sz w:val="20"/>
                <w:szCs w:val="20"/>
                <w:lang w:val="sq-AL"/>
              </w:rPr>
            </w:pPr>
          </w:p>
          <w:p w14:paraId="1BADCB86" w14:textId="77777777" w:rsidR="003360ED" w:rsidRPr="00551729" w:rsidRDefault="003360ED" w:rsidP="003360ED">
            <w:pPr>
              <w:pStyle w:val="TableParagraph"/>
              <w:rPr>
                <w:rFonts w:ascii="Garamond" w:hAnsi="Garamond"/>
                <w:sz w:val="20"/>
                <w:szCs w:val="20"/>
                <w:lang w:val="sq-AL"/>
              </w:rPr>
            </w:pPr>
          </w:p>
          <w:p w14:paraId="1BADCB87"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Ndërgjegjësimi mbi përdorimin e qëndrueshëm të burimeve mjedisore në zonën e liqenit dhe zonat alpine, ka avancuar</w:t>
            </w:r>
          </w:p>
        </w:tc>
        <w:tc>
          <w:tcPr>
            <w:tcW w:w="2148" w:type="dxa"/>
            <w:tcBorders>
              <w:top w:val="single" w:sz="45" w:space="0" w:color="DBE4F0"/>
            </w:tcBorders>
          </w:tcPr>
          <w:p w14:paraId="1BADCB88" w14:textId="44404E54" w:rsidR="003360ED" w:rsidRPr="00551729" w:rsidRDefault="003360ED" w:rsidP="007D1FAB">
            <w:pPr>
              <w:pStyle w:val="TableParagraph"/>
              <w:numPr>
                <w:ilvl w:val="0"/>
                <w:numId w:val="5"/>
              </w:numPr>
              <w:tabs>
                <w:tab w:val="left" w:pos="245"/>
              </w:tabs>
              <w:ind w:left="0" w:firstLine="0"/>
              <w:rPr>
                <w:rFonts w:ascii="Garamond" w:hAnsi="Garamond"/>
                <w:sz w:val="20"/>
                <w:szCs w:val="20"/>
                <w:lang w:val="sq-AL"/>
              </w:rPr>
            </w:pPr>
            <w:r w:rsidRPr="00551729">
              <w:rPr>
                <w:rFonts w:ascii="Garamond" w:hAnsi="Garamond"/>
                <w:sz w:val="20"/>
                <w:szCs w:val="20"/>
                <w:lang w:val="sq-AL"/>
              </w:rPr>
              <w:t>2.1.1</w:t>
            </w:r>
            <w:r w:rsidR="00C521D5" w:rsidRPr="00551729">
              <w:rPr>
                <w:rFonts w:ascii="Garamond" w:hAnsi="Garamond"/>
                <w:sz w:val="20"/>
                <w:szCs w:val="20"/>
                <w:lang w:val="sq-AL"/>
              </w:rPr>
              <w:t xml:space="preserve"> </w:t>
            </w:r>
            <w:r w:rsidRPr="00551729">
              <w:rPr>
                <w:rFonts w:ascii="Garamond" w:hAnsi="Garamond"/>
                <w:sz w:val="20"/>
                <w:szCs w:val="20"/>
                <w:lang w:val="sq-AL"/>
              </w:rPr>
              <w:t>Të paktën</w:t>
            </w:r>
            <w:r w:rsidRPr="00551729">
              <w:rPr>
                <w:rFonts w:ascii="Garamond" w:hAnsi="Garamond"/>
                <w:spacing w:val="-5"/>
                <w:sz w:val="20"/>
                <w:szCs w:val="20"/>
                <w:lang w:val="sq-AL"/>
              </w:rPr>
              <w:t xml:space="preserve"> </w:t>
            </w:r>
            <w:r w:rsidRPr="00551729">
              <w:rPr>
                <w:rFonts w:ascii="Garamond" w:hAnsi="Garamond"/>
                <w:sz w:val="20"/>
                <w:szCs w:val="20"/>
                <w:lang w:val="sq-AL"/>
              </w:rPr>
              <w:t>40%</w:t>
            </w:r>
          </w:p>
          <w:p w14:paraId="1BADCB89"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e popullsisë (të ndarë sipas gjinisë dhe moshës) në zonën e programit ka qenë subjekt i aktiviteteve ndërgjegjësuese mbi mjedisin.</w:t>
            </w:r>
          </w:p>
          <w:p w14:paraId="1BADCB8A" w14:textId="77777777" w:rsidR="003360ED" w:rsidRPr="00551729" w:rsidRDefault="003360ED" w:rsidP="007D1FAB">
            <w:pPr>
              <w:pStyle w:val="TableParagraph"/>
              <w:numPr>
                <w:ilvl w:val="0"/>
                <w:numId w:val="5"/>
              </w:numPr>
              <w:tabs>
                <w:tab w:val="left" w:pos="245"/>
              </w:tabs>
              <w:ind w:left="0" w:firstLine="0"/>
              <w:rPr>
                <w:rFonts w:ascii="Garamond" w:hAnsi="Garamond"/>
                <w:sz w:val="20"/>
                <w:szCs w:val="20"/>
                <w:lang w:val="sq-AL"/>
              </w:rPr>
            </w:pPr>
            <w:r w:rsidRPr="00551729">
              <w:rPr>
                <w:rFonts w:ascii="Garamond" w:hAnsi="Garamond"/>
                <w:sz w:val="20"/>
                <w:szCs w:val="20"/>
                <w:lang w:val="sq-AL"/>
              </w:rPr>
              <w:t>2.1.2 Kontrolli i niveleve të ndotjes në zonën e</w:t>
            </w:r>
            <w:r w:rsidRPr="00551729">
              <w:rPr>
                <w:rFonts w:ascii="Garamond" w:hAnsi="Garamond"/>
                <w:spacing w:val="-11"/>
                <w:sz w:val="20"/>
                <w:szCs w:val="20"/>
                <w:lang w:val="sq-AL"/>
              </w:rPr>
              <w:t xml:space="preserve"> </w:t>
            </w:r>
            <w:r w:rsidRPr="00551729">
              <w:rPr>
                <w:rFonts w:ascii="Garamond" w:hAnsi="Garamond"/>
                <w:sz w:val="20"/>
                <w:szCs w:val="20"/>
                <w:lang w:val="sq-AL"/>
              </w:rPr>
              <w:t>Shkodrës</w:t>
            </w:r>
          </w:p>
          <w:p w14:paraId="1BADCB8B"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 Liqenin e Shkodrës është bërë më i saktë dhe më i rregullt teknikisht</w:t>
            </w:r>
          </w:p>
          <w:p w14:paraId="1BADCB8C" w14:textId="77777777" w:rsidR="003360ED" w:rsidRPr="00551729" w:rsidRDefault="003360ED" w:rsidP="007D1FAB">
            <w:pPr>
              <w:pStyle w:val="TableParagraph"/>
              <w:numPr>
                <w:ilvl w:val="0"/>
                <w:numId w:val="5"/>
              </w:numPr>
              <w:tabs>
                <w:tab w:val="left" w:pos="245"/>
              </w:tabs>
              <w:ind w:left="0" w:firstLine="0"/>
              <w:rPr>
                <w:rFonts w:ascii="Garamond" w:hAnsi="Garamond"/>
                <w:sz w:val="20"/>
                <w:szCs w:val="20"/>
                <w:lang w:val="sq-AL"/>
              </w:rPr>
            </w:pPr>
            <w:r w:rsidRPr="00551729">
              <w:rPr>
                <w:rFonts w:ascii="Garamond" w:hAnsi="Garamond"/>
                <w:sz w:val="20"/>
                <w:szCs w:val="20"/>
                <w:lang w:val="sq-AL"/>
              </w:rPr>
              <w:t>2.1.3 Shkodra / Baseni i Liqenit të Shkodrës plotëson kushtet për t'u bërë pjesë e zonave të mbrojtura në Listën</w:t>
            </w:r>
            <w:r w:rsidRPr="00551729">
              <w:rPr>
                <w:rFonts w:ascii="Garamond" w:hAnsi="Garamond"/>
                <w:spacing w:val="-10"/>
                <w:sz w:val="20"/>
                <w:szCs w:val="20"/>
                <w:lang w:val="sq-AL"/>
              </w:rPr>
              <w:t xml:space="preserve"> </w:t>
            </w:r>
            <w:r w:rsidRPr="00551729">
              <w:rPr>
                <w:rFonts w:ascii="Garamond" w:hAnsi="Garamond"/>
                <w:sz w:val="20"/>
                <w:szCs w:val="20"/>
                <w:lang w:val="sq-AL"/>
              </w:rPr>
              <w:t>e Rezervës së Biosferës të</w:t>
            </w:r>
            <w:r w:rsidRPr="00551729">
              <w:rPr>
                <w:rFonts w:ascii="Garamond" w:hAnsi="Garamond"/>
                <w:spacing w:val="-5"/>
                <w:sz w:val="20"/>
                <w:szCs w:val="20"/>
                <w:lang w:val="sq-AL"/>
              </w:rPr>
              <w:t xml:space="preserve"> </w:t>
            </w:r>
            <w:r w:rsidRPr="00551729">
              <w:rPr>
                <w:rFonts w:ascii="Garamond" w:hAnsi="Garamond"/>
                <w:sz w:val="20"/>
                <w:szCs w:val="20"/>
                <w:lang w:val="sq-AL"/>
              </w:rPr>
              <w:t>UNESCO-s</w:t>
            </w:r>
          </w:p>
          <w:p w14:paraId="1BADCB8D" w14:textId="77777777" w:rsidR="003360ED" w:rsidRPr="00551729" w:rsidRDefault="003360ED" w:rsidP="007D1FAB">
            <w:pPr>
              <w:pStyle w:val="TableParagraph"/>
              <w:numPr>
                <w:ilvl w:val="0"/>
                <w:numId w:val="5"/>
              </w:numPr>
              <w:tabs>
                <w:tab w:val="left" w:pos="245"/>
              </w:tabs>
              <w:ind w:left="0" w:firstLine="0"/>
              <w:rPr>
                <w:rFonts w:ascii="Garamond" w:hAnsi="Garamond"/>
                <w:sz w:val="20"/>
                <w:szCs w:val="20"/>
                <w:lang w:val="sq-AL"/>
              </w:rPr>
            </w:pPr>
            <w:r w:rsidRPr="00551729">
              <w:rPr>
                <w:rFonts w:ascii="Garamond" w:hAnsi="Garamond"/>
                <w:sz w:val="20"/>
                <w:szCs w:val="20"/>
                <w:lang w:val="sq-AL"/>
              </w:rPr>
              <w:t>2.1.4 Të paktën një kurrikul</w:t>
            </w:r>
            <w:r w:rsidRPr="00551729">
              <w:rPr>
                <w:rFonts w:ascii="Garamond" w:hAnsi="Garamond"/>
                <w:spacing w:val="-2"/>
                <w:sz w:val="20"/>
                <w:szCs w:val="20"/>
                <w:lang w:val="sq-AL"/>
              </w:rPr>
              <w:t xml:space="preserve"> </w:t>
            </w:r>
            <w:r w:rsidRPr="00551729">
              <w:rPr>
                <w:rFonts w:ascii="Garamond" w:hAnsi="Garamond"/>
                <w:sz w:val="20"/>
                <w:szCs w:val="20"/>
                <w:lang w:val="sq-AL"/>
              </w:rPr>
              <w:t>e</w:t>
            </w:r>
          </w:p>
        </w:tc>
        <w:tc>
          <w:tcPr>
            <w:tcW w:w="2002" w:type="dxa"/>
            <w:shd w:val="clear" w:color="auto" w:fill="FFFFFF" w:themeFill="background1"/>
          </w:tcPr>
          <w:p w14:paraId="1BADCB8E" w14:textId="77777777" w:rsidR="003360ED" w:rsidRPr="00551729" w:rsidRDefault="003360ED" w:rsidP="003360ED">
            <w:pPr>
              <w:pStyle w:val="TableParagraph"/>
              <w:rPr>
                <w:rFonts w:ascii="Garamond" w:hAnsi="Garamond"/>
                <w:sz w:val="20"/>
                <w:szCs w:val="20"/>
                <w:lang w:val="sq-AL"/>
              </w:rPr>
            </w:pPr>
          </w:p>
          <w:p w14:paraId="1BADCB8F"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Statistikat zyrtare</w:t>
            </w:r>
          </w:p>
          <w:p w14:paraId="1BADCB90" w14:textId="77777777" w:rsidR="003360ED" w:rsidRPr="00551729" w:rsidRDefault="003360ED" w:rsidP="003360ED">
            <w:pPr>
              <w:pStyle w:val="TableParagraph"/>
              <w:rPr>
                <w:rFonts w:ascii="Garamond" w:hAnsi="Garamond"/>
                <w:sz w:val="20"/>
                <w:szCs w:val="20"/>
                <w:lang w:val="sq-AL"/>
              </w:rPr>
            </w:pPr>
          </w:p>
          <w:p w14:paraId="1BADCB91" w14:textId="77777777" w:rsidR="003360ED" w:rsidRPr="00551729" w:rsidRDefault="003360ED" w:rsidP="003360ED">
            <w:pPr>
              <w:pStyle w:val="TableParagraph"/>
              <w:rPr>
                <w:rFonts w:ascii="Garamond" w:hAnsi="Garamond"/>
                <w:sz w:val="20"/>
                <w:szCs w:val="20"/>
                <w:lang w:val="sq-AL"/>
              </w:rPr>
            </w:pPr>
          </w:p>
          <w:p w14:paraId="1BADCB92" w14:textId="77777777" w:rsidR="003360ED" w:rsidRPr="00551729" w:rsidRDefault="003360ED" w:rsidP="003360ED">
            <w:pPr>
              <w:pStyle w:val="TableParagraph"/>
              <w:rPr>
                <w:rFonts w:ascii="Garamond" w:hAnsi="Garamond"/>
                <w:sz w:val="20"/>
                <w:szCs w:val="20"/>
                <w:lang w:val="sq-AL"/>
              </w:rPr>
            </w:pPr>
          </w:p>
          <w:p w14:paraId="1BADCB93" w14:textId="77777777" w:rsidR="003360ED" w:rsidRPr="00551729" w:rsidRDefault="003360ED" w:rsidP="003360ED">
            <w:pPr>
              <w:pStyle w:val="TableParagraph"/>
              <w:rPr>
                <w:rFonts w:ascii="Garamond" w:hAnsi="Garamond"/>
                <w:sz w:val="20"/>
                <w:szCs w:val="20"/>
                <w:lang w:val="sq-AL"/>
              </w:rPr>
            </w:pPr>
          </w:p>
          <w:p w14:paraId="1BADCB94" w14:textId="77777777" w:rsidR="003360ED" w:rsidRPr="00551729" w:rsidRDefault="003360ED" w:rsidP="003360ED">
            <w:pPr>
              <w:pStyle w:val="TableParagraph"/>
              <w:rPr>
                <w:rFonts w:ascii="Garamond" w:hAnsi="Garamond"/>
                <w:sz w:val="20"/>
                <w:szCs w:val="20"/>
                <w:lang w:val="sq-AL"/>
              </w:rPr>
            </w:pPr>
          </w:p>
          <w:p w14:paraId="1BADCB95"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 xml:space="preserve">Raportet nga </w:t>
            </w:r>
            <w:r w:rsidRPr="00551729">
              <w:rPr>
                <w:rFonts w:ascii="Garamond" w:hAnsi="Garamond"/>
                <w:w w:val="95"/>
                <w:sz w:val="20"/>
                <w:szCs w:val="20"/>
                <w:lang w:val="sq-AL"/>
              </w:rPr>
              <w:t xml:space="preserve">ministritë/autoritetet </w:t>
            </w:r>
            <w:r w:rsidRPr="00551729">
              <w:rPr>
                <w:rFonts w:ascii="Garamond" w:hAnsi="Garamond"/>
                <w:sz w:val="20"/>
                <w:szCs w:val="20"/>
                <w:lang w:val="sq-AL"/>
              </w:rPr>
              <w:t>përkatëse kombëtare</w:t>
            </w:r>
          </w:p>
          <w:p w14:paraId="1BADCB96" w14:textId="77777777" w:rsidR="003360ED" w:rsidRPr="00551729" w:rsidRDefault="003360ED" w:rsidP="003360ED">
            <w:pPr>
              <w:pStyle w:val="TableParagraph"/>
              <w:rPr>
                <w:rFonts w:ascii="Garamond" w:hAnsi="Garamond"/>
                <w:sz w:val="20"/>
                <w:szCs w:val="20"/>
                <w:lang w:val="sq-AL"/>
              </w:rPr>
            </w:pPr>
          </w:p>
          <w:p w14:paraId="1BADCB97" w14:textId="77777777" w:rsidR="003360ED" w:rsidRPr="00551729" w:rsidRDefault="003360ED" w:rsidP="003360ED">
            <w:pPr>
              <w:pStyle w:val="TableParagraph"/>
              <w:rPr>
                <w:rFonts w:ascii="Garamond" w:hAnsi="Garamond"/>
                <w:sz w:val="20"/>
                <w:szCs w:val="20"/>
                <w:lang w:val="sq-AL"/>
              </w:rPr>
            </w:pPr>
          </w:p>
          <w:p w14:paraId="1BADCB98"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Raportet e bashkive/ institucioneve lokale</w:t>
            </w:r>
          </w:p>
          <w:p w14:paraId="1BADCB99" w14:textId="77777777" w:rsidR="003360ED" w:rsidRPr="00551729" w:rsidRDefault="003360ED" w:rsidP="003360ED">
            <w:pPr>
              <w:pStyle w:val="TableParagraph"/>
              <w:rPr>
                <w:rFonts w:ascii="Garamond" w:hAnsi="Garamond"/>
                <w:sz w:val="20"/>
                <w:szCs w:val="20"/>
                <w:lang w:val="sq-AL"/>
              </w:rPr>
            </w:pPr>
          </w:p>
          <w:p w14:paraId="1BADCB9A" w14:textId="77777777" w:rsidR="003360ED" w:rsidRPr="00551729" w:rsidRDefault="003360ED" w:rsidP="003360ED">
            <w:pPr>
              <w:pStyle w:val="TableParagraph"/>
              <w:rPr>
                <w:rFonts w:ascii="Garamond" w:hAnsi="Garamond"/>
                <w:sz w:val="20"/>
                <w:szCs w:val="20"/>
                <w:lang w:val="sq-AL"/>
              </w:rPr>
            </w:pPr>
          </w:p>
          <w:p w14:paraId="1BADCB9B"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Raportet e monitorimit / projektit</w:t>
            </w:r>
          </w:p>
        </w:tc>
        <w:tc>
          <w:tcPr>
            <w:tcW w:w="2531" w:type="dxa"/>
            <w:tcBorders>
              <w:top w:val="single" w:sz="49" w:space="0" w:color="DBE4F0"/>
            </w:tcBorders>
          </w:tcPr>
          <w:p w14:paraId="1BADCB9C" w14:textId="77777777" w:rsidR="003360ED" w:rsidRPr="00551729" w:rsidRDefault="003360ED" w:rsidP="007D1FAB">
            <w:pPr>
              <w:pStyle w:val="TableParagraph"/>
              <w:numPr>
                <w:ilvl w:val="0"/>
                <w:numId w:val="4"/>
              </w:numPr>
              <w:tabs>
                <w:tab w:val="left" w:pos="161"/>
              </w:tabs>
              <w:ind w:left="0" w:firstLine="0"/>
              <w:rPr>
                <w:rFonts w:ascii="Garamond" w:hAnsi="Garamond"/>
                <w:sz w:val="20"/>
                <w:szCs w:val="20"/>
                <w:lang w:val="sq-AL"/>
              </w:rPr>
            </w:pPr>
            <w:r w:rsidRPr="00551729">
              <w:rPr>
                <w:rFonts w:ascii="Garamond" w:hAnsi="Garamond"/>
                <w:sz w:val="20"/>
                <w:szCs w:val="20"/>
                <w:lang w:val="sq-AL"/>
              </w:rPr>
              <w:t>Aktivitete të</w:t>
            </w:r>
            <w:r w:rsidRPr="00551729">
              <w:rPr>
                <w:rFonts w:ascii="Garamond" w:hAnsi="Garamond"/>
                <w:spacing w:val="-12"/>
                <w:sz w:val="20"/>
                <w:szCs w:val="20"/>
                <w:lang w:val="sq-AL"/>
              </w:rPr>
              <w:t xml:space="preserve"> </w:t>
            </w:r>
            <w:r w:rsidRPr="00551729">
              <w:rPr>
                <w:rFonts w:ascii="Garamond" w:hAnsi="Garamond"/>
                <w:sz w:val="20"/>
                <w:szCs w:val="20"/>
                <w:lang w:val="sq-AL"/>
              </w:rPr>
              <w:t>projektuara</w:t>
            </w:r>
          </w:p>
          <w:p w14:paraId="1BADCB9D"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për të trajtuar së bashku mbrojtjen dhe promovimin e mjedisit në zonën e programit</w:t>
            </w:r>
          </w:p>
          <w:p w14:paraId="1BADCB9E" w14:textId="77777777" w:rsidR="003360ED" w:rsidRPr="00551729" w:rsidRDefault="003360ED" w:rsidP="007D1FAB">
            <w:pPr>
              <w:pStyle w:val="TableParagraph"/>
              <w:numPr>
                <w:ilvl w:val="0"/>
                <w:numId w:val="4"/>
              </w:numPr>
              <w:tabs>
                <w:tab w:val="left" w:pos="161"/>
              </w:tabs>
              <w:ind w:left="0" w:firstLine="0"/>
              <w:rPr>
                <w:rFonts w:ascii="Garamond" w:hAnsi="Garamond"/>
                <w:sz w:val="20"/>
                <w:szCs w:val="20"/>
                <w:lang w:val="sq-AL"/>
              </w:rPr>
            </w:pPr>
            <w:r w:rsidRPr="00551729">
              <w:rPr>
                <w:rFonts w:ascii="Garamond" w:hAnsi="Garamond"/>
                <w:sz w:val="20"/>
                <w:szCs w:val="20"/>
                <w:lang w:val="sq-AL"/>
              </w:rPr>
              <w:t>Mbështetje për mbrojtjen dhe menaxhimin e integruar të ekosistemeve të ndjeshme duke i dhënë përparësi zonave të mbrojtura dhe mbrojtjes</w:t>
            </w:r>
            <w:r w:rsidRPr="00551729">
              <w:rPr>
                <w:rFonts w:ascii="Garamond" w:hAnsi="Garamond"/>
                <w:spacing w:val="-14"/>
                <w:sz w:val="20"/>
                <w:szCs w:val="20"/>
                <w:lang w:val="sq-AL"/>
              </w:rPr>
              <w:t xml:space="preserve"> </w:t>
            </w:r>
            <w:r w:rsidRPr="00551729">
              <w:rPr>
                <w:rFonts w:ascii="Garamond" w:hAnsi="Garamond"/>
                <w:sz w:val="20"/>
                <w:szCs w:val="20"/>
                <w:lang w:val="sq-AL"/>
              </w:rPr>
              <w:t>së zonës së</w:t>
            </w:r>
            <w:r w:rsidRPr="00551729">
              <w:rPr>
                <w:rFonts w:ascii="Garamond" w:hAnsi="Garamond"/>
                <w:spacing w:val="-8"/>
                <w:sz w:val="20"/>
                <w:szCs w:val="20"/>
                <w:lang w:val="sq-AL"/>
              </w:rPr>
              <w:t xml:space="preserve"> </w:t>
            </w:r>
            <w:r w:rsidRPr="00551729">
              <w:rPr>
                <w:rFonts w:ascii="Garamond" w:hAnsi="Garamond"/>
                <w:sz w:val="20"/>
                <w:szCs w:val="20"/>
                <w:lang w:val="sq-AL"/>
              </w:rPr>
              <w:t>programit</w:t>
            </w:r>
          </w:p>
          <w:p w14:paraId="1BADCB9F" w14:textId="77777777" w:rsidR="003360ED" w:rsidRPr="00551729" w:rsidRDefault="003360ED" w:rsidP="007D1FAB">
            <w:pPr>
              <w:pStyle w:val="TableParagraph"/>
              <w:numPr>
                <w:ilvl w:val="0"/>
                <w:numId w:val="4"/>
              </w:numPr>
              <w:tabs>
                <w:tab w:val="left" w:pos="161"/>
              </w:tabs>
              <w:ind w:left="0" w:firstLine="0"/>
              <w:rPr>
                <w:rFonts w:ascii="Garamond" w:hAnsi="Garamond"/>
                <w:sz w:val="20"/>
                <w:szCs w:val="20"/>
                <w:lang w:val="sq-AL"/>
              </w:rPr>
            </w:pPr>
            <w:r w:rsidRPr="00551729">
              <w:rPr>
                <w:rFonts w:ascii="Garamond" w:hAnsi="Garamond"/>
                <w:sz w:val="20"/>
                <w:szCs w:val="20"/>
                <w:lang w:val="sq-AL"/>
              </w:rPr>
              <w:t>Aktivitete të projektuara për të inkurajuar</w:t>
            </w:r>
            <w:r w:rsidRPr="00551729">
              <w:rPr>
                <w:rFonts w:ascii="Garamond" w:hAnsi="Garamond"/>
                <w:spacing w:val="-11"/>
                <w:sz w:val="20"/>
                <w:szCs w:val="20"/>
                <w:lang w:val="sq-AL"/>
              </w:rPr>
              <w:t xml:space="preserve"> </w:t>
            </w:r>
            <w:r w:rsidRPr="00551729">
              <w:rPr>
                <w:rFonts w:ascii="Garamond" w:hAnsi="Garamond"/>
                <w:sz w:val="20"/>
                <w:szCs w:val="20"/>
                <w:lang w:val="sq-AL"/>
              </w:rPr>
              <w:t>aktivitetet ekonomike ekologjikisht miqësore në zonën e programit</w:t>
            </w:r>
          </w:p>
          <w:p w14:paraId="1BADCBA0" w14:textId="77777777" w:rsidR="003360ED" w:rsidRPr="00551729" w:rsidRDefault="003360ED" w:rsidP="007D1FAB">
            <w:pPr>
              <w:pStyle w:val="TableParagraph"/>
              <w:numPr>
                <w:ilvl w:val="0"/>
                <w:numId w:val="4"/>
              </w:numPr>
              <w:tabs>
                <w:tab w:val="left" w:pos="161"/>
              </w:tabs>
              <w:ind w:left="0" w:firstLine="0"/>
              <w:rPr>
                <w:rFonts w:ascii="Garamond" w:hAnsi="Garamond"/>
                <w:sz w:val="20"/>
                <w:szCs w:val="20"/>
                <w:lang w:val="sq-AL"/>
              </w:rPr>
            </w:pPr>
            <w:r w:rsidRPr="00551729">
              <w:rPr>
                <w:rFonts w:ascii="Garamond" w:hAnsi="Garamond"/>
                <w:sz w:val="20"/>
                <w:szCs w:val="20"/>
                <w:lang w:val="sq-AL"/>
              </w:rPr>
              <w:t>Aktivitete të projektuara për të parandaluar dhe</w:t>
            </w:r>
            <w:r w:rsidRPr="00551729">
              <w:rPr>
                <w:rFonts w:ascii="Garamond" w:hAnsi="Garamond"/>
                <w:spacing w:val="-8"/>
                <w:sz w:val="20"/>
                <w:szCs w:val="20"/>
                <w:lang w:val="sq-AL"/>
              </w:rPr>
              <w:t xml:space="preserve"> </w:t>
            </w:r>
            <w:r w:rsidRPr="00551729">
              <w:rPr>
                <w:rFonts w:ascii="Garamond" w:hAnsi="Garamond"/>
                <w:sz w:val="20"/>
                <w:szCs w:val="20"/>
                <w:lang w:val="sq-AL"/>
              </w:rPr>
              <w:t>për të menaxhuar fatkeqësitë natyrore dhe rreziqet mjedisore të bëra nga njeriu, të cilat ndikojnë në zonën e</w:t>
            </w:r>
            <w:r w:rsidRPr="00551729">
              <w:rPr>
                <w:rFonts w:ascii="Garamond" w:hAnsi="Garamond"/>
                <w:spacing w:val="-7"/>
                <w:sz w:val="20"/>
                <w:szCs w:val="20"/>
                <w:lang w:val="sq-AL"/>
              </w:rPr>
              <w:t xml:space="preserve"> </w:t>
            </w:r>
            <w:r w:rsidRPr="00551729">
              <w:rPr>
                <w:rFonts w:ascii="Garamond" w:hAnsi="Garamond"/>
                <w:sz w:val="20"/>
                <w:szCs w:val="20"/>
                <w:lang w:val="sq-AL"/>
              </w:rPr>
              <w:t>programit</w:t>
            </w:r>
          </w:p>
          <w:p w14:paraId="1BADCBA1" w14:textId="77777777" w:rsidR="003360ED" w:rsidRPr="00551729" w:rsidRDefault="003360ED" w:rsidP="007D1FAB">
            <w:pPr>
              <w:pStyle w:val="TableParagraph"/>
              <w:numPr>
                <w:ilvl w:val="0"/>
                <w:numId w:val="4"/>
              </w:numPr>
              <w:tabs>
                <w:tab w:val="left" w:pos="161"/>
              </w:tabs>
              <w:ind w:left="0" w:firstLine="0"/>
              <w:rPr>
                <w:rFonts w:ascii="Garamond" w:hAnsi="Garamond"/>
                <w:sz w:val="20"/>
                <w:szCs w:val="20"/>
                <w:lang w:val="sq-AL"/>
              </w:rPr>
            </w:pPr>
            <w:r w:rsidRPr="00551729">
              <w:rPr>
                <w:rFonts w:ascii="Garamond" w:hAnsi="Garamond"/>
                <w:sz w:val="20"/>
                <w:szCs w:val="20"/>
                <w:lang w:val="sq-AL"/>
              </w:rPr>
              <w:t>Mbështetje</w:t>
            </w:r>
            <w:r w:rsidRPr="00551729">
              <w:rPr>
                <w:rFonts w:ascii="Garamond" w:hAnsi="Garamond"/>
                <w:spacing w:val="-6"/>
                <w:sz w:val="20"/>
                <w:szCs w:val="20"/>
                <w:lang w:val="sq-AL"/>
              </w:rPr>
              <w:t xml:space="preserve"> </w:t>
            </w:r>
            <w:r w:rsidRPr="00551729">
              <w:rPr>
                <w:rFonts w:ascii="Garamond" w:hAnsi="Garamond"/>
                <w:sz w:val="20"/>
                <w:szCs w:val="20"/>
                <w:lang w:val="sq-AL"/>
              </w:rPr>
              <w:t>për</w:t>
            </w:r>
          </w:p>
        </w:tc>
      </w:tr>
      <w:tr w:rsidR="003360ED" w:rsidRPr="00551729" w14:paraId="1BADCBA4" w14:textId="77777777" w:rsidTr="003360ED">
        <w:trPr>
          <w:trHeight w:hRule="exact" w:val="168"/>
        </w:trPr>
        <w:tc>
          <w:tcPr>
            <w:tcW w:w="9583" w:type="dxa"/>
            <w:gridSpan w:val="5"/>
            <w:tcBorders>
              <w:left w:val="nil"/>
              <w:bottom w:val="nil"/>
              <w:right w:val="nil"/>
            </w:tcBorders>
          </w:tcPr>
          <w:p w14:paraId="1BADCBA3" w14:textId="77777777" w:rsidR="003360ED" w:rsidRPr="00551729" w:rsidRDefault="003360ED" w:rsidP="003360ED">
            <w:pPr>
              <w:spacing w:after="0" w:line="240" w:lineRule="auto"/>
              <w:rPr>
                <w:rFonts w:ascii="Garamond" w:hAnsi="Garamond"/>
                <w:sz w:val="20"/>
                <w:szCs w:val="20"/>
              </w:rPr>
            </w:pPr>
          </w:p>
        </w:tc>
      </w:tr>
      <w:tr w:rsidR="003360ED" w:rsidRPr="00551729" w14:paraId="1BADCBAA" w14:textId="77777777" w:rsidTr="003360ED">
        <w:trPr>
          <w:trHeight w:hRule="exact" w:val="1278"/>
        </w:trPr>
        <w:tc>
          <w:tcPr>
            <w:tcW w:w="1368" w:type="dxa"/>
          </w:tcPr>
          <w:p w14:paraId="1BADCBA5" w14:textId="77777777" w:rsidR="003360ED" w:rsidRPr="00551729" w:rsidRDefault="003360ED" w:rsidP="003360ED">
            <w:pPr>
              <w:spacing w:after="0" w:line="240" w:lineRule="auto"/>
              <w:rPr>
                <w:rFonts w:ascii="Garamond" w:hAnsi="Garamond"/>
                <w:sz w:val="20"/>
                <w:szCs w:val="20"/>
              </w:rPr>
            </w:pPr>
          </w:p>
        </w:tc>
        <w:tc>
          <w:tcPr>
            <w:tcW w:w="1532" w:type="dxa"/>
          </w:tcPr>
          <w:p w14:paraId="1BADCBA6" w14:textId="77777777" w:rsidR="003360ED" w:rsidRPr="00551729" w:rsidRDefault="003360ED" w:rsidP="003360ED">
            <w:pPr>
              <w:spacing w:after="0" w:line="240" w:lineRule="auto"/>
              <w:rPr>
                <w:rFonts w:ascii="Garamond" w:hAnsi="Garamond"/>
                <w:sz w:val="20"/>
                <w:szCs w:val="20"/>
              </w:rPr>
            </w:pPr>
          </w:p>
        </w:tc>
        <w:tc>
          <w:tcPr>
            <w:tcW w:w="2148" w:type="dxa"/>
          </w:tcPr>
          <w:p w14:paraId="1BADCBA7"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harmonizuar mbi edukimin mjedisor dhe / ose një program ekstra- kurrikular, i futur në arsimin e mesëm në të dyja anët e kufirit</w:t>
            </w:r>
          </w:p>
        </w:tc>
        <w:tc>
          <w:tcPr>
            <w:tcW w:w="2002" w:type="dxa"/>
            <w:shd w:val="clear" w:color="auto" w:fill="FFFFFF" w:themeFill="background1"/>
          </w:tcPr>
          <w:p w14:paraId="1BADCBA8" w14:textId="77777777" w:rsidR="003360ED" w:rsidRPr="00551729" w:rsidRDefault="003360ED" w:rsidP="003360ED">
            <w:pPr>
              <w:spacing w:after="0" w:line="240" w:lineRule="auto"/>
              <w:rPr>
                <w:rFonts w:ascii="Garamond" w:hAnsi="Garamond"/>
                <w:sz w:val="20"/>
                <w:szCs w:val="20"/>
              </w:rPr>
            </w:pPr>
          </w:p>
        </w:tc>
        <w:tc>
          <w:tcPr>
            <w:tcW w:w="2528" w:type="dxa"/>
          </w:tcPr>
          <w:p w14:paraId="1BADCBA9" w14:textId="77777777" w:rsidR="003360ED" w:rsidRPr="00551729" w:rsidRDefault="003360ED" w:rsidP="003360ED">
            <w:pPr>
              <w:pStyle w:val="TableParagraph"/>
              <w:rPr>
                <w:rFonts w:ascii="Garamond" w:hAnsi="Garamond"/>
                <w:sz w:val="20"/>
                <w:szCs w:val="20"/>
                <w:lang w:val="sq-AL"/>
              </w:rPr>
            </w:pPr>
            <w:r w:rsidRPr="00551729">
              <w:rPr>
                <w:rFonts w:ascii="Garamond" w:hAnsi="Garamond"/>
                <w:sz w:val="20"/>
                <w:szCs w:val="20"/>
                <w:lang w:val="sq-AL"/>
              </w:rPr>
              <w:t>ndërgjegjësimin e popullsisë lidhur me rëndësinë, mbrojtjen dhe promovimin e burimeve mjedisore të zonës së programit</w:t>
            </w:r>
          </w:p>
        </w:tc>
      </w:tr>
    </w:tbl>
    <w:p w14:paraId="1BADCBAC" w14:textId="77777777" w:rsidR="003360ED" w:rsidRPr="00551729" w:rsidRDefault="003360ED" w:rsidP="007D1FAB">
      <w:pPr>
        <w:pStyle w:val="ListParagraph"/>
        <w:widowControl w:val="0"/>
        <w:numPr>
          <w:ilvl w:val="0"/>
          <w:numId w:val="11"/>
        </w:numPr>
        <w:tabs>
          <w:tab w:val="left" w:pos="346"/>
        </w:tabs>
        <w:spacing w:after="0" w:line="240" w:lineRule="auto"/>
        <w:ind w:left="0" w:firstLine="284"/>
        <w:contextualSpacing w:val="0"/>
        <w:rPr>
          <w:rFonts w:ascii="Garamond" w:hAnsi="Garamond"/>
          <w:sz w:val="24"/>
          <w:szCs w:val="24"/>
        </w:rPr>
      </w:pPr>
      <w:r w:rsidRPr="00551729">
        <w:rPr>
          <w:rFonts w:ascii="Garamond" w:hAnsi="Garamond"/>
          <w:sz w:val="24"/>
          <w:szCs w:val="24"/>
        </w:rPr>
        <w:t>Bazuar në aktivitetet mbështetëse të programit deri në</w:t>
      </w:r>
      <w:r w:rsidRPr="00551729">
        <w:rPr>
          <w:rFonts w:ascii="Garamond" w:hAnsi="Garamond"/>
          <w:spacing w:val="-28"/>
          <w:sz w:val="24"/>
          <w:szCs w:val="24"/>
        </w:rPr>
        <w:t xml:space="preserve"> </w:t>
      </w:r>
      <w:r w:rsidRPr="00551729">
        <w:rPr>
          <w:rFonts w:ascii="Garamond" w:hAnsi="Garamond"/>
          <w:sz w:val="24"/>
          <w:szCs w:val="24"/>
        </w:rPr>
        <w:t>2022.</w:t>
      </w:r>
    </w:p>
    <w:p w14:paraId="1BADCBAD" w14:textId="77777777" w:rsidR="003360ED" w:rsidRPr="00551729" w:rsidRDefault="003360ED" w:rsidP="003360ED">
      <w:pPr>
        <w:pStyle w:val="BodyText"/>
        <w:ind w:firstLine="284"/>
        <w:rPr>
          <w:rFonts w:ascii="Garamond" w:hAnsi="Garamond"/>
          <w:sz w:val="24"/>
          <w:szCs w:val="24"/>
          <w:lang w:val="sq-AL"/>
        </w:rPr>
      </w:pPr>
    </w:p>
    <w:p w14:paraId="1BADCBAE" w14:textId="77777777" w:rsidR="003360ED" w:rsidRDefault="003360ED" w:rsidP="003360ED">
      <w:pPr>
        <w:pStyle w:val="BodyText"/>
        <w:ind w:firstLine="284"/>
        <w:rPr>
          <w:rFonts w:ascii="Garamond" w:hAnsi="Garamond"/>
          <w:sz w:val="24"/>
          <w:szCs w:val="24"/>
          <w:lang w:val="sq-AL"/>
        </w:rPr>
      </w:pPr>
    </w:p>
    <w:p w14:paraId="410A0F74" w14:textId="77777777" w:rsidR="00FD35BF" w:rsidRDefault="00FD35BF" w:rsidP="003360ED">
      <w:pPr>
        <w:pStyle w:val="BodyText"/>
        <w:ind w:firstLine="284"/>
        <w:rPr>
          <w:rFonts w:ascii="Garamond" w:hAnsi="Garamond"/>
          <w:sz w:val="24"/>
          <w:szCs w:val="24"/>
          <w:lang w:val="sq-AL"/>
        </w:rPr>
      </w:pPr>
    </w:p>
    <w:p w14:paraId="39FFBA25" w14:textId="77777777" w:rsidR="00FD35BF" w:rsidRDefault="00FD35BF" w:rsidP="003360ED">
      <w:pPr>
        <w:pStyle w:val="BodyText"/>
        <w:ind w:firstLine="284"/>
        <w:rPr>
          <w:rFonts w:ascii="Garamond" w:hAnsi="Garamond"/>
          <w:sz w:val="24"/>
          <w:szCs w:val="24"/>
          <w:lang w:val="sq-AL"/>
        </w:rPr>
      </w:pPr>
    </w:p>
    <w:p w14:paraId="2294F197" w14:textId="77777777" w:rsidR="00FD35BF" w:rsidRDefault="00FD35BF" w:rsidP="003360ED">
      <w:pPr>
        <w:pStyle w:val="BodyText"/>
        <w:ind w:firstLine="284"/>
        <w:rPr>
          <w:rFonts w:ascii="Garamond" w:hAnsi="Garamond"/>
          <w:sz w:val="24"/>
          <w:szCs w:val="24"/>
          <w:lang w:val="sq-AL"/>
        </w:rPr>
      </w:pPr>
    </w:p>
    <w:p w14:paraId="4704E0A8" w14:textId="77777777" w:rsidR="00FD35BF" w:rsidRDefault="00FD35BF" w:rsidP="003360ED">
      <w:pPr>
        <w:pStyle w:val="BodyText"/>
        <w:ind w:firstLine="284"/>
        <w:rPr>
          <w:rFonts w:ascii="Garamond" w:hAnsi="Garamond"/>
          <w:sz w:val="24"/>
          <w:szCs w:val="24"/>
          <w:lang w:val="sq-AL"/>
        </w:rPr>
      </w:pPr>
    </w:p>
    <w:p w14:paraId="212B6CB8" w14:textId="77777777" w:rsidR="00FD35BF" w:rsidRDefault="00FD35BF" w:rsidP="003360ED">
      <w:pPr>
        <w:pStyle w:val="BodyText"/>
        <w:ind w:firstLine="284"/>
        <w:rPr>
          <w:rFonts w:ascii="Garamond" w:hAnsi="Garamond"/>
          <w:sz w:val="24"/>
          <w:szCs w:val="24"/>
          <w:lang w:val="sq-AL"/>
        </w:rPr>
      </w:pPr>
    </w:p>
    <w:p w14:paraId="19F68099" w14:textId="77777777" w:rsidR="00FD35BF" w:rsidRDefault="00FD35BF" w:rsidP="003360ED">
      <w:pPr>
        <w:pStyle w:val="BodyText"/>
        <w:ind w:firstLine="284"/>
        <w:rPr>
          <w:rFonts w:ascii="Garamond" w:hAnsi="Garamond"/>
          <w:sz w:val="24"/>
          <w:szCs w:val="24"/>
          <w:lang w:val="sq-AL"/>
        </w:rPr>
      </w:pPr>
    </w:p>
    <w:p w14:paraId="20B03870" w14:textId="77777777" w:rsidR="00FD35BF" w:rsidRDefault="00FD35BF" w:rsidP="003360ED">
      <w:pPr>
        <w:pStyle w:val="BodyText"/>
        <w:ind w:firstLine="284"/>
        <w:rPr>
          <w:rFonts w:ascii="Garamond" w:hAnsi="Garamond"/>
          <w:sz w:val="24"/>
          <w:szCs w:val="24"/>
          <w:lang w:val="sq-AL"/>
        </w:rPr>
      </w:pPr>
    </w:p>
    <w:p w14:paraId="2371E5C6" w14:textId="77777777" w:rsidR="00FD35BF" w:rsidRDefault="00FD35BF" w:rsidP="003360ED">
      <w:pPr>
        <w:pStyle w:val="BodyText"/>
        <w:ind w:firstLine="284"/>
        <w:rPr>
          <w:rFonts w:ascii="Garamond" w:hAnsi="Garamond"/>
          <w:sz w:val="24"/>
          <w:szCs w:val="24"/>
          <w:lang w:val="sq-AL"/>
        </w:rPr>
      </w:pPr>
    </w:p>
    <w:p w14:paraId="6388A289" w14:textId="77777777" w:rsidR="00FD35BF" w:rsidRDefault="00FD35BF" w:rsidP="003360ED">
      <w:pPr>
        <w:pStyle w:val="BodyText"/>
        <w:ind w:firstLine="284"/>
        <w:rPr>
          <w:rFonts w:ascii="Garamond" w:hAnsi="Garamond"/>
          <w:sz w:val="24"/>
          <w:szCs w:val="24"/>
          <w:lang w:val="sq-AL"/>
        </w:rPr>
      </w:pPr>
    </w:p>
    <w:p w14:paraId="0BD05829" w14:textId="77777777" w:rsidR="00FD35BF" w:rsidRDefault="00FD35BF" w:rsidP="003360ED">
      <w:pPr>
        <w:pStyle w:val="BodyText"/>
        <w:ind w:firstLine="284"/>
        <w:rPr>
          <w:rFonts w:ascii="Garamond" w:hAnsi="Garamond"/>
          <w:sz w:val="24"/>
          <w:szCs w:val="24"/>
          <w:lang w:val="sq-AL"/>
        </w:rPr>
      </w:pPr>
    </w:p>
    <w:p w14:paraId="52D2D012" w14:textId="77777777" w:rsidR="00FD35BF" w:rsidRDefault="00FD35BF" w:rsidP="003360ED">
      <w:pPr>
        <w:pStyle w:val="BodyText"/>
        <w:ind w:firstLine="284"/>
        <w:rPr>
          <w:rFonts w:ascii="Garamond" w:hAnsi="Garamond"/>
          <w:sz w:val="24"/>
          <w:szCs w:val="24"/>
          <w:lang w:val="sq-AL"/>
        </w:rPr>
      </w:pPr>
    </w:p>
    <w:p w14:paraId="7C851EB3" w14:textId="77777777" w:rsidR="00FD35BF" w:rsidRDefault="00FD35BF" w:rsidP="003360ED">
      <w:pPr>
        <w:pStyle w:val="BodyText"/>
        <w:ind w:firstLine="284"/>
        <w:rPr>
          <w:rFonts w:ascii="Garamond" w:hAnsi="Garamond"/>
          <w:sz w:val="24"/>
          <w:szCs w:val="24"/>
          <w:lang w:val="sq-AL"/>
        </w:rPr>
      </w:pPr>
    </w:p>
    <w:p w14:paraId="19F7A2E7" w14:textId="77777777" w:rsidR="00FD35BF" w:rsidRDefault="00FD35BF" w:rsidP="003360ED">
      <w:pPr>
        <w:pStyle w:val="BodyText"/>
        <w:ind w:firstLine="284"/>
        <w:rPr>
          <w:rFonts w:ascii="Garamond" w:hAnsi="Garamond"/>
          <w:sz w:val="24"/>
          <w:szCs w:val="24"/>
          <w:lang w:val="sq-AL"/>
        </w:rPr>
      </w:pPr>
    </w:p>
    <w:p w14:paraId="4C3144B8" w14:textId="77777777" w:rsidR="00FD35BF" w:rsidRDefault="00FD35BF" w:rsidP="003360ED">
      <w:pPr>
        <w:pStyle w:val="BodyText"/>
        <w:ind w:firstLine="284"/>
        <w:rPr>
          <w:rFonts w:ascii="Garamond" w:hAnsi="Garamond"/>
          <w:sz w:val="24"/>
          <w:szCs w:val="24"/>
          <w:lang w:val="sq-AL"/>
        </w:rPr>
      </w:pPr>
    </w:p>
    <w:p w14:paraId="192627A7" w14:textId="77777777" w:rsidR="00FD35BF" w:rsidRPr="00551729" w:rsidRDefault="00FD35BF" w:rsidP="003360ED">
      <w:pPr>
        <w:pStyle w:val="BodyText"/>
        <w:ind w:firstLine="284"/>
        <w:rPr>
          <w:rFonts w:ascii="Garamond" w:hAnsi="Garamond"/>
          <w:sz w:val="24"/>
          <w:szCs w:val="24"/>
          <w:lang w:val="sq-AL"/>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1414"/>
        <w:gridCol w:w="1892"/>
        <w:gridCol w:w="1979"/>
        <w:gridCol w:w="2719"/>
      </w:tblGrid>
      <w:tr w:rsidR="003360ED" w:rsidRPr="00551729" w14:paraId="1BADCBB0" w14:textId="77777777" w:rsidTr="00B628D7">
        <w:trPr>
          <w:trHeight w:hRule="exact" w:val="824"/>
        </w:trPr>
        <w:tc>
          <w:tcPr>
            <w:tcW w:w="9578" w:type="dxa"/>
            <w:gridSpan w:val="5"/>
            <w:tcBorders>
              <w:bottom w:val="single" w:sz="49" w:space="0" w:color="DBE4F0"/>
            </w:tcBorders>
            <w:shd w:val="clear" w:color="auto" w:fill="C5D9F0"/>
          </w:tcPr>
          <w:p w14:paraId="1BADCBAF"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PRIORITETI 3 – NXITJA E PUNËSIMIT, LËVIZJES GJEOGRAFIKE TË PUNONJËSVE, DHE PËRFSHIRJES SOCIALE</w:t>
            </w:r>
          </w:p>
        </w:tc>
      </w:tr>
      <w:tr w:rsidR="003360ED" w:rsidRPr="00551729" w14:paraId="1BADCBB6" w14:textId="77777777" w:rsidTr="003360ED">
        <w:trPr>
          <w:trHeight w:hRule="exact" w:val="624"/>
        </w:trPr>
        <w:tc>
          <w:tcPr>
            <w:tcW w:w="1574" w:type="dxa"/>
            <w:shd w:val="clear" w:color="auto" w:fill="DBE4F0"/>
          </w:tcPr>
          <w:p w14:paraId="1BADCBB1"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w w:val="95"/>
                <w:sz w:val="20"/>
                <w:szCs w:val="24"/>
                <w:lang w:val="sq-AL"/>
              </w:rPr>
              <w:t xml:space="preserve">Objektivi </w:t>
            </w:r>
            <w:r w:rsidRPr="00551729">
              <w:rPr>
                <w:rFonts w:ascii="Garamond" w:hAnsi="Garamond"/>
                <w:b/>
                <w:sz w:val="20"/>
                <w:szCs w:val="24"/>
                <w:lang w:val="sq-AL"/>
              </w:rPr>
              <w:t>specifik</w:t>
            </w:r>
          </w:p>
        </w:tc>
        <w:tc>
          <w:tcPr>
            <w:tcW w:w="1414" w:type="dxa"/>
            <w:shd w:val="clear" w:color="auto" w:fill="DBE4F0"/>
          </w:tcPr>
          <w:p w14:paraId="1BADCBB2"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Rezultatet</w:t>
            </w:r>
          </w:p>
        </w:tc>
        <w:tc>
          <w:tcPr>
            <w:tcW w:w="1892" w:type="dxa"/>
            <w:shd w:val="clear" w:color="auto" w:fill="DBE4F0"/>
          </w:tcPr>
          <w:p w14:paraId="1BADCBB3"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Treguesit</w:t>
            </w:r>
            <w:r w:rsidRPr="00551729">
              <w:rPr>
                <w:rFonts w:ascii="Garamond" w:hAnsi="Garamond"/>
                <w:b/>
                <w:position w:val="6"/>
                <w:sz w:val="20"/>
                <w:szCs w:val="24"/>
                <w:lang w:val="sq-AL"/>
              </w:rPr>
              <w:t>*</w:t>
            </w:r>
          </w:p>
        </w:tc>
        <w:tc>
          <w:tcPr>
            <w:tcW w:w="1979" w:type="dxa"/>
            <w:tcBorders>
              <w:left w:val="thickThinMediumGap" w:sz="23" w:space="0" w:color="DBE4F0"/>
              <w:right w:val="single" w:sz="41" w:space="0" w:color="DBE4F0"/>
            </w:tcBorders>
            <w:shd w:val="clear" w:color="auto" w:fill="FFFFFF" w:themeFill="background1"/>
          </w:tcPr>
          <w:p w14:paraId="1BADCBB4"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Burimet e verifikimit</w:t>
            </w:r>
          </w:p>
        </w:tc>
        <w:tc>
          <w:tcPr>
            <w:tcW w:w="2719" w:type="dxa"/>
            <w:shd w:val="clear" w:color="auto" w:fill="DBE4F0"/>
          </w:tcPr>
          <w:p w14:paraId="1BADCBB5"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Llojet e aktiviteteve</w:t>
            </w:r>
          </w:p>
        </w:tc>
      </w:tr>
      <w:tr w:rsidR="003360ED" w:rsidRPr="00551729" w14:paraId="1BADCBE1" w14:textId="77777777" w:rsidTr="003360ED">
        <w:trPr>
          <w:trHeight w:hRule="exact" w:val="5512"/>
        </w:trPr>
        <w:tc>
          <w:tcPr>
            <w:tcW w:w="1574" w:type="dxa"/>
          </w:tcPr>
          <w:p w14:paraId="1BADCBB7" w14:textId="77777777" w:rsidR="003360ED" w:rsidRPr="00551729" w:rsidRDefault="003360ED" w:rsidP="003360ED">
            <w:pPr>
              <w:pStyle w:val="TableParagraph"/>
              <w:rPr>
                <w:rFonts w:ascii="Garamond" w:hAnsi="Garamond"/>
                <w:sz w:val="20"/>
                <w:szCs w:val="24"/>
                <w:lang w:val="sq-AL"/>
              </w:rPr>
            </w:pPr>
          </w:p>
          <w:p w14:paraId="1BADCBB8" w14:textId="77777777" w:rsidR="003360ED" w:rsidRPr="00551729" w:rsidRDefault="003360ED" w:rsidP="003360ED">
            <w:pPr>
              <w:pStyle w:val="TableParagraph"/>
              <w:rPr>
                <w:rFonts w:ascii="Garamond" w:hAnsi="Garamond"/>
                <w:sz w:val="20"/>
                <w:szCs w:val="24"/>
                <w:lang w:val="sq-AL"/>
              </w:rPr>
            </w:pPr>
          </w:p>
          <w:p w14:paraId="1BADCBB9" w14:textId="77777777" w:rsidR="003360ED" w:rsidRPr="00551729" w:rsidRDefault="003360ED" w:rsidP="003360ED">
            <w:pPr>
              <w:pStyle w:val="TableParagraph"/>
              <w:rPr>
                <w:rFonts w:ascii="Garamond" w:hAnsi="Garamond"/>
                <w:sz w:val="20"/>
                <w:szCs w:val="24"/>
                <w:lang w:val="sq-AL"/>
              </w:rPr>
            </w:pPr>
          </w:p>
          <w:p w14:paraId="1BADCBBA" w14:textId="77777777" w:rsidR="003360ED" w:rsidRPr="00551729" w:rsidRDefault="003360ED" w:rsidP="003360ED">
            <w:pPr>
              <w:pStyle w:val="TableParagraph"/>
              <w:rPr>
                <w:rFonts w:ascii="Garamond" w:hAnsi="Garamond"/>
                <w:sz w:val="20"/>
                <w:szCs w:val="24"/>
                <w:lang w:val="sq-AL"/>
              </w:rPr>
            </w:pPr>
          </w:p>
          <w:p w14:paraId="1BADCBBB" w14:textId="77777777" w:rsidR="003360ED" w:rsidRPr="00551729" w:rsidRDefault="003360ED" w:rsidP="003360ED">
            <w:pPr>
              <w:pStyle w:val="TableParagraph"/>
              <w:rPr>
                <w:rFonts w:ascii="Garamond" w:hAnsi="Garamond"/>
                <w:sz w:val="20"/>
                <w:szCs w:val="24"/>
                <w:lang w:val="sq-AL"/>
              </w:rPr>
            </w:pPr>
          </w:p>
          <w:p w14:paraId="1BADCBBC" w14:textId="77777777" w:rsidR="003360ED" w:rsidRPr="00551729" w:rsidRDefault="003360ED" w:rsidP="003360ED">
            <w:pPr>
              <w:pStyle w:val="TableParagraph"/>
              <w:rPr>
                <w:rFonts w:ascii="Garamond" w:hAnsi="Garamond"/>
                <w:sz w:val="20"/>
                <w:szCs w:val="24"/>
                <w:lang w:val="sq-AL"/>
              </w:rPr>
            </w:pPr>
          </w:p>
          <w:p w14:paraId="1BADCBBD" w14:textId="77777777" w:rsidR="003360ED" w:rsidRPr="00551729" w:rsidRDefault="003360ED" w:rsidP="003360ED">
            <w:pPr>
              <w:pStyle w:val="TableParagraph"/>
              <w:rPr>
                <w:rFonts w:ascii="Garamond" w:hAnsi="Garamond"/>
                <w:sz w:val="20"/>
                <w:szCs w:val="24"/>
                <w:lang w:val="sq-AL"/>
              </w:rPr>
            </w:pPr>
          </w:p>
          <w:p w14:paraId="1BADCBBE" w14:textId="77777777" w:rsidR="003360ED" w:rsidRPr="00551729" w:rsidRDefault="003360ED" w:rsidP="003360ED">
            <w:pPr>
              <w:pStyle w:val="TableParagraph"/>
              <w:rPr>
                <w:rFonts w:ascii="Garamond" w:hAnsi="Garamond"/>
                <w:sz w:val="20"/>
                <w:szCs w:val="24"/>
                <w:lang w:val="sq-AL"/>
              </w:rPr>
            </w:pPr>
          </w:p>
          <w:p w14:paraId="1BADCBBF" w14:textId="77777777" w:rsidR="003360ED" w:rsidRPr="00551729" w:rsidRDefault="003360ED" w:rsidP="003360ED">
            <w:pPr>
              <w:pStyle w:val="TableParagraph"/>
              <w:rPr>
                <w:rFonts w:ascii="Garamond" w:hAnsi="Garamond"/>
                <w:sz w:val="20"/>
                <w:szCs w:val="24"/>
                <w:lang w:val="sq-AL"/>
              </w:rPr>
            </w:pPr>
          </w:p>
          <w:p w14:paraId="1BADCBC0" w14:textId="77777777" w:rsidR="003360ED" w:rsidRPr="00551729" w:rsidRDefault="003360ED" w:rsidP="003360ED">
            <w:pPr>
              <w:pStyle w:val="TableParagraph"/>
              <w:rPr>
                <w:rFonts w:ascii="Garamond" w:hAnsi="Garamond"/>
                <w:sz w:val="20"/>
                <w:szCs w:val="24"/>
                <w:lang w:val="sq-AL"/>
              </w:rPr>
            </w:pPr>
          </w:p>
          <w:p w14:paraId="1BADCBC1"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Objektivi Specifik 3</w:t>
            </w:r>
          </w:p>
          <w:p w14:paraId="1BADCBC2" w14:textId="77777777" w:rsidR="003360ED" w:rsidRPr="00551729" w:rsidRDefault="003360ED" w:rsidP="003360ED">
            <w:pPr>
              <w:pStyle w:val="TableParagraph"/>
              <w:rPr>
                <w:rFonts w:ascii="Garamond" w:hAnsi="Garamond"/>
                <w:sz w:val="20"/>
                <w:szCs w:val="24"/>
                <w:lang w:val="sq-AL"/>
              </w:rPr>
            </w:pPr>
          </w:p>
          <w:p w14:paraId="1BADCBC3" w14:textId="77777777" w:rsidR="003360ED" w:rsidRPr="00551729" w:rsidRDefault="003360ED" w:rsidP="003360ED">
            <w:pPr>
              <w:pStyle w:val="TableParagraph"/>
              <w:rPr>
                <w:rFonts w:ascii="Garamond" w:hAnsi="Garamond"/>
                <w:sz w:val="20"/>
                <w:szCs w:val="24"/>
                <w:lang w:val="sq-AL"/>
              </w:rPr>
            </w:pPr>
          </w:p>
          <w:p w14:paraId="1BADCBC4"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Punësimi dhe përfshirja sociale nxitet</w:t>
            </w:r>
          </w:p>
        </w:tc>
        <w:tc>
          <w:tcPr>
            <w:tcW w:w="1414" w:type="dxa"/>
            <w:tcBorders>
              <w:top w:val="single" w:sz="49" w:space="0" w:color="DBE4F0"/>
            </w:tcBorders>
          </w:tcPr>
          <w:p w14:paraId="1BADCBC5" w14:textId="77777777" w:rsidR="003360ED" w:rsidRPr="00551729" w:rsidRDefault="003360ED" w:rsidP="003360ED">
            <w:pPr>
              <w:pStyle w:val="TableParagraph"/>
              <w:rPr>
                <w:rFonts w:ascii="Garamond" w:hAnsi="Garamond"/>
                <w:sz w:val="20"/>
                <w:szCs w:val="24"/>
                <w:lang w:val="sq-AL"/>
              </w:rPr>
            </w:pPr>
          </w:p>
          <w:p w14:paraId="1BADCBC6" w14:textId="77777777" w:rsidR="003360ED" w:rsidRPr="00551729" w:rsidRDefault="003360ED" w:rsidP="003360ED">
            <w:pPr>
              <w:pStyle w:val="TableParagraph"/>
              <w:rPr>
                <w:rFonts w:ascii="Garamond" w:hAnsi="Garamond"/>
                <w:b/>
                <w:sz w:val="20"/>
                <w:szCs w:val="24"/>
                <w:lang w:val="sq-AL"/>
              </w:rPr>
            </w:pPr>
            <w:r w:rsidRPr="00551729">
              <w:rPr>
                <w:rFonts w:ascii="Garamond" w:hAnsi="Garamond"/>
                <w:b/>
                <w:sz w:val="20"/>
                <w:szCs w:val="24"/>
                <w:lang w:val="sq-AL"/>
              </w:rPr>
              <w:t>Rezultati 3.1</w:t>
            </w:r>
          </w:p>
          <w:p w14:paraId="1BADCBC7"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 xml:space="preserve">Aksesi në tregun e punës i </w:t>
            </w:r>
            <w:r w:rsidRPr="00551729">
              <w:rPr>
                <w:rFonts w:ascii="Garamond" w:hAnsi="Garamond"/>
                <w:w w:val="95"/>
                <w:sz w:val="20"/>
                <w:szCs w:val="24"/>
                <w:lang w:val="sq-AL"/>
              </w:rPr>
              <w:t xml:space="preserve">përmirësuar, </w:t>
            </w:r>
            <w:r w:rsidRPr="00551729">
              <w:rPr>
                <w:rFonts w:ascii="Garamond" w:hAnsi="Garamond"/>
                <w:sz w:val="20"/>
                <w:szCs w:val="24"/>
                <w:lang w:val="sq-AL"/>
              </w:rPr>
              <w:t>veçanërisht për grupet vulnerabël</w:t>
            </w:r>
          </w:p>
        </w:tc>
        <w:tc>
          <w:tcPr>
            <w:tcW w:w="1892" w:type="dxa"/>
            <w:tcBorders>
              <w:top w:val="single" w:sz="44" w:space="0" w:color="DBE4F0"/>
            </w:tcBorders>
          </w:tcPr>
          <w:p w14:paraId="1BADCBC8" w14:textId="77777777" w:rsidR="003360ED" w:rsidRPr="00551729" w:rsidRDefault="003360ED" w:rsidP="007D1FAB">
            <w:pPr>
              <w:pStyle w:val="TableParagraph"/>
              <w:numPr>
                <w:ilvl w:val="0"/>
                <w:numId w:val="3"/>
              </w:numPr>
              <w:tabs>
                <w:tab w:val="left" w:pos="267"/>
              </w:tabs>
              <w:ind w:left="0" w:firstLine="0"/>
              <w:rPr>
                <w:rFonts w:ascii="Garamond" w:hAnsi="Garamond"/>
                <w:sz w:val="20"/>
                <w:szCs w:val="24"/>
                <w:lang w:val="sq-AL"/>
              </w:rPr>
            </w:pPr>
            <w:r w:rsidRPr="00551729">
              <w:rPr>
                <w:rFonts w:ascii="Garamond" w:hAnsi="Garamond"/>
                <w:sz w:val="20"/>
                <w:szCs w:val="24"/>
                <w:lang w:val="sq-AL"/>
              </w:rPr>
              <w:t>3.1.1. Të paktën</w:t>
            </w:r>
            <w:r w:rsidRPr="00551729">
              <w:rPr>
                <w:rFonts w:ascii="Garamond" w:hAnsi="Garamond"/>
                <w:spacing w:val="-5"/>
                <w:sz w:val="20"/>
                <w:szCs w:val="24"/>
                <w:lang w:val="sq-AL"/>
              </w:rPr>
              <w:t xml:space="preserve"> </w:t>
            </w:r>
            <w:r w:rsidRPr="00551729">
              <w:rPr>
                <w:rFonts w:ascii="Garamond" w:hAnsi="Garamond"/>
                <w:sz w:val="20"/>
                <w:szCs w:val="24"/>
                <w:lang w:val="sq-AL"/>
              </w:rPr>
              <w:t>5</w:t>
            </w:r>
          </w:p>
          <w:p w14:paraId="1BADCBC9"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iniciativa të reja të biznesit që nxisin lëvizjen e fuqisë punëtore përtej kufirit</w:t>
            </w:r>
          </w:p>
          <w:p w14:paraId="1BADCBCA" w14:textId="77777777" w:rsidR="003360ED" w:rsidRPr="00551729" w:rsidRDefault="003360ED" w:rsidP="007D1FAB">
            <w:pPr>
              <w:pStyle w:val="TableParagraph"/>
              <w:numPr>
                <w:ilvl w:val="0"/>
                <w:numId w:val="3"/>
              </w:numPr>
              <w:tabs>
                <w:tab w:val="left" w:pos="267"/>
              </w:tabs>
              <w:ind w:left="0" w:firstLine="0"/>
              <w:rPr>
                <w:rFonts w:ascii="Garamond" w:hAnsi="Garamond"/>
                <w:sz w:val="20"/>
                <w:szCs w:val="24"/>
                <w:lang w:val="sq-AL"/>
              </w:rPr>
            </w:pPr>
            <w:r w:rsidRPr="00551729">
              <w:rPr>
                <w:rFonts w:ascii="Garamond" w:hAnsi="Garamond"/>
                <w:sz w:val="20"/>
                <w:szCs w:val="24"/>
                <w:lang w:val="sq-AL"/>
              </w:rPr>
              <w:t>3.1.2. Të paktën 20% e të papunëve (të ndarë sipas</w:t>
            </w:r>
            <w:r w:rsidRPr="00551729">
              <w:rPr>
                <w:rFonts w:ascii="Garamond" w:hAnsi="Garamond"/>
                <w:spacing w:val="-7"/>
                <w:sz w:val="20"/>
                <w:szCs w:val="24"/>
                <w:lang w:val="sq-AL"/>
              </w:rPr>
              <w:t xml:space="preserve"> </w:t>
            </w:r>
            <w:r w:rsidRPr="00551729">
              <w:rPr>
                <w:rFonts w:ascii="Garamond" w:hAnsi="Garamond"/>
                <w:sz w:val="20"/>
                <w:szCs w:val="24"/>
                <w:lang w:val="sq-AL"/>
              </w:rPr>
              <w:t>gjinisë dhe moshës) pjesëmarrës në iniciativat BNK, ia dalin për të gjetur një</w:t>
            </w:r>
            <w:r w:rsidRPr="00551729">
              <w:rPr>
                <w:rFonts w:ascii="Garamond" w:hAnsi="Garamond"/>
                <w:spacing w:val="-4"/>
                <w:sz w:val="20"/>
                <w:szCs w:val="24"/>
                <w:lang w:val="sq-AL"/>
              </w:rPr>
              <w:t xml:space="preserve"> </w:t>
            </w:r>
            <w:r w:rsidRPr="00551729">
              <w:rPr>
                <w:rFonts w:ascii="Garamond" w:hAnsi="Garamond"/>
                <w:sz w:val="20"/>
                <w:szCs w:val="24"/>
                <w:lang w:val="sq-AL"/>
              </w:rPr>
              <w:t>punë</w:t>
            </w:r>
          </w:p>
          <w:p w14:paraId="1BADCBCB" w14:textId="7209D171" w:rsidR="003360ED" w:rsidRPr="00551729" w:rsidRDefault="003360ED" w:rsidP="007D1FAB">
            <w:pPr>
              <w:pStyle w:val="TableParagraph"/>
              <w:numPr>
                <w:ilvl w:val="0"/>
                <w:numId w:val="3"/>
              </w:numPr>
              <w:tabs>
                <w:tab w:val="left" w:pos="267"/>
              </w:tabs>
              <w:ind w:left="0" w:firstLine="0"/>
              <w:rPr>
                <w:rFonts w:ascii="Garamond" w:hAnsi="Garamond"/>
                <w:sz w:val="20"/>
                <w:szCs w:val="24"/>
                <w:lang w:val="sq-AL"/>
              </w:rPr>
            </w:pPr>
            <w:r w:rsidRPr="00551729">
              <w:rPr>
                <w:rFonts w:ascii="Garamond" w:hAnsi="Garamond"/>
                <w:sz w:val="20"/>
                <w:szCs w:val="24"/>
                <w:lang w:val="sq-AL"/>
              </w:rPr>
              <w:t>3.1.3. Të paktën 300 të rinj (të ndarë sipas gjinisë) të trajnuar nëpërmjet shërbimeve</w:t>
            </w:r>
            <w:r w:rsidR="00C521D5" w:rsidRPr="00551729">
              <w:rPr>
                <w:rFonts w:ascii="Garamond" w:hAnsi="Garamond"/>
                <w:sz w:val="20"/>
                <w:szCs w:val="24"/>
                <w:lang w:val="sq-AL"/>
              </w:rPr>
              <w:t xml:space="preserve"> </w:t>
            </w:r>
            <w:r w:rsidRPr="00551729">
              <w:rPr>
                <w:rFonts w:ascii="Garamond" w:hAnsi="Garamond"/>
                <w:sz w:val="20"/>
                <w:szCs w:val="24"/>
                <w:lang w:val="sq-AL"/>
              </w:rPr>
              <w:t>të reja të të</w:t>
            </w:r>
            <w:r w:rsidRPr="00551729">
              <w:rPr>
                <w:rFonts w:ascii="Garamond" w:hAnsi="Garamond"/>
                <w:spacing w:val="-9"/>
                <w:sz w:val="20"/>
                <w:szCs w:val="24"/>
                <w:lang w:val="sq-AL"/>
              </w:rPr>
              <w:t xml:space="preserve"> </w:t>
            </w:r>
            <w:r w:rsidRPr="00551729">
              <w:rPr>
                <w:rFonts w:ascii="Garamond" w:hAnsi="Garamond"/>
                <w:sz w:val="20"/>
                <w:szCs w:val="24"/>
                <w:lang w:val="sq-AL"/>
              </w:rPr>
              <w:t>mësuarit gjatë gjithë</w:t>
            </w:r>
            <w:r w:rsidRPr="00551729">
              <w:rPr>
                <w:rFonts w:ascii="Garamond" w:hAnsi="Garamond"/>
                <w:spacing w:val="-8"/>
                <w:sz w:val="20"/>
                <w:szCs w:val="24"/>
                <w:lang w:val="sq-AL"/>
              </w:rPr>
              <w:t xml:space="preserve"> </w:t>
            </w:r>
            <w:r w:rsidRPr="00551729">
              <w:rPr>
                <w:rFonts w:ascii="Garamond" w:hAnsi="Garamond"/>
                <w:sz w:val="20"/>
                <w:szCs w:val="24"/>
                <w:lang w:val="sq-AL"/>
              </w:rPr>
              <w:t>jetës</w:t>
            </w:r>
          </w:p>
          <w:p w14:paraId="1BADCBCC" w14:textId="77777777" w:rsidR="003360ED" w:rsidRPr="00551729" w:rsidRDefault="003360ED" w:rsidP="007D1FAB">
            <w:pPr>
              <w:pStyle w:val="TableParagraph"/>
              <w:numPr>
                <w:ilvl w:val="0"/>
                <w:numId w:val="3"/>
              </w:numPr>
              <w:tabs>
                <w:tab w:val="left" w:pos="267"/>
              </w:tabs>
              <w:ind w:left="0" w:firstLine="0"/>
              <w:rPr>
                <w:rFonts w:ascii="Garamond" w:hAnsi="Garamond"/>
                <w:sz w:val="20"/>
                <w:szCs w:val="24"/>
                <w:lang w:val="sq-AL"/>
              </w:rPr>
            </w:pPr>
            <w:r w:rsidRPr="00551729">
              <w:rPr>
                <w:rFonts w:ascii="Garamond" w:hAnsi="Garamond"/>
                <w:sz w:val="20"/>
                <w:szCs w:val="24"/>
                <w:lang w:val="sq-AL"/>
              </w:rPr>
              <w:t>3.1.4. Të paktën 10% e NVM-ve të reja të krijuara në zonat</w:t>
            </w:r>
            <w:r w:rsidRPr="00551729">
              <w:rPr>
                <w:rFonts w:ascii="Garamond" w:hAnsi="Garamond"/>
                <w:spacing w:val="-7"/>
                <w:sz w:val="20"/>
                <w:szCs w:val="24"/>
                <w:lang w:val="sq-AL"/>
              </w:rPr>
              <w:t xml:space="preserve"> </w:t>
            </w:r>
            <w:r w:rsidRPr="00551729">
              <w:rPr>
                <w:rFonts w:ascii="Garamond" w:hAnsi="Garamond"/>
                <w:sz w:val="20"/>
                <w:szCs w:val="24"/>
                <w:lang w:val="sq-AL"/>
              </w:rPr>
              <w:t>ndërkufitare</w:t>
            </w:r>
          </w:p>
        </w:tc>
        <w:tc>
          <w:tcPr>
            <w:tcW w:w="1979" w:type="dxa"/>
            <w:shd w:val="clear" w:color="auto" w:fill="FFFFFF" w:themeFill="background1"/>
          </w:tcPr>
          <w:p w14:paraId="1BADCBCD" w14:textId="77777777" w:rsidR="003360ED" w:rsidRPr="00551729" w:rsidRDefault="003360ED" w:rsidP="003360ED">
            <w:pPr>
              <w:pStyle w:val="TableParagraph"/>
              <w:rPr>
                <w:rFonts w:ascii="Garamond" w:hAnsi="Garamond"/>
                <w:sz w:val="20"/>
                <w:szCs w:val="24"/>
                <w:lang w:val="sq-AL"/>
              </w:rPr>
            </w:pPr>
          </w:p>
          <w:p w14:paraId="1BADCBCE"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Statistikat zyrtare</w:t>
            </w:r>
          </w:p>
          <w:p w14:paraId="1BADCBCF" w14:textId="77777777" w:rsidR="003360ED" w:rsidRPr="00551729" w:rsidRDefault="003360ED" w:rsidP="003360ED">
            <w:pPr>
              <w:pStyle w:val="TableParagraph"/>
              <w:rPr>
                <w:rFonts w:ascii="Garamond" w:hAnsi="Garamond"/>
                <w:sz w:val="20"/>
                <w:szCs w:val="24"/>
                <w:lang w:val="sq-AL"/>
              </w:rPr>
            </w:pPr>
          </w:p>
          <w:p w14:paraId="1BADCBD0" w14:textId="77777777" w:rsidR="003360ED" w:rsidRPr="00551729" w:rsidRDefault="003360ED" w:rsidP="003360ED">
            <w:pPr>
              <w:pStyle w:val="TableParagraph"/>
              <w:rPr>
                <w:rFonts w:ascii="Garamond" w:hAnsi="Garamond"/>
                <w:sz w:val="20"/>
                <w:szCs w:val="24"/>
                <w:lang w:val="sq-AL"/>
              </w:rPr>
            </w:pPr>
          </w:p>
          <w:p w14:paraId="1BADCBD1"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 xml:space="preserve">Raportet nga </w:t>
            </w:r>
            <w:r w:rsidRPr="00551729">
              <w:rPr>
                <w:rFonts w:ascii="Garamond" w:hAnsi="Garamond"/>
                <w:w w:val="95"/>
                <w:sz w:val="20"/>
                <w:szCs w:val="24"/>
                <w:lang w:val="sq-AL"/>
              </w:rPr>
              <w:t xml:space="preserve">ministritë/autoritete </w:t>
            </w:r>
            <w:r w:rsidRPr="00551729">
              <w:rPr>
                <w:rFonts w:ascii="Garamond" w:hAnsi="Garamond"/>
                <w:sz w:val="20"/>
                <w:szCs w:val="24"/>
                <w:lang w:val="sq-AL"/>
              </w:rPr>
              <w:t>t përkatëse kombëtare</w:t>
            </w:r>
          </w:p>
          <w:p w14:paraId="1BADCBD2" w14:textId="77777777" w:rsidR="003360ED" w:rsidRPr="00551729" w:rsidRDefault="003360ED" w:rsidP="003360ED">
            <w:pPr>
              <w:pStyle w:val="TableParagraph"/>
              <w:rPr>
                <w:rFonts w:ascii="Garamond" w:hAnsi="Garamond"/>
                <w:sz w:val="20"/>
                <w:szCs w:val="24"/>
                <w:lang w:val="sq-AL"/>
              </w:rPr>
            </w:pPr>
          </w:p>
          <w:p w14:paraId="1BADCBD3" w14:textId="77777777" w:rsidR="003360ED" w:rsidRPr="00551729" w:rsidRDefault="003360ED" w:rsidP="003360ED">
            <w:pPr>
              <w:pStyle w:val="TableParagraph"/>
              <w:rPr>
                <w:rFonts w:ascii="Garamond" w:hAnsi="Garamond"/>
                <w:sz w:val="20"/>
                <w:szCs w:val="24"/>
                <w:lang w:val="sq-AL"/>
              </w:rPr>
            </w:pPr>
          </w:p>
          <w:p w14:paraId="1BADCBD4" w14:textId="77777777" w:rsidR="003360ED" w:rsidRPr="00551729" w:rsidRDefault="003360ED" w:rsidP="003360ED">
            <w:pPr>
              <w:pStyle w:val="TableParagraph"/>
              <w:rPr>
                <w:rFonts w:ascii="Garamond" w:hAnsi="Garamond"/>
                <w:sz w:val="20"/>
                <w:szCs w:val="24"/>
                <w:lang w:val="sq-AL"/>
              </w:rPr>
            </w:pPr>
          </w:p>
          <w:p w14:paraId="1BADCBD5"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Regjistrat e agjencive të punësimit</w:t>
            </w:r>
          </w:p>
          <w:p w14:paraId="1BADCBD6" w14:textId="77777777" w:rsidR="003360ED" w:rsidRPr="00551729" w:rsidRDefault="003360ED" w:rsidP="003360ED">
            <w:pPr>
              <w:pStyle w:val="TableParagraph"/>
              <w:rPr>
                <w:rFonts w:ascii="Garamond" w:hAnsi="Garamond"/>
                <w:sz w:val="20"/>
                <w:szCs w:val="24"/>
                <w:lang w:val="sq-AL"/>
              </w:rPr>
            </w:pPr>
          </w:p>
          <w:p w14:paraId="1BADCBD7" w14:textId="77777777" w:rsidR="003360ED" w:rsidRPr="00551729" w:rsidRDefault="003360ED" w:rsidP="003360ED">
            <w:pPr>
              <w:pStyle w:val="TableParagraph"/>
              <w:rPr>
                <w:rFonts w:ascii="Garamond" w:hAnsi="Garamond"/>
                <w:sz w:val="20"/>
                <w:szCs w:val="24"/>
                <w:lang w:val="sq-AL"/>
              </w:rPr>
            </w:pPr>
          </w:p>
          <w:p w14:paraId="1BADCBD8"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Regjistrat e Dhomave të tregtisë</w:t>
            </w:r>
          </w:p>
          <w:p w14:paraId="1BADCBD9" w14:textId="77777777" w:rsidR="003360ED" w:rsidRPr="00551729" w:rsidRDefault="003360ED" w:rsidP="003360ED">
            <w:pPr>
              <w:pStyle w:val="TableParagraph"/>
              <w:rPr>
                <w:rFonts w:ascii="Garamond" w:hAnsi="Garamond"/>
                <w:sz w:val="20"/>
                <w:szCs w:val="24"/>
                <w:lang w:val="sq-AL"/>
              </w:rPr>
            </w:pPr>
          </w:p>
          <w:p w14:paraId="1BADCBDA" w14:textId="77777777" w:rsidR="003360ED" w:rsidRPr="00551729" w:rsidRDefault="003360ED" w:rsidP="003360ED">
            <w:pPr>
              <w:pStyle w:val="TableParagraph"/>
              <w:rPr>
                <w:rFonts w:ascii="Garamond" w:hAnsi="Garamond"/>
                <w:sz w:val="20"/>
                <w:szCs w:val="24"/>
                <w:lang w:val="sq-AL"/>
              </w:rPr>
            </w:pPr>
          </w:p>
          <w:p w14:paraId="1BADCBDB"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Raportet e monitorimit / projektit</w:t>
            </w:r>
          </w:p>
        </w:tc>
        <w:tc>
          <w:tcPr>
            <w:tcW w:w="2719" w:type="dxa"/>
            <w:tcBorders>
              <w:top w:val="single" w:sz="49" w:space="0" w:color="DBE4F0"/>
            </w:tcBorders>
          </w:tcPr>
          <w:p w14:paraId="1BADCBDC" w14:textId="77777777" w:rsidR="003360ED" w:rsidRPr="00551729" w:rsidRDefault="003360ED" w:rsidP="007D1FAB">
            <w:pPr>
              <w:pStyle w:val="TableParagraph"/>
              <w:numPr>
                <w:ilvl w:val="0"/>
                <w:numId w:val="2"/>
              </w:numPr>
              <w:tabs>
                <w:tab w:val="left" w:pos="161"/>
              </w:tabs>
              <w:ind w:left="0" w:firstLine="0"/>
              <w:rPr>
                <w:rFonts w:ascii="Garamond" w:hAnsi="Garamond"/>
                <w:sz w:val="20"/>
                <w:szCs w:val="24"/>
                <w:lang w:val="sq-AL"/>
              </w:rPr>
            </w:pPr>
            <w:r w:rsidRPr="00551729">
              <w:rPr>
                <w:rFonts w:ascii="Garamond" w:hAnsi="Garamond"/>
                <w:sz w:val="20"/>
                <w:szCs w:val="24"/>
                <w:lang w:val="sq-AL"/>
              </w:rPr>
              <w:t>Mbështetja e</w:t>
            </w:r>
            <w:r w:rsidRPr="00551729">
              <w:rPr>
                <w:rFonts w:ascii="Garamond" w:hAnsi="Garamond"/>
                <w:spacing w:val="-10"/>
                <w:sz w:val="20"/>
                <w:szCs w:val="24"/>
                <w:lang w:val="sq-AL"/>
              </w:rPr>
              <w:t xml:space="preserve"> </w:t>
            </w:r>
            <w:r w:rsidRPr="00551729">
              <w:rPr>
                <w:rFonts w:ascii="Garamond" w:hAnsi="Garamond"/>
                <w:sz w:val="20"/>
                <w:szCs w:val="24"/>
                <w:lang w:val="sq-AL"/>
              </w:rPr>
              <w:t>bashkëpunimit</w:t>
            </w:r>
          </w:p>
          <w:p w14:paraId="1BADCBDD"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midis dhe ndërmjet institucioneve të arsimit (profesional) dhe sektorit privat për të përmirësuar përputhjen e kurrikulave të trajnimit për grupet në nevojë, me kërkesën e tregut të punës, duke përfshirë programet e mësimit virtual dhe përdorimin e TIK</w:t>
            </w:r>
          </w:p>
          <w:p w14:paraId="1BADCBDE" w14:textId="77777777" w:rsidR="003360ED" w:rsidRPr="00551729" w:rsidRDefault="003360ED" w:rsidP="007D1FAB">
            <w:pPr>
              <w:pStyle w:val="TableParagraph"/>
              <w:numPr>
                <w:ilvl w:val="0"/>
                <w:numId w:val="2"/>
              </w:numPr>
              <w:tabs>
                <w:tab w:val="left" w:pos="161"/>
              </w:tabs>
              <w:ind w:left="0" w:firstLine="0"/>
              <w:rPr>
                <w:rFonts w:ascii="Garamond" w:hAnsi="Garamond"/>
                <w:sz w:val="20"/>
                <w:szCs w:val="24"/>
                <w:lang w:val="sq-AL"/>
              </w:rPr>
            </w:pPr>
            <w:r w:rsidRPr="00551729">
              <w:rPr>
                <w:rFonts w:ascii="Garamond" w:hAnsi="Garamond"/>
                <w:sz w:val="20"/>
                <w:szCs w:val="24"/>
                <w:lang w:val="sq-AL"/>
              </w:rPr>
              <w:t>Iniciativa mbështetëse dhe fushata për vetë-punësim, veçanërisht në zonat rurale, duke përfshirë mbështetjen</w:t>
            </w:r>
            <w:r w:rsidRPr="00551729">
              <w:rPr>
                <w:rFonts w:ascii="Garamond" w:hAnsi="Garamond"/>
                <w:spacing w:val="-11"/>
                <w:sz w:val="20"/>
                <w:szCs w:val="24"/>
                <w:lang w:val="sq-AL"/>
              </w:rPr>
              <w:t xml:space="preserve"> </w:t>
            </w:r>
            <w:r w:rsidRPr="00551729">
              <w:rPr>
                <w:rFonts w:ascii="Garamond" w:hAnsi="Garamond"/>
                <w:sz w:val="20"/>
                <w:szCs w:val="24"/>
                <w:lang w:val="sq-AL"/>
              </w:rPr>
              <w:t>e grupeve vulnerabël për të nisur një</w:t>
            </w:r>
            <w:r w:rsidRPr="00551729">
              <w:rPr>
                <w:rFonts w:ascii="Garamond" w:hAnsi="Garamond"/>
                <w:spacing w:val="-7"/>
                <w:sz w:val="20"/>
                <w:szCs w:val="24"/>
                <w:lang w:val="sq-AL"/>
              </w:rPr>
              <w:t xml:space="preserve"> </w:t>
            </w:r>
            <w:r w:rsidRPr="00551729">
              <w:rPr>
                <w:rFonts w:ascii="Garamond" w:hAnsi="Garamond"/>
                <w:sz w:val="20"/>
                <w:szCs w:val="24"/>
                <w:lang w:val="sq-AL"/>
              </w:rPr>
              <w:t>biznes</w:t>
            </w:r>
          </w:p>
          <w:p w14:paraId="1BADCBDF" w14:textId="77777777" w:rsidR="003360ED" w:rsidRPr="00551729" w:rsidRDefault="003360ED" w:rsidP="007D1FAB">
            <w:pPr>
              <w:pStyle w:val="TableParagraph"/>
              <w:numPr>
                <w:ilvl w:val="0"/>
                <w:numId w:val="2"/>
              </w:numPr>
              <w:tabs>
                <w:tab w:val="left" w:pos="161"/>
              </w:tabs>
              <w:ind w:left="0" w:firstLine="0"/>
              <w:rPr>
                <w:rFonts w:ascii="Garamond" w:hAnsi="Garamond"/>
                <w:sz w:val="20"/>
                <w:szCs w:val="24"/>
                <w:lang w:val="sq-AL"/>
              </w:rPr>
            </w:pPr>
            <w:r w:rsidRPr="00551729">
              <w:rPr>
                <w:rFonts w:ascii="Garamond" w:hAnsi="Garamond"/>
                <w:sz w:val="20"/>
                <w:szCs w:val="24"/>
                <w:lang w:val="sq-AL"/>
              </w:rPr>
              <w:t>Mbështetja e forcimit të kapaciteteve të</w:t>
            </w:r>
            <w:r w:rsidRPr="00551729">
              <w:rPr>
                <w:rFonts w:ascii="Garamond" w:hAnsi="Garamond"/>
                <w:spacing w:val="-7"/>
                <w:sz w:val="20"/>
                <w:szCs w:val="24"/>
                <w:lang w:val="sq-AL"/>
              </w:rPr>
              <w:t xml:space="preserve"> </w:t>
            </w:r>
            <w:r w:rsidRPr="00551729">
              <w:rPr>
                <w:rFonts w:ascii="Garamond" w:hAnsi="Garamond"/>
                <w:sz w:val="20"/>
                <w:szCs w:val="24"/>
                <w:lang w:val="sq-AL"/>
              </w:rPr>
              <w:t>institucioneve të promovimit të punës, shkëmbimi i eksperiencave dhe modeleve më të mira për të rritur punësimin (veçanërisht të grupet vulnerabël) brenda dhe përtej kufijve</w:t>
            </w:r>
          </w:p>
          <w:p w14:paraId="1BADCBE0" w14:textId="77777777" w:rsidR="003360ED" w:rsidRPr="00551729" w:rsidRDefault="003360ED" w:rsidP="007D1FAB">
            <w:pPr>
              <w:pStyle w:val="TableParagraph"/>
              <w:numPr>
                <w:ilvl w:val="0"/>
                <w:numId w:val="2"/>
              </w:numPr>
              <w:tabs>
                <w:tab w:val="left" w:pos="161"/>
              </w:tabs>
              <w:ind w:left="0" w:firstLine="0"/>
              <w:rPr>
                <w:rFonts w:ascii="Garamond" w:hAnsi="Garamond"/>
                <w:sz w:val="20"/>
                <w:szCs w:val="24"/>
                <w:lang w:val="sq-AL"/>
              </w:rPr>
            </w:pPr>
            <w:r w:rsidRPr="00551729">
              <w:rPr>
                <w:rFonts w:ascii="Garamond" w:hAnsi="Garamond"/>
                <w:sz w:val="20"/>
                <w:szCs w:val="24"/>
                <w:lang w:val="sq-AL"/>
              </w:rPr>
              <w:t>Aktivitete që synojnë</w:t>
            </w:r>
            <w:r w:rsidRPr="00551729">
              <w:rPr>
                <w:rFonts w:ascii="Garamond" w:hAnsi="Garamond"/>
                <w:spacing w:val="-10"/>
                <w:sz w:val="20"/>
                <w:szCs w:val="24"/>
                <w:lang w:val="sq-AL"/>
              </w:rPr>
              <w:t xml:space="preserve"> </w:t>
            </w:r>
            <w:r w:rsidRPr="00551729">
              <w:rPr>
                <w:rFonts w:ascii="Garamond" w:hAnsi="Garamond"/>
                <w:sz w:val="20"/>
                <w:szCs w:val="24"/>
                <w:lang w:val="sq-AL"/>
              </w:rPr>
              <w:t>krijimin</w:t>
            </w:r>
          </w:p>
        </w:tc>
      </w:tr>
      <w:tr w:rsidR="003360ED" w:rsidRPr="00551729" w14:paraId="1BADCBEA" w14:textId="77777777" w:rsidTr="003360ED">
        <w:trPr>
          <w:trHeight w:hRule="exact" w:val="4408"/>
        </w:trPr>
        <w:tc>
          <w:tcPr>
            <w:tcW w:w="1574" w:type="dxa"/>
          </w:tcPr>
          <w:p w14:paraId="1BADCBE2" w14:textId="77777777" w:rsidR="003360ED" w:rsidRPr="00551729" w:rsidRDefault="003360ED" w:rsidP="003360ED">
            <w:pPr>
              <w:spacing w:after="0" w:line="240" w:lineRule="auto"/>
              <w:rPr>
                <w:rFonts w:ascii="Garamond" w:hAnsi="Garamond"/>
                <w:sz w:val="20"/>
                <w:szCs w:val="24"/>
              </w:rPr>
            </w:pPr>
          </w:p>
        </w:tc>
        <w:tc>
          <w:tcPr>
            <w:tcW w:w="1414" w:type="dxa"/>
          </w:tcPr>
          <w:p w14:paraId="1BADCBE3" w14:textId="77777777" w:rsidR="003360ED" w:rsidRPr="00551729" w:rsidRDefault="003360ED" w:rsidP="003360ED">
            <w:pPr>
              <w:spacing w:after="0" w:line="240" w:lineRule="auto"/>
              <w:rPr>
                <w:rFonts w:ascii="Garamond" w:hAnsi="Garamond"/>
                <w:sz w:val="20"/>
                <w:szCs w:val="24"/>
              </w:rPr>
            </w:pPr>
          </w:p>
        </w:tc>
        <w:tc>
          <w:tcPr>
            <w:tcW w:w="1892" w:type="dxa"/>
          </w:tcPr>
          <w:p w14:paraId="1BADCBE4" w14:textId="77777777" w:rsidR="003360ED" w:rsidRPr="00551729" w:rsidRDefault="003360ED" w:rsidP="003360ED">
            <w:pPr>
              <w:pStyle w:val="TableParagraph"/>
              <w:rPr>
                <w:rFonts w:ascii="Garamond" w:hAnsi="Garamond"/>
                <w:sz w:val="20"/>
                <w:szCs w:val="24"/>
                <w:lang w:val="sq-AL"/>
              </w:rPr>
            </w:pPr>
            <w:r w:rsidRPr="00551729">
              <w:rPr>
                <w:rFonts w:ascii="Garamond" w:hAnsi="Garamond"/>
                <w:sz w:val="20"/>
                <w:szCs w:val="24"/>
                <w:lang w:val="sq-AL"/>
              </w:rPr>
              <w:t>janë në pronësi të të rinjve dhe anëtarëve të grupeve të margjinalizuara (të ndarë sipas gjinisë dhe grupit vulnerabël)</w:t>
            </w:r>
          </w:p>
        </w:tc>
        <w:tc>
          <w:tcPr>
            <w:tcW w:w="1979" w:type="dxa"/>
            <w:shd w:val="clear" w:color="auto" w:fill="FFFFFF" w:themeFill="background1"/>
          </w:tcPr>
          <w:p w14:paraId="1BADCBE5" w14:textId="77777777" w:rsidR="003360ED" w:rsidRPr="00551729" w:rsidRDefault="003360ED" w:rsidP="003360ED">
            <w:pPr>
              <w:spacing w:after="0" w:line="240" w:lineRule="auto"/>
              <w:rPr>
                <w:rFonts w:ascii="Garamond" w:hAnsi="Garamond"/>
                <w:sz w:val="20"/>
                <w:szCs w:val="24"/>
              </w:rPr>
            </w:pPr>
          </w:p>
        </w:tc>
        <w:tc>
          <w:tcPr>
            <w:tcW w:w="2719" w:type="dxa"/>
          </w:tcPr>
          <w:p w14:paraId="1BADCBE6" w14:textId="77777777" w:rsidR="003360ED" w:rsidRPr="00551729" w:rsidRDefault="003360ED" w:rsidP="003360ED">
            <w:pPr>
              <w:pStyle w:val="TableParagraph"/>
              <w:jc w:val="both"/>
              <w:rPr>
                <w:rFonts w:ascii="Garamond" w:hAnsi="Garamond"/>
                <w:sz w:val="20"/>
                <w:szCs w:val="24"/>
                <w:lang w:val="sq-AL"/>
              </w:rPr>
            </w:pPr>
            <w:r w:rsidRPr="00551729">
              <w:rPr>
                <w:rFonts w:ascii="Garamond" w:hAnsi="Garamond"/>
                <w:sz w:val="20"/>
                <w:szCs w:val="24"/>
                <w:lang w:val="sq-AL"/>
              </w:rPr>
              <w:t>e mundësive dhe aftësive</w:t>
            </w:r>
            <w:r w:rsidRPr="00551729">
              <w:rPr>
                <w:rFonts w:ascii="Garamond" w:hAnsi="Garamond"/>
                <w:spacing w:val="-11"/>
                <w:sz w:val="20"/>
                <w:szCs w:val="24"/>
                <w:lang w:val="sq-AL"/>
              </w:rPr>
              <w:t xml:space="preserve"> </w:t>
            </w:r>
            <w:r w:rsidRPr="00551729">
              <w:rPr>
                <w:rFonts w:ascii="Garamond" w:hAnsi="Garamond"/>
                <w:sz w:val="20"/>
                <w:szCs w:val="24"/>
                <w:lang w:val="sq-AL"/>
              </w:rPr>
              <w:t>për punë për grupet në nevojë të shoqërisë</w:t>
            </w:r>
          </w:p>
          <w:p w14:paraId="1BADCBE7" w14:textId="77777777" w:rsidR="003360ED" w:rsidRPr="00551729" w:rsidRDefault="003360ED" w:rsidP="007D1FAB">
            <w:pPr>
              <w:pStyle w:val="TableParagraph"/>
              <w:numPr>
                <w:ilvl w:val="0"/>
                <w:numId w:val="1"/>
              </w:numPr>
              <w:tabs>
                <w:tab w:val="left" w:pos="161"/>
              </w:tabs>
              <w:ind w:left="0" w:firstLine="0"/>
              <w:rPr>
                <w:rFonts w:ascii="Garamond" w:hAnsi="Garamond"/>
                <w:sz w:val="20"/>
                <w:szCs w:val="24"/>
                <w:lang w:val="sq-AL"/>
              </w:rPr>
            </w:pPr>
            <w:r w:rsidRPr="00551729">
              <w:rPr>
                <w:rFonts w:ascii="Garamond" w:hAnsi="Garamond"/>
                <w:sz w:val="20"/>
                <w:szCs w:val="24"/>
                <w:lang w:val="sq-AL"/>
              </w:rPr>
              <w:t>Punë kërkimore për të</w:t>
            </w:r>
            <w:r w:rsidRPr="00551729">
              <w:rPr>
                <w:rFonts w:ascii="Garamond" w:hAnsi="Garamond"/>
                <w:spacing w:val="-11"/>
                <w:sz w:val="20"/>
                <w:szCs w:val="24"/>
                <w:lang w:val="sq-AL"/>
              </w:rPr>
              <w:t xml:space="preserve"> </w:t>
            </w:r>
            <w:r w:rsidRPr="00551729">
              <w:rPr>
                <w:rFonts w:ascii="Garamond" w:hAnsi="Garamond"/>
                <w:sz w:val="20"/>
                <w:szCs w:val="24"/>
                <w:lang w:val="sq-AL"/>
              </w:rPr>
              <w:t>nxitur punësimin, lëvizjen e fuqisë punëtore dhe përfshirjen sociale</w:t>
            </w:r>
          </w:p>
          <w:p w14:paraId="1BADCBE8" w14:textId="77777777" w:rsidR="003360ED" w:rsidRPr="00551729" w:rsidRDefault="003360ED" w:rsidP="007D1FAB">
            <w:pPr>
              <w:pStyle w:val="TableParagraph"/>
              <w:numPr>
                <w:ilvl w:val="0"/>
                <w:numId w:val="1"/>
              </w:numPr>
              <w:tabs>
                <w:tab w:val="left" w:pos="161"/>
              </w:tabs>
              <w:ind w:left="0" w:firstLine="0"/>
              <w:rPr>
                <w:rFonts w:ascii="Garamond" w:hAnsi="Garamond"/>
                <w:sz w:val="20"/>
                <w:szCs w:val="24"/>
                <w:lang w:val="sq-AL"/>
              </w:rPr>
            </w:pPr>
            <w:r w:rsidRPr="00551729">
              <w:rPr>
                <w:rFonts w:ascii="Garamond" w:hAnsi="Garamond"/>
                <w:sz w:val="20"/>
                <w:szCs w:val="24"/>
                <w:lang w:val="sq-AL"/>
              </w:rPr>
              <w:t>Inkurajimi i partneritet pushtet lokal - OSHC mbi përfshirjen sociale (plane veprimi në nivel lokal për grupet në nevojë, rritja e kapaciteteve të pushtetit vendor për të menaxhuar programet sociale dhe për</w:t>
            </w:r>
            <w:r w:rsidRPr="00551729">
              <w:rPr>
                <w:rFonts w:ascii="Garamond" w:hAnsi="Garamond"/>
                <w:spacing w:val="-10"/>
                <w:sz w:val="20"/>
                <w:szCs w:val="24"/>
                <w:lang w:val="sq-AL"/>
              </w:rPr>
              <w:t xml:space="preserve"> </w:t>
            </w:r>
            <w:r w:rsidRPr="00551729">
              <w:rPr>
                <w:rFonts w:ascii="Garamond" w:hAnsi="Garamond"/>
                <w:sz w:val="20"/>
                <w:szCs w:val="24"/>
                <w:lang w:val="sq-AL"/>
              </w:rPr>
              <w:t>të siguruar qëndrueshmërinë e aksioneve të</w:t>
            </w:r>
            <w:r w:rsidRPr="00551729">
              <w:rPr>
                <w:rFonts w:ascii="Garamond" w:hAnsi="Garamond"/>
                <w:spacing w:val="-9"/>
                <w:sz w:val="20"/>
                <w:szCs w:val="24"/>
                <w:lang w:val="sq-AL"/>
              </w:rPr>
              <w:t xml:space="preserve"> </w:t>
            </w:r>
            <w:r w:rsidRPr="00551729">
              <w:rPr>
                <w:rFonts w:ascii="Garamond" w:hAnsi="Garamond"/>
                <w:sz w:val="20"/>
                <w:szCs w:val="24"/>
                <w:lang w:val="sq-AL"/>
              </w:rPr>
              <w:t>ndërmarra)</w:t>
            </w:r>
          </w:p>
          <w:p w14:paraId="1BADCBE9" w14:textId="77777777" w:rsidR="003360ED" w:rsidRPr="00551729" w:rsidRDefault="003360ED" w:rsidP="007D1FAB">
            <w:pPr>
              <w:pStyle w:val="TableParagraph"/>
              <w:numPr>
                <w:ilvl w:val="0"/>
                <w:numId w:val="1"/>
              </w:numPr>
              <w:tabs>
                <w:tab w:val="left" w:pos="161"/>
              </w:tabs>
              <w:ind w:left="0" w:firstLine="0"/>
              <w:rPr>
                <w:rFonts w:ascii="Garamond" w:hAnsi="Garamond"/>
                <w:sz w:val="20"/>
                <w:szCs w:val="24"/>
                <w:lang w:val="sq-AL"/>
              </w:rPr>
            </w:pPr>
            <w:r w:rsidRPr="00551729">
              <w:rPr>
                <w:rFonts w:ascii="Garamond" w:hAnsi="Garamond"/>
                <w:sz w:val="20"/>
                <w:szCs w:val="24"/>
                <w:lang w:val="sq-AL"/>
              </w:rPr>
              <w:t>Organizimi i programeve të shkëmbimit të të rinjve,</w:t>
            </w:r>
            <w:r w:rsidRPr="00551729">
              <w:rPr>
                <w:rFonts w:ascii="Garamond" w:hAnsi="Garamond"/>
                <w:spacing w:val="-11"/>
                <w:sz w:val="20"/>
                <w:szCs w:val="24"/>
                <w:lang w:val="sq-AL"/>
              </w:rPr>
              <w:t xml:space="preserve"> </w:t>
            </w:r>
            <w:r w:rsidRPr="00551729">
              <w:rPr>
                <w:rFonts w:ascii="Garamond" w:hAnsi="Garamond"/>
                <w:sz w:val="20"/>
                <w:szCs w:val="24"/>
                <w:lang w:val="sq-AL"/>
              </w:rPr>
              <w:t>për shembull, nëpërmjet programeve të shkëmbimit shkollor ose iniciativave të tjera të</w:t>
            </w:r>
            <w:r w:rsidRPr="00551729">
              <w:rPr>
                <w:rFonts w:ascii="Garamond" w:hAnsi="Garamond"/>
                <w:spacing w:val="-5"/>
                <w:sz w:val="20"/>
                <w:szCs w:val="24"/>
                <w:lang w:val="sq-AL"/>
              </w:rPr>
              <w:t xml:space="preserve"> </w:t>
            </w:r>
            <w:r w:rsidRPr="00551729">
              <w:rPr>
                <w:rFonts w:ascii="Garamond" w:hAnsi="Garamond"/>
                <w:sz w:val="20"/>
                <w:szCs w:val="24"/>
                <w:lang w:val="sq-AL"/>
              </w:rPr>
              <w:t>OJQ-ve</w:t>
            </w:r>
          </w:p>
        </w:tc>
      </w:tr>
    </w:tbl>
    <w:p w14:paraId="1BADCBEB" w14:textId="77777777" w:rsidR="003360ED" w:rsidRPr="00551729" w:rsidRDefault="003360ED" w:rsidP="003360ED">
      <w:pPr>
        <w:pStyle w:val="BodyText"/>
        <w:ind w:firstLine="284"/>
        <w:rPr>
          <w:rFonts w:ascii="Garamond" w:hAnsi="Garamond"/>
          <w:sz w:val="24"/>
          <w:szCs w:val="24"/>
          <w:lang w:val="sq-AL"/>
        </w:rPr>
      </w:pPr>
    </w:p>
    <w:p w14:paraId="1BADCBEC" w14:textId="77777777" w:rsidR="003360ED" w:rsidRPr="00551729" w:rsidRDefault="003360ED" w:rsidP="007D1FAB">
      <w:pPr>
        <w:pStyle w:val="ListParagraph"/>
        <w:widowControl w:val="0"/>
        <w:numPr>
          <w:ilvl w:val="0"/>
          <w:numId w:val="11"/>
        </w:numPr>
        <w:tabs>
          <w:tab w:val="left" w:pos="346"/>
        </w:tabs>
        <w:spacing w:after="0" w:line="240" w:lineRule="auto"/>
        <w:ind w:left="0" w:firstLine="284"/>
        <w:contextualSpacing w:val="0"/>
        <w:rPr>
          <w:rFonts w:ascii="Garamond" w:hAnsi="Garamond"/>
          <w:sz w:val="24"/>
          <w:szCs w:val="24"/>
        </w:rPr>
      </w:pPr>
      <w:r w:rsidRPr="00551729">
        <w:rPr>
          <w:rFonts w:ascii="Garamond" w:hAnsi="Garamond"/>
          <w:sz w:val="24"/>
          <w:szCs w:val="24"/>
        </w:rPr>
        <w:t>Bazuar në aktivitetet mbështetëse të programit deri në</w:t>
      </w:r>
      <w:r w:rsidRPr="00551729">
        <w:rPr>
          <w:rFonts w:ascii="Garamond" w:hAnsi="Garamond"/>
          <w:spacing w:val="-28"/>
          <w:sz w:val="24"/>
          <w:szCs w:val="24"/>
        </w:rPr>
        <w:t xml:space="preserve"> </w:t>
      </w:r>
      <w:r w:rsidRPr="00551729">
        <w:rPr>
          <w:rFonts w:ascii="Garamond" w:hAnsi="Garamond"/>
          <w:sz w:val="24"/>
          <w:szCs w:val="24"/>
        </w:rPr>
        <w:t>2022.</w:t>
      </w:r>
    </w:p>
    <w:p w14:paraId="1BADCBED" w14:textId="77777777" w:rsidR="003360ED" w:rsidRPr="00551729" w:rsidRDefault="003360ED" w:rsidP="003360ED">
      <w:pPr>
        <w:spacing w:after="0" w:line="240" w:lineRule="auto"/>
        <w:ind w:firstLine="284"/>
        <w:rPr>
          <w:rFonts w:ascii="Garamond" w:hAnsi="Garamond"/>
          <w:sz w:val="24"/>
          <w:szCs w:val="24"/>
        </w:rPr>
      </w:pPr>
    </w:p>
    <w:p w14:paraId="1BADCBEE" w14:textId="77777777" w:rsidR="003360ED" w:rsidRPr="00551729" w:rsidRDefault="003360ED" w:rsidP="003360ED">
      <w:pPr>
        <w:pStyle w:val="BodyText"/>
        <w:ind w:firstLine="284"/>
        <w:rPr>
          <w:rFonts w:ascii="Garamond" w:hAnsi="Garamond"/>
          <w:sz w:val="24"/>
          <w:szCs w:val="24"/>
          <w:lang w:val="sq-AL"/>
        </w:rPr>
      </w:pPr>
    </w:p>
    <w:p w14:paraId="1BADCBEF" w14:textId="5F1B05BB"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Në rastet kur është e mundur, zbatimi i prioriteteve tematike dhe objektivave specifik</w:t>
      </w:r>
      <w:r w:rsidR="00D40334">
        <w:rPr>
          <w:rFonts w:ascii="Garamond" w:hAnsi="Garamond"/>
          <w:sz w:val="24"/>
          <w:szCs w:val="24"/>
          <w:lang w:val="sq-AL"/>
        </w:rPr>
        <w:t>ë</w:t>
      </w:r>
      <w:r w:rsidRPr="00551729">
        <w:rPr>
          <w:rFonts w:ascii="Garamond" w:hAnsi="Garamond"/>
          <w:sz w:val="24"/>
          <w:szCs w:val="24"/>
          <w:lang w:val="sq-AL"/>
        </w:rPr>
        <w:t xml:space="preserve"> të programit duhet të bëhet në për</w:t>
      </w:r>
      <w:r w:rsidR="0096601B">
        <w:rPr>
          <w:rFonts w:ascii="Garamond" w:hAnsi="Garamond"/>
          <w:sz w:val="24"/>
          <w:szCs w:val="24"/>
          <w:lang w:val="sq-AL"/>
        </w:rPr>
        <w:t>puthje me objektivat e vendosur</w:t>
      </w:r>
      <w:r w:rsidRPr="00551729">
        <w:rPr>
          <w:rFonts w:ascii="Garamond" w:hAnsi="Garamond"/>
          <w:sz w:val="24"/>
          <w:szCs w:val="24"/>
          <w:lang w:val="sq-AL"/>
        </w:rPr>
        <w:t xml:space="preserve"> nga Strategjia e BE-së për Rajonin Adriatik dhe Jonian </w:t>
      </w:r>
      <w:r w:rsidR="00C521D5" w:rsidRPr="00551729">
        <w:rPr>
          <w:rFonts w:ascii="Garamond" w:hAnsi="Garamond"/>
          <w:sz w:val="24"/>
          <w:szCs w:val="24"/>
          <w:lang w:val="sq-AL"/>
        </w:rPr>
        <w:t>“</w:t>
      </w:r>
      <w:r w:rsidRPr="00551729">
        <w:rPr>
          <w:rFonts w:ascii="Garamond" w:hAnsi="Garamond"/>
          <w:sz w:val="24"/>
          <w:szCs w:val="24"/>
          <w:lang w:val="sq-AL"/>
        </w:rPr>
        <w:t>COM (2014) 357</w:t>
      </w:r>
      <w:r w:rsidR="00C521D5" w:rsidRPr="00551729">
        <w:rPr>
          <w:rFonts w:ascii="Garamond" w:hAnsi="Garamond"/>
          <w:sz w:val="24"/>
          <w:szCs w:val="24"/>
          <w:lang w:val="sq-AL"/>
        </w:rPr>
        <w:t>”</w:t>
      </w:r>
      <w:r w:rsidRPr="00551729">
        <w:rPr>
          <w:rFonts w:ascii="Garamond" w:hAnsi="Garamond"/>
          <w:sz w:val="24"/>
          <w:szCs w:val="24"/>
          <w:lang w:val="sq-AL"/>
        </w:rPr>
        <w:t>.</w:t>
      </w:r>
    </w:p>
    <w:p w14:paraId="2CAAC1F0" w14:textId="77777777" w:rsidR="00E75207" w:rsidRDefault="00E75207" w:rsidP="003360ED">
      <w:pPr>
        <w:pStyle w:val="TEKSTIII"/>
        <w:rPr>
          <w:b/>
        </w:rPr>
      </w:pPr>
    </w:p>
    <w:p w14:paraId="2DDECDE2" w14:textId="77777777" w:rsidR="00E75207" w:rsidRDefault="00E75207" w:rsidP="003360ED">
      <w:pPr>
        <w:pStyle w:val="TEKSTIII"/>
        <w:rPr>
          <w:b/>
        </w:rPr>
      </w:pPr>
    </w:p>
    <w:p w14:paraId="1BADCBF1" w14:textId="77777777" w:rsidR="003360ED" w:rsidRPr="00551729" w:rsidRDefault="003360ED" w:rsidP="003360ED">
      <w:pPr>
        <w:pStyle w:val="TEKSTIII"/>
        <w:rPr>
          <w:b/>
        </w:rPr>
      </w:pPr>
      <w:r w:rsidRPr="00551729">
        <w:rPr>
          <w:b/>
        </w:rPr>
        <w:t>PRIORITETI 4 – ASISTENCA TEKNIKE</w:t>
      </w:r>
    </w:p>
    <w:p w14:paraId="1BADCBF2" w14:textId="77777777" w:rsidR="003360ED" w:rsidRPr="00551729" w:rsidRDefault="003360ED" w:rsidP="003360ED">
      <w:pPr>
        <w:pStyle w:val="TEKSTIII"/>
        <w:rPr>
          <w:b/>
        </w:rPr>
      </w:pPr>
      <w:r w:rsidRPr="00551729">
        <w:rPr>
          <w:b/>
        </w:rPr>
        <w:t>Objektivi specifik:</w:t>
      </w:r>
    </w:p>
    <w:p w14:paraId="1BADCBF3" w14:textId="0AAA4BBA"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Objektivi specifik i asistencës teknike është të sigurojë zbatimin efektiv, efikas, transparent dhe në kohë të programit të bashkëpunimit ndërkufitar, si dhe të rrisë ndërgjegjësimin e komuniteteve në nivel kombëtar, rajonal dhe lokal, dhe në popullsinë e zonës së programit në përgjithësi. Gjithashtu ai mbështet aktivitete ndërgjegjësimi në nivel kombëtar, me qëllim informimin e qytetarëve në të dy</w:t>
      </w:r>
      <w:r w:rsidR="001E5AF6">
        <w:rPr>
          <w:rFonts w:ascii="Garamond" w:hAnsi="Garamond"/>
          <w:sz w:val="24"/>
          <w:szCs w:val="24"/>
          <w:lang w:val="sq-AL"/>
        </w:rPr>
        <w:t>ja</w:t>
      </w:r>
      <w:r w:rsidRPr="00551729">
        <w:rPr>
          <w:rFonts w:ascii="Garamond" w:hAnsi="Garamond"/>
          <w:sz w:val="24"/>
          <w:szCs w:val="24"/>
          <w:lang w:val="sq-AL"/>
        </w:rPr>
        <w:t xml:space="preserve"> vendet përfitues</w:t>
      </w:r>
      <w:r w:rsidR="001E5AF6">
        <w:rPr>
          <w:rFonts w:ascii="Garamond" w:hAnsi="Garamond"/>
          <w:sz w:val="24"/>
          <w:szCs w:val="24"/>
          <w:lang w:val="sq-AL"/>
        </w:rPr>
        <w:t>e</w:t>
      </w:r>
      <w:r w:rsidRPr="00551729">
        <w:rPr>
          <w:rFonts w:ascii="Garamond" w:hAnsi="Garamond"/>
          <w:sz w:val="24"/>
          <w:szCs w:val="24"/>
          <w:lang w:val="sq-AL"/>
        </w:rPr>
        <w:t xml:space="preserve"> të IPA II. Për më tepër, siç ka treguar përvoja në ciklin e programit 2007-2013, ky prioritet do të forcojë kapacitetin administrativ të autoriteteve dhe përfituesve që do të zbatojnë programin, me qëllim për të përmirësuar pronësinë dhe përshtatshmërinë e programit me rezultatet e projekteve.</w:t>
      </w:r>
    </w:p>
    <w:p w14:paraId="1BADCBF4" w14:textId="6ED571DB"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Alokimi për asistencën teknike do të përdoret për të mbështetur punën e Strukturave Kombëtare Operative (SO) dhe të Komitetit të Përbashkët të Monitorimit (KPM), në sigurimin e fillimit, zbatimit, monitorimit dhe vlerësimit efikas të programeve, si dhe për një përdorim optimal të burimeve. Kjo do të arrihet nëpërmjet krijimit dhe funksionimit të një Sekretariati të Përbashkët Teknik (SPT) me bazë në territorin e Malit të Zi dhe një Zyrë Antena në Shqipëri. SPT do të jetë në krye të menaxhimit të përditshëm të programit dhe do t</w:t>
      </w:r>
      <w:r w:rsidR="007F4192">
        <w:rPr>
          <w:rFonts w:ascii="Garamond" w:hAnsi="Garamond"/>
          <w:sz w:val="24"/>
          <w:szCs w:val="24"/>
          <w:lang w:val="sq-AL"/>
        </w:rPr>
        <w:t>’</w:t>
      </w:r>
      <w:r w:rsidRPr="00551729">
        <w:rPr>
          <w:rFonts w:ascii="Garamond" w:hAnsi="Garamond"/>
          <w:sz w:val="24"/>
          <w:szCs w:val="24"/>
          <w:lang w:val="sq-AL"/>
        </w:rPr>
        <w:t>i raportojë mbi ecurinë e tij SO-ve dhe KPM-së.</w:t>
      </w:r>
    </w:p>
    <w:p w14:paraId="1BADCBF5" w14:textId="77777777" w:rsidR="003360ED" w:rsidRPr="00551729" w:rsidRDefault="003360ED" w:rsidP="003360ED">
      <w:pPr>
        <w:pStyle w:val="TEKSTIII"/>
        <w:rPr>
          <w:b/>
        </w:rPr>
      </w:pPr>
      <w:r w:rsidRPr="00551729">
        <w:rPr>
          <w:b/>
        </w:rPr>
        <w:t>Rezultatet e synuar:</w:t>
      </w:r>
    </w:p>
    <w:p w14:paraId="1BADCBF6" w14:textId="77777777" w:rsidR="003360ED" w:rsidRPr="00551729" w:rsidRDefault="003360ED" w:rsidP="003360ED">
      <w:pPr>
        <w:pStyle w:val="TEKSTIII"/>
        <w:rPr>
          <w:b/>
        </w:rPr>
      </w:pPr>
      <w:r w:rsidRPr="00551729">
        <w:rPr>
          <w:b/>
        </w:rPr>
        <w:t>1. Mbështetja administrative për Strukturat Operative (SO) dhe Komitetin e Përbashkët të Monitorimit (KPM) të programit është</w:t>
      </w:r>
      <w:r w:rsidRPr="00551729">
        <w:rPr>
          <w:b/>
          <w:spacing w:val="-15"/>
        </w:rPr>
        <w:t xml:space="preserve"> </w:t>
      </w:r>
      <w:r w:rsidRPr="00551729">
        <w:rPr>
          <w:b/>
        </w:rPr>
        <w:t>rritur</w:t>
      </w:r>
    </w:p>
    <w:p w14:paraId="1BADCBF7" w14:textId="7DB4CF96" w:rsidR="003360ED" w:rsidRPr="00551729" w:rsidRDefault="003360ED" w:rsidP="003360ED">
      <w:pPr>
        <w:pStyle w:val="TEKSTIII"/>
      </w:pPr>
      <w:r w:rsidRPr="00551729">
        <w:t xml:space="preserve">Ky prioritet do të sigurojë një zbatim normal të programit gjatë të gjitha fazave </w:t>
      </w:r>
      <w:r w:rsidRPr="00551729">
        <w:rPr>
          <w:spacing w:val="3"/>
        </w:rPr>
        <w:t xml:space="preserve">të </w:t>
      </w:r>
      <w:r w:rsidRPr="00551729">
        <w:t>tij. Ai përfshin disponueshmërinë e mjeteve financiare dhe vendosjen e personelit të kualifikuar përgjegjës për të ndihmuar Strukturat Operative dhe Komitetin e Përbashkët të Monitorimit, si dhe krijimin dhe zbatimin e mekanizmave dhe procedurave të menaxhimit, monitorimit dhe kontrollit. Nëse kërkohet, ai</w:t>
      </w:r>
      <w:r w:rsidR="00C521D5" w:rsidRPr="00551729">
        <w:t xml:space="preserve"> </w:t>
      </w:r>
      <w:r w:rsidRPr="00551729">
        <w:t>gjithashtu do të kontribuojë në përgatitjen e ciklit pasardhës financiar</w:t>
      </w:r>
      <w:r w:rsidRPr="00551729">
        <w:rPr>
          <w:spacing w:val="-28"/>
        </w:rPr>
        <w:t xml:space="preserve"> </w:t>
      </w:r>
      <w:r w:rsidRPr="00551729">
        <w:t>(2021-2027).</w:t>
      </w:r>
    </w:p>
    <w:p w14:paraId="1BADCBF8" w14:textId="77777777" w:rsidR="003360ED" w:rsidRPr="00551729" w:rsidRDefault="003360ED" w:rsidP="001004E4">
      <w:pPr>
        <w:pStyle w:val="TEKSTIII"/>
        <w:rPr>
          <w:b/>
        </w:rPr>
      </w:pPr>
    </w:p>
    <w:p w14:paraId="1BADCBF9" w14:textId="77777777" w:rsidR="003360ED" w:rsidRPr="00551729" w:rsidRDefault="003360ED" w:rsidP="001004E4">
      <w:pPr>
        <w:pStyle w:val="TEKSTIII"/>
        <w:rPr>
          <w:b/>
        </w:rPr>
      </w:pPr>
      <w:r w:rsidRPr="00551729">
        <w:rPr>
          <w:b/>
        </w:rPr>
        <w:t>Treguesit e rezultatit:</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2"/>
        <w:gridCol w:w="1464"/>
        <w:gridCol w:w="1172"/>
        <w:gridCol w:w="1570"/>
      </w:tblGrid>
      <w:tr w:rsidR="003360ED" w:rsidRPr="00551729" w14:paraId="1BADCBFE" w14:textId="77777777" w:rsidTr="001004E4">
        <w:trPr>
          <w:trHeight w:hRule="exact" w:val="629"/>
        </w:trPr>
        <w:tc>
          <w:tcPr>
            <w:tcW w:w="5372" w:type="dxa"/>
            <w:shd w:val="clear" w:color="auto" w:fill="FFFFFF" w:themeFill="background1"/>
          </w:tcPr>
          <w:p w14:paraId="1BADCBFA" w14:textId="77777777" w:rsidR="003360ED" w:rsidRPr="00551729" w:rsidRDefault="003360ED" w:rsidP="00B628D7">
            <w:pPr>
              <w:pStyle w:val="TableParagraph"/>
              <w:ind w:firstLine="284"/>
              <w:rPr>
                <w:rFonts w:ascii="Garamond" w:hAnsi="Garamond"/>
                <w:b/>
                <w:i/>
                <w:sz w:val="24"/>
                <w:szCs w:val="24"/>
                <w:lang w:val="sq-AL"/>
              </w:rPr>
            </w:pPr>
            <w:r w:rsidRPr="00551729">
              <w:rPr>
                <w:rFonts w:ascii="Garamond" w:hAnsi="Garamond"/>
                <w:b/>
                <w:i/>
                <w:sz w:val="24"/>
                <w:szCs w:val="24"/>
                <w:lang w:val="sq-AL"/>
              </w:rPr>
              <w:t>Treguesi</w:t>
            </w:r>
          </w:p>
        </w:tc>
        <w:tc>
          <w:tcPr>
            <w:tcW w:w="1464" w:type="dxa"/>
            <w:shd w:val="clear" w:color="auto" w:fill="FFFFFF" w:themeFill="background1"/>
          </w:tcPr>
          <w:p w14:paraId="1BADCBFB" w14:textId="77777777" w:rsidR="003360ED" w:rsidRPr="00551729" w:rsidRDefault="003360ED" w:rsidP="00B628D7">
            <w:pPr>
              <w:pStyle w:val="TableParagraph"/>
              <w:ind w:firstLine="284"/>
              <w:rPr>
                <w:rFonts w:ascii="Garamond" w:hAnsi="Garamond"/>
                <w:b/>
                <w:i/>
                <w:sz w:val="24"/>
                <w:szCs w:val="24"/>
                <w:lang w:val="sq-AL"/>
              </w:rPr>
            </w:pPr>
            <w:r w:rsidRPr="00551729">
              <w:rPr>
                <w:rFonts w:ascii="Garamond" w:hAnsi="Garamond"/>
                <w:b/>
                <w:i/>
                <w:sz w:val="24"/>
                <w:szCs w:val="24"/>
                <w:lang w:val="sq-AL"/>
              </w:rPr>
              <w:t>Njësia</w:t>
            </w:r>
          </w:p>
        </w:tc>
        <w:tc>
          <w:tcPr>
            <w:tcW w:w="1172" w:type="dxa"/>
            <w:shd w:val="clear" w:color="auto" w:fill="FFFFFF" w:themeFill="background1"/>
          </w:tcPr>
          <w:p w14:paraId="1BADCBFC" w14:textId="77777777" w:rsidR="003360ED" w:rsidRPr="00551729" w:rsidRDefault="003360ED" w:rsidP="00B628D7">
            <w:pPr>
              <w:pStyle w:val="TableParagraph"/>
              <w:ind w:firstLine="284"/>
              <w:rPr>
                <w:rFonts w:ascii="Garamond" w:hAnsi="Garamond"/>
                <w:b/>
                <w:i/>
                <w:sz w:val="24"/>
                <w:szCs w:val="24"/>
                <w:lang w:val="sq-AL"/>
              </w:rPr>
            </w:pPr>
            <w:r w:rsidRPr="00551729">
              <w:rPr>
                <w:rFonts w:ascii="Garamond" w:hAnsi="Garamond"/>
                <w:b/>
                <w:i/>
                <w:sz w:val="24"/>
                <w:szCs w:val="24"/>
                <w:lang w:val="sq-AL"/>
              </w:rPr>
              <w:t>Baza</w:t>
            </w:r>
          </w:p>
        </w:tc>
        <w:tc>
          <w:tcPr>
            <w:tcW w:w="1570" w:type="dxa"/>
            <w:shd w:val="clear" w:color="auto" w:fill="FFFFFF" w:themeFill="background1"/>
          </w:tcPr>
          <w:p w14:paraId="1BADCBFD" w14:textId="77777777" w:rsidR="003360ED" w:rsidRPr="00551729" w:rsidRDefault="003360ED" w:rsidP="00B628D7">
            <w:pPr>
              <w:pStyle w:val="TableParagraph"/>
              <w:ind w:firstLine="284"/>
              <w:rPr>
                <w:rFonts w:ascii="Garamond" w:hAnsi="Garamond"/>
                <w:b/>
                <w:i/>
                <w:sz w:val="24"/>
                <w:szCs w:val="24"/>
                <w:lang w:val="sq-AL"/>
              </w:rPr>
            </w:pPr>
            <w:r w:rsidRPr="00551729">
              <w:rPr>
                <w:rFonts w:ascii="Garamond" w:hAnsi="Garamond"/>
                <w:b/>
                <w:i/>
                <w:sz w:val="24"/>
                <w:szCs w:val="24"/>
                <w:lang w:val="sq-AL"/>
              </w:rPr>
              <w:t>Synimi deri në 2022</w:t>
            </w:r>
          </w:p>
        </w:tc>
      </w:tr>
      <w:tr w:rsidR="003360ED" w:rsidRPr="00551729" w14:paraId="1BADCC03" w14:textId="77777777" w:rsidTr="001004E4">
        <w:trPr>
          <w:trHeight w:hRule="exact" w:val="888"/>
        </w:trPr>
        <w:tc>
          <w:tcPr>
            <w:tcW w:w="5372" w:type="dxa"/>
            <w:shd w:val="clear" w:color="auto" w:fill="FFFFFF" w:themeFill="background1"/>
          </w:tcPr>
          <w:p w14:paraId="1BADCBFF" w14:textId="77777777" w:rsidR="003360ED" w:rsidRPr="00551729" w:rsidRDefault="003360ED" w:rsidP="00B628D7">
            <w:pPr>
              <w:pStyle w:val="TableParagraph"/>
              <w:ind w:firstLine="284"/>
              <w:rPr>
                <w:rFonts w:ascii="Garamond" w:hAnsi="Garamond"/>
                <w:sz w:val="24"/>
                <w:szCs w:val="24"/>
                <w:lang w:val="sq-AL"/>
              </w:rPr>
            </w:pPr>
            <w:r w:rsidRPr="00551729">
              <w:rPr>
                <w:rFonts w:ascii="Garamond" w:hAnsi="Garamond"/>
                <w:sz w:val="24"/>
                <w:szCs w:val="24"/>
                <w:lang w:val="sq-AL"/>
              </w:rPr>
              <w:t>Përqindja mesatare e përfituesve të kënaqur me mbështetjen nga programi i zbatuar</w:t>
            </w:r>
            <w:r w:rsidR="00B628D7" w:rsidRPr="00551729">
              <w:rPr>
                <w:rStyle w:val="FootnoteReference"/>
                <w:rFonts w:ascii="Garamond" w:hAnsi="Garamond"/>
                <w:sz w:val="24"/>
                <w:szCs w:val="24"/>
                <w:lang w:val="sq-AL"/>
              </w:rPr>
              <w:footnoteReference w:id="34"/>
            </w:r>
            <w:r w:rsidRPr="00551729">
              <w:rPr>
                <w:rFonts w:ascii="Garamond" w:hAnsi="Garamond"/>
                <w:position w:val="6"/>
                <w:sz w:val="24"/>
                <w:szCs w:val="24"/>
                <w:lang w:val="sq-AL"/>
              </w:rPr>
              <w:t>**</w:t>
            </w:r>
          </w:p>
        </w:tc>
        <w:tc>
          <w:tcPr>
            <w:tcW w:w="1464" w:type="dxa"/>
            <w:shd w:val="clear" w:color="auto" w:fill="FFFFFF" w:themeFill="background1"/>
          </w:tcPr>
          <w:p w14:paraId="1BADCC00" w14:textId="77777777" w:rsidR="003360ED" w:rsidRPr="00551729" w:rsidRDefault="003360ED" w:rsidP="00B628D7">
            <w:pPr>
              <w:pStyle w:val="TableParagraph"/>
              <w:ind w:firstLine="284"/>
              <w:rPr>
                <w:rFonts w:ascii="Garamond" w:hAnsi="Garamond"/>
                <w:sz w:val="24"/>
                <w:szCs w:val="24"/>
                <w:lang w:val="sq-AL"/>
              </w:rPr>
            </w:pPr>
            <w:r w:rsidRPr="00551729">
              <w:rPr>
                <w:rFonts w:ascii="Garamond" w:hAnsi="Garamond"/>
                <w:sz w:val="24"/>
                <w:szCs w:val="24"/>
                <w:lang w:val="sq-AL"/>
              </w:rPr>
              <w:t>Përqindje</w:t>
            </w:r>
          </w:p>
        </w:tc>
        <w:tc>
          <w:tcPr>
            <w:tcW w:w="1172" w:type="dxa"/>
            <w:shd w:val="clear" w:color="auto" w:fill="FFFFFF" w:themeFill="background1"/>
          </w:tcPr>
          <w:p w14:paraId="1BADCC01" w14:textId="77777777" w:rsidR="003360ED" w:rsidRPr="00551729" w:rsidRDefault="003360ED" w:rsidP="00B628D7">
            <w:pPr>
              <w:pStyle w:val="TableParagraph"/>
              <w:ind w:firstLine="284"/>
              <w:rPr>
                <w:rFonts w:ascii="Garamond" w:hAnsi="Garamond"/>
                <w:sz w:val="24"/>
                <w:szCs w:val="24"/>
                <w:lang w:val="sq-AL"/>
              </w:rPr>
            </w:pPr>
            <w:r w:rsidRPr="00551729">
              <w:rPr>
                <w:rFonts w:ascii="Garamond" w:hAnsi="Garamond"/>
                <w:sz w:val="24"/>
                <w:szCs w:val="24"/>
                <w:lang w:val="sq-AL"/>
              </w:rPr>
              <w:t>Nuk ka të dhëna</w:t>
            </w:r>
          </w:p>
        </w:tc>
        <w:tc>
          <w:tcPr>
            <w:tcW w:w="1570" w:type="dxa"/>
            <w:shd w:val="clear" w:color="auto" w:fill="FFFFFF" w:themeFill="background1"/>
          </w:tcPr>
          <w:p w14:paraId="1BADCC02" w14:textId="77777777" w:rsidR="003360ED" w:rsidRPr="00551729" w:rsidRDefault="003360ED" w:rsidP="00B628D7">
            <w:pPr>
              <w:pStyle w:val="TableParagraph"/>
              <w:ind w:firstLine="284"/>
              <w:jc w:val="center"/>
              <w:rPr>
                <w:rFonts w:ascii="Garamond" w:hAnsi="Garamond"/>
                <w:sz w:val="24"/>
                <w:szCs w:val="24"/>
                <w:lang w:val="sq-AL"/>
              </w:rPr>
            </w:pPr>
            <w:r w:rsidRPr="00551729">
              <w:rPr>
                <w:rFonts w:ascii="Garamond" w:hAnsi="Garamond"/>
                <w:sz w:val="24"/>
                <w:szCs w:val="24"/>
                <w:lang w:val="sq-AL"/>
              </w:rPr>
              <w:t>80%</w:t>
            </w:r>
          </w:p>
        </w:tc>
      </w:tr>
    </w:tbl>
    <w:p w14:paraId="1BADCC04" w14:textId="77777777" w:rsidR="003360ED" w:rsidRPr="00551729" w:rsidRDefault="001004E4" w:rsidP="001004E4">
      <w:pPr>
        <w:pStyle w:val="TEKSTIII"/>
        <w:rPr>
          <w:b/>
        </w:rPr>
      </w:pPr>
      <w:r w:rsidRPr="00551729">
        <w:rPr>
          <w:b/>
        </w:rPr>
        <w:t xml:space="preserve">2. </w:t>
      </w:r>
      <w:r w:rsidR="003360ED" w:rsidRPr="00551729">
        <w:rPr>
          <w:b/>
        </w:rPr>
        <w:t>Kapaciteti</w:t>
      </w:r>
      <w:r w:rsidR="003360ED" w:rsidRPr="00551729">
        <w:rPr>
          <w:b/>
          <w:spacing w:val="-5"/>
        </w:rPr>
        <w:t xml:space="preserve"> </w:t>
      </w:r>
      <w:r w:rsidR="003360ED" w:rsidRPr="00551729">
        <w:rPr>
          <w:b/>
        </w:rPr>
        <w:t>teknik</w:t>
      </w:r>
      <w:r w:rsidR="003360ED" w:rsidRPr="00551729">
        <w:rPr>
          <w:b/>
          <w:spacing w:val="-4"/>
        </w:rPr>
        <w:t xml:space="preserve"> </w:t>
      </w:r>
      <w:r w:rsidR="003360ED" w:rsidRPr="00551729">
        <w:rPr>
          <w:b/>
        </w:rPr>
        <w:t>dhe</w:t>
      </w:r>
      <w:r w:rsidR="003360ED" w:rsidRPr="00551729">
        <w:rPr>
          <w:b/>
          <w:spacing w:val="-4"/>
        </w:rPr>
        <w:t xml:space="preserve"> </w:t>
      </w:r>
      <w:r w:rsidR="003360ED" w:rsidRPr="00551729">
        <w:rPr>
          <w:b/>
        </w:rPr>
        <w:t>administrativ</w:t>
      </w:r>
      <w:r w:rsidR="003360ED" w:rsidRPr="00551729">
        <w:rPr>
          <w:b/>
          <w:spacing w:val="-3"/>
        </w:rPr>
        <w:t xml:space="preserve"> </w:t>
      </w:r>
      <w:r w:rsidR="003360ED" w:rsidRPr="00551729">
        <w:rPr>
          <w:b/>
        </w:rPr>
        <w:t>për</w:t>
      </w:r>
      <w:r w:rsidR="003360ED" w:rsidRPr="00551729">
        <w:rPr>
          <w:b/>
          <w:spacing w:val="-4"/>
        </w:rPr>
        <w:t xml:space="preserve"> </w:t>
      </w:r>
      <w:r w:rsidR="003360ED" w:rsidRPr="00551729">
        <w:rPr>
          <w:b/>
        </w:rPr>
        <w:t>menaxhimin</w:t>
      </w:r>
      <w:r w:rsidR="003360ED" w:rsidRPr="00551729">
        <w:rPr>
          <w:b/>
          <w:spacing w:val="-4"/>
        </w:rPr>
        <w:t xml:space="preserve"> </w:t>
      </w:r>
      <w:r w:rsidR="003360ED" w:rsidRPr="00551729">
        <w:rPr>
          <w:b/>
        </w:rPr>
        <w:t>dhe</w:t>
      </w:r>
      <w:r w:rsidR="003360ED" w:rsidRPr="00551729">
        <w:rPr>
          <w:b/>
          <w:spacing w:val="-4"/>
        </w:rPr>
        <w:t xml:space="preserve"> </w:t>
      </w:r>
      <w:r w:rsidR="003360ED" w:rsidRPr="00551729">
        <w:rPr>
          <w:b/>
        </w:rPr>
        <w:t>zbatimin</w:t>
      </w:r>
      <w:r w:rsidR="003360ED" w:rsidRPr="00551729">
        <w:rPr>
          <w:b/>
          <w:spacing w:val="-4"/>
        </w:rPr>
        <w:t xml:space="preserve"> </w:t>
      </w:r>
      <w:r w:rsidR="003360ED" w:rsidRPr="00551729">
        <w:rPr>
          <w:b/>
        </w:rPr>
        <w:t>e</w:t>
      </w:r>
      <w:r w:rsidR="003360ED" w:rsidRPr="00551729">
        <w:rPr>
          <w:b/>
          <w:spacing w:val="-4"/>
        </w:rPr>
        <w:t xml:space="preserve"> </w:t>
      </w:r>
      <w:r w:rsidR="003360ED" w:rsidRPr="00551729">
        <w:rPr>
          <w:b/>
        </w:rPr>
        <w:t>programit</w:t>
      </w:r>
      <w:r w:rsidR="003360ED" w:rsidRPr="00551729">
        <w:rPr>
          <w:b/>
          <w:spacing w:val="-4"/>
        </w:rPr>
        <w:t xml:space="preserve"> </w:t>
      </w:r>
      <w:r w:rsidR="003360ED" w:rsidRPr="00551729">
        <w:rPr>
          <w:b/>
        </w:rPr>
        <w:t>është</w:t>
      </w:r>
      <w:r w:rsidR="003360ED" w:rsidRPr="00551729">
        <w:rPr>
          <w:b/>
          <w:spacing w:val="-4"/>
        </w:rPr>
        <w:t xml:space="preserve"> </w:t>
      </w:r>
      <w:r w:rsidR="003360ED" w:rsidRPr="00551729">
        <w:rPr>
          <w:b/>
        </w:rPr>
        <w:t>rritur</w:t>
      </w:r>
    </w:p>
    <w:p w14:paraId="1BADCC05" w14:textId="77777777" w:rsidR="003360ED" w:rsidRPr="00551729" w:rsidRDefault="003360ED" w:rsidP="001004E4">
      <w:pPr>
        <w:pStyle w:val="TEKSTIII"/>
      </w:pPr>
      <w:r w:rsidRPr="00551729">
        <w:t>Ky prioritet do të ofrojë mundësi për përmirësimin e kompetencave dhe aftësive të strukturave menaxhuese të programeve, si dhe të aplikantëve të mundshëm dhe përfituesve të granteve. Aktivitete specifike për ngritjen e kapaciteteve do të planifikohen dhe zbatohen në bazë të nevojave të identifikuara gjatë zbatimit të programit. Si pjesë e mësimeve të nxjerra nga cikli i programit 2007-2013,</w:t>
      </w:r>
    </w:p>
    <w:p w14:paraId="1BADCC06" w14:textId="543F0C1A" w:rsidR="003360ED" w:rsidRPr="00551729" w:rsidRDefault="003360ED" w:rsidP="001004E4">
      <w:pPr>
        <w:pStyle w:val="TEKSTIII"/>
      </w:pPr>
      <w:r w:rsidRPr="00551729">
        <w:t>i</w:t>
      </w:r>
      <w:r w:rsidR="00522D0E">
        <w:t>.</w:t>
      </w:r>
      <w:r w:rsidRPr="00551729">
        <w:t xml:space="preserve"> do të pritet një pjesëmarrje në rritje e anëtarëve të KPM në detyrat e përcaktuara nën kuadrin ligjor</w:t>
      </w:r>
      <w:r w:rsidR="00C521D5" w:rsidRPr="00551729">
        <w:t xml:space="preserve"> </w:t>
      </w:r>
      <w:r w:rsidR="00522D0E">
        <w:t xml:space="preserve">të IPA II; </w:t>
      </w:r>
      <w:r w:rsidRPr="00551729">
        <w:t>ii</w:t>
      </w:r>
      <w:r w:rsidR="00522D0E">
        <w:t xml:space="preserve">. </w:t>
      </w:r>
      <w:r w:rsidRPr="00551729">
        <w:t xml:space="preserve">kapaciteti i aplikantëve të mundshëm për zhvillimin e partneriteteve të qëndrueshme </w:t>
      </w:r>
      <w:r w:rsidR="00522D0E">
        <w:t xml:space="preserve">ndërkufitare do të rritet; dhe </w:t>
      </w:r>
      <w:r w:rsidRPr="00551729">
        <w:t>iii</w:t>
      </w:r>
      <w:r w:rsidR="00522D0E">
        <w:t>.</w:t>
      </w:r>
      <w:r w:rsidRPr="00551729">
        <w:t xml:space="preserve"> kapaciteti i përfituesve të granteve për të përmbushur detyrimet e kontratave të tyre në mënyrë të kënaqshme, të do të</w:t>
      </w:r>
      <w:r w:rsidRPr="00551729">
        <w:rPr>
          <w:spacing w:val="-15"/>
        </w:rPr>
        <w:t xml:space="preserve"> </w:t>
      </w:r>
      <w:r w:rsidRPr="00551729">
        <w:t>përforcohet.</w:t>
      </w:r>
    </w:p>
    <w:p w14:paraId="1BADCC07" w14:textId="77777777" w:rsidR="003360ED" w:rsidRDefault="003360ED" w:rsidP="001004E4">
      <w:pPr>
        <w:pStyle w:val="TEKSTIII"/>
      </w:pPr>
    </w:p>
    <w:p w14:paraId="064189D5" w14:textId="77777777" w:rsidR="00524E24" w:rsidRDefault="00524E24" w:rsidP="001004E4">
      <w:pPr>
        <w:pStyle w:val="TEKSTIII"/>
      </w:pPr>
    </w:p>
    <w:p w14:paraId="1B515758" w14:textId="77777777" w:rsidR="00524E24" w:rsidRDefault="00524E24" w:rsidP="001004E4">
      <w:pPr>
        <w:pStyle w:val="TEKSTIII"/>
      </w:pPr>
    </w:p>
    <w:p w14:paraId="1A908FD5" w14:textId="77777777" w:rsidR="00524E24" w:rsidRPr="00551729" w:rsidRDefault="00524E24" w:rsidP="001004E4">
      <w:pPr>
        <w:pStyle w:val="TEKSTIII"/>
      </w:pPr>
    </w:p>
    <w:p w14:paraId="1BADCC08" w14:textId="77777777" w:rsidR="003360ED" w:rsidRPr="00551729" w:rsidRDefault="003360ED" w:rsidP="001004E4">
      <w:pPr>
        <w:pStyle w:val="TEKSTIII"/>
        <w:rPr>
          <w:b/>
        </w:rPr>
      </w:pPr>
      <w:r w:rsidRPr="00551729">
        <w:rPr>
          <w:b/>
        </w:rPr>
        <w:t>Treguesit e rezultatit: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1E0" w:firstRow="1" w:lastRow="1" w:firstColumn="1" w:lastColumn="1" w:noHBand="0" w:noVBand="0"/>
      </w:tblPr>
      <w:tblGrid>
        <w:gridCol w:w="5032"/>
        <w:gridCol w:w="1077"/>
        <w:gridCol w:w="1001"/>
        <w:gridCol w:w="1926"/>
      </w:tblGrid>
      <w:tr w:rsidR="003360ED" w:rsidRPr="00551729" w14:paraId="1BADCC0D" w14:textId="77777777" w:rsidTr="00E3373A">
        <w:trPr>
          <w:trHeight w:hRule="exact" w:val="519"/>
          <w:jc w:val="center"/>
        </w:trPr>
        <w:tc>
          <w:tcPr>
            <w:tcW w:w="2783" w:type="pct"/>
            <w:shd w:val="clear" w:color="auto" w:fill="FFFFFF" w:themeFill="background1"/>
            <w:vAlign w:val="center"/>
          </w:tcPr>
          <w:p w14:paraId="1BADCC09" w14:textId="77777777" w:rsidR="003360ED" w:rsidRPr="00E3373A" w:rsidRDefault="003360ED" w:rsidP="00E3373A">
            <w:pPr>
              <w:pStyle w:val="TableParagraph"/>
              <w:jc w:val="center"/>
              <w:rPr>
                <w:rFonts w:ascii="Garamond" w:hAnsi="Garamond"/>
                <w:b/>
                <w:sz w:val="20"/>
                <w:szCs w:val="24"/>
                <w:lang w:val="sq-AL"/>
              </w:rPr>
            </w:pPr>
            <w:r w:rsidRPr="00E3373A">
              <w:rPr>
                <w:rFonts w:ascii="Garamond" w:hAnsi="Garamond"/>
                <w:b/>
                <w:sz w:val="20"/>
                <w:szCs w:val="24"/>
                <w:lang w:val="sq-AL"/>
              </w:rPr>
              <w:t>Treguesi</w:t>
            </w:r>
          </w:p>
        </w:tc>
        <w:tc>
          <w:tcPr>
            <w:tcW w:w="596" w:type="pct"/>
            <w:shd w:val="clear" w:color="auto" w:fill="FFFFFF" w:themeFill="background1"/>
            <w:vAlign w:val="center"/>
          </w:tcPr>
          <w:p w14:paraId="1BADCC0A" w14:textId="77777777" w:rsidR="003360ED" w:rsidRPr="00E3373A" w:rsidRDefault="003360ED" w:rsidP="00E3373A">
            <w:pPr>
              <w:pStyle w:val="TableParagraph"/>
              <w:jc w:val="center"/>
              <w:rPr>
                <w:rFonts w:ascii="Garamond" w:hAnsi="Garamond"/>
                <w:b/>
                <w:sz w:val="20"/>
                <w:szCs w:val="24"/>
                <w:lang w:val="sq-AL"/>
              </w:rPr>
            </w:pPr>
            <w:r w:rsidRPr="00E3373A">
              <w:rPr>
                <w:rFonts w:ascii="Garamond" w:hAnsi="Garamond"/>
                <w:b/>
                <w:sz w:val="20"/>
                <w:szCs w:val="24"/>
                <w:lang w:val="sq-AL"/>
              </w:rPr>
              <w:t>Njësia</w:t>
            </w:r>
          </w:p>
        </w:tc>
        <w:tc>
          <w:tcPr>
            <w:tcW w:w="554" w:type="pct"/>
            <w:shd w:val="clear" w:color="auto" w:fill="FFFFFF" w:themeFill="background1"/>
            <w:vAlign w:val="center"/>
          </w:tcPr>
          <w:p w14:paraId="1BADCC0B" w14:textId="77777777" w:rsidR="003360ED" w:rsidRPr="00E3373A" w:rsidRDefault="003360ED" w:rsidP="00E3373A">
            <w:pPr>
              <w:pStyle w:val="TableParagraph"/>
              <w:jc w:val="center"/>
              <w:rPr>
                <w:rFonts w:ascii="Garamond" w:hAnsi="Garamond"/>
                <w:b/>
                <w:sz w:val="20"/>
                <w:szCs w:val="24"/>
                <w:lang w:val="sq-AL"/>
              </w:rPr>
            </w:pPr>
            <w:r w:rsidRPr="00E3373A">
              <w:rPr>
                <w:rFonts w:ascii="Garamond" w:hAnsi="Garamond"/>
                <w:b/>
                <w:sz w:val="20"/>
                <w:szCs w:val="24"/>
                <w:lang w:val="sq-AL"/>
              </w:rPr>
              <w:t>Baza</w:t>
            </w:r>
          </w:p>
        </w:tc>
        <w:tc>
          <w:tcPr>
            <w:tcW w:w="1066" w:type="pct"/>
            <w:shd w:val="clear" w:color="auto" w:fill="FFFFFF" w:themeFill="background1"/>
            <w:vAlign w:val="center"/>
          </w:tcPr>
          <w:p w14:paraId="1BADCC0C" w14:textId="77777777" w:rsidR="003360ED" w:rsidRPr="00E3373A" w:rsidRDefault="003360ED" w:rsidP="00E3373A">
            <w:pPr>
              <w:pStyle w:val="TableParagraph"/>
              <w:jc w:val="center"/>
              <w:rPr>
                <w:rFonts w:ascii="Garamond" w:hAnsi="Garamond"/>
                <w:b/>
                <w:sz w:val="20"/>
                <w:szCs w:val="24"/>
                <w:lang w:val="sq-AL"/>
              </w:rPr>
            </w:pPr>
            <w:r w:rsidRPr="00E3373A">
              <w:rPr>
                <w:rFonts w:ascii="Garamond" w:hAnsi="Garamond"/>
                <w:b/>
                <w:sz w:val="20"/>
                <w:szCs w:val="24"/>
                <w:lang w:val="sq-AL"/>
              </w:rPr>
              <w:t>Synimi deri në 2022</w:t>
            </w:r>
          </w:p>
        </w:tc>
      </w:tr>
      <w:tr w:rsidR="003360ED" w:rsidRPr="00551729" w14:paraId="1BADCC12" w14:textId="77777777" w:rsidTr="00FC51BF">
        <w:trPr>
          <w:trHeight w:hRule="exact" w:val="568"/>
          <w:jc w:val="center"/>
        </w:trPr>
        <w:tc>
          <w:tcPr>
            <w:tcW w:w="2783" w:type="pct"/>
            <w:shd w:val="clear" w:color="auto" w:fill="FFFFFF" w:themeFill="background1"/>
          </w:tcPr>
          <w:p w14:paraId="1BADCC0E" w14:textId="77777777" w:rsidR="003360ED" w:rsidRPr="00551729" w:rsidRDefault="003360ED" w:rsidP="00B628D7">
            <w:pPr>
              <w:pStyle w:val="TableParagraph"/>
              <w:rPr>
                <w:rFonts w:ascii="Garamond" w:hAnsi="Garamond"/>
                <w:sz w:val="20"/>
                <w:szCs w:val="24"/>
                <w:lang w:val="sq-AL"/>
              </w:rPr>
            </w:pPr>
            <w:r w:rsidRPr="00551729">
              <w:rPr>
                <w:rFonts w:ascii="Garamond" w:hAnsi="Garamond"/>
                <w:sz w:val="20"/>
                <w:szCs w:val="24"/>
                <w:lang w:val="sq-AL"/>
              </w:rPr>
              <w:t>Rritja mesatare e numrit të propozimeve të marra në kuadër të çdo thirrje të njëpasnjëshme*</w:t>
            </w:r>
          </w:p>
        </w:tc>
        <w:tc>
          <w:tcPr>
            <w:tcW w:w="596" w:type="pct"/>
            <w:shd w:val="clear" w:color="auto" w:fill="FFFFFF" w:themeFill="background1"/>
          </w:tcPr>
          <w:p w14:paraId="1BADCC0F" w14:textId="77777777" w:rsidR="003360ED" w:rsidRPr="00551729" w:rsidRDefault="003360ED" w:rsidP="00B628D7">
            <w:pPr>
              <w:pStyle w:val="TableParagraph"/>
              <w:rPr>
                <w:rFonts w:ascii="Garamond" w:hAnsi="Garamond"/>
                <w:sz w:val="20"/>
                <w:szCs w:val="24"/>
                <w:lang w:val="sq-AL"/>
              </w:rPr>
            </w:pPr>
            <w:r w:rsidRPr="00551729">
              <w:rPr>
                <w:rFonts w:ascii="Garamond" w:hAnsi="Garamond"/>
                <w:sz w:val="20"/>
                <w:szCs w:val="24"/>
                <w:lang w:val="sq-AL"/>
              </w:rPr>
              <w:t>Përqindje</w:t>
            </w:r>
          </w:p>
        </w:tc>
        <w:tc>
          <w:tcPr>
            <w:tcW w:w="554" w:type="pct"/>
            <w:shd w:val="clear" w:color="auto" w:fill="FFFFFF" w:themeFill="background1"/>
          </w:tcPr>
          <w:p w14:paraId="1BADCC10" w14:textId="77777777" w:rsidR="003360ED" w:rsidRPr="00551729" w:rsidRDefault="003360ED" w:rsidP="00B628D7">
            <w:pPr>
              <w:pStyle w:val="TableParagraph"/>
              <w:rPr>
                <w:rFonts w:ascii="Garamond" w:hAnsi="Garamond"/>
                <w:sz w:val="20"/>
                <w:szCs w:val="24"/>
                <w:lang w:val="sq-AL"/>
              </w:rPr>
            </w:pPr>
            <w:r w:rsidRPr="00551729">
              <w:rPr>
                <w:rFonts w:ascii="Garamond" w:hAnsi="Garamond"/>
                <w:sz w:val="20"/>
                <w:szCs w:val="24"/>
                <w:lang w:val="sq-AL"/>
              </w:rPr>
              <w:t>Nuk ka të dhëna</w:t>
            </w:r>
          </w:p>
        </w:tc>
        <w:tc>
          <w:tcPr>
            <w:tcW w:w="1066" w:type="pct"/>
            <w:shd w:val="clear" w:color="auto" w:fill="FFFFFF" w:themeFill="background1"/>
          </w:tcPr>
          <w:p w14:paraId="1BADCC11" w14:textId="77777777" w:rsidR="003360ED" w:rsidRPr="00551729" w:rsidRDefault="003360ED" w:rsidP="00B628D7">
            <w:pPr>
              <w:pStyle w:val="TableParagraph"/>
              <w:jc w:val="right"/>
              <w:rPr>
                <w:rFonts w:ascii="Garamond" w:hAnsi="Garamond"/>
                <w:sz w:val="20"/>
                <w:szCs w:val="24"/>
                <w:lang w:val="sq-AL"/>
              </w:rPr>
            </w:pPr>
            <w:r w:rsidRPr="00551729">
              <w:rPr>
                <w:rFonts w:ascii="Garamond" w:hAnsi="Garamond"/>
                <w:sz w:val="20"/>
                <w:szCs w:val="24"/>
                <w:lang w:val="sq-AL"/>
              </w:rPr>
              <w:t>Nuk ka të dhëna*</w:t>
            </w:r>
          </w:p>
        </w:tc>
      </w:tr>
      <w:tr w:rsidR="003360ED" w:rsidRPr="00551729" w14:paraId="1BADCC17" w14:textId="77777777" w:rsidTr="00E3373A">
        <w:trPr>
          <w:trHeight w:hRule="exact" w:val="567"/>
          <w:jc w:val="center"/>
        </w:trPr>
        <w:tc>
          <w:tcPr>
            <w:tcW w:w="2783" w:type="pct"/>
            <w:shd w:val="clear" w:color="auto" w:fill="FFFFFF" w:themeFill="background1"/>
          </w:tcPr>
          <w:p w14:paraId="1BADCC13" w14:textId="77777777" w:rsidR="003360ED" w:rsidRPr="00551729" w:rsidRDefault="003360ED" w:rsidP="00B628D7">
            <w:pPr>
              <w:pStyle w:val="TableParagraph"/>
              <w:rPr>
                <w:rFonts w:ascii="Garamond" w:hAnsi="Garamond"/>
                <w:sz w:val="20"/>
                <w:szCs w:val="24"/>
                <w:lang w:val="sq-AL"/>
              </w:rPr>
            </w:pPr>
            <w:r w:rsidRPr="00551729">
              <w:rPr>
                <w:rFonts w:ascii="Garamond" w:hAnsi="Garamond"/>
                <w:sz w:val="20"/>
                <w:szCs w:val="24"/>
                <w:lang w:val="sq-AL"/>
              </w:rPr>
              <w:t>Rritja mesatare e numrit të koncept ideve që do të kualifikohen për vlerësim të mëtejshëm</w:t>
            </w:r>
          </w:p>
        </w:tc>
        <w:tc>
          <w:tcPr>
            <w:tcW w:w="596" w:type="pct"/>
            <w:shd w:val="clear" w:color="auto" w:fill="FFFFFF" w:themeFill="background1"/>
          </w:tcPr>
          <w:p w14:paraId="1BADCC14" w14:textId="77777777" w:rsidR="003360ED" w:rsidRPr="00551729" w:rsidRDefault="003360ED" w:rsidP="00B628D7">
            <w:pPr>
              <w:pStyle w:val="TableParagraph"/>
              <w:rPr>
                <w:rFonts w:ascii="Garamond" w:hAnsi="Garamond"/>
                <w:sz w:val="20"/>
                <w:szCs w:val="24"/>
                <w:lang w:val="sq-AL"/>
              </w:rPr>
            </w:pPr>
            <w:r w:rsidRPr="00551729">
              <w:rPr>
                <w:rFonts w:ascii="Garamond" w:hAnsi="Garamond"/>
                <w:sz w:val="20"/>
                <w:szCs w:val="24"/>
                <w:lang w:val="sq-AL"/>
              </w:rPr>
              <w:t>Përqindje</w:t>
            </w:r>
          </w:p>
        </w:tc>
        <w:tc>
          <w:tcPr>
            <w:tcW w:w="554" w:type="pct"/>
            <w:shd w:val="clear" w:color="auto" w:fill="FFFFFF" w:themeFill="background1"/>
          </w:tcPr>
          <w:p w14:paraId="1BADCC15" w14:textId="77777777" w:rsidR="003360ED" w:rsidRPr="00551729" w:rsidRDefault="003360ED" w:rsidP="00B628D7">
            <w:pPr>
              <w:pStyle w:val="TableParagraph"/>
              <w:jc w:val="right"/>
              <w:rPr>
                <w:rFonts w:ascii="Garamond" w:hAnsi="Garamond"/>
                <w:sz w:val="20"/>
                <w:szCs w:val="24"/>
                <w:lang w:val="sq-AL"/>
              </w:rPr>
            </w:pPr>
            <w:r w:rsidRPr="00551729">
              <w:rPr>
                <w:rFonts w:ascii="Garamond" w:hAnsi="Garamond"/>
                <w:sz w:val="20"/>
                <w:szCs w:val="24"/>
                <w:lang w:val="sq-AL"/>
              </w:rPr>
              <w:t>0</w:t>
            </w:r>
          </w:p>
        </w:tc>
        <w:tc>
          <w:tcPr>
            <w:tcW w:w="1066" w:type="pct"/>
            <w:shd w:val="clear" w:color="auto" w:fill="FFFFFF" w:themeFill="background1"/>
          </w:tcPr>
          <w:p w14:paraId="1BADCC16" w14:textId="77777777" w:rsidR="003360ED" w:rsidRPr="00551729" w:rsidRDefault="003360ED" w:rsidP="00B628D7">
            <w:pPr>
              <w:pStyle w:val="TableParagraph"/>
              <w:jc w:val="center"/>
              <w:rPr>
                <w:rFonts w:ascii="Garamond" w:hAnsi="Garamond"/>
                <w:sz w:val="20"/>
                <w:szCs w:val="24"/>
                <w:lang w:val="sq-AL"/>
              </w:rPr>
            </w:pPr>
            <w:r w:rsidRPr="00551729">
              <w:rPr>
                <w:rFonts w:ascii="Garamond" w:hAnsi="Garamond"/>
                <w:sz w:val="20"/>
                <w:szCs w:val="24"/>
                <w:lang w:val="sq-AL"/>
              </w:rPr>
              <w:t>10%</w:t>
            </w:r>
          </w:p>
        </w:tc>
      </w:tr>
    </w:tbl>
    <w:p w14:paraId="1BADCC18" w14:textId="644A6A7F" w:rsidR="003360ED" w:rsidRPr="00551729" w:rsidRDefault="00B628D7" w:rsidP="003360ED">
      <w:pPr>
        <w:spacing w:after="0" w:line="240" w:lineRule="auto"/>
        <w:ind w:firstLine="284"/>
        <w:jc w:val="both"/>
        <w:rPr>
          <w:rFonts w:ascii="Garamond" w:hAnsi="Garamond"/>
          <w:sz w:val="20"/>
          <w:szCs w:val="24"/>
        </w:rPr>
      </w:pPr>
      <w:r w:rsidRPr="00551729">
        <w:rPr>
          <w:rFonts w:ascii="Garamond" w:hAnsi="Garamond"/>
          <w:sz w:val="20"/>
          <w:szCs w:val="24"/>
        </w:rPr>
        <w:t xml:space="preserve"> </w:t>
      </w:r>
      <w:r w:rsidR="003360ED" w:rsidRPr="00551729">
        <w:rPr>
          <w:rFonts w:ascii="Garamond" w:hAnsi="Garamond"/>
          <w:sz w:val="20"/>
          <w:szCs w:val="24"/>
        </w:rPr>
        <w:t>[*]Ju lutemi të vini re se në perspektivën financiare 2014-2020, thirrjet e mundshme të përshtatura/ strategjike për propozime janë parashikuar me fokus të qartë dhe / ose kërkesa të caktuara në lidhje me përfituesit e mundshëm. Gj</w:t>
      </w:r>
      <w:r w:rsidR="003E47CD">
        <w:rPr>
          <w:rFonts w:ascii="Garamond" w:hAnsi="Garamond"/>
          <w:sz w:val="20"/>
          <w:szCs w:val="24"/>
        </w:rPr>
        <w:t xml:space="preserve">ithashtu, </w:t>
      </w:r>
      <w:r w:rsidR="00522D0E">
        <w:rPr>
          <w:rFonts w:ascii="Garamond" w:hAnsi="Garamond"/>
          <w:sz w:val="20"/>
          <w:szCs w:val="24"/>
        </w:rPr>
        <w:t xml:space="preserve">thirrjet </w:t>
      </w:r>
      <w:r w:rsidR="003E47CD">
        <w:rPr>
          <w:rFonts w:ascii="Garamond" w:hAnsi="Garamond"/>
          <w:sz w:val="20"/>
          <w:szCs w:val="24"/>
        </w:rPr>
        <w:t xml:space="preserve">për </w:t>
      </w:r>
      <w:r w:rsidR="00522D0E">
        <w:rPr>
          <w:rFonts w:ascii="Garamond" w:hAnsi="Garamond"/>
          <w:sz w:val="20"/>
          <w:szCs w:val="24"/>
        </w:rPr>
        <w:t>projektp</w:t>
      </w:r>
      <w:r w:rsidR="00522D0E" w:rsidRPr="00551729">
        <w:rPr>
          <w:rFonts w:ascii="Garamond" w:hAnsi="Garamond"/>
          <w:sz w:val="20"/>
          <w:szCs w:val="24"/>
        </w:rPr>
        <w:t xml:space="preserve">ropozime </w:t>
      </w:r>
      <w:r w:rsidR="003360ED" w:rsidRPr="00551729">
        <w:rPr>
          <w:rFonts w:ascii="Garamond" w:hAnsi="Garamond"/>
          <w:sz w:val="20"/>
          <w:szCs w:val="24"/>
        </w:rPr>
        <w:t>mund të përdorin parimin e rotacionit për përzgjedhjen e prioriteteve tematike (PT) dhe objektivave të tyre specifik</w:t>
      </w:r>
      <w:r w:rsidR="00D40334">
        <w:rPr>
          <w:rFonts w:ascii="Garamond" w:hAnsi="Garamond"/>
          <w:sz w:val="20"/>
          <w:szCs w:val="24"/>
        </w:rPr>
        <w:t>ë</w:t>
      </w:r>
      <w:r w:rsidR="003360ED" w:rsidRPr="00551729">
        <w:rPr>
          <w:rFonts w:ascii="Garamond" w:hAnsi="Garamond"/>
          <w:sz w:val="20"/>
          <w:szCs w:val="24"/>
        </w:rPr>
        <w:t>, dhe në këtë aspekt numri i propozimeve jo domosdoshmërisht mund të rritet. Për këto arsye, rritja e pritshme e numrit të aplikimeve të marra mund të llogaritet për çdo thirrje të njëpasnjëshme në mënyrë individuale, dhe do të ndikohet nga një faktor që mund të llogaritet në bazë të: 1</w:t>
      </w:r>
      <w:r w:rsidR="00BC74CD">
        <w:rPr>
          <w:rFonts w:ascii="Garamond" w:hAnsi="Garamond"/>
          <w:sz w:val="20"/>
          <w:szCs w:val="24"/>
        </w:rPr>
        <w:t>.</w:t>
      </w:r>
      <w:r w:rsidR="003360ED" w:rsidRPr="00551729">
        <w:rPr>
          <w:rFonts w:ascii="Garamond" w:hAnsi="Garamond"/>
          <w:sz w:val="20"/>
          <w:szCs w:val="24"/>
        </w:rPr>
        <w:t xml:space="preserve"> Buxheti i përgjithshëm në dispozicion</w:t>
      </w:r>
      <w:r w:rsidR="00BC74CD">
        <w:rPr>
          <w:rFonts w:ascii="Garamond" w:hAnsi="Garamond"/>
          <w:sz w:val="20"/>
          <w:szCs w:val="24"/>
        </w:rPr>
        <w:t>.</w:t>
      </w:r>
      <w:r w:rsidR="003360ED" w:rsidRPr="00551729">
        <w:rPr>
          <w:rFonts w:ascii="Garamond" w:hAnsi="Garamond"/>
          <w:sz w:val="20"/>
          <w:szCs w:val="24"/>
        </w:rPr>
        <w:t xml:space="preserve"> 2</w:t>
      </w:r>
      <w:r w:rsidR="00BC74CD">
        <w:rPr>
          <w:rFonts w:ascii="Garamond" w:hAnsi="Garamond"/>
          <w:sz w:val="20"/>
          <w:szCs w:val="24"/>
        </w:rPr>
        <w:t>.</w:t>
      </w:r>
      <w:r w:rsidR="003360ED" w:rsidRPr="00551729">
        <w:rPr>
          <w:rFonts w:ascii="Garamond" w:hAnsi="Garamond"/>
          <w:sz w:val="20"/>
          <w:szCs w:val="24"/>
        </w:rPr>
        <w:t xml:space="preserve"> Prioritetet tematike, objektivat specifik</w:t>
      </w:r>
      <w:r w:rsidR="0096601B">
        <w:rPr>
          <w:rFonts w:ascii="Garamond" w:hAnsi="Garamond"/>
          <w:sz w:val="20"/>
          <w:szCs w:val="24"/>
        </w:rPr>
        <w:t>ë</w:t>
      </w:r>
      <w:r w:rsidR="003360ED" w:rsidRPr="00551729">
        <w:rPr>
          <w:rFonts w:ascii="Garamond" w:hAnsi="Garamond"/>
          <w:sz w:val="20"/>
          <w:szCs w:val="24"/>
        </w:rPr>
        <w:t xml:space="preserve"> dhe rezultatet e përfshira në </w:t>
      </w:r>
      <w:r w:rsidR="00BC74CD" w:rsidRPr="00551729">
        <w:rPr>
          <w:rFonts w:ascii="Garamond" w:hAnsi="Garamond"/>
          <w:sz w:val="20"/>
          <w:szCs w:val="24"/>
        </w:rPr>
        <w:t>thirrjen për projekt</w:t>
      </w:r>
      <w:r w:rsidR="00BC74CD">
        <w:rPr>
          <w:rFonts w:ascii="Garamond" w:hAnsi="Garamond"/>
          <w:sz w:val="20"/>
          <w:szCs w:val="24"/>
        </w:rPr>
        <w:t>p</w:t>
      </w:r>
      <w:r w:rsidR="00BC74CD" w:rsidRPr="00551729">
        <w:rPr>
          <w:rFonts w:ascii="Garamond" w:hAnsi="Garamond"/>
          <w:sz w:val="20"/>
          <w:szCs w:val="24"/>
        </w:rPr>
        <w:t>ropozime</w:t>
      </w:r>
      <w:r w:rsidR="00BC74CD">
        <w:rPr>
          <w:rFonts w:ascii="Garamond" w:hAnsi="Garamond"/>
          <w:sz w:val="20"/>
          <w:szCs w:val="24"/>
        </w:rPr>
        <w:t>.</w:t>
      </w:r>
      <w:r w:rsidR="003360ED" w:rsidRPr="00551729">
        <w:rPr>
          <w:rFonts w:ascii="Garamond" w:hAnsi="Garamond"/>
          <w:sz w:val="20"/>
          <w:szCs w:val="24"/>
        </w:rPr>
        <w:t xml:space="preserve"> 3</w:t>
      </w:r>
      <w:r w:rsidR="00BC74CD">
        <w:rPr>
          <w:rFonts w:ascii="Garamond" w:hAnsi="Garamond"/>
          <w:sz w:val="20"/>
          <w:szCs w:val="24"/>
        </w:rPr>
        <w:t>.</w:t>
      </w:r>
      <w:r w:rsidR="003360ED" w:rsidRPr="00551729">
        <w:rPr>
          <w:rFonts w:ascii="Garamond" w:hAnsi="Garamond"/>
          <w:sz w:val="20"/>
          <w:szCs w:val="24"/>
        </w:rPr>
        <w:t xml:space="preserve"> Shumat minimale dhe maksimale të lejuara të granteve</w:t>
      </w:r>
      <w:r w:rsidR="00BC74CD">
        <w:rPr>
          <w:rFonts w:ascii="Garamond" w:hAnsi="Garamond"/>
          <w:sz w:val="20"/>
          <w:szCs w:val="24"/>
        </w:rPr>
        <w:t>.</w:t>
      </w:r>
      <w:r w:rsidR="003360ED" w:rsidRPr="00551729">
        <w:rPr>
          <w:rFonts w:ascii="Garamond" w:hAnsi="Garamond"/>
          <w:sz w:val="20"/>
          <w:szCs w:val="24"/>
        </w:rPr>
        <w:t xml:space="preserve"> 4</w:t>
      </w:r>
      <w:r w:rsidR="00BC74CD">
        <w:rPr>
          <w:rFonts w:ascii="Garamond" w:hAnsi="Garamond"/>
          <w:sz w:val="20"/>
          <w:szCs w:val="24"/>
        </w:rPr>
        <w:t>.</w:t>
      </w:r>
      <w:r w:rsidR="003360ED" w:rsidRPr="00551729">
        <w:rPr>
          <w:rFonts w:ascii="Garamond" w:hAnsi="Garamond"/>
          <w:sz w:val="20"/>
          <w:szCs w:val="24"/>
        </w:rPr>
        <w:t xml:space="preserve"> Numri i aplikimeve dhe gra</w:t>
      </w:r>
      <w:r w:rsidR="0096601B">
        <w:rPr>
          <w:rFonts w:ascii="Garamond" w:hAnsi="Garamond"/>
          <w:sz w:val="20"/>
          <w:szCs w:val="24"/>
        </w:rPr>
        <w:t>nteve të lejuara për aplikues/</w:t>
      </w:r>
      <w:r w:rsidR="00BC74CD">
        <w:rPr>
          <w:rFonts w:ascii="Garamond" w:hAnsi="Garamond"/>
          <w:sz w:val="20"/>
          <w:szCs w:val="24"/>
        </w:rPr>
        <w:t>bashkaplikues /</w:t>
      </w:r>
      <w:r w:rsidR="003360ED" w:rsidRPr="00551729">
        <w:rPr>
          <w:rFonts w:ascii="Garamond" w:hAnsi="Garamond"/>
          <w:sz w:val="20"/>
          <w:szCs w:val="24"/>
        </w:rPr>
        <w:t>entet e lidhur</w:t>
      </w:r>
      <w:r w:rsidR="00BC74CD">
        <w:rPr>
          <w:rFonts w:ascii="Garamond" w:hAnsi="Garamond"/>
          <w:sz w:val="20"/>
          <w:szCs w:val="24"/>
        </w:rPr>
        <w:t>;</w:t>
      </w:r>
      <w:r w:rsidR="003360ED" w:rsidRPr="00551729">
        <w:rPr>
          <w:rFonts w:ascii="Garamond" w:hAnsi="Garamond"/>
          <w:sz w:val="20"/>
          <w:szCs w:val="24"/>
        </w:rPr>
        <w:t xml:space="preserve"> dhe 5</w:t>
      </w:r>
      <w:r w:rsidR="00BC74CD">
        <w:rPr>
          <w:rFonts w:ascii="Garamond" w:hAnsi="Garamond"/>
          <w:sz w:val="20"/>
          <w:szCs w:val="24"/>
        </w:rPr>
        <w:t>.</w:t>
      </w:r>
      <w:r w:rsidR="003360ED" w:rsidRPr="00551729">
        <w:rPr>
          <w:rFonts w:ascii="Garamond" w:hAnsi="Garamond"/>
          <w:sz w:val="20"/>
          <w:szCs w:val="24"/>
        </w:rPr>
        <w:t xml:space="preserve"> Çdo dispozitë tjetër e veçantë që ndikon në kritere të ndryshme të pranueshmërisë, të zbatueshme për një thirrje specifi</w:t>
      </w:r>
      <w:r w:rsidR="00F7439A">
        <w:rPr>
          <w:rFonts w:ascii="Garamond" w:hAnsi="Garamond"/>
          <w:sz w:val="20"/>
          <w:szCs w:val="24"/>
        </w:rPr>
        <w:t>ke për projekt</w:t>
      </w:r>
      <w:r w:rsidR="003360ED" w:rsidRPr="00551729">
        <w:rPr>
          <w:rFonts w:ascii="Garamond" w:hAnsi="Garamond"/>
          <w:sz w:val="20"/>
          <w:szCs w:val="24"/>
        </w:rPr>
        <w:t>propozime.</w:t>
      </w:r>
    </w:p>
    <w:p w14:paraId="1BADCC1A" w14:textId="77777777" w:rsidR="003360ED" w:rsidRPr="00551729" w:rsidRDefault="00B628D7" w:rsidP="00B628D7">
      <w:pPr>
        <w:pStyle w:val="TEKSTIII"/>
        <w:rPr>
          <w:b/>
        </w:rPr>
      </w:pPr>
      <w:r w:rsidRPr="00551729">
        <w:rPr>
          <w:b/>
        </w:rPr>
        <w:t xml:space="preserve">4.1.3 </w:t>
      </w:r>
      <w:r w:rsidR="003360ED" w:rsidRPr="00551729">
        <w:rPr>
          <w:b/>
        </w:rPr>
        <w:t>Vizibiliteti i programit dhe i rezultateve të tij,</w:t>
      </w:r>
      <w:r w:rsidR="003360ED" w:rsidRPr="00551729">
        <w:rPr>
          <w:b/>
          <w:spacing w:val="-27"/>
        </w:rPr>
        <w:t xml:space="preserve"> </w:t>
      </w:r>
      <w:r w:rsidR="003360ED" w:rsidRPr="00551729">
        <w:rPr>
          <w:b/>
        </w:rPr>
        <w:t>garantohet.</w:t>
      </w:r>
    </w:p>
    <w:p w14:paraId="1BADCC1B" w14:textId="1F083B78" w:rsidR="003360ED" w:rsidRPr="00551729" w:rsidRDefault="003360ED" w:rsidP="00B628D7">
      <w:pPr>
        <w:pStyle w:val="TEKSTIII"/>
      </w:pPr>
      <w:r w:rsidRPr="00551729">
        <w:t>Programet BNK kanë qenë shumë të famshëm në zonat përfituese, përveç të tjerave, falë veprimeve të vizibilitetit të ndërmarra gjatë ciklit të programit 2007-2013. Duke parë numrin e aplikuesve në thirrjet pasuese, është vënë re se ka një interes në rritje për iniciativat e bashkëpunimit. Këto arritje duhet të ruhen dhe të përmirësohen edhe gjatë zbatimit të perspektivës financiare 2014</w:t>
      </w:r>
      <w:r w:rsidR="00BC74CD">
        <w:t>–</w:t>
      </w:r>
      <w:r w:rsidRPr="00551729">
        <w:t>2020. Një shumëllojshmëri e kanaleve të komunikimit dhe mjeteve të publicitetit duhet të zhvillohet për të</w:t>
      </w:r>
      <w:r w:rsidR="00C521D5" w:rsidRPr="00551729">
        <w:t xml:space="preserve"> </w:t>
      </w:r>
      <w:r w:rsidRPr="00551729">
        <w:t xml:space="preserve">siguruar informacion të rregullt midis palëve të interesuara të programit dhe një audience më të gjerë, duke përfshirë edhe pjesëmarrjen në evente që lidhen me </w:t>
      </w:r>
      <w:r w:rsidRPr="00551729">
        <w:rPr>
          <w:shd w:val="clear" w:color="auto" w:fill="FFFFFF" w:themeFill="background1"/>
        </w:rPr>
        <w:t>Strategjinë e BE-së për Rajonin e Adriatikut dhe Jonit</w:t>
      </w:r>
      <w:r w:rsidRPr="00551729">
        <w:t>.</w:t>
      </w:r>
    </w:p>
    <w:p w14:paraId="1BADCC1C" w14:textId="77777777" w:rsidR="003360ED" w:rsidRPr="00551729" w:rsidRDefault="003360ED" w:rsidP="00B628D7">
      <w:pPr>
        <w:pStyle w:val="TEKSTIII"/>
      </w:pPr>
    </w:p>
    <w:p w14:paraId="1BADCC1D" w14:textId="77777777" w:rsidR="003360ED" w:rsidRPr="00551729" w:rsidRDefault="003360ED" w:rsidP="00B86FAC">
      <w:pPr>
        <w:pStyle w:val="TEKSTIII"/>
        <w:rPr>
          <w:b/>
        </w:rPr>
      </w:pPr>
      <w:r w:rsidRPr="00551729">
        <w:rPr>
          <w:b/>
        </w:rPr>
        <w:t>Treguesit e rezultatit:</w:t>
      </w:r>
    </w:p>
    <w:p w14:paraId="1BADCC1E" w14:textId="77777777" w:rsidR="003360ED" w:rsidRPr="00551729" w:rsidRDefault="003360ED" w:rsidP="003360ED">
      <w:pPr>
        <w:pStyle w:val="BodyText"/>
        <w:ind w:firstLine="284"/>
        <w:rPr>
          <w:rFonts w:ascii="Garamond" w:hAnsi="Garamond"/>
          <w:sz w:val="24"/>
          <w:szCs w:val="24"/>
          <w:lang w:val="sq-AL"/>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4676"/>
        <w:gridCol w:w="1226"/>
        <w:gridCol w:w="1546"/>
        <w:gridCol w:w="2129"/>
      </w:tblGrid>
      <w:tr w:rsidR="003360ED" w:rsidRPr="00551729" w14:paraId="1BADCC23" w14:textId="77777777" w:rsidTr="00E3373A">
        <w:trPr>
          <w:trHeight w:hRule="exact" w:val="520"/>
        </w:trPr>
        <w:tc>
          <w:tcPr>
            <w:tcW w:w="4676" w:type="dxa"/>
            <w:shd w:val="clear" w:color="auto" w:fill="FFFFFF" w:themeFill="background1"/>
            <w:vAlign w:val="center"/>
          </w:tcPr>
          <w:p w14:paraId="1BADCC1F" w14:textId="77777777" w:rsidR="003360ED" w:rsidRPr="00E3373A" w:rsidRDefault="003360ED" w:rsidP="00E3373A">
            <w:pPr>
              <w:pStyle w:val="TableParagraph"/>
              <w:jc w:val="center"/>
              <w:rPr>
                <w:rFonts w:ascii="Garamond" w:hAnsi="Garamond"/>
                <w:b/>
                <w:sz w:val="24"/>
                <w:szCs w:val="24"/>
                <w:lang w:val="sq-AL"/>
              </w:rPr>
            </w:pPr>
            <w:r w:rsidRPr="00E3373A">
              <w:rPr>
                <w:rFonts w:ascii="Garamond" w:hAnsi="Garamond"/>
                <w:b/>
                <w:sz w:val="24"/>
                <w:szCs w:val="24"/>
                <w:lang w:val="sq-AL"/>
              </w:rPr>
              <w:t>Treguesi</w:t>
            </w:r>
          </w:p>
        </w:tc>
        <w:tc>
          <w:tcPr>
            <w:tcW w:w="1226" w:type="dxa"/>
            <w:shd w:val="clear" w:color="auto" w:fill="FFFFFF" w:themeFill="background1"/>
            <w:vAlign w:val="center"/>
          </w:tcPr>
          <w:p w14:paraId="1BADCC20" w14:textId="77777777" w:rsidR="003360ED" w:rsidRPr="00E3373A" w:rsidRDefault="003360ED" w:rsidP="00E3373A">
            <w:pPr>
              <w:pStyle w:val="TableParagraph"/>
              <w:jc w:val="center"/>
              <w:rPr>
                <w:rFonts w:ascii="Garamond" w:hAnsi="Garamond"/>
                <w:b/>
                <w:sz w:val="24"/>
                <w:szCs w:val="24"/>
                <w:lang w:val="sq-AL"/>
              </w:rPr>
            </w:pPr>
            <w:r w:rsidRPr="00E3373A">
              <w:rPr>
                <w:rFonts w:ascii="Garamond" w:hAnsi="Garamond"/>
                <w:b/>
                <w:sz w:val="24"/>
                <w:szCs w:val="24"/>
                <w:lang w:val="sq-AL"/>
              </w:rPr>
              <w:t>Njësia</w:t>
            </w:r>
          </w:p>
        </w:tc>
        <w:tc>
          <w:tcPr>
            <w:tcW w:w="1546" w:type="dxa"/>
            <w:shd w:val="clear" w:color="auto" w:fill="FFFFFF" w:themeFill="background1"/>
            <w:vAlign w:val="center"/>
          </w:tcPr>
          <w:p w14:paraId="1BADCC21" w14:textId="77777777" w:rsidR="003360ED" w:rsidRPr="00E3373A" w:rsidRDefault="003360ED" w:rsidP="00E3373A">
            <w:pPr>
              <w:pStyle w:val="TableParagraph"/>
              <w:jc w:val="center"/>
              <w:rPr>
                <w:rFonts w:ascii="Garamond" w:hAnsi="Garamond"/>
                <w:b/>
                <w:sz w:val="24"/>
                <w:szCs w:val="24"/>
                <w:lang w:val="sq-AL"/>
              </w:rPr>
            </w:pPr>
            <w:r w:rsidRPr="00E3373A">
              <w:rPr>
                <w:rFonts w:ascii="Garamond" w:hAnsi="Garamond"/>
                <w:b/>
                <w:sz w:val="24"/>
                <w:szCs w:val="24"/>
                <w:lang w:val="sq-AL"/>
              </w:rPr>
              <w:t>Baza</w:t>
            </w:r>
          </w:p>
        </w:tc>
        <w:tc>
          <w:tcPr>
            <w:tcW w:w="2129" w:type="dxa"/>
            <w:shd w:val="clear" w:color="auto" w:fill="FFFFFF" w:themeFill="background1"/>
            <w:vAlign w:val="center"/>
          </w:tcPr>
          <w:p w14:paraId="1BADCC22" w14:textId="77777777" w:rsidR="003360ED" w:rsidRPr="00E3373A" w:rsidRDefault="003360ED" w:rsidP="00E3373A">
            <w:pPr>
              <w:pStyle w:val="TableParagraph"/>
              <w:jc w:val="center"/>
              <w:rPr>
                <w:rFonts w:ascii="Garamond" w:hAnsi="Garamond"/>
                <w:b/>
                <w:sz w:val="24"/>
                <w:szCs w:val="24"/>
                <w:lang w:val="sq-AL"/>
              </w:rPr>
            </w:pPr>
            <w:r w:rsidRPr="00E3373A">
              <w:rPr>
                <w:rFonts w:ascii="Garamond" w:hAnsi="Garamond"/>
                <w:b/>
                <w:sz w:val="24"/>
                <w:szCs w:val="24"/>
                <w:lang w:val="sq-AL"/>
              </w:rPr>
              <w:t>Synimi deri në 2022</w:t>
            </w:r>
          </w:p>
        </w:tc>
      </w:tr>
      <w:tr w:rsidR="003360ED" w:rsidRPr="00551729" w14:paraId="1BADCC28" w14:textId="77777777" w:rsidTr="00E3373A">
        <w:trPr>
          <w:trHeight w:hRule="exact" w:val="582"/>
        </w:trPr>
        <w:tc>
          <w:tcPr>
            <w:tcW w:w="4676" w:type="dxa"/>
            <w:shd w:val="clear" w:color="auto" w:fill="FFFFFF" w:themeFill="background1"/>
            <w:vAlign w:val="center"/>
          </w:tcPr>
          <w:p w14:paraId="1BADCC24" w14:textId="77777777" w:rsidR="003360ED" w:rsidRPr="00551729" w:rsidRDefault="003360ED" w:rsidP="00E3373A">
            <w:pPr>
              <w:pStyle w:val="TableParagraph"/>
              <w:rPr>
                <w:rFonts w:ascii="Garamond" w:hAnsi="Garamond"/>
                <w:sz w:val="24"/>
                <w:szCs w:val="24"/>
                <w:lang w:val="sq-AL"/>
              </w:rPr>
            </w:pPr>
            <w:r w:rsidRPr="00551729">
              <w:rPr>
                <w:rFonts w:ascii="Garamond" w:hAnsi="Garamond"/>
                <w:sz w:val="24"/>
                <w:szCs w:val="24"/>
                <w:lang w:val="sq-AL"/>
              </w:rPr>
              <w:t>Rritja e numrit të personave që marrin pjesë në eventet promocionale</w:t>
            </w:r>
          </w:p>
        </w:tc>
        <w:tc>
          <w:tcPr>
            <w:tcW w:w="1226" w:type="dxa"/>
            <w:shd w:val="clear" w:color="auto" w:fill="FFFFFF" w:themeFill="background1"/>
            <w:vAlign w:val="center"/>
          </w:tcPr>
          <w:p w14:paraId="1BADCC25" w14:textId="77777777" w:rsidR="003360ED" w:rsidRPr="00551729" w:rsidRDefault="003360ED" w:rsidP="00E3373A">
            <w:pPr>
              <w:pStyle w:val="TableParagraph"/>
              <w:jc w:val="center"/>
              <w:rPr>
                <w:rFonts w:ascii="Garamond" w:hAnsi="Garamond"/>
                <w:sz w:val="24"/>
                <w:szCs w:val="24"/>
                <w:lang w:val="sq-AL"/>
              </w:rPr>
            </w:pPr>
            <w:r w:rsidRPr="00551729">
              <w:rPr>
                <w:rFonts w:ascii="Garamond" w:hAnsi="Garamond"/>
                <w:sz w:val="24"/>
                <w:szCs w:val="24"/>
                <w:lang w:val="sq-AL"/>
              </w:rPr>
              <w:t>Përqindje</w:t>
            </w:r>
          </w:p>
        </w:tc>
        <w:tc>
          <w:tcPr>
            <w:tcW w:w="1546" w:type="dxa"/>
            <w:shd w:val="clear" w:color="auto" w:fill="FFFFFF" w:themeFill="background1"/>
            <w:vAlign w:val="center"/>
          </w:tcPr>
          <w:p w14:paraId="1BADCC26" w14:textId="77777777" w:rsidR="003360ED" w:rsidRPr="00551729" w:rsidRDefault="003360ED" w:rsidP="00E3373A">
            <w:pPr>
              <w:pStyle w:val="TableParagraph"/>
              <w:jc w:val="center"/>
              <w:rPr>
                <w:rFonts w:ascii="Garamond" w:hAnsi="Garamond"/>
                <w:sz w:val="24"/>
                <w:szCs w:val="24"/>
                <w:lang w:val="sq-AL"/>
              </w:rPr>
            </w:pPr>
            <w:r w:rsidRPr="00551729">
              <w:rPr>
                <w:rFonts w:ascii="Garamond" w:hAnsi="Garamond"/>
                <w:sz w:val="24"/>
                <w:szCs w:val="24"/>
                <w:lang w:val="sq-AL"/>
              </w:rPr>
              <w:t>1,682</w:t>
            </w:r>
          </w:p>
        </w:tc>
        <w:tc>
          <w:tcPr>
            <w:tcW w:w="2129" w:type="dxa"/>
            <w:shd w:val="clear" w:color="auto" w:fill="FFFFFF" w:themeFill="background1"/>
            <w:vAlign w:val="center"/>
          </w:tcPr>
          <w:p w14:paraId="1BADCC27" w14:textId="77777777" w:rsidR="003360ED" w:rsidRPr="00551729" w:rsidRDefault="003360ED" w:rsidP="00E3373A">
            <w:pPr>
              <w:pStyle w:val="TableParagraph"/>
              <w:jc w:val="center"/>
              <w:rPr>
                <w:rFonts w:ascii="Garamond" w:hAnsi="Garamond"/>
                <w:sz w:val="24"/>
                <w:szCs w:val="24"/>
                <w:lang w:val="sq-AL"/>
              </w:rPr>
            </w:pPr>
            <w:r w:rsidRPr="00551729">
              <w:rPr>
                <w:rFonts w:ascii="Garamond" w:hAnsi="Garamond"/>
                <w:sz w:val="24"/>
                <w:szCs w:val="24"/>
                <w:lang w:val="sq-AL"/>
              </w:rPr>
              <w:t>20%</w:t>
            </w:r>
          </w:p>
        </w:tc>
      </w:tr>
      <w:tr w:rsidR="003360ED" w:rsidRPr="00551729" w14:paraId="1BADCC2D" w14:textId="77777777" w:rsidTr="00E3373A">
        <w:trPr>
          <w:trHeight w:hRule="exact" w:val="420"/>
        </w:trPr>
        <w:tc>
          <w:tcPr>
            <w:tcW w:w="4676" w:type="dxa"/>
            <w:shd w:val="clear" w:color="auto" w:fill="FFFFFF" w:themeFill="background1"/>
            <w:vAlign w:val="center"/>
          </w:tcPr>
          <w:p w14:paraId="1BADCC29" w14:textId="77777777" w:rsidR="003360ED" w:rsidRPr="00551729" w:rsidRDefault="003360ED" w:rsidP="00E3373A">
            <w:pPr>
              <w:pStyle w:val="TableParagraph"/>
              <w:rPr>
                <w:rFonts w:ascii="Garamond" w:hAnsi="Garamond"/>
                <w:sz w:val="24"/>
                <w:szCs w:val="24"/>
                <w:lang w:val="sq-AL"/>
              </w:rPr>
            </w:pPr>
            <w:r w:rsidRPr="00551729">
              <w:rPr>
                <w:rFonts w:ascii="Garamond" w:hAnsi="Garamond"/>
                <w:sz w:val="24"/>
                <w:szCs w:val="24"/>
                <w:lang w:val="sq-AL"/>
              </w:rPr>
              <w:t>Vizita në faqen e internetit të programit</w:t>
            </w:r>
          </w:p>
        </w:tc>
        <w:tc>
          <w:tcPr>
            <w:tcW w:w="1226" w:type="dxa"/>
            <w:shd w:val="clear" w:color="auto" w:fill="FFFFFF" w:themeFill="background1"/>
            <w:vAlign w:val="center"/>
          </w:tcPr>
          <w:p w14:paraId="1BADCC2A" w14:textId="77777777" w:rsidR="003360ED" w:rsidRPr="00551729" w:rsidRDefault="003360ED" w:rsidP="00E3373A">
            <w:pPr>
              <w:pStyle w:val="TableParagraph"/>
              <w:jc w:val="center"/>
              <w:rPr>
                <w:rFonts w:ascii="Garamond" w:hAnsi="Garamond"/>
                <w:sz w:val="24"/>
                <w:szCs w:val="24"/>
                <w:lang w:val="sq-AL"/>
              </w:rPr>
            </w:pPr>
            <w:r w:rsidRPr="00551729">
              <w:rPr>
                <w:rFonts w:ascii="Garamond" w:hAnsi="Garamond"/>
                <w:sz w:val="24"/>
                <w:szCs w:val="24"/>
                <w:lang w:val="sq-AL"/>
              </w:rPr>
              <w:t>Numër</w:t>
            </w:r>
          </w:p>
        </w:tc>
        <w:tc>
          <w:tcPr>
            <w:tcW w:w="1546" w:type="dxa"/>
            <w:shd w:val="clear" w:color="auto" w:fill="FFFFFF" w:themeFill="background1"/>
            <w:vAlign w:val="center"/>
          </w:tcPr>
          <w:p w14:paraId="1BADCC2B" w14:textId="77777777" w:rsidR="003360ED" w:rsidRPr="00551729" w:rsidRDefault="003360ED" w:rsidP="00E3373A">
            <w:pPr>
              <w:pStyle w:val="TableParagraph"/>
              <w:jc w:val="center"/>
              <w:rPr>
                <w:rFonts w:ascii="Garamond" w:hAnsi="Garamond"/>
                <w:sz w:val="24"/>
                <w:szCs w:val="24"/>
                <w:lang w:val="sq-AL"/>
              </w:rPr>
            </w:pPr>
            <w:r w:rsidRPr="00551729">
              <w:rPr>
                <w:rFonts w:ascii="Garamond" w:hAnsi="Garamond"/>
                <w:sz w:val="24"/>
                <w:szCs w:val="24"/>
                <w:lang w:val="sq-AL"/>
              </w:rPr>
              <w:t>3,244</w:t>
            </w:r>
          </w:p>
        </w:tc>
        <w:tc>
          <w:tcPr>
            <w:tcW w:w="2129" w:type="dxa"/>
            <w:shd w:val="clear" w:color="auto" w:fill="FFFFFF" w:themeFill="background1"/>
            <w:vAlign w:val="center"/>
          </w:tcPr>
          <w:p w14:paraId="1BADCC2C" w14:textId="77777777" w:rsidR="003360ED" w:rsidRPr="00551729" w:rsidRDefault="003360ED" w:rsidP="00E3373A">
            <w:pPr>
              <w:pStyle w:val="TableParagraph"/>
              <w:jc w:val="center"/>
              <w:rPr>
                <w:rFonts w:ascii="Garamond" w:hAnsi="Garamond"/>
                <w:sz w:val="24"/>
                <w:szCs w:val="24"/>
                <w:lang w:val="sq-AL"/>
              </w:rPr>
            </w:pPr>
            <w:r w:rsidRPr="00551729">
              <w:rPr>
                <w:rFonts w:ascii="Garamond" w:hAnsi="Garamond"/>
                <w:sz w:val="24"/>
                <w:szCs w:val="24"/>
                <w:lang w:val="sq-AL"/>
              </w:rPr>
              <w:t>50,000</w:t>
            </w:r>
          </w:p>
        </w:tc>
      </w:tr>
    </w:tbl>
    <w:p w14:paraId="1BADCC2E" w14:textId="77777777" w:rsidR="003360ED" w:rsidRPr="00551729" w:rsidRDefault="003360ED" w:rsidP="003360ED">
      <w:pPr>
        <w:pStyle w:val="BodyText"/>
        <w:ind w:firstLine="284"/>
        <w:rPr>
          <w:rFonts w:ascii="Garamond" w:hAnsi="Garamond"/>
          <w:sz w:val="24"/>
          <w:szCs w:val="24"/>
          <w:lang w:val="sq-AL"/>
        </w:rPr>
      </w:pPr>
    </w:p>
    <w:p w14:paraId="1BADCC2F" w14:textId="77777777" w:rsidR="003360ED" w:rsidRPr="00551729" w:rsidRDefault="003360ED" w:rsidP="00B86FAC">
      <w:pPr>
        <w:pStyle w:val="TEKSTIII"/>
        <w:rPr>
          <w:b/>
        </w:rPr>
      </w:pPr>
      <w:r w:rsidRPr="00551729">
        <w:rPr>
          <w:b/>
        </w:rPr>
        <w:t>Lloji i aktiviteteve:</w:t>
      </w:r>
    </w:p>
    <w:p w14:paraId="1BADCC30" w14:textId="77777777" w:rsidR="003360ED" w:rsidRPr="00551729" w:rsidRDefault="003360ED" w:rsidP="00B86FAC">
      <w:pPr>
        <w:pStyle w:val="TEKSTIII"/>
      </w:pPr>
      <w:r w:rsidRPr="00551729">
        <w:t>Një listë jo shteruese e aktiviteteve të mundshme të mbuluara nga alokimi i asistencës teknike do të përfshijë:</w:t>
      </w:r>
    </w:p>
    <w:p w14:paraId="1BADCC31" w14:textId="77777777" w:rsidR="003360ED" w:rsidRPr="00551729" w:rsidRDefault="003360ED" w:rsidP="00B86FAC">
      <w:pPr>
        <w:pStyle w:val="TEKSTIII"/>
      </w:pPr>
      <w:r w:rsidRPr="00551729">
        <w:t>Ngritja dhe funksionimi i Sekretariatit të Përbashkët Teknik dhe Antena-s së</w:t>
      </w:r>
      <w:r w:rsidRPr="00551729">
        <w:rPr>
          <w:spacing w:val="-21"/>
        </w:rPr>
        <w:t xml:space="preserve"> </w:t>
      </w:r>
      <w:r w:rsidRPr="00551729">
        <w:t>tij.</w:t>
      </w:r>
    </w:p>
    <w:p w14:paraId="1BADCC32" w14:textId="77777777" w:rsidR="003360ED" w:rsidRPr="00551729" w:rsidRDefault="003360ED" w:rsidP="00B86FAC">
      <w:pPr>
        <w:pStyle w:val="TEKSTIII"/>
      </w:pPr>
      <w:r w:rsidRPr="00551729">
        <w:t xml:space="preserve">Organizimi i eventeve, takimeve, trajnimeve, vizitave studimore apo vizitave </w:t>
      </w:r>
      <w:r w:rsidRPr="00551729">
        <w:rPr>
          <w:spacing w:val="2"/>
        </w:rPr>
        <w:t xml:space="preserve">të </w:t>
      </w:r>
      <w:r w:rsidRPr="00551729">
        <w:t>shkëmbimit, për të mësuar nga praktikat më të mira të nismave të tjera të zhvillimit</w:t>
      </w:r>
      <w:r w:rsidRPr="00551729">
        <w:rPr>
          <w:spacing w:val="-26"/>
        </w:rPr>
        <w:t xml:space="preserve"> </w:t>
      </w:r>
      <w:r w:rsidRPr="00551729">
        <w:t>territorial.</w:t>
      </w:r>
    </w:p>
    <w:p w14:paraId="1BADCC33" w14:textId="77777777" w:rsidR="003360ED" w:rsidRPr="00551729" w:rsidRDefault="003360ED" w:rsidP="00B86FAC">
      <w:pPr>
        <w:pStyle w:val="TEKSTIII"/>
      </w:pPr>
      <w:r w:rsidRPr="00551729">
        <w:t>Pjesëmarrja e stafit të strukturave të menaxhimit në forumet e Ballkanit Perëndimor apo të BE- së.</w:t>
      </w:r>
    </w:p>
    <w:p w14:paraId="1BADCC34" w14:textId="77777777" w:rsidR="003360ED" w:rsidRPr="00551729" w:rsidRDefault="003360ED" w:rsidP="00B86FAC">
      <w:pPr>
        <w:pStyle w:val="TEKSTIII"/>
      </w:pPr>
      <w:r w:rsidRPr="00551729">
        <w:t>Përgatitja e manualeve / doracakëve të brendshëm dhe / ose të</w:t>
      </w:r>
      <w:r w:rsidRPr="00551729">
        <w:rPr>
          <w:spacing w:val="-15"/>
        </w:rPr>
        <w:t xml:space="preserve"> </w:t>
      </w:r>
      <w:r w:rsidRPr="00551729">
        <w:t>jashtëm.</w:t>
      </w:r>
    </w:p>
    <w:p w14:paraId="1BADCC35" w14:textId="7F0372CD" w:rsidR="003360ED" w:rsidRPr="00551729" w:rsidRDefault="003360ED" w:rsidP="00B86FAC">
      <w:pPr>
        <w:pStyle w:val="TEKSTIII"/>
      </w:pPr>
      <w:r w:rsidRPr="00551729">
        <w:t>Asistencë për aplikuesit e mundshëm në partneritet dhe për zhvillimin e projektit (forume për kërkimin e partnerëve</w:t>
      </w:r>
      <w:r w:rsidR="00B65E6C">
        <w:t xml:space="preserve"> etj</w:t>
      </w:r>
      <w:r w:rsidRPr="00551729">
        <w:t>.).</w:t>
      </w:r>
    </w:p>
    <w:p w14:paraId="1BADCC36" w14:textId="77777777" w:rsidR="003360ED" w:rsidRPr="00551729" w:rsidRDefault="003360ED" w:rsidP="00B86FAC">
      <w:pPr>
        <w:pStyle w:val="TEKSTIII"/>
      </w:pPr>
      <w:r w:rsidRPr="00551729">
        <w:t>Këshilla për përfituesit e granteve mbi çështje lidhur me zbatimin e</w:t>
      </w:r>
      <w:r w:rsidRPr="00551729">
        <w:rPr>
          <w:spacing w:val="-32"/>
        </w:rPr>
        <w:t xml:space="preserve"> </w:t>
      </w:r>
      <w:r w:rsidRPr="00551729">
        <w:t>projektit.</w:t>
      </w:r>
    </w:p>
    <w:p w14:paraId="1BADCC37" w14:textId="77777777" w:rsidR="003360ED" w:rsidRPr="00551729" w:rsidRDefault="003360ED" w:rsidP="00B86FAC">
      <w:pPr>
        <w:pStyle w:val="TEKSTIII"/>
      </w:pPr>
      <w:r w:rsidRPr="00551729">
        <w:t>Monitorimi i zbatimit të projektit dhe programit, duke përfshirë krijimin e një sistemi të monitorimit dhe raportimit</w:t>
      </w:r>
      <w:r w:rsidRPr="00551729">
        <w:rPr>
          <w:spacing w:val="-9"/>
        </w:rPr>
        <w:t xml:space="preserve"> </w:t>
      </w:r>
      <w:r w:rsidRPr="00551729">
        <w:t>përkatës.</w:t>
      </w:r>
    </w:p>
    <w:p w14:paraId="1BADCC38" w14:textId="5C19E451" w:rsidR="003360ED" w:rsidRPr="00551729" w:rsidRDefault="003360ED" w:rsidP="00B86FAC">
      <w:pPr>
        <w:pStyle w:val="TEKSTIII"/>
      </w:pPr>
      <w:r w:rsidRPr="00551729">
        <w:t>Organizimi i aktiviteteve të vlerës</w:t>
      </w:r>
      <w:r w:rsidR="00FC51BF">
        <w:t>imit, analizave, sondazheve dhe/</w:t>
      </w:r>
      <w:r w:rsidRPr="00551729">
        <w:t>ose</w:t>
      </w:r>
      <w:r w:rsidRPr="00551729">
        <w:rPr>
          <w:spacing w:val="-27"/>
        </w:rPr>
        <w:t xml:space="preserve"> </w:t>
      </w:r>
      <w:r w:rsidRPr="00551729">
        <w:t>studimeve.</w:t>
      </w:r>
    </w:p>
    <w:p w14:paraId="1BADCC39" w14:textId="4C7BBE78" w:rsidR="003360ED" w:rsidRPr="00551729" w:rsidRDefault="003360ED" w:rsidP="00B86FAC">
      <w:pPr>
        <w:pStyle w:val="TEKSTIII"/>
      </w:pPr>
      <w:r w:rsidRPr="00551729">
        <w:t>Informim dhe publicitet, duke përfshirë përgatitjen, miratimin dhe rishikimin e rregullt të një plani vizibiliteti dhe komunikimi, shpërndarjen e informacionit (ditë informimi, mësimet e nxjerra, studimet e rasteve më të mira, artikuj dhe deklarata për shtyp), ngjarje promocionale dhe artikuj të shtypur, zhvillimi i mjeteve të komunikimit, mirëmbajtja, përditësimi dhe përmirësimi i faqes së internetit të programit</w:t>
      </w:r>
      <w:r w:rsidR="00B65E6C">
        <w:t xml:space="preserve"> etj</w:t>
      </w:r>
      <w:r w:rsidRPr="00551729">
        <w:t>.</w:t>
      </w:r>
    </w:p>
    <w:p w14:paraId="1BADCC3A" w14:textId="7E9A89C6" w:rsidR="003360ED" w:rsidRPr="00551729" w:rsidRDefault="003360ED" w:rsidP="00B86FAC">
      <w:pPr>
        <w:pStyle w:val="TEKSTIII"/>
      </w:pPr>
      <w:r w:rsidRPr="00551729">
        <w:t xml:space="preserve">Mbështetje për punën e </w:t>
      </w:r>
      <w:r w:rsidR="000E06B1" w:rsidRPr="00551729">
        <w:t xml:space="preserve">task forcës së përbashkët </w:t>
      </w:r>
      <w:r w:rsidRPr="00551729">
        <w:t>të ngarkuar me përgatitjen e ciklit të programit</w:t>
      </w:r>
      <w:r w:rsidRPr="00551729">
        <w:rPr>
          <w:spacing w:val="-5"/>
        </w:rPr>
        <w:t xml:space="preserve"> </w:t>
      </w:r>
      <w:r w:rsidRPr="00551729">
        <w:t>2021</w:t>
      </w:r>
      <w:r w:rsidR="000E06B1">
        <w:t>–</w:t>
      </w:r>
      <w:r w:rsidRPr="00551729">
        <w:t>2026.</w:t>
      </w:r>
    </w:p>
    <w:p w14:paraId="1BADCC3B" w14:textId="77777777" w:rsidR="003360ED" w:rsidRPr="00551729" w:rsidRDefault="003360ED" w:rsidP="00B86FAC">
      <w:pPr>
        <w:pStyle w:val="TEKSTIII"/>
      </w:pPr>
      <w:r w:rsidRPr="00551729">
        <w:t>Pjesëmarrja në forume vjetore dhe aktivitete të tjera që lidhen me Strategjinë e BE-së për Rajonin e Adriatikut dhe</w:t>
      </w:r>
      <w:r w:rsidRPr="00551729">
        <w:rPr>
          <w:spacing w:val="-7"/>
        </w:rPr>
        <w:t xml:space="preserve"> </w:t>
      </w:r>
      <w:r w:rsidRPr="00551729">
        <w:t>Jonit.</w:t>
      </w:r>
    </w:p>
    <w:p w14:paraId="1BADCC3C" w14:textId="03AC21A7" w:rsidR="003360ED" w:rsidRPr="00551729" w:rsidRDefault="003360ED" w:rsidP="00B86FAC">
      <w:pPr>
        <w:pStyle w:val="TEKSTIII"/>
        <w:rPr>
          <w:b/>
          <w:i/>
        </w:rPr>
      </w:pPr>
      <w:r w:rsidRPr="00551729">
        <w:rPr>
          <w:b/>
        </w:rPr>
        <w:t>Grupet e synuara dhe përf</w:t>
      </w:r>
      <w:r w:rsidR="000E06B1">
        <w:rPr>
          <w:b/>
        </w:rPr>
        <w:t>ituesit përfundimtarë (listë jo</w:t>
      </w:r>
      <w:r w:rsidRPr="00551729">
        <w:rPr>
          <w:b/>
        </w:rPr>
        <w:t>shteruese)</w:t>
      </w:r>
      <w:r w:rsidRPr="00551729">
        <w:rPr>
          <w:b/>
          <w:i/>
        </w:rPr>
        <w:t>:</w:t>
      </w:r>
    </w:p>
    <w:p w14:paraId="1BADCC3D" w14:textId="6E7299F2" w:rsidR="003360ED" w:rsidRPr="00551729" w:rsidRDefault="00B86FAC" w:rsidP="00B86FAC">
      <w:pPr>
        <w:pStyle w:val="TEKSTIII"/>
      </w:pPr>
      <w:r w:rsidRPr="00551729">
        <w:t>-</w:t>
      </w:r>
      <w:r w:rsidR="00E3373A">
        <w:t xml:space="preserve"> </w:t>
      </w:r>
      <w:r w:rsidR="003360ED" w:rsidRPr="00551729">
        <w:t>Strukturat e menaxhimit të programit, duke përfshirë autoritetet</w:t>
      </w:r>
      <w:r w:rsidR="003360ED" w:rsidRPr="00551729">
        <w:rPr>
          <w:spacing w:val="-23"/>
        </w:rPr>
        <w:t xml:space="preserve"> </w:t>
      </w:r>
      <w:r w:rsidR="003360ED" w:rsidRPr="00551729">
        <w:t>kontraktuese</w:t>
      </w:r>
    </w:p>
    <w:p w14:paraId="1BADCC3E" w14:textId="3D88D406" w:rsidR="003360ED" w:rsidRPr="00551729" w:rsidRDefault="00B86FAC" w:rsidP="00B86FAC">
      <w:pPr>
        <w:pStyle w:val="TEKSTIII"/>
      </w:pPr>
      <w:r w:rsidRPr="00551729">
        <w:t>-</w:t>
      </w:r>
      <w:r w:rsidR="00E3373A">
        <w:t xml:space="preserve"> </w:t>
      </w:r>
      <w:r w:rsidR="003360ED" w:rsidRPr="00551729">
        <w:t>Aplikuesit e</w:t>
      </w:r>
      <w:r w:rsidR="003360ED" w:rsidRPr="00551729">
        <w:rPr>
          <w:spacing w:val="-5"/>
        </w:rPr>
        <w:t xml:space="preserve"> </w:t>
      </w:r>
      <w:r w:rsidR="003360ED" w:rsidRPr="00551729">
        <w:t>mundshëm</w:t>
      </w:r>
    </w:p>
    <w:p w14:paraId="1BADCC3F" w14:textId="453AAE70" w:rsidR="003360ED" w:rsidRPr="00551729" w:rsidRDefault="00B86FAC" w:rsidP="00B86FAC">
      <w:pPr>
        <w:pStyle w:val="TEKSTIII"/>
      </w:pPr>
      <w:r w:rsidRPr="00551729">
        <w:t>-</w:t>
      </w:r>
      <w:r w:rsidR="00E3373A">
        <w:t xml:space="preserve"> </w:t>
      </w:r>
      <w:r w:rsidR="003360ED" w:rsidRPr="00551729">
        <w:t>Përfituesit e</w:t>
      </w:r>
      <w:r w:rsidR="003360ED" w:rsidRPr="00551729">
        <w:rPr>
          <w:spacing w:val="-4"/>
        </w:rPr>
        <w:t xml:space="preserve"> </w:t>
      </w:r>
      <w:r w:rsidR="003360ED" w:rsidRPr="00551729">
        <w:t>granteve</w:t>
      </w:r>
    </w:p>
    <w:p w14:paraId="1BADCC40" w14:textId="7742EABB" w:rsidR="003360ED" w:rsidRPr="00551729" w:rsidRDefault="00B86FAC" w:rsidP="00B86FAC">
      <w:pPr>
        <w:pStyle w:val="TEKSTIII"/>
      </w:pPr>
      <w:r w:rsidRPr="00551729">
        <w:t>-</w:t>
      </w:r>
      <w:r w:rsidR="00E3373A">
        <w:t xml:space="preserve"> </w:t>
      </w:r>
      <w:r w:rsidR="003360ED" w:rsidRPr="00551729">
        <w:t>Përfituesit përfundimtarë të</w:t>
      </w:r>
      <w:r w:rsidR="003360ED" w:rsidRPr="00551729">
        <w:rPr>
          <w:spacing w:val="-8"/>
        </w:rPr>
        <w:t xml:space="preserve"> </w:t>
      </w:r>
      <w:r w:rsidR="003360ED" w:rsidRPr="00551729">
        <w:t>projektit</w:t>
      </w:r>
    </w:p>
    <w:p w14:paraId="1BADCC41" w14:textId="5D34054A" w:rsidR="003360ED" w:rsidRPr="00551729" w:rsidRDefault="00B86FAC" w:rsidP="00B86FAC">
      <w:pPr>
        <w:pStyle w:val="TEKSTIII"/>
      </w:pPr>
      <w:r w:rsidRPr="00551729">
        <w:t>-</w:t>
      </w:r>
      <w:r w:rsidR="00E3373A">
        <w:t xml:space="preserve"> </w:t>
      </w:r>
      <w:r w:rsidR="003360ED" w:rsidRPr="00551729">
        <w:t>Publiku i</w:t>
      </w:r>
      <w:r w:rsidR="003360ED" w:rsidRPr="00551729">
        <w:rPr>
          <w:spacing w:val="-2"/>
        </w:rPr>
        <w:t xml:space="preserve"> </w:t>
      </w:r>
      <w:r w:rsidR="003360ED" w:rsidRPr="00551729">
        <w:t>gjerë</w:t>
      </w:r>
    </w:p>
    <w:p w14:paraId="1BADCC42" w14:textId="77777777" w:rsidR="003360ED" w:rsidRPr="00551729" w:rsidRDefault="00B86FAC" w:rsidP="00B86FAC">
      <w:pPr>
        <w:pStyle w:val="TEKSTIII"/>
        <w:rPr>
          <w:b/>
        </w:rPr>
      </w:pPr>
      <w:bookmarkStart w:id="29" w:name="_bookmark27"/>
      <w:bookmarkEnd w:id="29"/>
      <w:r w:rsidRPr="00551729">
        <w:rPr>
          <w:b/>
        </w:rPr>
        <w:t xml:space="preserve">3.3 </w:t>
      </w:r>
      <w:r w:rsidR="003360ED" w:rsidRPr="00551729">
        <w:rPr>
          <w:b/>
        </w:rPr>
        <w:t>Çështjet horizontale dhe të</w:t>
      </w:r>
      <w:r w:rsidR="003360ED" w:rsidRPr="00551729">
        <w:rPr>
          <w:b/>
          <w:spacing w:val="-13"/>
        </w:rPr>
        <w:t xml:space="preserve"> </w:t>
      </w:r>
      <w:r w:rsidR="003360ED" w:rsidRPr="00551729">
        <w:rPr>
          <w:b/>
        </w:rPr>
        <w:t>ndërthurura</w:t>
      </w:r>
    </w:p>
    <w:p w14:paraId="1BADCC43" w14:textId="77777777" w:rsidR="003360ED" w:rsidRPr="00551729" w:rsidRDefault="003360ED" w:rsidP="00B86FAC">
      <w:pPr>
        <w:pStyle w:val="TEKSTIII"/>
      </w:pPr>
      <w:r w:rsidRPr="00551729">
        <w:t>Çështjet e ndërthurura përcaktohen në një sërë konventash, deklaratash dhe traktatesh ndërkombëtare mbi zhvillimin, dhe janë të detyrueshme për vendet e BE-së dhe shumicën e vendeve përfituese. Ato duhet të merren në konsideratë në të gjitha fazat e ciklit të financimit.</w:t>
      </w:r>
    </w:p>
    <w:p w14:paraId="1BADCC44" w14:textId="5021D41F" w:rsidR="003360ED" w:rsidRPr="00551729" w:rsidRDefault="003360ED" w:rsidP="00B86FAC">
      <w:pPr>
        <w:pStyle w:val="TEKSTIII"/>
      </w:pPr>
      <w:r w:rsidRPr="00551729">
        <w:t>Prandaj, në përputhje me objektivat dhe politikat e BE-së, programi do të përfshijë parimet horizontale të partneritetit ndërkufitar, pronësinë lokale dhe mundësitë e barabarta, dhe do të sigurojë që çështjet</w:t>
      </w:r>
      <w:r w:rsidRPr="00551729">
        <w:rPr>
          <w:spacing w:val="-30"/>
        </w:rPr>
        <w:t xml:space="preserve"> </w:t>
      </w:r>
      <w:r w:rsidR="00B86FAC" w:rsidRPr="00551729">
        <w:t xml:space="preserve">e </w:t>
      </w:r>
      <w:r w:rsidR="0096601B">
        <w:t>ndërthurura, siç janë: mos</w:t>
      </w:r>
      <w:r w:rsidRPr="00551729">
        <w:t>diskriminimi i minoriteteve dhe grupeve vulnerabël, pjesëmarrja e organizatave të shoqërisë civile, mbrojtja e mjedisit, të drejtat gjinore, dhe qeverisja e mirë, respektohen dhe nxiten në hartimin dhe zbatimin e projekteve. Të gjitha çështjet e mësipërme synohen nëpërmjet 3 prioriteteve kryesore të programit.</w:t>
      </w:r>
    </w:p>
    <w:p w14:paraId="1BADCC45" w14:textId="5B8A1241"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Kuadri aktual i Politikës së Kohezionit të BE-së e bën zhvillimin mjedisor dhe të qëndrueshëm një nga temat horizontale që duhet të integrohet në të gjitha prioritetet, masat dhe projektet. Programi synon</w:t>
      </w:r>
      <w:r w:rsidR="00C521D5" w:rsidRPr="00551729">
        <w:rPr>
          <w:rFonts w:ascii="Garamond" w:hAnsi="Garamond"/>
          <w:sz w:val="24"/>
          <w:szCs w:val="24"/>
          <w:lang w:val="sq-AL"/>
        </w:rPr>
        <w:t xml:space="preserve"> </w:t>
      </w:r>
      <w:r w:rsidRPr="00551729">
        <w:rPr>
          <w:rFonts w:ascii="Garamond" w:hAnsi="Garamond"/>
          <w:sz w:val="24"/>
          <w:szCs w:val="24"/>
          <w:lang w:val="sq-AL"/>
        </w:rPr>
        <w:t>në mënyrë të drejtpërdrejtë mbrojtjen e mjedisit si një nga çështjet kryesore me interes për zonat ndërkufitare të synuara nëpërmjet prioritetit 2: Mbrojtja e mjedisit, nxitja e përshtatjes dhe lehtësimit ndaj ndryshimeve klimatike, parandalimi dhe menaxhimi i rrezikut. Projektet që rrjedhin në kuadër të këtij prioriteti duhet të hartohen në mënyrë të tillë që të sigurojnë që mjedisi nuk dëmtohet, por shndërrohet në një mundësi për zhvillimin</w:t>
      </w:r>
      <w:r w:rsidRPr="00551729">
        <w:rPr>
          <w:rFonts w:ascii="Garamond" w:hAnsi="Garamond"/>
          <w:spacing w:val="-15"/>
          <w:sz w:val="24"/>
          <w:szCs w:val="24"/>
          <w:lang w:val="sq-AL"/>
        </w:rPr>
        <w:t xml:space="preserve"> </w:t>
      </w:r>
      <w:r w:rsidRPr="00551729">
        <w:rPr>
          <w:rFonts w:ascii="Garamond" w:hAnsi="Garamond"/>
          <w:sz w:val="24"/>
          <w:szCs w:val="24"/>
          <w:lang w:val="sq-AL"/>
        </w:rPr>
        <w:t>rajonal.</w:t>
      </w:r>
    </w:p>
    <w:p w14:paraId="1BADCC46" w14:textId="09C56CF0"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 xml:space="preserve">BE-ja ka pranuar në mënyrë të përsëritur se barazia gjinore është çelësi për arritjen e objektivave të zhvillimit. Për më tepër barazia gjinore është një prioritet për BE-në. Programi synon në mënyrë të drejtpërdrejtë promovimin e punësimit dhe mundësive në bazë të perspektivës gjinore nëpërmjet prioritet 3 </w:t>
      </w:r>
      <w:r w:rsidR="00C521D5" w:rsidRPr="00551729">
        <w:rPr>
          <w:rFonts w:ascii="Garamond" w:hAnsi="Garamond"/>
          <w:sz w:val="24"/>
          <w:szCs w:val="24"/>
          <w:lang w:val="sq-AL"/>
        </w:rPr>
        <w:t>“</w:t>
      </w:r>
      <w:r w:rsidRPr="00551729">
        <w:rPr>
          <w:rFonts w:ascii="Garamond" w:hAnsi="Garamond"/>
          <w:sz w:val="24"/>
          <w:szCs w:val="24"/>
          <w:lang w:val="sq-AL"/>
        </w:rPr>
        <w:t>promovimi i punësimit, lëvizja e fuqisë punëtore dhe përfshirja sociale</w:t>
      </w:r>
      <w:r w:rsidR="00C521D5" w:rsidRPr="00551729">
        <w:rPr>
          <w:rFonts w:ascii="Garamond" w:hAnsi="Garamond"/>
          <w:sz w:val="24"/>
          <w:szCs w:val="24"/>
          <w:lang w:val="sq-AL"/>
        </w:rPr>
        <w:t>”</w:t>
      </w:r>
      <w:r w:rsidRPr="00551729">
        <w:rPr>
          <w:rFonts w:ascii="Garamond" w:hAnsi="Garamond"/>
          <w:sz w:val="24"/>
          <w:szCs w:val="24"/>
          <w:lang w:val="sq-AL"/>
        </w:rPr>
        <w:t>, por perspektiva dhe barazia gjinore duhet të trajtohen edhe nëpërmjet 2 prioriteteve të tjera të programit, në aspektin e pjesëmarrjes dhe kontributit të balancuar.</w:t>
      </w:r>
    </w:p>
    <w:p w14:paraId="1BADCC47" w14:textId="77777777"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Projektet e përgatitur në bazë të qasjes së Zhvillimit të Bazuar në Zonë (ZhBZ) për të lehtësuar rritjen e qëndrueshme në zonat gjeografike të përcaktuara në rajonet ndërkufitare në Ballkanin Perëndimor, në zona të veçanta rurale që karakterizohen nga probleme të veçanta zhvillimore komplekse, mund të konsiderohen për financim sipas këtij programi të bashkëpunimit ndërkufitar. Puna përgatitore për qasjen ZhBZ tashmë e kryer në rajonin ndërkufitar që mbulon Malin e Zi dhe Shqipërinë, do të merret në konsideratë.</w:t>
      </w:r>
    </w:p>
    <w:p w14:paraId="1BADCC48" w14:textId="77777777"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Financimi i dyfishtë duhet të shmanget dhe duhet të sigurohet plotësimi i aktiviteteve me programet e tjera.</w:t>
      </w:r>
    </w:p>
    <w:p w14:paraId="1BADCC49" w14:textId="77777777" w:rsidR="003360ED" w:rsidRPr="00551729" w:rsidRDefault="003360ED" w:rsidP="00B86FAC">
      <w:pPr>
        <w:pStyle w:val="TEKSTIII"/>
        <w:rPr>
          <w:b/>
        </w:rPr>
      </w:pPr>
      <w:bookmarkStart w:id="30" w:name="_bookmark28"/>
      <w:bookmarkEnd w:id="30"/>
      <w:r w:rsidRPr="00551729">
        <w:rPr>
          <w:b/>
        </w:rPr>
        <w:t>Seksioni 4: Plani Financiar</w:t>
      </w:r>
    </w:p>
    <w:p w14:paraId="1BADCC4A" w14:textId="117D4B48" w:rsidR="003360ED" w:rsidRPr="00551729" w:rsidRDefault="003360ED" w:rsidP="00B86FAC">
      <w:pPr>
        <w:pStyle w:val="TEKSTIII"/>
      </w:pPr>
      <w:r w:rsidRPr="00551729">
        <w:t xml:space="preserve">Tabela 1 tregon sasinë indikative vjetore të kontributit të Bashkimit Evropian për programin e bashkëpunimit ndërkufitar për periudhën 2014-2020. Tabela 2 ofron një shpërndarje indikative për alokimet për secilin prioritet tematik si dhe një indikacion mbi shumën maksimale të </w:t>
      </w:r>
      <w:r w:rsidR="001B762F">
        <w:t>bashkë</w:t>
      </w:r>
      <w:r w:rsidRPr="00551729">
        <w:t>financimit të Bashkimit Evropian.</w:t>
      </w:r>
    </w:p>
    <w:p w14:paraId="1BADCC4B" w14:textId="77777777" w:rsidR="003360ED" w:rsidRPr="00551729" w:rsidRDefault="003360ED" w:rsidP="003360ED">
      <w:pPr>
        <w:pStyle w:val="BodyText"/>
        <w:ind w:firstLine="284"/>
        <w:rPr>
          <w:rFonts w:ascii="Garamond" w:hAnsi="Garamond"/>
          <w:sz w:val="24"/>
          <w:szCs w:val="24"/>
          <w:lang w:val="sq-AL"/>
        </w:rPr>
      </w:pPr>
    </w:p>
    <w:p w14:paraId="1BADCC4C" w14:textId="2FBBBD61" w:rsidR="003360ED" w:rsidRPr="00551729" w:rsidRDefault="003360ED" w:rsidP="00B86FAC">
      <w:pPr>
        <w:pStyle w:val="TEKSTIII"/>
        <w:rPr>
          <w:b/>
        </w:rPr>
      </w:pPr>
      <w:r w:rsidRPr="00551729">
        <w:rPr>
          <w:b/>
        </w:rPr>
        <w:t>Tabela 1</w:t>
      </w:r>
      <w:r w:rsidR="00E3373A">
        <w:rPr>
          <w:b/>
        </w:rPr>
        <w:t>.</w:t>
      </w:r>
      <w:r w:rsidRPr="00551729">
        <w:rPr>
          <w:b/>
        </w:rPr>
        <w:t xml:space="preserve"> Alokimet indikative financiare në vit për programin e bashkëpunimit ndërkufitar 2014-2020</w:t>
      </w:r>
    </w:p>
    <w:p w14:paraId="1BADCC4D" w14:textId="77777777" w:rsidR="003360ED" w:rsidRPr="00551729" w:rsidRDefault="003360ED" w:rsidP="00B86FAC">
      <w:pPr>
        <w:pStyle w:val="TEKSTIII"/>
        <w:rPr>
          <w:b/>
        </w:rPr>
      </w:pPr>
    </w:p>
    <w:tbl>
      <w:tblPr>
        <w:tblW w:w="5000" w:type="pct"/>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CellMar>
          <w:left w:w="0" w:type="dxa"/>
          <w:right w:w="0" w:type="dxa"/>
        </w:tblCellMar>
        <w:tblLook w:val="01E0" w:firstRow="1" w:lastRow="1" w:firstColumn="1" w:lastColumn="1" w:noHBand="0" w:noVBand="0"/>
      </w:tblPr>
      <w:tblGrid>
        <w:gridCol w:w="1102"/>
        <w:gridCol w:w="1010"/>
        <w:gridCol w:w="983"/>
        <w:gridCol w:w="1002"/>
        <w:gridCol w:w="993"/>
        <w:gridCol w:w="1022"/>
        <w:gridCol w:w="1009"/>
        <w:gridCol w:w="904"/>
        <w:gridCol w:w="1031"/>
      </w:tblGrid>
      <w:tr w:rsidR="003360ED" w:rsidRPr="00551729" w14:paraId="1BADCC52" w14:textId="77777777" w:rsidTr="00B86FAC">
        <w:trPr>
          <w:trHeight w:hRule="exact" w:val="472"/>
        </w:trPr>
        <w:tc>
          <w:tcPr>
            <w:tcW w:w="609" w:type="pct"/>
            <w:vMerge w:val="restart"/>
            <w:shd w:val="clear" w:color="auto" w:fill="C0C0C0"/>
          </w:tcPr>
          <w:p w14:paraId="1BADCC4E" w14:textId="77777777" w:rsidR="003360ED" w:rsidRPr="00551729" w:rsidRDefault="003360ED" w:rsidP="00B86FAC">
            <w:pPr>
              <w:pStyle w:val="TableParagraph"/>
              <w:rPr>
                <w:rFonts w:ascii="Garamond" w:hAnsi="Garamond"/>
                <w:b/>
                <w:sz w:val="16"/>
                <w:szCs w:val="24"/>
                <w:lang w:val="sq-AL"/>
              </w:rPr>
            </w:pPr>
          </w:p>
          <w:p w14:paraId="1BADCC4F"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Viti</w:t>
            </w:r>
          </w:p>
        </w:tc>
        <w:tc>
          <w:tcPr>
            <w:tcW w:w="3822" w:type="pct"/>
            <w:gridSpan w:val="7"/>
            <w:tcBorders>
              <w:left w:val="single" w:sz="40" w:space="0" w:color="C0C0C0"/>
            </w:tcBorders>
            <w:shd w:val="clear" w:color="auto" w:fill="CCCCFF"/>
          </w:tcPr>
          <w:p w14:paraId="1BADCC50" w14:textId="77777777" w:rsidR="003360ED" w:rsidRPr="00551729" w:rsidRDefault="003360ED" w:rsidP="00B86FAC">
            <w:pPr>
              <w:pStyle w:val="TableParagraph"/>
              <w:rPr>
                <w:rFonts w:ascii="Garamond" w:hAnsi="Garamond"/>
                <w:b/>
                <w:sz w:val="16"/>
                <w:szCs w:val="24"/>
                <w:lang w:val="sq-AL"/>
              </w:rPr>
            </w:pPr>
            <w:r w:rsidRPr="00551729">
              <w:rPr>
                <w:rFonts w:ascii="Garamond" w:hAnsi="Garamond"/>
                <w:b/>
                <w:sz w:val="16"/>
                <w:szCs w:val="24"/>
                <w:lang w:val="sq-AL"/>
              </w:rPr>
              <w:t>PROGRAMI I BASHKËPUNIMIT NDËRKUFITAR IPA II_MAL I ZI - SHQIPËRI</w:t>
            </w:r>
          </w:p>
        </w:tc>
        <w:tc>
          <w:tcPr>
            <w:tcW w:w="569" w:type="pct"/>
            <w:shd w:val="clear" w:color="auto" w:fill="CCFFFF"/>
          </w:tcPr>
          <w:p w14:paraId="1BADCC51" w14:textId="77777777" w:rsidR="003360ED" w:rsidRPr="00551729" w:rsidRDefault="003360ED" w:rsidP="00B86FAC">
            <w:pPr>
              <w:pStyle w:val="TableParagraph"/>
              <w:rPr>
                <w:rFonts w:ascii="Garamond" w:hAnsi="Garamond"/>
                <w:b/>
                <w:sz w:val="16"/>
                <w:szCs w:val="24"/>
                <w:lang w:val="sq-AL"/>
              </w:rPr>
            </w:pPr>
            <w:r w:rsidRPr="00551729">
              <w:rPr>
                <w:rFonts w:ascii="Garamond" w:hAnsi="Garamond"/>
                <w:b/>
                <w:sz w:val="16"/>
                <w:szCs w:val="24"/>
                <w:lang w:val="sq-AL"/>
              </w:rPr>
              <w:t xml:space="preserve">Totali </w:t>
            </w:r>
            <w:r w:rsidRPr="00551729">
              <w:rPr>
                <w:rFonts w:ascii="Garamond" w:hAnsi="Garamond"/>
                <w:b/>
                <w:w w:val="95"/>
                <w:sz w:val="16"/>
                <w:szCs w:val="24"/>
                <w:lang w:val="sq-AL"/>
              </w:rPr>
              <w:t>(EURO)</w:t>
            </w:r>
          </w:p>
        </w:tc>
      </w:tr>
      <w:tr w:rsidR="00786614" w:rsidRPr="00551729" w14:paraId="1BADCC5C" w14:textId="77777777" w:rsidTr="00B86FAC">
        <w:trPr>
          <w:trHeight w:hRule="exact" w:val="518"/>
        </w:trPr>
        <w:tc>
          <w:tcPr>
            <w:tcW w:w="609" w:type="pct"/>
            <w:vMerge/>
            <w:shd w:val="clear" w:color="auto" w:fill="C0C0C0"/>
          </w:tcPr>
          <w:p w14:paraId="1BADCC53" w14:textId="77777777" w:rsidR="003360ED" w:rsidRPr="00551729" w:rsidRDefault="003360ED" w:rsidP="00B86FAC">
            <w:pPr>
              <w:spacing w:after="0" w:line="240" w:lineRule="auto"/>
              <w:rPr>
                <w:rFonts w:ascii="Garamond" w:hAnsi="Garamond"/>
                <w:sz w:val="16"/>
                <w:szCs w:val="24"/>
              </w:rPr>
            </w:pPr>
          </w:p>
        </w:tc>
        <w:tc>
          <w:tcPr>
            <w:tcW w:w="558" w:type="pct"/>
            <w:tcBorders>
              <w:left w:val="single" w:sz="40" w:space="0" w:color="C0C0C0"/>
            </w:tcBorders>
            <w:shd w:val="clear" w:color="auto" w:fill="CCCCFF"/>
          </w:tcPr>
          <w:p w14:paraId="1BADCC54"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2014</w:t>
            </w:r>
          </w:p>
        </w:tc>
        <w:tc>
          <w:tcPr>
            <w:tcW w:w="543" w:type="pct"/>
            <w:shd w:val="clear" w:color="auto" w:fill="CCCCFF"/>
          </w:tcPr>
          <w:p w14:paraId="1BADCC55"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2015</w:t>
            </w:r>
          </w:p>
        </w:tc>
        <w:tc>
          <w:tcPr>
            <w:tcW w:w="553" w:type="pct"/>
            <w:shd w:val="clear" w:color="auto" w:fill="CCCCFF"/>
          </w:tcPr>
          <w:p w14:paraId="1BADCC56"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2016</w:t>
            </w:r>
          </w:p>
        </w:tc>
        <w:tc>
          <w:tcPr>
            <w:tcW w:w="548" w:type="pct"/>
            <w:shd w:val="clear" w:color="auto" w:fill="CCCCFF"/>
          </w:tcPr>
          <w:p w14:paraId="1BADCC57"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2017</w:t>
            </w:r>
          </w:p>
        </w:tc>
        <w:tc>
          <w:tcPr>
            <w:tcW w:w="564" w:type="pct"/>
            <w:shd w:val="clear" w:color="auto" w:fill="CCCCFF"/>
          </w:tcPr>
          <w:p w14:paraId="1BADCC58"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2018</w:t>
            </w:r>
          </w:p>
        </w:tc>
        <w:tc>
          <w:tcPr>
            <w:tcW w:w="557" w:type="pct"/>
            <w:shd w:val="clear" w:color="auto" w:fill="CCCCFF"/>
          </w:tcPr>
          <w:p w14:paraId="1BADCC59"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2019</w:t>
            </w:r>
          </w:p>
        </w:tc>
        <w:tc>
          <w:tcPr>
            <w:tcW w:w="498" w:type="pct"/>
            <w:tcBorders>
              <w:right w:val="single" w:sz="52" w:space="0" w:color="CCFFFF"/>
            </w:tcBorders>
            <w:shd w:val="clear" w:color="auto" w:fill="CCCCFF"/>
          </w:tcPr>
          <w:p w14:paraId="1BADCC5A"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2020</w:t>
            </w:r>
          </w:p>
        </w:tc>
        <w:tc>
          <w:tcPr>
            <w:tcW w:w="569" w:type="pct"/>
            <w:shd w:val="clear" w:color="auto" w:fill="CCFFFF"/>
          </w:tcPr>
          <w:p w14:paraId="1BADCC5B"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2014-2020</w:t>
            </w:r>
          </w:p>
        </w:tc>
      </w:tr>
      <w:tr w:rsidR="00786614" w:rsidRPr="00551729" w14:paraId="1BADCC7F" w14:textId="77777777" w:rsidTr="00B86FAC">
        <w:trPr>
          <w:trHeight w:hRule="exact" w:val="1031"/>
        </w:trPr>
        <w:tc>
          <w:tcPr>
            <w:tcW w:w="609" w:type="pct"/>
            <w:shd w:val="clear" w:color="auto" w:fill="C0C0C0"/>
          </w:tcPr>
          <w:p w14:paraId="1BADCC5D" w14:textId="77777777" w:rsidR="003360ED" w:rsidRPr="00551729" w:rsidRDefault="003360ED" w:rsidP="00B86FAC">
            <w:pPr>
              <w:pStyle w:val="TableParagraph"/>
              <w:rPr>
                <w:rFonts w:ascii="Garamond" w:hAnsi="Garamond"/>
                <w:sz w:val="16"/>
                <w:szCs w:val="24"/>
                <w:lang w:val="sq-AL"/>
              </w:rPr>
            </w:pPr>
            <w:r w:rsidRPr="00551729">
              <w:rPr>
                <w:rFonts w:ascii="Garamond" w:hAnsi="Garamond"/>
                <w:w w:val="95"/>
                <w:sz w:val="16"/>
                <w:szCs w:val="24"/>
                <w:lang w:val="sq-AL"/>
              </w:rPr>
              <w:t xml:space="preserve">Operacionet </w:t>
            </w:r>
            <w:r w:rsidRPr="00551729">
              <w:rPr>
                <w:rFonts w:ascii="Garamond" w:hAnsi="Garamond"/>
                <w:sz w:val="16"/>
                <w:szCs w:val="24"/>
                <w:lang w:val="sq-AL"/>
              </w:rPr>
              <w:t>BNK</w:t>
            </w:r>
          </w:p>
          <w:p w14:paraId="1BADCC5E" w14:textId="77777777" w:rsidR="003360ED" w:rsidRPr="00551729" w:rsidRDefault="003360ED" w:rsidP="00B86FAC">
            <w:pPr>
              <w:pStyle w:val="TableParagraph"/>
              <w:rPr>
                <w:rFonts w:ascii="Garamond" w:hAnsi="Garamond"/>
                <w:i/>
                <w:sz w:val="16"/>
                <w:szCs w:val="24"/>
                <w:lang w:val="sq-AL"/>
              </w:rPr>
            </w:pPr>
            <w:r w:rsidRPr="00551729">
              <w:rPr>
                <w:rFonts w:ascii="Garamond" w:hAnsi="Garamond"/>
                <w:sz w:val="16"/>
                <w:szCs w:val="24"/>
                <w:lang w:val="sq-AL"/>
              </w:rPr>
              <w:t>(</w:t>
            </w:r>
            <w:r w:rsidRPr="00551729">
              <w:rPr>
                <w:rFonts w:ascii="Garamond" w:hAnsi="Garamond"/>
                <w:i/>
                <w:sz w:val="16"/>
                <w:szCs w:val="24"/>
                <w:lang w:val="sq-AL"/>
              </w:rPr>
              <w:t xml:space="preserve">të gjitha </w:t>
            </w:r>
            <w:r w:rsidRPr="00551729">
              <w:rPr>
                <w:rFonts w:ascii="Garamond" w:hAnsi="Garamond"/>
                <w:i/>
                <w:w w:val="95"/>
                <w:sz w:val="16"/>
                <w:szCs w:val="24"/>
                <w:lang w:val="sq-AL"/>
              </w:rPr>
              <w:t xml:space="preserve">prioritetet </w:t>
            </w:r>
            <w:r w:rsidRPr="00551729">
              <w:rPr>
                <w:rFonts w:ascii="Garamond" w:hAnsi="Garamond"/>
                <w:i/>
                <w:sz w:val="16"/>
                <w:szCs w:val="24"/>
                <w:lang w:val="sq-AL"/>
              </w:rPr>
              <w:t>tematike)</w:t>
            </w:r>
          </w:p>
        </w:tc>
        <w:tc>
          <w:tcPr>
            <w:tcW w:w="558" w:type="pct"/>
            <w:shd w:val="clear" w:color="auto" w:fill="CCCCFF"/>
          </w:tcPr>
          <w:p w14:paraId="1BADCC5F" w14:textId="77777777" w:rsidR="003360ED" w:rsidRPr="00551729" w:rsidRDefault="003360ED" w:rsidP="00B86FAC">
            <w:pPr>
              <w:pStyle w:val="TableParagraph"/>
              <w:rPr>
                <w:rFonts w:ascii="Garamond" w:hAnsi="Garamond"/>
                <w:b/>
                <w:sz w:val="16"/>
                <w:szCs w:val="24"/>
                <w:lang w:val="sq-AL"/>
              </w:rPr>
            </w:pPr>
          </w:p>
          <w:p w14:paraId="1BADCC60" w14:textId="77777777" w:rsidR="003360ED" w:rsidRPr="00551729" w:rsidRDefault="003360ED" w:rsidP="00B86FAC">
            <w:pPr>
              <w:pStyle w:val="TableParagraph"/>
              <w:rPr>
                <w:rFonts w:ascii="Garamond" w:hAnsi="Garamond"/>
                <w:b/>
                <w:sz w:val="16"/>
                <w:szCs w:val="24"/>
                <w:lang w:val="sq-AL"/>
              </w:rPr>
            </w:pPr>
          </w:p>
          <w:p w14:paraId="1BADCC61" w14:textId="77777777" w:rsidR="003360ED" w:rsidRPr="00551729" w:rsidRDefault="003360ED" w:rsidP="00B86FAC">
            <w:pPr>
              <w:pStyle w:val="TableParagraph"/>
              <w:rPr>
                <w:rFonts w:ascii="Garamond" w:hAnsi="Garamond"/>
                <w:b/>
                <w:sz w:val="16"/>
                <w:szCs w:val="24"/>
                <w:lang w:val="sq-AL"/>
              </w:rPr>
            </w:pPr>
          </w:p>
          <w:p w14:paraId="1BADCC62"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1 190 000</w:t>
            </w:r>
          </w:p>
        </w:tc>
        <w:tc>
          <w:tcPr>
            <w:tcW w:w="543" w:type="pct"/>
            <w:shd w:val="clear" w:color="auto" w:fill="CCCCFF"/>
          </w:tcPr>
          <w:p w14:paraId="1BADCC63" w14:textId="77777777" w:rsidR="003360ED" w:rsidRPr="00551729" w:rsidRDefault="003360ED" w:rsidP="00B86FAC">
            <w:pPr>
              <w:pStyle w:val="TableParagraph"/>
              <w:rPr>
                <w:rFonts w:ascii="Garamond" w:hAnsi="Garamond"/>
                <w:b/>
                <w:sz w:val="16"/>
                <w:szCs w:val="24"/>
                <w:lang w:val="sq-AL"/>
              </w:rPr>
            </w:pPr>
          </w:p>
          <w:p w14:paraId="1BADCC64" w14:textId="77777777" w:rsidR="003360ED" w:rsidRPr="00551729" w:rsidRDefault="003360ED" w:rsidP="00B86FAC">
            <w:pPr>
              <w:pStyle w:val="TableParagraph"/>
              <w:rPr>
                <w:rFonts w:ascii="Garamond" w:hAnsi="Garamond"/>
                <w:b/>
                <w:sz w:val="16"/>
                <w:szCs w:val="24"/>
                <w:lang w:val="sq-AL"/>
              </w:rPr>
            </w:pPr>
          </w:p>
          <w:p w14:paraId="1BADCC65" w14:textId="77777777" w:rsidR="003360ED" w:rsidRPr="00551729" w:rsidRDefault="003360ED" w:rsidP="00B86FAC">
            <w:pPr>
              <w:pStyle w:val="TableParagraph"/>
              <w:rPr>
                <w:rFonts w:ascii="Garamond" w:hAnsi="Garamond"/>
                <w:b/>
                <w:sz w:val="16"/>
                <w:szCs w:val="24"/>
                <w:lang w:val="sq-AL"/>
              </w:rPr>
            </w:pPr>
          </w:p>
          <w:p w14:paraId="1BADCC66"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1 700 000</w:t>
            </w:r>
          </w:p>
        </w:tc>
        <w:tc>
          <w:tcPr>
            <w:tcW w:w="553" w:type="pct"/>
            <w:shd w:val="clear" w:color="auto" w:fill="CCCCFF"/>
          </w:tcPr>
          <w:p w14:paraId="1BADCC67" w14:textId="77777777" w:rsidR="003360ED" w:rsidRPr="00551729" w:rsidRDefault="003360ED" w:rsidP="00B86FAC">
            <w:pPr>
              <w:pStyle w:val="TableParagraph"/>
              <w:rPr>
                <w:rFonts w:ascii="Garamond" w:hAnsi="Garamond"/>
                <w:b/>
                <w:sz w:val="16"/>
                <w:szCs w:val="24"/>
                <w:lang w:val="sq-AL"/>
              </w:rPr>
            </w:pPr>
          </w:p>
          <w:p w14:paraId="1BADCC68" w14:textId="77777777" w:rsidR="003360ED" w:rsidRPr="00551729" w:rsidRDefault="003360ED" w:rsidP="00B86FAC">
            <w:pPr>
              <w:pStyle w:val="TableParagraph"/>
              <w:rPr>
                <w:rFonts w:ascii="Garamond" w:hAnsi="Garamond"/>
                <w:b/>
                <w:sz w:val="16"/>
                <w:szCs w:val="24"/>
                <w:lang w:val="sq-AL"/>
              </w:rPr>
            </w:pPr>
          </w:p>
          <w:p w14:paraId="1BADCC69" w14:textId="77777777" w:rsidR="003360ED" w:rsidRPr="00551729" w:rsidRDefault="003360ED" w:rsidP="00B86FAC">
            <w:pPr>
              <w:pStyle w:val="TableParagraph"/>
              <w:rPr>
                <w:rFonts w:ascii="Garamond" w:hAnsi="Garamond"/>
                <w:b/>
                <w:sz w:val="16"/>
                <w:szCs w:val="24"/>
                <w:lang w:val="sq-AL"/>
              </w:rPr>
            </w:pPr>
          </w:p>
          <w:p w14:paraId="1BADCC6A"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1 700 000</w:t>
            </w:r>
          </w:p>
        </w:tc>
        <w:tc>
          <w:tcPr>
            <w:tcW w:w="548" w:type="pct"/>
            <w:shd w:val="clear" w:color="auto" w:fill="CCCCFF"/>
          </w:tcPr>
          <w:p w14:paraId="1BADCC6B" w14:textId="77777777" w:rsidR="003360ED" w:rsidRPr="00551729" w:rsidRDefault="003360ED" w:rsidP="00B86FAC">
            <w:pPr>
              <w:pStyle w:val="TableParagraph"/>
              <w:rPr>
                <w:rFonts w:ascii="Garamond" w:hAnsi="Garamond"/>
                <w:b/>
                <w:sz w:val="16"/>
                <w:szCs w:val="24"/>
                <w:lang w:val="sq-AL"/>
              </w:rPr>
            </w:pPr>
          </w:p>
          <w:p w14:paraId="1BADCC6C" w14:textId="77777777" w:rsidR="003360ED" w:rsidRPr="00551729" w:rsidRDefault="003360ED" w:rsidP="00B86FAC">
            <w:pPr>
              <w:pStyle w:val="TableParagraph"/>
              <w:rPr>
                <w:rFonts w:ascii="Garamond" w:hAnsi="Garamond"/>
                <w:b/>
                <w:sz w:val="16"/>
                <w:szCs w:val="24"/>
                <w:lang w:val="sq-AL"/>
              </w:rPr>
            </w:pPr>
          </w:p>
          <w:p w14:paraId="1BADCC6D" w14:textId="77777777" w:rsidR="003360ED" w:rsidRPr="00551729" w:rsidRDefault="003360ED" w:rsidP="00B86FAC">
            <w:pPr>
              <w:pStyle w:val="TableParagraph"/>
              <w:rPr>
                <w:rFonts w:ascii="Garamond" w:hAnsi="Garamond"/>
                <w:b/>
                <w:sz w:val="16"/>
                <w:szCs w:val="24"/>
                <w:lang w:val="sq-AL"/>
              </w:rPr>
            </w:pPr>
          </w:p>
          <w:p w14:paraId="1BADCC6E"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1 190 000</w:t>
            </w:r>
          </w:p>
        </w:tc>
        <w:tc>
          <w:tcPr>
            <w:tcW w:w="564" w:type="pct"/>
            <w:shd w:val="clear" w:color="auto" w:fill="CCCCFF"/>
          </w:tcPr>
          <w:p w14:paraId="1BADCC6F" w14:textId="77777777" w:rsidR="003360ED" w:rsidRPr="00551729" w:rsidRDefault="003360ED" w:rsidP="00B86FAC">
            <w:pPr>
              <w:pStyle w:val="TableParagraph"/>
              <w:rPr>
                <w:rFonts w:ascii="Garamond" w:hAnsi="Garamond"/>
                <w:b/>
                <w:sz w:val="16"/>
                <w:szCs w:val="24"/>
                <w:lang w:val="sq-AL"/>
              </w:rPr>
            </w:pPr>
          </w:p>
          <w:p w14:paraId="1BADCC70" w14:textId="77777777" w:rsidR="003360ED" w:rsidRPr="00551729" w:rsidRDefault="003360ED" w:rsidP="00B86FAC">
            <w:pPr>
              <w:pStyle w:val="TableParagraph"/>
              <w:rPr>
                <w:rFonts w:ascii="Garamond" w:hAnsi="Garamond"/>
                <w:b/>
                <w:sz w:val="16"/>
                <w:szCs w:val="24"/>
                <w:lang w:val="sq-AL"/>
              </w:rPr>
            </w:pPr>
          </w:p>
          <w:p w14:paraId="1BADCC71" w14:textId="77777777" w:rsidR="003360ED" w:rsidRPr="00551729" w:rsidRDefault="003360ED" w:rsidP="00B86FAC">
            <w:pPr>
              <w:pStyle w:val="TableParagraph"/>
              <w:rPr>
                <w:rFonts w:ascii="Garamond" w:hAnsi="Garamond"/>
                <w:b/>
                <w:sz w:val="16"/>
                <w:szCs w:val="24"/>
                <w:lang w:val="sq-AL"/>
              </w:rPr>
            </w:pPr>
          </w:p>
          <w:p w14:paraId="1BADCC72"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1 700 000</w:t>
            </w:r>
          </w:p>
        </w:tc>
        <w:tc>
          <w:tcPr>
            <w:tcW w:w="557" w:type="pct"/>
            <w:shd w:val="clear" w:color="auto" w:fill="CCCCFF"/>
          </w:tcPr>
          <w:p w14:paraId="1BADCC73" w14:textId="77777777" w:rsidR="003360ED" w:rsidRPr="00551729" w:rsidRDefault="003360ED" w:rsidP="00B86FAC">
            <w:pPr>
              <w:pStyle w:val="TableParagraph"/>
              <w:rPr>
                <w:rFonts w:ascii="Garamond" w:hAnsi="Garamond"/>
                <w:b/>
                <w:sz w:val="16"/>
                <w:szCs w:val="24"/>
                <w:lang w:val="sq-AL"/>
              </w:rPr>
            </w:pPr>
          </w:p>
          <w:p w14:paraId="1BADCC74" w14:textId="77777777" w:rsidR="003360ED" w:rsidRPr="00551729" w:rsidRDefault="003360ED" w:rsidP="00B86FAC">
            <w:pPr>
              <w:pStyle w:val="TableParagraph"/>
              <w:rPr>
                <w:rFonts w:ascii="Garamond" w:hAnsi="Garamond"/>
                <w:b/>
                <w:sz w:val="16"/>
                <w:szCs w:val="24"/>
                <w:lang w:val="sq-AL"/>
              </w:rPr>
            </w:pPr>
          </w:p>
          <w:p w14:paraId="1BADCC75" w14:textId="77777777" w:rsidR="003360ED" w:rsidRPr="00551729" w:rsidRDefault="003360ED" w:rsidP="00B86FAC">
            <w:pPr>
              <w:pStyle w:val="TableParagraph"/>
              <w:rPr>
                <w:rFonts w:ascii="Garamond" w:hAnsi="Garamond"/>
                <w:b/>
                <w:sz w:val="16"/>
                <w:szCs w:val="24"/>
                <w:lang w:val="sq-AL"/>
              </w:rPr>
            </w:pPr>
          </w:p>
          <w:p w14:paraId="1BADCC76"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1 700 000</w:t>
            </w:r>
          </w:p>
        </w:tc>
        <w:tc>
          <w:tcPr>
            <w:tcW w:w="498" w:type="pct"/>
            <w:tcBorders>
              <w:right w:val="single" w:sz="52" w:space="0" w:color="CCFFFF"/>
            </w:tcBorders>
            <w:shd w:val="clear" w:color="auto" w:fill="CCCCFF"/>
          </w:tcPr>
          <w:p w14:paraId="1BADCC77" w14:textId="77777777" w:rsidR="003360ED" w:rsidRPr="00551729" w:rsidRDefault="003360ED" w:rsidP="00B86FAC">
            <w:pPr>
              <w:pStyle w:val="TableParagraph"/>
              <w:rPr>
                <w:rFonts w:ascii="Garamond" w:hAnsi="Garamond"/>
                <w:b/>
                <w:sz w:val="16"/>
                <w:szCs w:val="24"/>
                <w:lang w:val="sq-AL"/>
              </w:rPr>
            </w:pPr>
          </w:p>
          <w:p w14:paraId="1BADCC78" w14:textId="77777777" w:rsidR="003360ED" w:rsidRPr="00551729" w:rsidRDefault="003360ED" w:rsidP="00B86FAC">
            <w:pPr>
              <w:pStyle w:val="TableParagraph"/>
              <w:rPr>
                <w:rFonts w:ascii="Garamond" w:hAnsi="Garamond"/>
                <w:b/>
                <w:sz w:val="16"/>
                <w:szCs w:val="24"/>
                <w:lang w:val="sq-AL"/>
              </w:rPr>
            </w:pPr>
          </w:p>
          <w:p w14:paraId="1BADCC79" w14:textId="77777777" w:rsidR="003360ED" w:rsidRPr="00551729" w:rsidRDefault="003360ED" w:rsidP="00B86FAC">
            <w:pPr>
              <w:pStyle w:val="TableParagraph"/>
              <w:rPr>
                <w:rFonts w:ascii="Garamond" w:hAnsi="Garamond"/>
                <w:b/>
                <w:sz w:val="16"/>
                <w:szCs w:val="24"/>
                <w:lang w:val="sq-AL"/>
              </w:rPr>
            </w:pPr>
          </w:p>
          <w:p w14:paraId="1BADCC7A"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1 530 000</w:t>
            </w:r>
          </w:p>
        </w:tc>
        <w:tc>
          <w:tcPr>
            <w:tcW w:w="569" w:type="pct"/>
            <w:shd w:val="clear" w:color="auto" w:fill="CCFFFF"/>
          </w:tcPr>
          <w:p w14:paraId="1BADCC7B" w14:textId="77777777" w:rsidR="003360ED" w:rsidRPr="00551729" w:rsidRDefault="003360ED" w:rsidP="00B86FAC">
            <w:pPr>
              <w:pStyle w:val="TableParagraph"/>
              <w:rPr>
                <w:rFonts w:ascii="Garamond" w:hAnsi="Garamond"/>
                <w:b/>
                <w:sz w:val="16"/>
                <w:szCs w:val="24"/>
                <w:lang w:val="sq-AL"/>
              </w:rPr>
            </w:pPr>
          </w:p>
          <w:p w14:paraId="1BADCC7C" w14:textId="77777777" w:rsidR="003360ED" w:rsidRPr="00551729" w:rsidRDefault="003360ED" w:rsidP="00B86FAC">
            <w:pPr>
              <w:pStyle w:val="TableParagraph"/>
              <w:rPr>
                <w:rFonts w:ascii="Garamond" w:hAnsi="Garamond"/>
                <w:b/>
                <w:sz w:val="16"/>
                <w:szCs w:val="24"/>
                <w:lang w:val="sq-AL"/>
              </w:rPr>
            </w:pPr>
          </w:p>
          <w:p w14:paraId="1BADCC7D" w14:textId="77777777" w:rsidR="003360ED" w:rsidRPr="00551729" w:rsidRDefault="003360ED" w:rsidP="00B86FAC">
            <w:pPr>
              <w:pStyle w:val="TableParagraph"/>
              <w:rPr>
                <w:rFonts w:ascii="Garamond" w:hAnsi="Garamond"/>
                <w:b/>
                <w:sz w:val="16"/>
                <w:szCs w:val="24"/>
                <w:lang w:val="sq-AL"/>
              </w:rPr>
            </w:pPr>
          </w:p>
          <w:p w14:paraId="1BADCC7E"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10 710 000</w:t>
            </w:r>
          </w:p>
        </w:tc>
      </w:tr>
      <w:tr w:rsidR="00786614" w:rsidRPr="00551729" w14:paraId="1BADCC91" w14:textId="77777777" w:rsidTr="00B86FAC">
        <w:trPr>
          <w:trHeight w:hRule="exact" w:val="904"/>
        </w:trPr>
        <w:tc>
          <w:tcPr>
            <w:tcW w:w="609" w:type="pct"/>
            <w:tcBorders>
              <w:bottom w:val="single" w:sz="24" w:space="0" w:color="CCFFFF"/>
            </w:tcBorders>
            <w:shd w:val="clear" w:color="auto" w:fill="C0C0C0"/>
          </w:tcPr>
          <w:p w14:paraId="1BADCC80" w14:textId="77777777" w:rsidR="003360ED" w:rsidRPr="00551729" w:rsidRDefault="003360ED" w:rsidP="00B86FAC">
            <w:pPr>
              <w:pStyle w:val="TableParagraph"/>
              <w:rPr>
                <w:rFonts w:ascii="Garamond" w:hAnsi="Garamond"/>
                <w:sz w:val="16"/>
                <w:szCs w:val="24"/>
                <w:lang w:val="sq-AL"/>
              </w:rPr>
            </w:pPr>
            <w:r w:rsidRPr="00551729">
              <w:rPr>
                <w:rFonts w:ascii="Garamond" w:hAnsi="Garamond"/>
                <w:w w:val="95"/>
                <w:sz w:val="16"/>
                <w:szCs w:val="24"/>
                <w:lang w:val="sq-AL"/>
              </w:rPr>
              <w:t xml:space="preserve">Asistenca </w:t>
            </w:r>
            <w:r w:rsidRPr="00551729">
              <w:rPr>
                <w:rFonts w:ascii="Garamond" w:hAnsi="Garamond"/>
                <w:sz w:val="16"/>
                <w:szCs w:val="24"/>
                <w:lang w:val="sq-AL"/>
              </w:rPr>
              <w:t>Teknike</w:t>
            </w:r>
          </w:p>
        </w:tc>
        <w:tc>
          <w:tcPr>
            <w:tcW w:w="558" w:type="pct"/>
            <w:shd w:val="clear" w:color="auto" w:fill="CCCCFF"/>
          </w:tcPr>
          <w:p w14:paraId="1BADCC81" w14:textId="77777777" w:rsidR="003360ED" w:rsidRPr="00551729" w:rsidRDefault="003360ED" w:rsidP="00B86FAC">
            <w:pPr>
              <w:pStyle w:val="TableParagraph"/>
              <w:rPr>
                <w:rFonts w:ascii="Garamond" w:hAnsi="Garamond"/>
                <w:b/>
                <w:sz w:val="16"/>
                <w:szCs w:val="24"/>
                <w:lang w:val="sq-AL"/>
              </w:rPr>
            </w:pPr>
          </w:p>
          <w:p w14:paraId="1BADCC82"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510 000</w:t>
            </w:r>
          </w:p>
        </w:tc>
        <w:tc>
          <w:tcPr>
            <w:tcW w:w="543" w:type="pct"/>
            <w:tcBorders>
              <w:bottom w:val="single" w:sz="24" w:space="0" w:color="CCFFFF"/>
            </w:tcBorders>
            <w:shd w:val="clear" w:color="auto" w:fill="CCCCFF"/>
          </w:tcPr>
          <w:p w14:paraId="1BADCC83" w14:textId="77777777" w:rsidR="003360ED" w:rsidRPr="00551729" w:rsidRDefault="003360ED" w:rsidP="00B86FAC">
            <w:pPr>
              <w:pStyle w:val="TableParagraph"/>
              <w:rPr>
                <w:rFonts w:ascii="Garamond" w:hAnsi="Garamond"/>
                <w:b/>
                <w:sz w:val="16"/>
                <w:szCs w:val="24"/>
                <w:lang w:val="sq-AL"/>
              </w:rPr>
            </w:pPr>
          </w:p>
          <w:p w14:paraId="1BADCC84"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w w:val="99"/>
                <w:sz w:val="16"/>
                <w:szCs w:val="24"/>
                <w:lang w:val="sq-AL"/>
              </w:rPr>
              <w:t>0</w:t>
            </w:r>
          </w:p>
        </w:tc>
        <w:tc>
          <w:tcPr>
            <w:tcW w:w="553" w:type="pct"/>
            <w:shd w:val="clear" w:color="auto" w:fill="CCCCFF"/>
          </w:tcPr>
          <w:p w14:paraId="1BADCC85" w14:textId="77777777" w:rsidR="003360ED" w:rsidRPr="00551729" w:rsidRDefault="003360ED" w:rsidP="00B86FAC">
            <w:pPr>
              <w:pStyle w:val="TableParagraph"/>
              <w:rPr>
                <w:rFonts w:ascii="Garamond" w:hAnsi="Garamond"/>
                <w:b/>
                <w:sz w:val="16"/>
                <w:szCs w:val="24"/>
                <w:lang w:val="sq-AL"/>
              </w:rPr>
            </w:pPr>
          </w:p>
          <w:p w14:paraId="1BADCC86"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w w:val="99"/>
                <w:sz w:val="16"/>
                <w:szCs w:val="24"/>
                <w:lang w:val="sq-AL"/>
              </w:rPr>
              <w:t>0</w:t>
            </w:r>
          </w:p>
        </w:tc>
        <w:tc>
          <w:tcPr>
            <w:tcW w:w="548" w:type="pct"/>
            <w:shd w:val="clear" w:color="auto" w:fill="CCCCFF"/>
          </w:tcPr>
          <w:p w14:paraId="1BADCC87" w14:textId="77777777" w:rsidR="003360ED" w:rsidRPr="00551729" w:rsidRDefault="003360ED" w:rsidP="00B86FAC">
            <w:pPr>
              <w:pStyle w:val="TableParagraph"/>
              <w:rPr>
                <w:rFonts w:ascii="Garamond" w:hAnsi="Garamond"/>
                <w:b/>
                <w:sz w:val="16"/>
                <w:szCs w:val="24"/>
                <w:lang w:val="sq-AL"/>
              </w:rPr>
            </w:pPr>
          </w:p>
          <w:p w14:paraId="1BADCC88"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510 000</w:t>
            </w:r>
          </w:p>
        </w:tc>
        <w:tc>
          <w:tcPr>
            <w:tcW w:w="564" w:type="pct"/>
            <w:shd w:val="clear" w:color="auto" w:fill="CCCCFF"/>
          </w:tcPr>
          <w:p w14:paraId="1BADCC89" w14:textId="77777777" w:rsidR="003360ED" w:rsidRPr="00551729" w:rsidRDefault="003360ED" w:rsidP="00B86FAC">
            <w:pPr>
              <w:pStyle w:val="TableParagraph"/>
              <w:rPr>
                <w:rFonts w:ascii="Garamond" w:hAnsi="Garamond"/>
                <w:b/>
                <w:sz w:val="16"/>
                <w:szCs w:val="24"/>
                <w:lang w:val="sq-AL"/>
              </w:rPr>
            </w:pPr>
          </w:p>
          <w:p w14:paraId="1BADCC8A"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w w:val="99"/>
                <w:sz w:val="16"/>
                <w:szCs w:val="24"/>
                <w:lang w:val="sq-AL"/>
              </w:rPr>
              <w:t>0</w:t>
            </w:r>
          </w:p>
        </w:tc>
        <w:tc>
          <w:tcPr>
            <w:tcW w:w="557" w:type="pct"/>
            <w:shd w:val="clear" w:color="auto" w:fill="CCCCFF"/>
          </w:tcPr>
          <w:p w14:paraId="1BADCC8B" w14:textId="77777777" w:rsidR="003360ED" w:rsidRPr="00551729" w:rsidRDefault="003360ED" w:rsidP="00B86FAC">
            <w:pPr>
              <w:pStyle w:val="TableParagraph"/>
              <w:rPr>
                <w:rFonts w:ascii="Garamond" w:hAnsi="Garamond"/>
                <w:b/>
                <w:sz w:val="16"/>
                <w:szCs w:val="24"/>
                <w:lang w:val="sq-AL"/>
              </w:rPr>
            </w:pPr>
          </w:p>
          <w:p w14:paraId="1BADCC8C"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w w:val="99"/>
                <w:sz w:val="16"/>
                <w:szCs w:val="24"/>
                <w:lang w:val="sq-AL"/>
              </w:rPr>
              <w:t>0</w:t>
            </w:r>
          </w:p>
        </w:tc>
        <w:tc>
          <w:tcPr>
            <w:tcW w:w="498" w:type="pct"/>
            <w:tcBorders>
              <w:right w:val="single" w:sz="52" w:space="0" w:color="CCFFFF"/>
            </w:tcBorders>
            <w:shd w:val="clear" w:color="auto" w:fill="CCCCFF"/>
          </w:tcPr>
          <w:p w14:paraId="1BADCC8D" w14:textId="77777777" w:rsidR="003360ED" w:rsidRPr="00551729" w:rsidRDefault="003360ED" w:rsidP="00B86FAC">
            <w:pPr>
              <w:pStyle w:val="TableParagraph"/>
              <w:rPr>
                <w:rFonts w:ascii="Garamond" w:hAnsi="Garamond"/>
                <w:b/>
                <w:sz w:val="16"/>
                <w:szCs w:val="24"/>
                <w:lang w:val="sq-AL"/>
              </w:rPr>
            </w:pPr>
          </w:p>
          <w:p w14:paraId="1BADCC8E"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170 000</w:t>
            </w:r>
          </w:p>
        </w:tc>
        <w:tc>
          <w:tcPr>
            <w:tcW w:w="569" w:type="pct"/>
            <w:shd w:val="clear" w:color="auto" w:fill="CCFFFF"/>
          </w:tcPr>
          <w:p w14:paraId="1BADCC8F" w14:textId="77777777" w:rsidR="003360ED" w:rsidRPr="00551729" w:rsidRDefault="003360ED" w:rsidP="00B86FAC">
            <w:pPr>
              <w:pStyle w:val="TableParagraph"/>
              <w:rPr>
                <w:rFonts w:ascii="Garamond" w:hAnsi="Garamond"/>
                <w:b/>
                <w:sz w:val="16"/>
                <w:szCs w:val="24"/>
                <w:lang w:val="sq-AL"/>
              </w:rPr>
            </w:pPr>
          </w:p>
          <w:p w14:paraId="1BADCC90"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1 190 000</w:t>
            </w:r>
          </w:p>
        </w:tc>
      </w:tr>
      <w:tr w:rsidR="00786614" w:rsidRPr="00551729" w14:paraId="1BADCCA3" w14:textId="77777777" w:rsidTr="00B86FAC">
        <w:trPr>
          <w:trHeight w:hRule="exact" w:val="777"/>
        </w:trPr>
        <w:tc>
          <w:tcPr>
            <w:tcW w:w="609" w:type="pct"/>
            <w:shd w:val="clear" w:color="auto" w:fill="CCFFFF"/>
          </w:tcPr>
          <w:p w14:paraId="1BADCC92" w14:textId="77777777" w:rsidR="003360ED" w:rsidRPr="00551729" w:rsidRDefault="003360ED" w:rsidP="00B86FAC">
            <w:pPr>
              <w:pStyle w:val="TableParagraph"/>
              <w:rPr>
                <w:rFonts w:ascii="Garamond" w:hAnsi="Garamond"/>
                <w:b/>
                <w:sz w:val="16"/>
                <w:szCs w:val="24"/>
                <w:lang w:val="sq-AL"/>
              </w:rPr>
            </w:pPr>
            <w:r w:rsidRPr="00551729">
              <w:rPr>
                <w:rFonts w:ascii="Garamond" w:hAnsi="Garamond"/>
                <w:b/>
                <w:sz w:val="16"/>
                <w:szCs w:val="24"/>
                <w:lang w:val="sq-AL"/>
              </w:rPr>
              <w:t xml:space="preserve">Totali </w:t>
            </w:r>
            <w:r w:rsidRPr="00551729">
              <w:rPr>
                <w:rFonts w:ascii="Garamond" w:hAnsi="Garamond"/>
                <w:b/>
                <w:w w:val="95"/>
                <w:sz w:val="16"/>
                <w:szCs w:val="24"/>
                <w:lang w:val="sq-AL"/>
              </w:rPr>
              <w:t>(EURO)</w:t>
            </w:r>
          </w:p>
        </w:tc>
        <w:tc>
          <w:tcPr>
            <w:tcW w:w="558" w:type="pct"/>
            <w:shd w:val="clear" w:color="auto" w:fill="CCFFFF"/>
          </w:tcPr>
          <w:p w14:paraId="1BADCC93" w14:textId="77777777" w:rsidR="003360ED" w:rsidRPr="00551729" w:rsidRDefault="003360ED" w:rsidP="00B86FAC">
            <w:pPr>
              <w:pStyle w:val="TableParagraph"/>
              <w:rPr>
                <w:rFonts w:ascii="Garamond" w:hAnsi="Garamond"/>
                <w:b/>
                <w:sz w:val="16"/>
                <w:szCs w:val="24"/>
                <w:lang w:val="sq-AL"/>
              </w:rPr>
            </w:pPr>
          </w:p>
          <w:p w14:paraId="1BADCC94"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1 700 000</w:t>
            </w:r>
          </w:p>
        </w:tc>
        <w:tc>
          <w:tcPr>
            <w:tcW w:w="543" w:type="pct"/>
            <w:shd w:val="clear" w:color="auto" w:fill="CCFFFF"/>
          </w:tcPr>
          <w:p w14:paraId="1BADCC95" w14:textId="77777777" w:rsidR="003360ED" w:rsidRPr="00551729" w:rsidRDefault="003360ED" w:rsidP="00B86FAC">
            <w:pPr>
              <w:pStyle w:val="TableParagraph"/>
              <w:rPr>
                <w:rFonts w:ascii="Garamond" w:hAnsi="Garamond"/>
                <w:b/>
                <w:sz w:val="16"/>
                <w:szCs w:val="24"/>
                <w:lang w:val="sq-AL"/>
              </w:rPr>
            </w:pPr>
          </w:p>
          <w:p w14:paraId="1BADCC96"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1 700 000</w:t>
            </w:r>
          </w:p>
        </w:tc>
        <w:tc>
          <w:tcPr>
            <w:tcW w:w="553" w:type="pct"/>
            <w:shd w:val="clear" w:color="auto" w:fill="CCFFFF"/>
          </w:tcPr>
          <w:p w14:paraId="1BADCC97" w14:textId="77777777" w:rsidR="003360ED" w:rsidRPr="00551729" w:rsidRDefault="003360ED" w:rsidP="00B86FAC">
            <w:pPr>
              <w:pStyle w:val="TableParagraph"/>
              <w:rPr>
                <w:rFonts w:ascii="Garamond" w:hAnsi="Garamond"/>
                <w:b/>
                <w:sz w:val="16"/>
                <w:szCs w:val="24"/>
                <w:lang w:val="sq-AL"/>
              </w:rPr>
            </w:pPr>
          </w:p>
          <w:p w14:paraId="1BADCC98"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1 700 000</w:t>
            </w:r>
          </w:p>
        </w:tc>
        <w:tc>
          <w:tcPr>
            <w:tcW w:w="548" w:type="pct"/>
            <w:shd w:val="clear" w:color="auto" w:fill="CCFFFF"/>
          </w:tcPr>
          <w:p w14:paraId="1BADCC99" w14:textId="77777777" w:rsidR="003360ED" w:rsidRPr="00551729" w:rsidRDefault="003360ED" w:rsidP="00B86FAC">
            <w:pPr>
              <w:pStyle w:val="TableParagraph"/>
              <w:rPr>
                <w:rFonts w:ascii="Garamond" w:hAnsi="Garamond"/>
                <w:b/>
                <w:sz w:val="16"/>
                <w:szCs w:val="24"/>
                <w:lang w:val="sq-AL"/>
              </w:rPr>
            </w:pPr>
          </w:p>
          <w:p w14:paraId="1BADCC9A"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1 700 000</w:t>
            </w:r>
          </w:p>
        </w:tc>
        <w:tc>
          <w:tcPr>
            <w:tcW w:w="564" w:type="pct"/>
            <w:shd w:val="clear" w:color="auto" w:fill="CCFFFF"/>
          </w:tcPr>
          <w:p w14:paraId="1BADCC9B" w14:textId="77777777" w:rsidR="003360ED" w:rsidRPr="00551729" w:rsidRDefault="003360ED" w:rsidP="00B86FAC">
            <w:pPr>
              <w:pStyle w:val="TableParagraph"/>
              <w:rPr>
                <w:rFonts w:ascii="Garamond" w:hAnsi="Garamond"/>
                <w:b/>
                <w:sz w:val="16"/>
                <w:szCs w:val="24"/>
                <w:lang w:val="sq-AL"/>
              </w:rPr>
            </w:pPr>
          </w:p>
          <w:p w14:paraId="1BADCC9C"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1 700 000</w:t>
            </w:r>
          </w:p>
        </w:tc>
        <w:tc>
          <w:tcPr>
            <w:tcW w:w="557" w:type="pct"/>
            <w:shd w:val="clear" w:color="auto" w:fill="CCFFFF"/>
          </w:tcPr>
          <w:p w14:paraId="1BADCC9D" w14:textId="77777777" w:rsidR="003360ED" w:rsidRPr="00551729" w:rsidRDefault="003360ED" w:rsidP="00B86FAC">
            <w:pPr>
              <w:pStyle w:val="TableParagraph"/>
              <w:rPr>
                <w:rFonts w:ascii="Garamond" w:hAnsi="Garamond"/>
                <w:b/>
                <w:sz w:val="16"/>
                <w:szCs w:val="24"/>
                <w:lang w:val="sq-AL"/>
              </w:rPr>
            </w:pPr>
          </w:p>
          <w:p w14:paraId="1BADCC9E"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1 700 000</w:t>
            </w:r>
          </w:p>
        </w:tc>
        <w:tc>
          <w:tcPr>
            <w:tcW w:w="498" w:type="pct"/>
            <w:shd w:val="clear" w:color="auto" w:fill="CCFFFF"/>
          </w:tcPr>
          <w:p w14:paraId="1BADCC9F" w14:textId="77777777" w:rsidR="003360ED" w:rsidRPr="00551729" w:rsidRDefault="003360ED" w:rsidP="00B86FAC">
            <w:pPr>
              <w:pStyle w:val="TableParagraph"/>
              <w:rPr>
                <w:rFonts w:ascii="Garamond" w:hAnsi="Garamond"/>
                <w:b/>
                <w:sz w:val="16"/>
                <w:szCs w:val="24"/>
                <w:lang w:val="sq-AL"/>
              </w:rPr>
            </w:pPr>
          </w:p>
          <w:p w14:paraId="1BADCCA0" w14:textId="77777777" w:rsidR="003360ED" w:rsidRPr="00551729" w:rsidRDefault="003360ED" w:rsidP="00B86FAC">
            <w:pPr>
              <w:pStyle w:val="TableParagraph"/>
              <w:jc w:val="center"/>
              <w:rPr>
                <w:rFonts w:ascii="Garamond" w:hAnsi="Garamond"/>
                <w:b/>
                <w:sz w:val="16"/>
                <w:szCs w:val="24"/>
                <w:lang w:val="sq-AL"/>
              </w:rPr>
            </w:pPr>
            <w:r w:rsidRPr="00551729">
              <w:rPr>
                <w:rFonts w:ascii="Garamond" w:hAnsi="Garamond"/>
                <w:b/>
                <w:sz w:val="16"/>
                <w:szCs w:val="24"/>
                <w:lang w:val="sq-AL"/>
              </w:rPr>
              <w:t>1 700 000</w:t>
            </w:r>
          </w:p>
        </w:tc>
        <w:tc>
          <w:tcPr>
            <w:tcW w:w="569" w:type="pct"/>
            <w:shd w:val="clear" w:color="auto" w:fill="CCFFFF"/>
          </w:tcPr>
          <w:p w14:paraId="1BADCCA1" w14:textId="77777777" w:rsidR="003360ED" w:rsidRPr="00551729" w:rsidRDefault="003360ED" w:rsidP="00B86FAC">
            <w:pPr>
              <w:pStyle w:val="TableParagraph"/>
              <w:rPr>
                <w:rFonts w:ascii="Garamond" w:hAnsi="Garamond"/>
                <w:b/>
                <w:sz w:val="16"/>
                <w:szCs w:val="24"/>
                <w:lang w:val="sq-AL"/>
              </w:rPr>
            </w:pPr>
          </w:p>
          <w:p w14:paraId="1BADCCA2" w14:textId="77777777" w:rsidR="003360ED" w:rsidRPr="00551729" w:rsidRDefault="003360ED" w:rsidP="00B86FAC">
            <w:pPr>
              <w:pStyle w:val="TableParagraph"/>
              <w:jc w:val="center"/>
              <w:rPr>
                <w:rFonts w:ascii="Garamond" w:hAnsi="Garamond"/>
                <w:sz w:val="16"/>
                <w:szCs w:val="24"/>
                <w:lang w:val="sq-AL"/>
              </w:rPr>
            </w:pPr>
            <w:r w:rsidRPr="00551729">
              <w:rPr>
                <w:rFonts w:ascii="Garamond" w:hAnsi="Garamond"/>
                <w:sz w:val="16"/>
                <w:szCs w:val="24"/>
                <w:lang w:val="sq-AL"/>
              </w:rPr>
              <w:t>11 900 000</w:t>
            </w:r>
          </w:p>
        </w:tc>
      </w:tr>
    </w:tbl>
    <w:p w14:paraId="1BADCCA4" w14:textId="77777777" w:rsidR="003360ED" w:rsidRPr="00551729" w:rsidRDefault="003360ED" w:rsidP="003360ED">
      <w:pPr>
        <w:pStyle w:val="BodyText"/>
        <w:ind w:firstLine="284"/>
        <w:rPr>
          <w:rFonts w:ascii="Garamond" w:hAnsi="Garamond"/>
          <w:b/>
          <w:sz w:val="24"/>
          <w:szCs w:val="24"/>
          <w:lang w:val="sq-AL"/>
        </w:rPr>
      </w:pPr>
    </w:p>
    <w:p w14:paraId="1BADCCA5" w14:textId="77777777" w:rsidR="003360ED" w:rsidRPr="00551729" w:rsidRDefault="003360ED" w:rsidP="00B86FAC">
      <w:pPr>
        <w:pStyle w:val="TEKSTIII"/>
        <w:rPr>
          <w:b/>
        </w:rPr>
      </w:pPr>
      <w:r w:rsidRPr="00551729">
        <w:rPr>
          <w:b/>
        </w:rPr>
        <w:t>Tabela 2: Alokimet indikative financiare për prioritet gjatë periudhës 2014-2020 dhe shkalla e kontributit të BE-së</w:t>
      </w:r>
    </w:p>
    <w:tbl>
      <w:tblPr>
        <w:tblW w:w="5028" w:type="pct"/>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CellMar>
          <w:left w:w="0" w:type="dxa"/>
          <w:right w:w="0" w:type="dxa"/>
        </w:tblCellMar>
        <w:tblLook w:val="01E0" w:firstRow="1" w:lastRow="1" w:firstColumn="1" w:lastColumn="1" w:noHBand="0" w:noVBand="0"/>
      </w:tblPr>
      <w:tblGrid>
        <w:gridCol w:w="3723"/>
        <w:gridCol w:w="1198"/>
        <w:gridCol w:w="1470"/>
        <w:gridCol w:w="1217"/>
        <w:gridCol w:w="1499"/>
      </w:tblGrid>
      <w:tr w:rsidR="003360ED" w:rsidRPr="00551729" w14:paraId="1BADCCAB" w14:textId="77777777" w:rsidTr="004736C4">
        <w:trPr>
          <w:trHeight w:hRule="exact" w:val="533"/>
        </w:trPr>
        <w:tc>
          <w:tcPr>
            <w:tcW w:w="2044" w:type="pct"/>
            <w:vMerge w:val="restart"/>
            <w:shd w:val="clear" w:color="auto" w:fill="C0C0C0"/>
          </w:tcPr>
          <w:p w14:paraId="1BADCCA6" w14:textId="77777777" w:rsidR="003360ED" w:rsidRPr="00551729" w:rsidRDefault="003360ED" w:rsidP="004736C4">
            <w:pPr>
              <w:pStyle w:val="TableParagraph"/>
              <w:rPr>
                <w:rFonts w:ascii="Garamond" w:hAnsi="Garamond"/>
                <w:b/>
                <w:sz w:val="16"/>
                <w:szCs w:val="24"/>
                <w:lang w:val="sq-AL"/>
              </w:rPr>
            </w:pPr>
          </w:p>
          <w:p w14:paraId="1BADCCA7" w14:textId="77777777" w:rsidR="003360ED" w:rsidRPr="00551729" w:rsidRDefault="003360ED" w:rsidP="004736C4">
            <w:pPr>
              <w:pStyle w:val="TableParagraph"/>
              <w:rPr>
                <w:rFonts w:ascii="Garamond" w:hAnsi="Garamond"/>
                <w:b/>
                <w:sz w:val="16"/>
                <w:szCs w:val="24"/>
                <w:lang w:val="sq-AL"/>
              </w:rPr>
            </w:pPr>
          </w:p>
          <w:p w14:paraId="1BADCCA8" w14:textId="77777777" w:rsidR="003360ED" w:rsidRPr="00551729" w:rsidRDefault="003360ED" w:rsidP="004736C4">
            <w:pPr>
              <w:pStyle w:val="TableParagraph"/>
              <w:rPr>
                <w:rFonts w:ascii="Garamond" w:hAnsi="Garamond"/>
                <w:b/>
                <w:sz w:val="16"/>
                <w:szCs w:val="24"/>
                <w:lang w:val="sq-AL"/>
              </w:rPr>
            </w:pPr>
          </w:p>
          <w:p w14:paraId="1BADCCA9" w14:textId="77777777" w:rsidR="003360ED" w:rsidRPr="00551729" w:rsidRDefault="003360ED" w:rsidP="004736C4">
            <w:pPr>
              <w:pStyle w:val="TableParagraph"/>
              <w:jc w:val="center"/>
              <w:rPr>
                <w:rFonts w:ascii="Garamond" w:hAnsi="Garamond"/>
                <w:b/>
                <w:sz w:val="16"/>
                <w:szCs w:val="24"/>
                <w:lang w:val="sq-AL"/>
              </w:rPr>
            </w:pPr>
            <w:r w:rsidRPr="00551729">
              <w:rPr>
                <w:rFonts w:ascii="Garamond" w:hAnsi="Garamond"/>
                <w:b/>
                <w:sz w:val="16"/>
                <w:szCs w:val="24"/>
                <w:lang w:val="sq-AL"/>
              </w:rPr>
              <w:t>PRIORITETET</w:t>
            </w:r>
          </w:p>
        </w:tc>
        <w:tc>
          <w:tcPr>
            <w:tcW w:w="2956" w:type="pct"/>
            <w:gridSpan w:val="4"/>
            <w:shd w:val="clear" w:color="auto" w:fill="CCCCFF"/>
          </w:tcPr>
          <w:p w14:paraId="1BADCCAA" w14:textId="77777777" w:rsidR="003360ED" w:rsidRPr="00551729" w:rsidRDefault="003360ED" w:rsidP="004736C4">
            <w:pPr>
              <w:pStyle w:val="TableParagraph"/>
              <w:rPr>
                <w:rFonts w:ascii="Garamond" w:hAnsi="Garamond"/>
                <w:b/>
                <w:sz w:val="16"/>
                <w:szCs w:val="24"/>
                <w:lang w:val="sq-AL"/>
              </w:rPr>
            </w:pPr>
            <w:r w:rsidRPr="00551729">
              <w:rPr>
                <w:rFonts w:ascii="Garamond" w:hAnsi="Garamond"/>
                <w:b/>
                <w:sz w:val="16"/>
                <w:szCs w:val="24"/>
                <w:lang w:val="sq-AL"/>
              </w:rPr>
              <w:t>PROGRAMI IPA BNK MAL I ZI - SHQIPËRI 2014-2020</w:t>
            </w:r>
          </w:p>
        </w:tc>
      </w:tr>
      <w:tr w:rsidR="00500457" w:rsidRPr="00551729" w14:paraId="1BADCCB1" w14:textId="77777777" w:rsidTr="004736C4">
        <w:trPr>
          <w:trHeight w:hRule="exact" w:val="775"/>
        </w:trPr>
        <w:tc>
          <w:tcPr>
            <w:tcW w:w="2044" w:type="pct"/>
            <w:vMerge/>
            <w:shd w:val="clear" w:color="auto" w:fill="C0C0C0"/>
          </w:tcPr>
          <w:p w14:paraId="1BADCCAC" w14:textId="77777777" w:rsidR="003360ED" w:rsidRPr="00551729" w:rsidRDefault="003360ED" w:rsidP="004736C4">
            <w:pPr>
              <w:spacing w:after="0" w:line="240" w:lineRule="auto"/>
              <w:rPr>
                <w:rFonts w:ascii="Garamond" w:hAnsi="Garamond"/>
                <w:sz w:val="16"/>
                <w:szCs w:val="24"/>
              </w:rPr>
            </w:pPr>
          </w:p>
        </w:tc>
        <w:tc>
          <w:tcPr>
            <w:tcW w:w="658" w:type="pct"/>
            <w:shd w:val="clear" w:color="auto" w:fill="CCCCFF"/>
          </w:tcPr>
          <w:p w14:paraId="1BADCCAD" w14:textId="77777777" w:rsidR="003360ED" w:rsidRPr="00551729" w:rsidRDefault="003360ED" w:rsidP="004736C4">
            <w:pPr>
              <w:pStyle w:val="TableParagraph"/>
              <w:rPr>
                <w:rFonts w:ascii="Garamond" w:hAnsi="Garamond"/>
                <w:b/>
                <w:sz w:val="16"/>
                <w:szCs w:val="24"/>
                <w:lang w:val="sq-AL"/>
              </w:rPr>
            </w:pPr>
            <w:r w:rsidRPr="00551729">
              <w:rPr>
                <w:rFonts w:ascii="Garamond" w:hAnsi="Garamond"/>
                <w:b/>
                <w:sz w:val="16"/>
                <w:szCs w:val="24"/>
                <w:lang w:val="sq-AL"/>
              </w:rPr>
              <w:t>Kontributi i BE</w:t>
            </w:r>
          </w:p>
        </w:tc>
        <w:tc>
          <w:tcPr>
            <w:tcW w:w="807" w:type="pct"/>
            <w:tcBorders>
              <w:right w:val="single" w:sz="12" w:space="0" w:color="000080"/>
            </w:tcBorders>
            <w:shd w:val="clear" w:color="auto" w:fill="CCCCFF"/>
          </w:tcPr>
          <w:p w14:paraId="1BADCCAE" w14:textId="223F0A67" w:rsidR="003360ED" w:rsidRPr="00551729" w:rsidRDefault="001B762F" w:rsidP="004736C4">
            <w:pPr>
              <w:pStyle w:val="TableParagraph"/>
              <w:rPr>
                <w:rFonts w:ascii="Garamond" w:hAnsi="Garamond"/>
                <w:b/>
                <w:sz w:val="16"/>
                <w:szCs w:val="24"/>
                <w:lang w:val="sq-AL"/>
              </w:rPr>
            </w:pPr>
            <w:r>
              <w:rPr>
                <w:rFonts w:ascii="Garamond" w:hAnsi="Garamond"/>
                <w:b/>
                <w:w w:val="95"/>
                <w:sz w:val="16"/>
                <w:szCs w:val="24"/>
                <w:lang w:val="sq-AL"/>
              </w:rPr>
              <w:t>Bashkë</w:t>
            </w:r>
            <w:r w:rsidR="003360ED" w:rsidRPr="00551729">
              <w:rPr>
                <w:rFonts w:ascii="Garamond" w:hAnsi="Garamond"/>
                <w:b/>
                <w:w w:val="95"/>
                <w:sz w:val="16"/>
                <w:szCs w:val="24"/>
                <w:lang w:val="sq-AL"/>
              </w:rPr>
              <w:t xml:space="preserve">financimi </w:t>
            </w:r>
            <w:r w:rsidR="003360ED" w:rsidRPr="00551729">
              <w:rPr>
                <w:rFonts w:ascii="Garamond" w:hAnsi="Garamond"/>
                <w:b/>
                <w:sz w:val="16"/>
                <w:szCs w:val="24"/>
                <w:lang w:val="sq-AL"/>
              </w:rPr>
              <w:t>i</w:t>
            </w:r>
            <w:r w:rsidR="003360ED" w:rsidRPr="00551729">
              <w:rPr>
                <w:rFonts w:ascii="Garamond" w:hAnsi="Garamond"/>
                <w:b/>
                <w:spacing w:val="-9"/>
                <w:sz w:val="16"/>
                <w:szCs w:val="24"/>
                <w:lang w:val="sq-AL"/>
              </w:rPr>
              <w:t xml:space="preserve"> </w:t>
            </w:r>
            <w:r w:rsidR="003360ED" w:rsidRPr="00551729">
              <w:rPr>
                <w:rFonts w:ascii="Garamond" w:hAnsi="Garamond"/>
                <w:b/>
                <w:sz w:val="16"/>
                <w:szCs w:val="24"/>
                <w:lang w:val="sq-AL"/>
              </w:rPr>
              <w:t>përfituesve</w:t>
            </w:r>
          </w:p>
        </w:tc>
        <w:tc>
          <w:tcPr>
            <w:tcW w:w="668" w:type="pct"/>
            <w:tcBorders>
              <w:left w:val="single" w:sz="12" w:space="0" w:color="000080"/>
            </w:tcBorders>
            <w:shd w:val="clear" w:color="auto" w:fill="CCCCFF"/>
          </w:tcPr>
          <w:p w14:paraId="1BADCCAF" w14:textId="77777777" w:rsidR="003360ED" w:rsidRPr="00551729" w:rsidRDefault="003360ED" w:rsidP="004736C4">
            <w:pPr>
              <w:pStyle w:val="TableParagraph"/>
              <w:rPr>
                <w:rFonts w:ascii="Garamond" w:hAnsi="Garamond"/>
                <w:b/>
                <w:sz w:val="16"/>
                <w:szCs w:val="24"/>
                <w:lang w:val="sq-AL"/>
              </w:rPr>
            </w:pPr>
            <w:r w:rsidRPr="00551729">
              <w:rPr>
                <w:rFonts w:ascii="Garamond" w:hAnsi="Garamond"/>
                <w:b/>
                <w:w w:val="95"/>
                <w:sz w:val="16"/>
                <w:szCs w:val="24"/>
                <w:lang w:val="sq-AL"/>
              </w:rPr>
              <w:t xml:space="preserve">Financimi </w:t>
            </w:r>
            <w:r w:rsidRPr="00551729">
              <w:rPr>
                <w:rFonts w:ascii="Garamond" w:hAnsi="Garamond"/>
                <w:b/>
                <w:sz w:val="16"/>
                <w:szCs w:val="24"/>
                <w:lang w:val="sq-AL"/>
              </w:rPr>
              <w:t>total</w:t>
            </w:r>
          </w:p>
        </w:tc>
        <w:tc>
          <w:tcPr>
            <w:tcW w:w="823" w:type="pct"/>
            <w:shd w:val="clear" w:color="auto" w:fill="CCCCFF"/>
          </w:tcPr>
          <w:p w14:paraId="1BADCCB0" w14:textId="77777777" w:rsidR="003360ED" w:rsidRPr="00551729" w:rsidRDefault="003360ED" w:rsidP="004736C4">
            <w:pPr>
              <w:pStyle w:val="TableParagraph"/>
              <w:rPr>
                <w:rFonts w:ascii="Garamond" w:hAnsi="Garamond"/>
                <w:b/>
                <w:sz w:val="16"/>
                <w:szCs w:val="24"/>
                <w:lang w:val="sq-AL"/>
              </w:rPr>
            </w:pPr>
            <w:r w:rsidRPr="00551729">
              <w:rPr>
                <w:rFonts w:ascii="Garamond" w:hAnsi="Garamond"/>
                <w:b/>
                <w:sz w:val="16"/>
                <w:szCs w:val="24"/>
                <w:lang w:val="sq-AL"/>
              </w:rPr>
              <w:t>Shkalla e kontributit të BE</w:t>
            </w:r>
          </w:p>
        </w:tc>
      </w:tr>
      <w:tr w:rsidR="00500457" w:rsidRPr="00551729" w14:paraId="1BADCCB7" w14:textId="77777777" w:rsidTr="004736C4">
        <w:trPr>
          <w:trHeight w:hRule="exact" w:val="533"/>
        </w:trPr>
        <w:tc>
          <w:tcPr>
            <w:tcW w:w="2044" w:type="pct"/>
            <w:vMerge/>
            <w:shd w:val="clear" w:color="auto" w:fill="C0C0C0"/>
          </w:tcPr>
          <w:p w14:paraId="1BADCCB2" w14:textId="77777777" w:rsidR="003360ED" w:rsidRPr="00551729" w:rsidRDefault="003360ED" w:rsidP="004736C4">
            <w:pPr>
              <w:spacing w:after="0" w:line="240" w:lineRule="auto"/>
              <w:rPr>
                <w:rFonts w:ascii="Garamond" w:hAnsi="Garamond"/>
                <w:sz w:val="16"/>
                <w:szCs w:val="24"/>
              </w:rPr>
            </w:pPr>
          </w:p>
        </w:tc>
        <w:tc>
          <w:tcPr>
            <w:tcW w:w="658" w:type="pct"/>
            <w:shd w:val="clear" w:color="auto" w:fill="CCCCFF"/>
          </w:tcPr>
          <w:p w14:paraId="1BADCCB3"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(a)</w:t>
            </w:r>
          </w:p>
        </w:tc>
        <w:tc>
          <w:tcPr>
            <w:tcW w:w="807" w:type="pct"/>
            <w:tcBorders>
              <w:right w:val="single" w:sz="12" w:space="0" w:color="000080"/>
            </w:tcBorders>
            <w:shd w:val="clear" w:color="auto" w:fill="CCCCFF"/>
          </w:tcPr>
          <w:p w14:paraId="1BADCCB4"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(b)</w:t>
            </w:r>
          </w:p>
        </w:tc>
        <w:tc>
          <w:tcPr>
            <w:tcW w:w="668" w:type="pct"/>
            <w:tcBorders>
              <w:left w:val="single" w:sz="12" w:space="0" w:color="000080"/>
            </w:tcBorders>
            <w:shd w:val="clear" w:color="auto" w:fill="CCCCFF"/>
          </w:tcPr>
          <w:p w14:paraId="1BADCCB5"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(c) = (a)+(b)</w:t>
            </w:r>
          </w:p>
        </w:tc>
        <w:tc>
          <w:tcPr>
            <w:tcW w:w="823" w:type="pct"/>
            <w:shd w:val="clear" w:color="auto" w:fill="CCCCFF"/>
          </w:tcPr>
          <w:p w14:paraId="1BADCCB6"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(d) = (a)/(c)</w:t>
            </w:r>
          </w:p>
        </w:tc>
      </w:tr>
      <w:tr w:rsidR="00500457" w:rsidRPr="00551729" w14:paraId="1BADCCC1" w14:textId="77777777" w:rsidTr="004736C4">
        <w:trPr>
          <w:trHeight w:hRule="exact" w:val="648"/>
        </w:trPr>
        <w:tc>
          <w:tcPr>
            <w:tcW w:w="2044" w:type="pct"/>
            <w:shd w:val="clear" w:color="auto" w:fill="C0C0C0"/>
          </w:tcPr>
          <w:p w14:paraId="1BADCCB8" w14:textId="77777777" w:rsidR="003360ED" w:rsidRPr="00551729" w:rsidRDefault="003360ED" w:rsidP="004736C4">
            <w:pPr>
              <w:pStyle w:val="TableParagraph"/>
              <w:rPr>
                <w:rFonts w:ascii="Garamond" w:hAnsi="Garamond"/>
                <w:sz w:val="16"/>
                <w:szCs w:val="24"/>
                <w:lang w:val="sq-AL"/>
              </w:rPr>
            </w:pPr>
            <w:r w:rsidRPr="00551729">
              <w:rPr>
                <w:rFonts w:ascii="Garamond" w:hAnsi="Garamond"/>
                <w:sz w:val="16"/>
                <w:szCs w:val="24"/>
                <w:lang w:val="sq-AL"/>
              </w:rPr>
              <w:t>1 Nxitja e turizmit dhe e trashëgimisë kulturore dhe natyrore</w:t>
            </w:r>
          </w:p>
        </w:tc>
        <w:tc>
          <w:tcPr>
            <w:tcW w:w="658" w:type="pct"/>
            <w:shd w:val="clear" w:color="auto" w:fill="CCCCFF"/>
          </w:tcPr>
          <w:p w14:paraId="1BADCCB9" w14:textId="77777777" w:rsidR="003360ED" w:rsidRPr="00551729" w:rsidRDefault="003360ED" w:rsidP="004736C4">
            <w:pPr>
              <w:pStyle w:val="TableParagraph"/>
              <w:rPr>
                <w:rFonts w:ascii="Garamond" w:hAnsi="Garamond"/>
                <w:b/>
                <w:sz w:val="16"/>
                <w:szCs w:val="24"/>
                <w:lang w:val="sq-AL"/>
              </w:rPr>
            </w:pPr>
          </w:p>
          <w:p w14:paraId="1BADCCBA"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4 165 000.00</w:t>
            </w:r>
          </w:p>
        </w:tc>
        <w:tc>
          <w:tcPr>
            <w:tcW w:w="807" w:type="pct"/>
            <w:tcBorders>
              <w:right w:val="single" w:sz="12" w:space="0" w:color="000080"/>
            </w:tcBorders>
            <w:shd w:val="clear" w:color="auto" w:fill="CCCCFF"/>
          </w:tcPr>
          <w:p w14:paraId="1BADCCBB" w14:textId="77777777" w:rsidR="003360ED" w:rsidRPr="00551729" w:rsidRDefault="003360ED" w:rsidP="004736C4">
            <w:pPr>
              <w:pStyle w:val="TableParagraph"/>
              <w:rPr>
                <w:rFonts w:ascii="Garamond" w:hAnsi="Garamond"/>
                <w:b/>
                <w:sz w:val="16"/>
                <w:szCs w:val="24"/>
                <w:lang w:val="sq-AL"/>
              </w:rPr>
            </w:pPr>
          </w:p>
          <w:p w14:paraId="1BADCCBC"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735 000.00</w:t>
            </w:r>
          </w:p>
        </w:tc>
        <w:tc>
          <w:tcPr>
            <w:tcW w:w="668" w:type="pct"/>
            <w:tcBorders>
              <w:left w:val="single" w:sz="12" w:space="0" w:color="000080"/>
            </w:tcBorders>
            <w:shd w:val="clear" w:color="auto" w:fill="CCCCFF"/>
          </w:tcPr>
          <w:p w14:paraId="1BADCCBD" w14:textId="77777777" w:rsidR="003360ED" w:rsidRPr="00551729" w:rsidRDefault="003360ED" w:rsidP="004736C4">
            <w:pPr>
              <w:pStyle w:val="TableParagraph"/>
              <w:rPr>
                <w:rFonts w:ascii="Garamond" w:hAnsi="Garamond"/>
                <w:b/>
                <w:sz w:val="16"/>
                <w:szCs w:val="24"/>
                <w:lang w:val="sq-AL"/>
              </w:rPr>
            </w:pPr>
          </w:p>
          <w:p w14:paraId="1BADCCBE"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4 900 000.00</w:t>
            </w:r>
          </w:p>
        </w:tc>
        <w:tc>
          <w:tcPr>
            <w:tcW w:w="823" w:type="pct"/>
            <w:shd w:val="clear" w:color="auto" w:fill="CCCCFF"/>
          </w:tcPr>
          <w:p w14:paraId="1BADCCBF" w14:textId="77777777" w:rsidR="003360ED" w:rsidRPr="00551729" w:rsidRDefault="003360ED" w:rsidP="004736C4">
            <w:pPr>
              <w:pStyle w:val="TableParagraph"/>
              <w:rPr>
                <w:rFonts w:ascii="Garamond" w:hAnsi="Garamond"/>
                <w:b/>
                <w:sz w:val="16"/>
                <w:szCs w:val="24"/>
                <w:lang w:val="sq-AL"/>
              </w:rPr>
            </w:pPr>
          </w:p>
          <w:p w14:paraId="1BADCCC0"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85%</w:t>
            </w:r>
          </w:p>
        </w:tc>
      </w:tr>
      <w:tr w:rsidR="00500457" w:rsidRPr="00551729" w14:paraId="1BADCCCB" w14:textId="77777777" w:rsidTr="004736C4">
        <w:trPr>
          <w:trHeight w:hRule="exact" w:val="521"/>
        </w:trPr>
        <w:tc>
          <w:tcPr>
            <w:tcW w:w="2044" w:type="pct"/>
            <w:shd w:val="clear" w:color="auto" w:fill="C0C0C0"/>
          </w:tcPr>
          <w:p w14:paraId="1BADCCC2" w14:textId="77777777" w:rsidR="003360ED" w:rsidRPr="00551729" w:rsidRDefault="003360ED" w:rsidP="004736C4">
            <w:pPr>
              <w:pStyle w:val="TableParagraph"/>
              <w:rPr>
                <w:rFonts w:ascii="Garamond" w:hAnsi="Garamond"/>
                <w:sz w:val="16"/>
                <w:szCs w:val="24"/>
                <w:lang w:val="sq-AL"/>
              </w:rPr>
            </w:pPr>
            <w:r w:rsidRPr="00551729">
              <w:rPr>
                <w:rFonts w:ascii="Garamond" w:hAnsi="Garamond"/>
                <w:sz w:val="16"/>
                <w:szCs w:val="24"/>
                <w:lang w:val="sq-AL"/>
              </w:rPr>
              <w:t>2 Mbrojtja e mjedisit, nxitja e përshtatjes dhe lehtësimit ndaj ndryshimeve klimatike, parandalimi dhe menaxhimi i rrezikut</w:t>
            </w:r>
          </w:p>
        </w:tc>
        <w:tc>
          <w:tcPr>
            <w:tcW w:w="658" w:type="pct"/>
            <w:shd w:val="clear" w:color="auto" w:fill="CCCCFF"/>
          </w:tcPr>
          <w:p w14:paraId="1BADCCC3" w14:textId="77777777" w:rsidR="003360ED" w:rsidRPr="00551729" w:rsidRDefault="003360ED" w:rsidP="004736C4">
            <w:pPr>
              <w:pStyle w:val="TableParagraph"/>
              <w:rPr>
                <w:rFonts w:ascii="Garamond" w:hAnsi="Garamond"/>
                <w:b/>
                <w:sz w:val="16"/>
                <w:szCs w:val="24"/>
                <w:lang w:val="sq-AL"/>
              </w:rPr>
            </w:pPr>
          </w:p>
          <w:p w14:paraId="1BADCCC4"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3 570 000.00</w:t>
            </w:r>
          </w:p>
        </w:tc>
        <w:tc>
          <w:tcPr>
            <w:tcW w:w="807" w:type="pct"/>
            <w:tcBorders>
              <w:right w:val="single" w:sz="12" w:space="0" w:color="000080"/>
            </w:tcBorders>
            <w:shd w:val="clear" w:color="auto" w:fill="CCCCFF"/>
          </w:tcPr>
          <w:p w14:paraId="1BADCCC5" w14:textId="77777777" w:rsidR="003360ED" w:rsidRPr="00551729" w:rsidRDefault="003360ED" w:rsidP="004736C4">
            <w:pPr>
              <w:pStyle w:val="TableParagraph"/>
              <w:rPr>
                <w:rFonts w:ascii="Garamond" w:hAnsi="Garamond"/>
                <w:b/>
                <w:sz w:val="16"/>
                <w:szCs w:val="24"/>
                <w:lang w:val="sq-AL"/>
              </w:rPr>
            </w:pPr>
          </w:p>
          <w:p w14:paraId="1BADCCC6"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630 000.00</w:t>
            </w:r>
          </w:p>
        </w:tc>
        <w:tc>
          <w:tcPr>
            <w:tcW w:w="668" w:type="pct"/>
            <w:tcBorders>
              <w:left w:val="single" w:sz="12" w:space="0" w:color="000080"/>
            </w:tcBorders>
            <w:shd w:val="clear" w:color="auto" w:fill="CCCCFF"/>
          </w:tcPr>
          <w:p w14:paraId="1BADCCC7" w14:textId="77777777" w:rsidR="003360ED" w:rsidRPr="00551729" w:rsidRDefault="003360ED" w:rsidP="004736C4">
            <w:pPr>
              <w:pStyle w:val="TableParagraph"/>
              <w:rPr>
                <w:rFonts w:ascii="Garamond" w:hAnsi="Garamond"/>
                <w:b/>
                <w:sz w:val="16"/>
                <w:szCs w:val="24"/>
                <w:lang w:val="sq-AL"/>
              </w:rPr>
            </w:pPr>
          </w:p>
          <w:p w14:paraId="1BADCCC8"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4 200 000.00</w:t>
            </w:r>
          </w:p>
        </w:tc>
        <w:tc>
          <w:tcPr>
            <w:tcW w:w="823" w:type="pct"/>
            <w:shd w:val="clear" w:color="auto" w:fill="CCCCFF"/>
          </w:tcPr>
          <w:p w14:paraId="1BADCCC9" w14:textId="77777777" w:rsidR="003360ED" w:rsidRPr="00551729" w:rsidRDefault="003360ED" w:rsidP="004736C4">
            <w:pPr>
              <w:pStyle w:val="TableParagraph"/>
              <w:rPr>
                <w:rFonts w:ascii="Garamond" w:hAnsi="Garamond"/>
                <w:b/>
                <w:sz w:val="16"/>
                <w:szCs w:val="24"/>
                <w:lang w:val="sq-AL"/>
              </w:rPr>
            </w:pPr>
          </w:p>
          <w:p w14:paraId="1BADCCCA"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85%</w:t>
            </w:r>
          </w:p>
        </w:tc>
      </w:tr>
      <w:tr w:rsidR="00500457" w:rsidRPr="00551729" w14:paraId="1BADCCD5" w14:textId="77777777" w:rsidTr="004736C4">
        <w:trPr>
          <w:trHeight w:hRule="exact" w:val="577"/>
        </w:trPr>
        <w:tc>
          <w:tcPr>
            <w:tcW w:w="2044" w:type="pct"/>
            <w:shd w:val="clear" w:color="auto" w:fill="C0C0C0"/>
          </w:tcPr>
          <w:p w14:paraId="1BADCCCC" w14:textId="77777777" w:rsidR="003360ED" w:rsidRPr="00551729" w:rsidRDefault="003360ED" w:rsidP="004736C4">
            <w:pPr>
              <w:pStyle w:val="TableParagraph"/>
              <w:rPr>
                <w:rFonts w:ascii="Garamond" w:hAnsi="Garamond"/>
                <w:sz w:val="16"/>
                <w:szCs w:val="24"/>
                <w:lang w:val="sq-AL"/>
              </w:rPr>
            </w:pPr>
            <w:r w:rsidRPr="00551729">
              <w:rPr>
                <w:rFonts w:ascii="Garamond" w:hAnsi="Garamond"/>
                <w:sz w:val="16"/>
                <w:szCs w:val="24"/>
                <w:lang w:val="sq-AL"/>
              </w:rPr>
              <w:t>3 Nxitja e punësimit, lëvizjes gjeografike të punonjësve, dhe përfshirjes sociale dhe kulturore përtej kufirit</w:t>
            </w:r>
          </w:p>
        </w:tc>
        <w:tc>
          <w:tcPr>
            <w:tcW w:w="658" w:type="pct"/>
            <w:shd w:val="clear" w:color="auto" w:fill="CCCCFF"/>
          </w:tcPr>
          <w:p w14:paraId="1BADCCCD" w14:textId="77777777" w:rsidR="003360ED" w:rsidRPr="00551729" w:rsidRDefault="003360ED" w:rsidP="004736C4">
            <w:pPr>
              <w:pStyle w:val="TableParagraph"/>
              <w:rPr>
                <w:rFonts w:ascii="Garamond" w:hAnsi="Garamond"/>
                <w:b/>
                <w:sz w:val="16"/>
                <w:szCs w:val="24"/>
                <w:lang w:val="sq-AL"/>
              </w:rPr>
            </w:pPr>
          </w:p>
          <w:p w14:paraId="1BADCCCE"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2 975 000.00</w:t>
            </w:r>
          </w:p>
        </w:tc>
        <w:tc>
          <w:tcPr>
            <w:tcW w:w="807" w:type="pct"/>
            <w:tcBorders>
              <w:right w:val="single" w:sz="12" w:space="0" w:color="000080"/>
            </w:tcBorders>
            <w:shd w:val="clear" w:color="auto" w:fill="CCCCFF"/>
          </w:tcPr>
          <w:p w14:paraId="1BADCCCF" w14:textId="77777777" w:rsidR="003360ED" w:rsidRPr="00551729" w:rsidRDefault="003360ED" w:rsidP="004736C4">
            <w:pPr>
              <w:pStyle w:val="TableParagraph"/>
              <w:rPr>
                <w:rFonts w:ascii="Garamond" w:hAnsi="Garamond"/>
                <w:b/>
                <w:sz w:val="16"/>
                <w:szCs w:val="24"/>
                <w:lang w:val="sq-AL"/>
              </w:rPr>
            </w:pPr>
          </w:p>
          <w:p w14:paraId="1BADCCD0"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525 000.00</w:t>
            </w:r>
          </w:p>
        </w:tc>
        <w:tc>
          <w:tcPr>
            <w:tcW w:w="668" w:type="pct"/>
            <w:tcBorders>
              <w:left w:val="single" w:sz="12" w:space="0" w:color="000080"/>
            </w:tcBorders>
            <w:shd w:val="clear" w:color="auto" w:fill="CCCCFF"/>
          </w:tcPr>
          <w:p w14:paraId="1BADCCD1" w14:textId="77777777" w:rsidR="003360ED" w:rsidRPr="00551729" w:rsidRDefault="003360ED" w:rsidP="004736C4">
            <w:pPr>
              <w:pStyle w:val="TableParagraph"/>
              <w:rPr>
                <w:rFonts w:ascii="Garamond" w:hAnsi="Garamond"/>
                <w:b/>
                <w:sz w:val="16"/>
                <w:szCs w:val="24"/>
                <w:lang w:val="sq-AL"/>
              </w:rPr>
            </w:pPr>
          </w:p>
          <w:p w14:paraId="1BADCCD2"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2 800 000.00</w:t>
            </w:r>
          </w:p>
        </w:tc>
        <w:tc>
          <w:tcPr>
            <w:tcW w:w="823" w:type="pct"/>
            <w:shd w:val="clear" w:color="auto" w:fill="CCCCFF"/>
          </w:tcPr>
          <w:p w14:paraId="1BADCCD3" w14:textId="77777777" w:rsidR="003360ED" w:rsidRPr="00551729" w:rsidRDefault="003360ED" w:rsidP="004736C4">
            <w:pPr>
              <w:pStyle w:val="TableParagraph"/>
              <w:rPr>
                <w:rFonts w:ascii="Garamond" w:hAnsi="Garamond"/>
                <w:b/>
                <w:sz w:val="16"/>
                <w:szCs w:val="24"/>
                <w:lang w:val="sq-AL"/>
              </w:rPr>
            </w:pPr>
          </w:p>
          <w:p w14:paraId="1BADCCD4"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85%</w:t>
            </w:r>
          </w:p>
        </w:tc>
      </w:tr>
      <w:tr w:rsidR="00D45313" w:rsidRPr="00551729" w14:paraId="1BADCCDB" w14:textId="77777777" w:rsidTr="004736C4">
        <w:trPr>
          <w:trHeight w:hRule="exact" w:val="341"/>
        </w:trPr>
        <w:tc>
          <w:tcPr>
            <w:tcW w:w="2044" w:type="pct"/>
            <w:tcBorders>
              <w:bottom w:val="single" w:sz="12" w:space="0" w:color="CCFFFF"/>
              <w:right w:val="single" w:sz="40" w:space="0" w:color="CCCCFF"/>
            </w:tcBorders>
            <w:shd w:val="clear" w:color="auto" w:fill="C0C0C0"/>
          </w:tcPr>
          <w:p w14:paraId="1BADCCD6" w14:textId="77777777" w:rsidR="003360ED" w:rsidRPr="00551729" w:rsidRDefault="003360ED" w:rsidP="004736C4">
            <w:pPr>
              <w:pStyle w:val="TableParagraph"/>
              <w:rPr>
                <w:rFonts w:ascii="Garamond" w:hAnsi="Garamond"/>
                <w:sz w:val="16"/>
                <w:szCs w:val="24"/>
                <w:lang w:val="sq-AL"/>
              </w:rPr>
            </w:pPr>
            <w:r w:rsidRPr="00551729">
              <w:rPr>
                <w:rFonts w:ascii="Garamond" w:hAnsi="Garamond"/>
                <w:sz w:val="16"/>
                <w:szCs w:val="24"/>
                <w:lang w:val="sq-AL"/>
              </w:rPr>
              <w:t>4 –Asistenca Teknike</w:t>
            </w:r>
          </w:p>
        </w:tc>
        <w:tc>
          <w:tcPr>
            <w:tcW w:w="658" w:type="pct"/>
            <w:tcBorders>
              <w:bottom w:val="single" w:sz="23" w:space="0" w:color="000080"/>
            </w:tcBorders>
            <w:shd w:val="clear" w:color="auto" w:fill="CCCCFF"/>
          </w:tcPr>
          <w:p w14:paraId="1BADCCD7"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1 190 000.00</w:t>
            </w:r>
          </w:p>
        </w:tc>
        <w:tc>
          <w:tcPr>
            <w:tcW w:w="807" w:type="pct"/>
            <w:tcBorders>
              <w:bottom w:val="single" w:sz="12" w:space="0" w:color="CCFFFF"/>
              <w:right w:val="single" w:sz="12" w:space="0" w:color="000080"/>
            </w:tcBorders>
            <w:shd w:val="clear" w:color="auto" w:fill="CCCCFF"/>
          </w:tcPr>
          <w:p w14:paraId="1BADCCD8"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w w:val="99"/>
                <w:sz w:val="16"/>
                <w:szCs w:val="24"/>
                <w:lang w:val="sq-AL"/>
              </w:rPr>
              <w:t>0</w:t>
            </w:r>
          </w:p>
        </w:tc>
        <w:tc>
          <w:tcPr>
            <w:tcW w:w="668" w:type="pct"/>
            <w:tcBorders>
              <w:left w:val="single" w:sz="12" w:space="0" w:color="000080"/>
              <w:bottom w:val="single" w:sz="12" w:space="0" w:color="CCFFFF"/>
            </w:tcBorders>
            <w:shd w:val="clear" w:color="auto" w:fill="CCCCFF"/>
          </w:tcPr>
          <w:p w14:paraId="1BADCCD9"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1 190 000.00</w:t>
            </w:r>
          </w:p>
        </w:tc>
        <w:tc>
          <w:tcPr>
            <w:tcW w:w="823" w:type="pct"/>
            <w:tcBorders>
              <w:bottom w:val="single" w:sz="12" w:space="0" w:color="CCFFFF"/>
            </w:tcBorders>
            <w:shd w:val="clear" w:color="auto" w:fill="CCCCFF"/>
          </w:tcPr>
          <w:p w14:paraId="1BADCCDA" w14:textId="77777777" w:rsidR="003360ED" w:rsidRPr="00551729" w:rsidRDefault="003360ED" w:rsidP="004736C4">
            <w:pPr>
              <w:pStyle w:val="TableParagraph"/>
              <w:jc w:val="center"/>
              <w:rPr>
                <w:rFonts w:ascii="Garamond" w:hAnsi="Garamond"/>
                <w:sz w:val="16"/>
                <w:szCs w:val="24"/>
                <w:lang w:val="sq-AL"/>
              </w:rPr>
            </w:pPr>
            <w:r w:rsidRPr="00551729">
              <w:rPr>
                <w:rFonts w:ascii="Garamond" w:hAnsi="Garamond"/>
                <w:sz w:val="16"/>
                <w:szCs w:val="24"/>
                <w:lang w:val="sq-AL"/>
              </w:rPr>
              <w:t>100 %</w:t>
            </w:r>
          </w:p>
        </w:tc>
      </w:tr>
      <w:tr w:rsidR="00D45313" w:rsidRPr="00551729" w14:paraId="1BADCCE1" w14:textId="77777777" w:rsidTr="004736C4">
        <w:trPr>
          <w:trHeight w:hRule="exact" w:val="565"/>
        </w:trPr>
        <w:tc>
          <w:tcPr>
            <w:tcW w:w="2044" w:type="pct"/>
            <w:tcBorders>
              <w:top w:val="single" w:sz="23" w:space="0" w:color="000080"/>
            </w:tcBorders>
            <w:shd w:val="clear" w:color="auto" w:fill="CCFFFF"/>
          </w:tcPr>
          <w:p w14:paraId="1BADCCDC" w14:textId="77777777" w:rsidR="003360ED" w:rsidRPr="00551729" w:rsidRDefault="003360ED" w:rsidP="004736C4">
            <w:pPr>
              <w:pStyle w:val="TableParagraph"/>
              <w:rPr>
                <w:rFonts w:ascii="Garamond" w:hAnsi="Garamond"/>
                <w:b/>
                <w:sz w:val="16"/>
                <w:szCs w:val="24"/>
                <w:lang w:val="sq-AL"/>
              </w:rPr>
            </w:pPr>
            <w:r w:rsidRPr="00551729">
              <w:rPr>
                <w:rFonts w:ascii="Garamond" w:hAnsi="Garamond"/>
                <w:b/>
                <w:sz w:val="16"/>
                <w:szCs w:val="24"/>
                <w:lang w:val="sq-AL"/>
              </w:rPr>
              <w:t>GRANTI TOTAL (EURO)</w:t>
            </w:r>
          </w:p>
        </w:tc>
        <w:tc>
          <w:tcPr>
            <w:tcW w:w="658" w:type="pct"/>
            <w:tcBorders>
              <w:top w:val="single" w:sz="26" w:space="0" w:color="CCCCFF"/>
            </w:tcBorders>
            <w:shd w:val="clear" w:color="auto" w:fill="CCFFFF"/>
          </w:tcPr>
          <w:p w14:paraId="1BADCCDD" w14:textId="77777777" w:rsidR="003360ED" w:rsidRPr="00551729" w:rsidRDefault="003360ED" w:rsidP="004736C4">
            <w:pPr>
              <w:pStyle w:val="TableParagraph"/>
              <w:jc w:val="center"/>
              <w:rPr>
                <w:rFonts w:ascii="Garamond" w:hAnsi="Garamond"/>
                <w:b/>
                <w:sz w:val="16"/>
                <w:szCs w:val="24"/>
                <w:lang w:val="sq-AL"/>
              </w:rPr>
            </w:pPr>
            <w:r w:rsidRPr="00551729">
              <w:rPr>
                <w:rFonts w:ascii="Garamond" w:hAnsi="Garamond"/>
                <w:b/>
                <w:sz w:val="16"/>
                <w:szCs w:val="24"/>
                <w:lang w:val="sq-AL"/>
              </w:rPr>
              <w:t>11 900 000.00</w:t>
            </w:r>
          </w:p>
        </w:tc>
        <w:tc>
          <w:tcPr>
            <w:tcW w:w="807" w:type="pct"/>
            <w:tcBorders>
              <w:top w:val="single" w:sz="14" w:space="0" w:color="CCCCFF"/>
              <w:right w:val="single" w:sz="12" w:space="0" w:color="000080"/>
            </w:tcBorders>
            <w:shd w:val="clear" w:color="auto" w:fill="CCFFFF"/>
          </w:tcPr>
          <w:p w14:paraId="1BADCCDE" w14:textId="77777777" w:rsidR="003360ED" w:rsidRPr="00551729" w:rsidRDefault="003360ED" w:rsidP="004736C4">
            <w:pPr>
              <w:pStyle w:val="TableParagraph"/>
              <w:jc w:val="center"/>
              <w:rPr>
                <w:rFonts w:ascii="Garamond" w:hAnsi="Garamond"/>
                <w:b/>
                <w:sz w:val="16"/>
                <w:szCs w:val="24"/>
                <w:lang w:val="sq-AL"/>
              </w:rPr>
            </w:pPr>
            <w:r w:rsidRPr="00551729">
              <w:rPr>
                <w:rFonts w:ascii="Garamond" w:hAnsi="Garamond"/>
                <w:b/>
                <w:sz w:val="16"/>
                <w:szCs w:val="24"/>
                <w:lang w:val="sq-AL"/>
              </w:rPr>
              <w:t>1 890 000.00</w:t>
            </w:r>
          </w:p>
        </w:tc>
        <w:tc>
          <w:tcPr>
            <w:tcW w:w="668" w:type="pct"/>
            <w:tcBorders>
              <w:top w:val="single" w:sz="23" w:space="0" w:color="000080"/>
              <w:left w:val="single" w:sz="12" w:space="0" w:color="000080"/>
            </w:tcBorders>
            <w:shd w:val="clear" w:color="auto" w:fill="CCFFFF"/>
          </w:tcPr>
          <w:p w14:paraId="1BADCCDF" w14:textId="77777777" w:rsidR="003360ED" w:rsidRPr="00551729" w:rsidRDefault="003360ED" w:rsidP="004736C4">
            <w:pPr>
              <w:pStyle w:val="TableParagraph"/>
              <w:jc w:val="center"/>
              <w:rPr>
                <w:rFonts w:ascii="Garamond" w:hAnsi="Garamond"/>
                <w:b/>
                <w:sz w:val="16"/>
                <w:szCs w:val="24"/>
                <w:lang w:val="sq-AL"/>
              </w:rPr>
            </w:pPr>
            <w:r w:rsidRPr="00551729">
              <w:rPr>
                <w:rFonts w:ascii="Garamond" w:hAnsi="Garamond"/>
                <w:b/>
                <w:sz w:val="16"/>
                <w:szCs w:val="24"/>
                <w:lang w:val="sq-AL"/>
              </w:rPr>
              <w:t>13 790 000.00</w:t>
            </w:r>
          </w:p>
        </w:tc>
        <w:tc>
          <w:tcPr>
            <w:tcW w:w="823" w:type="pct"/>
            <w:tcBorders>
              <w:top w:val="single" w:sz="14" w:space="0" w:color="CCCCFF"/>
            </w:tcBorders>
            <w:shd w:val="clear" w:color="auto" w:fill="CCFFFF"/>
          </w:tcPr>
          <w:p w14:paraId="1BADCCE0" w14:textId="77777777" w:rsidR="003360ED" w:rsidRPr="00551729" w:rsidRDefault="003360ED" w:rsidP="004736C4">
            <w:pPr>
              <w:spacing w:after="0" w:line="240" w:lineRule="auto"/>
              <w:rPr>
                <w:rFonts w:ascii="Garamond" w:hAnsi="Garamond"/>
                <w:sz w:val="16"/>
                <w:szCs w:val="24"/>
              </w:rPr>
            </w:pPr>
          </w:p>
        </w:tc>
      </w:tr>
    </w:tbl>
    <w:p w14:paraId="1BADCCE2" w14:textId="77777777" w:rsidR="003360ED" w:rsidRPr="00551729" w:rsidRDefault="003360ED" w:rsidP="003360ED">
      <w:pPr>
        <w:pStyle w:val="BodyText"/>
        <w:ind w:firstLine="284"/>
        <w:rPr>
          <w:rFonts w:ascii="Garamond" w:hAnsi="Garamond"/>
          <w:b/>
          <w:sz w:val="24"/>
          <w:szCs w:val="24"/>
          <w:lang w:val="sq-AL"/>
        </w:rPr>
      </w:pPr>
    </w:p>
    <w:p w14:paraId="1BADCCE3" w14:textId="06FDC3BA" w:rsidR="003360ED" w:rsidRPr="00551729" w:rsidRDefault="003360ED" w:rsidP="00D45313">
      <w:pPr>
        <w:pStyle w:val="TEKSTIII"/>
      </w:pPr>
      <w:r w:rsidRPr="00551729">
        <w:t xml:space="preserve">Kontributi i BE-së është llogaritur në raport me shpenzimet e pranueshme, të cilat bazohen në totalin e shpenzimeve të pranueshme, duke përfshirë shpenzimet publike dhe private. Shkalla e </w:t>
      </w:r>
      <w:r w:rsidR="001B762F">
        <w:t>bashkë</w:t>
      </w:r>
      <w:r w:rsidRPr="00551729">
        <w:t xml:space="preserve"> financimit të BE në nivel të çdo prioriteti tematik nuk duhet të jetë më pak se 20% dhe jo më e lartë se 85% e shpenzimeve të pranueshme.</w:t>
      </w:r>
    </w:p>
    <w:p w14:paraId="1BADCCE4" w14:textId="52575A15" w:rsidR="003360ED" w:rsidRPr="00551729" w:rsidRDefault="001B762F" w:rsidP="00D45313">
      <w:pPr>
        <w:pStyle w:val="TEKSTIII"/>
      </w:pPr>
      <w:r>
        <w:t>Bashkë</w:t>
      </w:r>
      <w:r w:rsidR="003360ED" w:rsidRPr="00551729">
        <w:t>financimi i prioriteteve tematike do të sigurohet nga përfituesit e granteve. Përfituesit e grantit duhet të kontribuojnë me një minimum prej 15% të totalit të shpenzimeve të pranueshme.</w:t>
      </w:r>
    </w:p>
    <w:p w14:paraId="1BADCCE5" w14:textId="1A15172A" w:rsidR="003360ED" w:rsidRPr="00551729" w:rsidRDefault="003360ED" w:rsidP="00D45313">
      <w:pPr>
        <w:pStyle w:val="TEKSTIII"/>
      </w:pPr>
      <w:r w:rsidRPr="00551729">
        <w:t xml:space="preserve">Shuma e dedikuar për asistencën teknike do të kufizohet në 10% të shumës totale të caktuar për programin. Shkalla e </w:t>
      </w:r>
      <w:r w:rsidR="001B762F">
        <w:t>bashkë</w:t>
      </w:r>
      <w:r w:rsidRPr="00551729">
        <w:t>financimit të BE-së do të jetë 100%.</w:t>
      </w:r>
    </w:p>
    <w:p w14:paraId="1BADCCE6" w14:textId="09E03127" w:rsidR="003360ED" w:rsidRPr="00551729" w:rsidRDefault="003360ED" w:rsidP="00D45313">
      <w:pPr>
        <w:pStyle w:val="TEKSTIII"/>
      </w:pPr>
      <w:r w:rsidRPr="00551729">
        <w:t>Fondet për prioritetet tematike do të jepen nëpërmjet Vendimeve të Komisionit Zbatues, duke mbuluar alokim</w:t>
      </w:r>
      <w:r w:rsidR="00433AF3">
        <w:t>e një deri në tre</w:t>
      </w:r>
      <w:r w:rsidRPr="00551729">
        <w:t>vjeçare, sipas nevojës. Fondet për asistencën teknike do të jepen nëpërmjet një Vendimi të veçantë të Komisionit Zbatues.</w:t>
      </w:r>
    </w:p>
    <w:p w14:paraId="0618B076" w14:textId="77777777" w:rsidR="001761E4" w:rsidRDefault="001761E4" w:rsidP="00D45313">
      <w:pPr>
        <w:pStyle w:val="TEKSTIII"/>
        <w:rPr>
          <w:b/>
        </w:rPr>
      </w:pPr>
      <w:bookmarkStart w:id="31" w:name="_bookmark29"/>
      <w:bookmarkEnd w:id="31"/>
    </w:p>
    <w:p w14:paraId="7C365F61" w14:textId="77777777" w:rsidR="001761E4" w:rsidRDefault="001761E4" w:rsidP="00D45313">
      <w:pPr>
        <w:pStyle w:val="TEKSTIII"/>
        <w:rPr>
          <w:b/>
        </w:rPr>
      </w:pPr>
    </w:p>
    <w:p w14:paraId="1BADCCE8" w14:textId="0EBE1A56" w:rsidR="003360ED" w:rsidRPr="00551729" w:rsidRDefault="003360ED" w:rsidP="00D45313">
      <w:pPr>
        <w:pStyle w:val="TEKSTIII"/>
        <w:rPr>
          <w:b/>
        </w:rPr>
      </w:pPr>
      <w:r w:rsidRPr="00551729">
        <w:rPr>
          <w:b/>
        </w:rPr>
        <w:t xml:space="preserve">Seksioni 5: Dispozitat </w:t>
      </w:r>
      <w:r w:rsidR="00E3373A" w:rsidRPr="00551729">
        <w:rPr>
          <w:b/>
        </w:rPr>
        <w:t>zbatuese</w:t>
      </w:r>
    </w:p>
    <w:p w14:paraId="1BADCCE9" w14:textId="7362E08B" w:rsidR="003360ED" w:rsidRPr="00551729" w:rsidRDefault="001F5F4A" w:rsidP="00D45313">
      <w:pPr>
        <w:pStyle w:val="TEKSTIII"/>
      </w:pPr>
      <w:r>
        <w:t>Thirrje për projekt</w:t>
      </w:r>
      <w:r w:rsidR="003360ED" w:rsidRPr="00551729">
        <w:t>propozime:</w:t>
      </w:r>
    </w:p>
    <w:p w14:paraId="1BADCCEA" w14:textId="7837E455" w:rsidR="003360ED" w:rsidRPr="00551729" w:rsidRDefault="003360ED" w:rsidP="00D45313">
      <w:pPr>
        <w:pStyle w:val="TEKSTIII"/>
      </w:pPr>
      <w:r w:rsidRPr="00551729">
        <w:t>Si rregull i përgjithshëm, ky program do të zbatohet nëpërmjet nisjes së thirrjeve për propozime (ThpP), të cilat mbulojnë një ose më shumë prioritete tematike apo objektiva specifike të programit BNK. Komiteti i Përbashkët i Monitorimit do të jetë përgjegjës për identifikimin e prioriteteve tematike, objektivave specifik</w:t>
      </w:r>
      <w:r w:rsidR="00D40334">
        <w:t>ë</w:t>
      </w:r>
      <w:r w:rsidRPr="00551729">
        <w:t>, përfituesve të synuar dhe të fokusit të veçantë të secilës thirrje për propozime, e cila duhet të miratohen nga Komisioni Evropian.</w:t>
      </w:r>
    </w:p>
    <w:p w14:paraId="1BADCCEB" w14:textId="746FE27A" w:rsidR="003360ED" w:rsidRPr="00551729" w:rsidRDefault="003360ED" w:rsidP="00D45313">
      <w:pPr>
        <w:pStyle w:val="TEKSTIII"/>
      </w:pPr>
      <w:r w:rsidRPr="00551729">
        <w:t>Autoritetet përgjegjëse në vendet pjesëmarrëse janë duke planifikuar zbatimin e pjesës më të madhe të ndërhyrjeve nëpërmjet skemave të granteve të bazuara në thirrjet publike për propozime. Ato do të sigurojnë transparencë të plotë në procesin dhe aksesin në një gamë të gjerë të subjekteve publike dhe jopublike.</w:t>
      </w:r>
    </w:p>
    <w:p w14:paraId="1BADCCEC" w14:textId="322F5730" w:rsidR="003360ED" w:rsidRPr="00551729" w:rsidRDefault="003360ED" w:rsidP="00D45313">
      <w:pPr>
        <w:pStyle w:val="TEKSTIII"/>
      </w:pPr>
      <w:r w:rsidRPr="00551729">
        <w:t>Dinamikat e publikimit të thirrjeve për propozime varen nga një numër faktorësh, duke përfshirë</w:t>
      </w:r>
      <w:r w:rsidR="00C521D5" w:rsidRPr="00551729">
        <w:t xml:space="preserve"> </w:t>
      </w:r>
      <w:r w:rsidRPr="00551729">
        <w:t>faktorët logjistikë, kohën e vlerësimit dhe nivelin e interesit nga aplikuesit e mundshëm. Pra, nuk mund të përcaktohet në këtë fazë se sa thirrje për propozime do të publikohen gjatë periudhës së programit. Gjithsesi, autoritetet përgjegjëse janë të angazhuara t</w:t>
      </w:r>
      <w:r w:rsidR="007F4192">
        <w:t>’</w:t>
      </w:r>
      <w:r w:rsidRPr="00551729">
        <w:t>i publikojnë thirrjet për propozime në mënyrë të tillë që të shmangin mbivendosjen e prioriteteve tematike midis programeve të ndryshme BNK. Thirrjet për propozime do të realizohen duke përdorur parimin e rotacionit për zgjedhjen e prioriteteve tematike dhe objektivat e tyre</w:t>
      </w:r>
      <w:r w:rsidRPr="00551729">
        <w:rPr>
          <w:spacing w:val="-10"/>
        </w:rPr>
        <w:t xml:space="preserve"> </w:t>
      </w:r>
      <w:r w:rsidRPr="00551729">
        <w:t>specifik</w:t>
      </w:r>
      <w:r w:rsidR="0096601B">
        <w:t>ë</w:t>
      </w:r>
      <w:r w:rsidRPr="00551729">
        <w:t>.</w:t>
      </w:r>
    </w:p>
    <w:p w14:paraId="1BADCCED" w14:textId="77777777" w:rsidR="003360ED" w:rsidRPr="00551729" w:rsidRDefault="003360ED" w:rsidP="003360ED">
      <w:pPr>
        <w:pStyle w:val="BodyText"/>
        <w:ind w:firstLine="284"/>
        <w:jc w:val="both"/>
        <w:rPr>
          <w:rFonts w:ascii="Garamond" w:hAnsi="Garamond"/>
          <w:sz w:val="24"/>
          <w:szCs w:val="24"/>
          <w:lang w:val="sq-AL"/>
        </w:rPr>
      </w:pPr>
      <w:r w:rsidRPr="00551729">
        <w:rPr>
          <w:rFonts w:ascii="Garamond" w:hAnsi="Garamond"/>
          <w:sz w:val="24"/>
          <w:szCs w:val="24"/>
          <w:lang w:val="sq-AL"/>
        </w:rPr>
        <w:t>Projektet strategjike:</w:t>
      </w:r>
    </w:p>
    <w:p w14:paraId="1BADCCEE" w14:textId="0ACEFDC3" w:rsidR="003360ED" w:rsidRPr="00551729" w:rsidRDefault="003360ED" w:rsidP="00D60B38">
      <w:pPr>
        <w:pStyle w:val="TEKSTIII"/>
      </w:pPr>
      <w:r w:rsidRPr="00551729">
        <w:t>Gjatë përgatitjes së programit, nuk është identifikuar asnjë projekt strategjik që do të financohet jashtë një thirrje për propozime. Megjithatë, gjatë periudhës së zbatimit të programit, autoritetet përgjegjëse mund të konsiderojnë të ndajnë një pjesë të alokimit financiar të programit për një ose më shumë projekte strategjike. Identifikimi i projekteve të tilla do të varet nga fakti nëse të dy</w:t>
      </w:r>
      <w:r w:rsidR="001E5AF6">
        <w:t>ja</w:t>
      </w:r>
      <w:r w:rsidRPr="00551729">
        <w:t xml:space="preserve"> vendet kanë treguar interes specifik për adresimin e prioriteteve strategjike specifike.</w:t>
      </w:r>
    </w:p>
    <w:p w14:paraId="1BADCCEF" w14:textId="77777777" w:rsidR="003360ED" w:rsidRPr="00551729" w:rsidRDefault="003360ED" w:rsidP="00D60B38">
      <w:pPr>
        <w:pStyle w:val="TEKSTIII"/>
      </w:pPr>
      <w:r w:rsidRPr="00551729">
        <w:t>Projektet strategjike mund të zgjidhen nëpërmjet thirrjeve për projekte strategjike ose thirrjeve të jashtme për propozime. Në rastin e dytë, partnerët e programit do të identifikojnë së bashku dhe të bien dakord për çdo projekt strategjik që do të miratohet nga KPM në momentin e duhur përgjatë zbatimit të programit. Në këtë rast, pas propozimit dhe aprovimit nga KPM dhe miratimit nga Komisioni, programi BNK duhet të ndryshohet për të përfshirë një projekt të tillë strategjik.</w:t>
      </w:r>
    </w:p>
    <w:p w14:paraId="1BADCCF0" w14:textId="1B4D67B2" w:rsidR="003360ED" w:rsidRPr="00551729" w:rsidRDefault="003360ED" w:rsidP="00D60B38">
      <w:pPr>
        <w:pStyle w:val="TEKSTIII"/>
      </w:pPr>
      <w:r w:rsidRPr="00551729">
        <w:t>Projektet strategjike janë përcaktuar si ndërhyrje që kanë një ndikim të rëndësishëm ndërkufitar në të gjithë zonën e programit, i cili në mënyrë të pavarur ose në kombinim me projekte të tjera strategjike, kontribuon në një masë të madhe në arritjen e objektivave madhor</w:t>
      </w:r>
      <w:r w:rsidR="00D40334">
        <w:t>ë</w:t>
      </w:r>
      <w:r w:rsidRPr="00551729">
        <w:t xml:space="preserve"> në nivel prioritar. Disa kritere të përgjithshme për përzgjedhjen e projekteve strategjike do të jenë: ndikimi në të dyja anët e zonës së programit; lidhja me strategjitë rajonale për zhvillimin e zonave kufitare; niveli i kontributit dhe </w:t>
      </w:r>
      <w:r w:rsidR="001B762F">
        <w:t>bashkë</w:t>
      </w:r>
      <w:r w:rsidRPr="00551729">
        <w:t xml:space="preserve"> financimit nga autoritetet rajonale; numri i popullsisë që përfiton nga ndërhyrja; efektiviteti i kostove të ndërhyrjes; plotësimi i veprimeve paralele, dhe qëndrueshmëria. Për më tepër, këto projekte duhet të kenë një dokumentacion të plotë të tenderit, dhe në rast të investimeve në infrastrukturë, përveç vlerësimeve të nevojshme të ndikimit në mjedis, duhet të kenë edhe të gjitha lejet e nevojshme për vendin dhe ndërtimin.</w:t>
      </w:r>
    </w:p>
    <w:p w14:paraId="1BADCCF1" w14:textId="77777777" w:rsidR="003360ED" w:rsidRPr="00551729" w:rsidRDefault="003360ED" w:rsidP="00D60B38">
      <w:pPr>
        <w:pStyle w:val="TEKSTIII"/>
      </w:pPr>
      <w:r w:rsidRPr="00551729">
        <w:t>Strategjitë makro-rajonale:</w:t>
      </w:r>
    </w:p>
    <w:p w14:paraId="1BADCCF2" w14:textId="42DD13C5" w:rsidR="003360ED" w:rsidRPr="00551729" w:rsidRDefault="003360ED" w:rsidP="00D60B38">
      <w:pPr>
        <w:pStyle w:val="TEKSTIII"/>
      </w:pPr>
      <w:r w:rsidRPr="00551729">
        <w:t>Duke qenë se të dy</w:t>
      </w:r>
      <w:r w:rsidR="001E5AF6">
        <w:t>ja</w:t>
      </w:r>
      <w:r w:rsidRPr="00551729">
        <w:t xml:space="preserve"> vendet po marrin pjesë në Strategjinë e BE-së për Rajonin e Adriatikut dhe Jonit </w:t>
      </w:r>
      <w:r w:rsidR="00C521D5" w:rsidRPr="00551729">
        <w:t>“</w:t>
      </w:r>
      <w:r w:rsidRPr="00551729">
        <w:t>COM (2014) 357</w:t>
      </w:r>
      <w:r w:rsidR="00C521D5" w:rsidRPr="00551729">
        <w:t>”</w:t>
      </w:r>
      <w:r w:rsidRPr="00551729">
        <w:t>, përkufizimi dhe zhvillimi i projekteve strategjike mund të bëhet në kuadër të fushave prioritare apo temave të identifikuara si në planin e komunikimit, ashtu edhe në planin e veprimit të këtyre strategjive. E njëjta gjë vlen edhe për thirrjen për propozime që mund të dalë në lidhje me fushat prioritare ose temat e strategjisë makro-rajonale ku bën pjesë programi.</w:t>
      </w:r>
    </w:p>
    <w:p w14:paraId="1BADCCF3" w14:textId="77777777" w:rsidR="00B41418" w:rsidRPr="00551729" w:rsidRDefault="00B41418" w:rsidP="00D60B38">
      <w:pPr>
        <w:pStyle w:val="TEKSTIII"/>
        <w:rPr>
          <w:rFonts w:ascii="Arial Narrow" w:hAnsi="Arial Narrow"/>
          <w:sz w:val="16"/>
        </w:rPr>
      </w:pPr>
    </w:p>
    <w:p w14:paraId="1BADCCF4" w14:textId="77777777" w:rsidR="00D67C7C" w:rsidRPr="00551729" w:rsidRDefault="00D67C7C" w:rsidP="00D67C7C">
      <w:pPr>
        <w:pStyle w:val="TEKSTIII"/>
      </w:pPr>
    </w:p>
    <w:p w14:paraId="49CB6F4E" w14:textId="77777777" w:rsidR="00EF3E82" w:rsidRDefault="00EF3E82" w:rsidP="00D67C7C">
      <w:pPr>
        <w:pStyle w:val="TEKSTIII"/>
        <w:jc w:val="center"/>
      </w:pPr>
    </w:p>
    <w:p w14:paraId="1C79D0AA" w14:textId="77777777" w:rsidR="00EF3E82" w:rsidRDefault="00EF3E82" w:rsidP="00D67C7C">
      <w:pPr>
        <w:pStyle w:val="TEKSTIII"/>
        <w:jc w:val="center"/>
      </w:pPr>
    </w:p>
    <w:p w14:paraId="0846CE9F" w14:textId="77777777" w:rsidR="00EF3E82" w:rsidRDefault="00EF3E82" w:rsidP="00D67C7C">
      <w:pPr>
        <w:pStyle w:val="TEKSTIII"/>
        <w:jc w:val="center"/>
      </w:pPr>
    </w:p>
    <w:p w14:paraId="32089E81" w14:textId="70F5C6C2" w:rsidR="001F5F4A" w:rsidRPr="001F5F4A" w:rsidRDefault="001F5F4A" w:rsidP="00D67C7C">
      <w:pPr>
        <w:pStyle w:val="TEKSTIII"/>
        <w:jc w:val="center"/>
      </w:pPr>
      <w:r w:rsidRPr="001F5F4A">
        <w:t>ANEKS 1</w:t>
      </w:r>
    </w:p>
    <w:p w14:paraId="1BADCCF5" w14:textId="11AA39EE" w:rsidR="00D67C7C" w:rsidRPr="001F5F4A" w:rsidRDefault="001F5F4A" w:rsidP="00D67C7C">
      <w:pPr>
        <w:pStyle w:val="TEKSTIII"/>
        <w:jc w:val="center"/>
      </w:pPr>
      <w:r w:rsidRPr="001F5F4A">
        <w:t>ANALIZAT E SITUATËS</w:t>
      </w:r>
    </w:p>
    <w:p w14:paraId="1BADCCF6" w14:textId="3CF2DFD9" w:rsidR="00D67C7C" w:rsidRPr="001F5F4A" w:rsidRDefault="001F5F4A" w:rsidP="00D67C7C">
      <w:pPr>
        <w:pStyle w:val="TEKSTIII"/>
        <w:jc w:val="center"/>
      </w:pPr>
      <w:r w:rsidRPr="001F5F4A">
        <w:t>ANALIZA E SITUATËS</w:t>
      </w:r>
    </w:p>
    <w:p w14:paraId="1BADCCF7" w14:textId="77777777" w:rsidR="00D67C7C" w:rsidRPr="00551729" w:rsidRDefault="00D67C7C" w:rsidP="00D67C7C">
      <w:pPr>
        <w:pStyle w:val="TEKSTIII"/>
        <w:jc w:val="center"/>
        <w:rPr>
          <w:b/>
        </w:rPr>
      </w:pPr>
    </w:p>
    <w:p w14:paraId="1BADCCF8" w14:textId="717621A4" w:rsidR="00D67C7C" w:rsidRPr="00551729" w:rsidRDefault="00D67C7C" w:rsidP="00D67C7C">
      <w:pPr>
        <w:pStyle w:val="TEKSTIII"/>
        <w:jc w:val="center"/>
        <w:rPr>
          <w:b/>
        </w:rPr>
      </w:pPr>
      <w:r w:rsidRPr="00551729">
        <w:rPr>
          <w:b/>
        </w:rPr>
        <w:t xml:space="preserve">Programi IPA BNK Mal i Zi </w:t>
      </w:r>
      <w:r w:rsidR="001F5F4A">
        <w:rPr>
          <w:b/>
        </w:rPr>
        <w:t>–</w:t>
      </w:r>
      <w:r w:rsidRPr="00551729">
        <w:rPr>
          <w:b/>
        </w:rPr>
        <w:t xml:space="preserve"> Shqipëri 2014</w:t>
      </w:r>
      <w:r w:rsidR="001F5F4A">
        <w:rPr>
          <w:b/>
        </w:rPr>
        <w:t>–</w:t>
      </w:r>
      <w:r w:rsidRPr="00551729">
        <w:rPr>
          <w:b/>
        </w:rPr>
        <w:t>2020</w:t>
      </w:r>
    </w:p>
    <w:p w14:paraId="1BADCCF9" w14:textId="77777777" w:rsidR="00D67C7C" w:rsidRPr="00551729" w:rsidRDefault="00D67C7C" w:rsidP="00D67C7C">
      <w:pPr>
        <w:pStyle w:val="TEKSTIII"/>
      </w:pPr>
    </w:p>
    <w:p w14:paraId="1BADCCFA" w14:textId="77777777" w:rsidR="000004E4" w:rsidRPr="00551729" w:rsidRDefault="000004E4" w:rsidP="00AA358D">
      <w:pPr>
        <w:pStyle w:val="TEKSTIII"/>
      </w:pPr>
      <w:r w:rsidRPr="00551729">
        <w:t>Përmbajtja</w:t>
      </w:r>
    </w:p>
    <w:p w14:paraId="1BADCCFB" w14:textId="77777777" w:rsidR="000004E4" w:rsidRPr="00551729" w:rsidRDefault="000004E4" w:rsidP="00AA358D">
      <w:pPr>
        <w:pStyle w:val="TEKSTIII"/>
      </w:pPr>
      <w:r w:rsidRPr="00551729">
        <w:t>1.</w:t>
      </w:r>
      <w:r w:rsidR="00124F91" w:rsidRPr="00551729">
        <w:t xml:space="preserve"> </w:t>
      </w:r>
      <w:r w:rsidRPr="00551729">
        <w:t>HYRJE</w:t>
      </w:r>
      <w:r w:rsidR="00124F91" w:rsidRPr="00551729">
        <w:t xml:space="preserve"> </w:t>
      </w:r>
    </w:p>
    <w:p w14:paraId="1BADCCFC" w14:textId="77777777" w:rsidR="000004E4" w:rsidRPr="00551729" w:rsidRDefault="000004E4" w:rsidP="00AA358D">
      <w:pPr>
        <w:pStyle w:val="TEKSTIII"/>
      </w:pPr>
      <w:r w:rsidRPr="00551729">
        <w:t>2.</w:t>
      </w:r>
      <w:r w:rsidR="00124F91" w:rsidRPr="00551729">
        <w:t xml:space="preserve"> </w:t>
      </w:r>
      <w:r w:rsidRPr="00551729">
        <w:t>ANALIZA PESTLE</w:t>
      </w:r>
      <w:r w:rsidR="00124F91" w:rsidRPr="00551729">
        <w:t xml:space="preserve"> </w:t>
      </w:r>
    </w:p>
    <w:p w14:paraId="1BADCCFD" w14:textId="77777777" w:rsidR="000004E4" w:rsidRPr="00551729" w:rsidRDefault="000004E4" w:rsidP="00AA358D">
      <w:pPr>
        <w:pStyle w:val="TEKSTIII"/>
      </w:pPr>
      <w:r w:rsidRPr="00551729">
        <w:t>2.1</w:t>
      </w:r>
      <w:r w:rsidR="00124F91" w:rsidRPr="00551729">
        <w:t xml:space="preserve"> </w:t>
      </w:r>
      <w:r w:rsidRPr="00551729">
        <w:t>Reformat politike dhe procesi i integrimit në BE</w:t>
      </w:r>
      <w:r w:rsidR="00124F91" w:rsidRPr="00551729">
        <w:t xml:space="preserve"> </w:t>
      </w:r>
    </w:p>
    <w:p w14:paraId="1BADCCFE" w14:textId="77777777" w:rsidR="000004E4" w:rsidRPr="00551729" w:rsidRDefault="000004E4" w:rsidP="00AA358D">
      <w:pPr>
        <w:pStyle w:val="TEKSTIII"/>
      </w:pPr>
      <w:r w:rsidRPr="00551729">
        <w:t>Konteksti Ekonomik i Vendit</w:t>
      </w:r>
      <w:r w:rsidR="00124F91" w:rsidRPr="00551729">
        <w:t xml:space="preserve"> </w:t>
      </w:r>
    </w:p>
    <w:p w14:paraId="1BADCCFF" w14:textId="77777777" w:rsidR="000004E4" w:rsidRPr="00551729" w:rsidRDefault="000004E4" w:rsidP="00AA358D">
      <w:pPr>
        <w:pStyle w:val="TEKSTIII"/>
      </w:pPr>
      <w:r w:rsidRPr="00551729">
        <w:t>2.2</w:t>
      </w:r>
      <w:r w:rsidR="00124F91" w:rsidRPr="00551729">
        <w:t xml:space="preserve"> </w:t>
      </w:r>
      <w:r w:rsidRPr="00551729">
        <w:t>KARAKTERISTIKAT EKONOMIKE TË ZONËS SË PROGRAMIT</w:t>
      </w:r>
      <w:r w:rsidR="00124F91" w:rsidRPr="00551729">
        <w:t xml:space="preserve"> </w:t>
      </w:r>
    </w:p>
    <w:p w14:paraId="1BADCD00" w14:textId="3720534B" w:rsidR="000004E4" w:rsidRPr="00551729" w:rsidRDefault="000004E4" w:rsidP="00AA358D">
      <w:pPr>
        <w:pStyle w:val="TEKSTIII"/>
      </w:pPr>
      <w:r w:rsidRPr="00551729">
        <w:t>2.2.1</w:t>
      </w:r>
      <w:r w:rsidR="00124F91" w:rsidRPr="00551729">
        <w:t xml:space="preserve"> </w:t>
      </w:r>
      <w:r w:rsidRPr="00551729">
        <w:t xml:space="preserve">Sektori </w:t>
      </w:r>
      <w:r w:rsidR="001F5F4A" w:rsidRPr="00551729">
        <w:t xml:space="preserve">privat </w:t>
      </w:r>
    </w:p>
    <w:p w14:paraId="1BADCD01" w14:textId="77777777" w:rsidR="000004E4" w:rsidRPr="00551729" w:rsidRDefault="000004E4" w:rsidP="00AA358D">
      <w:pPr>
        <w:pStyle w:val="TEKSTIII"/>
      </w:pPr>
      <w:r w:rsidRPr="00551729">
        <w:t>2.2.2</w:t>
      </w:r>
      <w:r w:rsidR="00124F91" w:rsidRPr="00551729">
        <w:t xml:space="preserve"> </w:t>
      </w:r>
      <w:r w:rsidRPr="00551729">
        <w:t>Tregu i punës</w:t>
      </w:r>
      <w:r w:rsidR="00124F91" w:rsidRPr="00551729">
        <w:t xml:space="preserve"> </w:t>
      </w:r>
    </w:p>
    <w:p w14:paraId="1BADCD02" w14:textId="3DDFAB3F" w:rsidR="000004E4" w:rsidRPr="00551729" w:rsidRDefault="000004E4" w:rsidP="00AA358D">
      <w:pPr>
        <w:pStyle w:val="TEKSTIII"/>
      </w:pPr>
      <w:r w:rsidRPr="00551729">
        <w:t>2.2.3</w:t>
      </w:r>
      <w:r w:rsidR="00124F91" w:rsidRPr="00551729">
        <w:t xml:space="preserve"> </w:t>
      </w:r>
      <w:r w:rsidRPr="00551729">
        <w:t xml:space="preserve">Bujqësia dhe </w:t>
      </w:r>
      <w:r w:rsidR="001F5F4A" w:rsidRPr="00551729">
        <w:t xml:space="preserve">zhvillimi </w:t>
      </w:r>
      <w:r w:rsidRPr="00551729">
        <w:t>rural</w:t>
      </w:r>
      <w:r w:rsidR="00124F91" w:rsidRPr="00551729">
        <w:t xml:space="preserve"> </w:t>
      </w:r>
    </w:p>
    <w:p w14:paraId="1BADCD03" w14:textId="041987A0" w:rsidR="000004E4" w:rsidRPr="00551729" w:rsidRDefault="000004E4" w:rsidP="00AA358D">
      <w:pPr>
        <w:pStyle w:val="TEKSTIII"/>
      </w:pPr>
      <w:r w:rsidRPr="00551729">
        <w:t>2.2.4</w:t>
      </w:r>
      <w:r w:rsidR="00C521D5" w:rsidRPr="00551729">
        <w:t xml:space="preserve"> </w:t>
      </w:r>
      <w:r w:rsidRPr="00551729">
        <w:t>Turizmi</w:t>
      </w:r>
      <w:r w:rsidR="00124F91" w:rsidRPr="00551729">
        <w:t xml:space="preserve"> </w:t>
      </w:r>
    </w:p>
    <w:p w14:paraId="1BADCD04" w14:textId="77777777" w:rsidR="000004E4" w:rsidRPr="00551729" w:rsidRDefault="000004E4" w:rsidP="00AA358D">
      <w:pPr>
        <w:pStyle w:val="TEKSTIII"/>
      </w:pPr>
      <w:r w:rsidRPr="00551729">
        <w:t>2.3</w:t>
      </w:r>
      <w:r w:rsidR="00124F91" w:rsidRPr="00551729">
        <w:t xml:space="preserve"> </w:t>
      </w:r>
      <w:r w:rsidRPr="00551729">
        <w:t>SOCIALE</w:t>
      </w:r>
      <w:r w:rsidR="00124F91" w:rsidRPr="00551729">
        <w:t xml:space="preserve"> </w:t>
      </w:r>
    </w:p>
    <w:p w14:paraId="1BADCD05" w14:textId="77777777" w:rsidR="000004E4" w:rsidRPr="00551729" w:rsidRDefault="000004E4" w:rsidP="00AA358D">
      <w:pPr>
        <w:pStyle w:val="TEKSTIII"/>
      </w:pPr>
      <w:r w:rsidRPr="00551729">
        <w:t>2.3.1</w:t>
      </w:r>
      <w:r w:rsidR="00124F91" w:rsidRPr="00551729">
        <w:t xml:space="preserve"> </w:t>
      </w:r>
      <w:r w:rsidRPr="00551729">
        <w:t>Demografia</w:t>
      </w:r>
      <w:r w:rsidR="00124F91" w:rsidRPr="00551729">
        <w:t xml:space="preserve"> </w:t>
      </w:r>
    </w:p>
    <w:p w14:paraId="1BADCD06" w14:textId="77777777" w:rsidR="000004E4" w:rsidRPr="00551729" w:rsidRDefault="000004E4" w:rsidP="00AA358D">
      <w:pPr>
        <w:pStyle w:val="TEKSTIII"/>
      </w:pPr>
      <w:r w:rsidRPr="00551729">
        <w:t>Dendësia</w:t>
      </w:r>
      <w:r w:rsidR="00124F91" w:rsidRPr="00551729">
        <w:t xml:space="preserve"> </w:t>
      </w:r>
    </w:p>
    <w:p w14:paraId="1BADCD07" w14:textId="77777777" w:rsidR="000004E4" w:rsidRPr="00551729" w:rsidRDefault="000004E4" w:rsidP="00AA358D">
      <w:pPr>
        <w:pStyle w:val="TEKSTIII"/>
      </w:pPr>
      <w:r w:rsidRPr="00551729">
        <w:t>Minoritetet</w:t>
      </w:r>
      <w:r w:rsidR="00124F91" w:rsidRPr="00551729">
        <w:t xml:space="preserve"> </w:t>
      </w:r>
    </w:p>
    <w:p w14:paraId="1BADCD08" w14:textId="77777777" w:rsidR="000004E4" w:rsidRPr="00551729" w:rsidRDefault="000004E4" w:rsidP="00AA358D">
      <w:pPr>
        <w:pStyle w:val="TEKSTIII"/>
      </w:pPr>
      <w:r w:rsidRPr="00551729">
        <w:t>Varfëria</w:t>
      </w:r>
      <w:r w:rsidR="00124F91" w:rsidRPr="00551729">
        <w:t xml:space="preserve"> </w:t>
      </w:r>
    </w:p>
    <w:p w14:paraId="1BADCD09" w14:textId="6274B454" w:rsidR="000004E4" w:rsidRPr="00551729" w:rsidRDefault="000004E4" w:rsidP="00AA358D">
      <w:pPr>
        <w:pStyle w:val="TEKSTIII"/>
      </w:pPr>
      <w:r w:rsidRPr="00551729">
        <w:t>2.3.2</w:t>
      </w:r>
      <w:r w:rsidR="00C521D5" w:rsidRPr="00551729">
        <w:t xml:space="preserve"> </w:t>
      </w:r>
      <w:r w:rsidRPr="00551729">
        <w:t>Arsimi</w:t>
      </w:r>
      <w:r w:rsidR="00124F91" w:rsidRPr="00551729">
        <w:t xml:space="preserve"> </w:t>
      </w:r>
    </w:p>
    <w:p w14:paraId="1BADCD0A" w14:textId="3236E4FD" w:rsidR="000004E4" w:rsidRPr="00551729" w:rsidRDefault="000004E4" w:rsidP="00AA358D">
      <w:pPr>
        <w:pStyle w:val="TEKSTIII"/>
      </w:pPr>
      <w:r w:rsidRPr="00551729">
        <w:t>2.3.3</w:t>
      </w:r>
      <w:r w:rsidR="00C521D5" w:rsidRPr="00551729">
        <w:t xml:space="preserve"> </w:t>
      </w:r>
      <w:r w:rsidRPr="00551729">
        <w:t>Shëndetësia</w:t>
      </w:r>
      <w:r w:rsidR="00124F91" w:rsidRPr="00551729">
        <w:t xml:space="preserve"> </w:t>
      </w:r>
    </w:p>
    <w:p w14:paraId="1BADCD0B" w14:textId="7EFB9C04" w:rsidR="000004E4" w:rsidRPr="00551729" w:rsidRDefault="000004E4" w:rsidP="00AA358D">
      <w:pPr>
        <w:pStyle w:val="TEKSTIII"/>
      </w:pPr>
      <w:r w:rsidRPr="00551729">
        <w:t>2.3.4</w:t>
      </w:r>
      <w:r w:rsidR="00C521D5" w:rsidRPr="00551729">
        <w:t xml:space="preserve"> </w:t>
      </w:r>
      <w:r w:rsidRPr="00551729">
        <w:t>Kultura</w:t>
      </w:r>
      <w:r w:rsidR="00124F91" w:rsidRPr="00551729">
        <w:t xml:space="preserve"> </w:t>
      </w:r>
    </w:p>
    <w:p w14:paraId="1BADCD0C" w14:textId="4B7639C4" w:rsidR="000004E4" w:rsidRPr="00551729" w:rsidRDefault="000004E4" w:rsidP="00AA358D">
      <w:pPr>
        <w:pStyle w:val="TEKSTIII"/>
      </w:pPr>
      <w:r w:rsidRPr="00551729">
        <w:t>2.3.5</w:t>
      </w:r>
      <w:r w:rsidR="00C521D5" w:rsidRPr="00551729">
        <w:t xml:space="preserve"> </w:t>
      </w:r>
      <w:r w:rsidRPr="00551729">
        <w:t xml:space="preserve">Shoqëria </w:t>
      </w:r>
      <w:r w:rsidR="001F5F4A" w:rsidRPr="00551729">
        <w:t xml:space="preserve">civile </w:t>
      </w:r>
    </w:p>
    <w:p w14:paraId="1BADCD0D" w14:textId="4E550677" w:rsidR="000004E4" w:rsidRPr="00551729" w:rsidRDefault="000004E4" w:rsidP="00AA358D">
      <w:pPr>
        <w:pStyle w:val="TEKSTIII"/>
      </w:pPr>
      <w:r w:rsidRPr="00551729">
        <w:t>2.4</w:t>
      </w:r>
      <w:r w:rsidR="00C521D5" w:rsidRPr="00551729">
        <w:t xml:space="preserve"> </w:t>
      </w:r>
      <w:r w:rsidRPr="00551729">
        <w:t>INFRASTRUKTURA</w:t>
      </w:r>
      <w:r w:rsidR="00124F91" w:rsidRPr="00551729">
        <w:t xml:space="preserve"> </w:t>
      </w:r>
    </w:p>
    <w:p w14:paraId="1BADCD0E" w14:textId="2EE5EDC8" w:rsidR="000004E4" w:rsidRPr="00551729" w:rsidRDefault="000004E4" w:rsidP="00AA358D">
      <w:pPr>
        <w:pStyle w:val="TEKSTIII"/>
      </w:pPr>
      <w:r w:rsidRPr="00551729">
        <w:t>2.5</w:t>
      </w:r>
      <w:r w:rsidR="00C521D5" w:rsidRPr="00551729">
        <w:t xml:space="preserve"> </w:t>
      </w:r>
      <w:r w:rsidRPr="00551729">
        <w:t>MJEDISI</w:t>
      </w:r>
      <w:r w:rsidR="00124F91" w:rsidRPr="00551729">
        <w:t xml:space="preserve"> </w:t>
      </w:r>
    </w:p>
    <w:p w14:paraId="1BADCD0F" w14:textId="45DFD05F" w:rsidR="000004E4" w:rsidRPr="00551729" w:rsidRDefault="000004E4" w:rsidP="00AA358D">
      <w:pPr>
        <w:pStyle w:val="TEKSTIII"/>
      </w:pPr>
      <w:r w:rsidRPr="00551729">
        <w:t>2.6</w:t>
      </w:r>
      <w:r w:rsidR="00C521D5" w:rsidRPr="00551729">
        <w:t xml:space="preserve"> </w:t>
      </w:r>
      <w:r w:rsidRPr="00551729">
        <w:t>MARRËVESHJET LIGJORE DHE INSTITUCIONALE</w:t>
      </w:r>
      <w:r w:rsidR="00124F91" w:rsidRPr="00551729">
        <w:t xml:space="preserve"> </w:t>
      </w:r>
    </w:p>
    <w:p w14:paraId="1BADCD10" w14:textId="3649A7A0" w:rsidR="000004E4" w:rsidRPr="00551729" w:rsidRDefault="000004E4" w:rsidP="00AA358D">
      <w:pPr>
        <w:pStyle w:val="TEKSTIII"/>
      </w:pPr>
      <w:r w:rsidRPr="00551729">
        <w:t>2.7</w:t>
      </w:r>
      <w:r w:rsidR="00C521D5" w:rsidRPr="00551729">
        <w:t xml:space="preserve"> </w:t>
      </w:r>
      <w:r w:rsidRPr="00551729">
        <w:t>KONKLUZIONE</w:t>
      </w:r>
      <w:r w:rsidR="00124F91" w:rsidRPr="00551729">
        <w:t xml:space="preserve"> </w:t>
      </w:r>
    </w:p>
    <w:p w14:paraId="1BADCD11" w14:textId="42B07A2B" w:rsidR="00D67C7C" w:rsidRPr="00551729" w:rsidRDefault="000004E4" w:rsidP="00AA358D">
      <w:pPr>
        <w:pStyle w:val="TEKSTIII"/>
      </w:pPr>
      <w:r w:rsidRPr="00551729">
        <w:t>3.</w:t>
      </w:r>
      <w:r w:rsidR="00C521D5" w:rsidRPr="00551729">
        <w:t xml:space="preserve"> </w:t>
      </w:r>
      <w:r w:rsidR="00500457" w:rsidRPr="00551729">
        <w:t>ANALIZA SWOT</w:t>
      </w:r>
    </w:p>
    <w:p w14:paraId="1BADCD12" w14:textId="77777777" w:rsidR="00500457" w:rsidRPr="00551729" w:rsidRDefault="00500457" w:rsidP="00AA358D">
      <w:pPr>
        <w:pStyle w:val="TEKSTIII"/>
      </w:pPr>
    </w:p>
    <w:p w14:paraId="1BADCD13" w14:textId="77777777" w:rsidR="00500457" w:rsidRPr="00551729" w:rsidRDefault="00500457" w:rsidP="00500457">
      <w:pPr>
        <w:pStyle w:val="TEKSTIII"/>
        <w:rPr>
          <w:b/>
        </w:rPr>
      </w:pPr>
      <w:r w:rsidRPr="00551729">
        <w:rPr>
          <w:b/>
        </w:rPr>
        <w:t>1. HYRJE</w:t>
      </w:r>
    </w:p>
    <w:p w14:paraId="1BADCD14" w14:textId="0597E50A" w:rsidR="00500457" w:rsidRPr="00551729" w:rsidRDefault="00500457" w:rsidP="00500457">
      <w:pPr>
        <w:pStyle w:val="TEKSTIII"/>
      </w:pPr>
      <w:r w:rsidRPr="001F5F4A">
        <w:t>Zona e programit për Programin Ndërkufitar midis Malit të Zi dhe Shqipërisë mbulon një territor prej 11,970 km</w:t>
      </w:r>
      <w:r w:rsidRPr="001F5F4A">
        <w:rPr>
          <w:vertAlign w:val="superscript"/>
        </w:rPr>
        <w:t>2</w:t>
      </w:r>
      <w:r w:rsidR="00C521D5" w:rsidRPr="001F5F4A">
        <w:t xml:space="preserve"> </w:t>
      </w:r>
      <w:r w:rsidRPr="001F5F4A">
        <w:t>me një popullsi prej rreth 749.257 banorë. Territori i zonës së programit</w:t>
      </w:r>
      <w:r w:rsidRPr="00551729">
        <w:t xml:space="preserve"> është disi më i</w:t>
      </w:r>
      <w:r w:rsidR="00C521D5" w:rsidRPr="00551729">
        <w:t xml:space="preserve"> </w:t>
      </w:r>
      <w:r w:rsidRPr="00551729">
        <w:t>madh në Shqipëri, duke</w:t>
      </w:r>
      <w:r w:rsidR="001F5F4A">
        <w:t xml:space="preserve"> zënë rreth 52.1% kundrejt 47.9</w:t>
      </w:r>
      <w:r w:rsidRPr="00551729">
        <w:t>% në Mal të Zi. Gjatësia e vijës kufitare ndërmjet dy vendeve është 244 km, nga të cilat 38 km janë kufi ujor i përbërë nga liqeni i Shkodrës, deti Adriatik dhe lumenj. Ka tr</w:t>
      </w:r>
      <w:r w:rsidR="00433AF3">
        <w:t>i</w:t>
      </w:r>
      <w:r w:rsidRPr="00551729">
        <w:t xml:space="preserve"> pika funksionale të kalimit kufitar ndërmjet Shqipërisë dhe Malit të Zi përgjatë kësaj vije kufitare, të quajtura Murriqan -Sukobinë, Hani i Hotit -Božaj, dhe Vermosh</w:t>
      </w:r>
      <w:r w:rsidRPr="00551729">
        <w:rPr>
          <w:spacing w:val="-20"/>
        </w:rPr>
        <w:t xml:space="preserve"> </w:t>
      </w:r>
      <w:r w:rsidRPr="00551729">
        <w:t>-Gjercan.</w:t>
      </w:r>
    </w:p>
    <w:p w14:paraId="1BADCD15" w14:textId="77777777" w:rsidR="00500457" w:rsidRPr="00551729" w:rsidRDefault="00500457" w:rsidP="00500457">
      <w:pPr>
        <w:pStyle w:val="TEKSTIII"/>
      </w:pPr>
    </w:p>
    <w:p w14:paraId="1BADCD16" w14:textId="77777777" w:rsidR="00500457" w:rsidRPr="00551729" w:rsidRDefault="00500457" w:rsidP="001F5F4A">
      <w:pPr>
        <w:pStyle w:val="TEKSTIII"/>
        <w:jc w:val="center"/>
      </w:pPr>
      <w:r w:rsidRPr="00551729">
        <w:rPr>
          <w:noProof/>
          <w:lang w:eastAsia="sq-AL"/>
        </w:rPr>
        <w:drawing>
          <wp:inline distT="0" distB="0" distL="0" distR="0" wp14:anchorId="1BADD78D" wp14:editId="1BADD78E">
            <wp:extent cx="3779520" cy="3101340"/>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9520" cy="3101340"/>
                    </a:xfrm>
                    <a:prstGeom prst="rect">
                      <a:avLst/>
                    </a:prstGeom>
                    <a:noFill/>
                  </pic:spPr>
                </pic:pic>
              </a:graphicData>
            </a:graphic>
          </wp:inline>
        </w:drawing>
      </w:r>
    </w:p>
    <w:p w14:paraId="1BADCD17" w14:textId="77777777" w:rsidR="00500457" w:rsidRPr="00551729" w:rsidRDefault="00500457" w:rsidP="00500457">
      <w:pPr>
        <w:pStyle w:val="TEKSTIII"/>
      </w:pPr>
    </w:p>
    <w:p w14:paraId="1BADCD18" w14:textId="77777777" w:rsidR="00500457" w:rsidRPr="00551729" w:rsidRDefault="00500457" w:rsidP="00500457">
      <w:pPr>
        <w:pStyle w:val="TEKSTIII"/>
      </w:pPr>
    </w:p>
    <w:p w14:paraId="1BADCD19" w14:textId="77777777" w:rsidR="00500457" w:rsidRPr="00551729" w:rsidRDefault="00500457" w:rsidP="00500457">
      <w:pPr>
        <w:pStyle w:val="TEKSTIII"/>
      </w:pPr>
    </w:p>
    <w:p w14:paraId="1BADCD1E" w14:textId="3C9400CA" w:rsidR="00500457" w:rsidRPr="00551729" w:rsidRDefault="00500457" w:rsidP="00500457">
      <w:pPr>
        <w:pStyle w:val="TEKSTIII"/>
      </w:pPr>
      <w:r w:rsidRPr="00551729">
        <w:t>Zona e programit në Mal të Zi mbulon një territor prej 5,745 km</w:t>
      </w:r>
      <w:r w:rsidRPr="001F5F4A">
        <w:rPr>
          <w:rStyle w:val="FootnoteReference"/>
        </w:rPr>
        <w:t>2</w:t>
      </w:r>
      <w:r w:rsidRPr="00551729">
        <w:t xml:space="preserve">. Ajo përbëhet nga 12 bashki dhe 615 vendbanime - qytete dhe fshatra - me një popullsi të përgjithshme prej 379,366 banorë. Ajo kufizohet me Shqipërinë në lindje, </w:t>
      </w:r>
      <w:r w:rsidR="00327C8B">
        <w:t>dhe Kosovën dhe Serbinë në veri</w:t>
      </w:r>
      <w:r w:rsidRPr="00551729">
        <w:t>lindje. Mali i Zi ka vendosur ndarjen në rajone që i korrespondojnë klasifikimit NUTS, i cili është miratuar nga EUROSTAT, dhe sipas ndarjes së lartpërmendur, Mali i Zi është një rajon në të tr</w:t>
      </w:r>
      <w:r w:rsidR="00242233">
        <w:t>ia</w:t>
      </w:r>
      <w:r w:rsidRPr="00551729">
        <w:t xml:space="preserve"> nivelet e NUTS. Për qëllime të planifikimit strategjik, vendi është i ndarë në tri rajone gjeografike, veriore, qendrore dhe jugore. Bashkitë nga zona e</w:t>
      </w:r>
      <w:r w:rsidRPr="00551729">
        <w:rPr>
          <w:spacing w:val="-5"/>
        </w:rPr>
        <w:t xml:space="preserve"> </w:t>
      </w:r>
      <w:r w:rsidRPr="00551729">
        <w:t>programimit:</w:t>
      </w:r>
    </w:p>
    <w:p w14:paraId="1BADCD1F" w14:textId="5CF48925" w:rsidR="00500457" w:rsidRPr="00551729" w:rsidRDefault="00500457" w:rsidP="00500457">
      <w:pPr>
        <w:pStyle w:val="TEKSTIII"/>
      </w:pPr>
      <w:r w:rsidRPr="00551729">
        <w:t>-</w:t>
      </w:r>
      <w:r w:rsidR="001F5F4A">
        <w:t xml:space="preserve"> </w:t>
      </w:r>
      <w:r w:rsidRPr="00551729">
        <w:t>Andrijevica, Berane, Plavë, Guci</w:t>
      </w:r>
      <w:r w:rsidRPr="00551729">
        <w:rPr>
          <w:rStyle w:val="FootnoteReference"/>
        </w:rPr>
        <w:footnoteReference w:id="35"/>
      </w:r>
      <w:r w:rsidRPr="00551729">
        <w:t>, Petnjica</w:t>
      </w:r>
      <w:r w:rsidRPr="00551729">
        <w:rPr>
          <w:rStyle w:val="FootnoteReference"/>
        </w:rPr>
        <w:footnoteReference w:id="36"/>
      </w:r>
      <w:r w:rsidRPr="00551729">
        <w:rPr>
          <w:position w:val="6"/>
        </w:rPr>
        <w:t xml:space="preserve"> </w:t>
      </w:r>
      <w:r w:rsidRPr="00551729">
        <w:t>dhe</w:t>
      </w:r>
      <w:r w:rsidRPr="00551729">
        <w:rPr>
          <w:spacing w:val="2"/>
        </w:rPr>
        <w:t xml:space="preserve"> </w:t>
      </w:r>
      <w:r w:rsidRPr="00551729">
        <w:t>Rožaje;</w:t>
      </w:r>
    </w:p>
    <w:p w14:paraId="1BADCD20" w14:textId="2ACD5CA7" w:rsidR="00500457" w:rsidRPr="00551729" w:rsidRDefault="00500457" w:rsidP="00500457">
      <w:pPr>
        <w:pStyle w:val="TEKSTIII"/>
        <w:rPr>
          <w:b/>
        </w:rPr>
      </w:pPr>
      <w:r w:rsidRPr="00551729">
        <w:t>-</w:t>
      </w:r>
      <w:r w:rsidR="001F5F4A">
        <w:t xml:space="preserve"> </w:t>
      </w:r>
      <w:r w:rsidRPr="00551729">
        <w:t>Podgorica, kryeqyteti i Malit</w:t>
      </w:r>
      <w:r w:rsidR="00327C8B">
        <w:t xml:space="preserve"> të Zi, Cetinje dhe Danilovgrad</w:t>
      </w:r>
      <w:r w:rsidR="00327C8B" w:rsidRPr="009D0DE1">
        <w:t>;</w:t>
      </w:r>
      <w:r w:rsidRPr="00551729">
        <w:rPr>
          <w:spacing w:val="-16"/>
        </w:rPr>
        <w:t xml:space="preserve"> </w:t>
      </w:r>
      <w:r w:rsidRPr="00551729">
        <w:t>dhe</w:t>
      </w:r>
    </w:p>
    <w:p w14:paraId="1BADCD21" w14:textId="67B24048" w:rsidR="00500457" w:rsidRPr="00551729" w:rsidRDefault="00500457" w:rsidP="00500457">
      <w:pPr>
        <w:pStyle w:val="TEKSTIII"/>
        <w:rPr>
          <w:b/>
        </w:rPr>
      </w:pPr>
      <w:r w:rsidRPr="00551729">
        <w:t>-</w:t>
      </w:r>
      <w:r w:rsidR="001F5F4A">
        <w:t xml:space="preserve"> </w:t>
      </w:r>
      <w:r w:rsidRPr="00551729">
        <w:t>Budva, Ulqin dhe</w:t>
      </w:r>
      <w:r w:rsidRPr="00551729">
        <w:rPr>
          <w:spacing w:val="-4"/>
        </w:rPr>
        <w:t xml:space="preserve"> </w:t>
      </w:r>
      <w:r w:rsidRPr="00551729">
        <w:t>Tivar</w:t>
      </w:r>
      <w:r w:rsidRPr="009D0DE1">
        <w:t>.</w:t>
      </w:r>
    </w:p>
    <w:p w14:paraId="1BADCD22" w14:textId="77777777" w:rsidR="00500457" w:rsidRPr="00551729" w:rsidRDefault="00500457" w:rsidP="00500457">
      <w:pPr>
        <w:pStyle w:val="BodyText"/>
        <w:spacing w:before="60" w:line="235" w:lineRule="auto"/>
        <w:ind w:left="140" w:right="133" w:firstLine="284"/>
        <w:jc w:val="both"/>
        <w:rPr>
          <w:rFonts w:ascii="Garamond" w:hAnsi="Garamond"/>
          <w:sz w:val="24"/>
          <w:szCs w:val="24"/>
          <w:lang w:val="sq-AL"/>
        </w:rPr>
      </w:pPr>
      <w:r w:rsidRPr="001F5F4A">
        <w:rPr>
          <w:rFonts w:ascii="Garamond" w:hAnsi="Garamond"/>
          <w:sz w:val="24"/>
          <w:szCs w:val="24"/>
          <w:lang w:val="sq-AL"/>
        </w:rPr>
        <w:t>Zona e programit në Shqipëri përfshin rajonet e Lezhës dhe Shkodrës dhe rrethin e Tropojës, me një territor të përgjithshëm prej 6,225 km</w:t>
      </w:r>
      <w:r w:rsidRPr="001F5F4A">
        <w:rPr>
          <w:rFonts w:ascii="Garamond" w:hAnsi="Garamond"/>
          <w:sz w:val="24"/>
          <w:szCs w:val="24"/>
          <w:vertAlign w:val="superscript"/>
          <w:lang w:val="sq-AL"/>
        </w:rPr>
        <w:t>2</w:t>
      </w:r>
      <w:r w:rsidRPr="001F5F4A">
        <w:rPr>
          <w:rFonts w:ascii="Garamond" w:hAnsi="Garamond"/>
          <w:sz w:val="24"/>
          <w:szCs w:val="24"/>
          <w:lang w:val="sq-AL"/>
        </w:rPr>
        <w:t xml:space="preserve"> dhe një popullsi prej 369,891 banorë. Rajoni</w:t>
      </w:r>
      <w:r w:rsidRPr="00551729">
        <w:rPr>
          <w:rFonts w:ascii="Garamond" w:hAnsi="Garamond"/>
          <w:sz w:val="24"/>
          <w:szCs w:val="24"/>
          <w:lang w:val="sq-AL"/>
        </w:rPr>
        <w:t xml:space="preserve"> i Shkodrës ka popullsinë më të madh të përbërë prej 215,347 banorëve, të ndjekur nga Lezha me 134,027 banorë dhe rrethi i Tropojës me vetëm 20.517 banorë. Shqipëria ka një ndarje administrative ekuivalente me NUTS II </w:t>
      </w:r>
      <w:r w:rsidR="00A55AAA" w:rsidRPr="00551729">
        <w:rPr>
          <w:rStyle w:val="FootnoteReference"/>
          <w:rFonts w:ascii="Garamond" w:hAnsi="Garamond"/>
          <w:sz w:val="24"/>
          <w:szCs w:val="24"/>
          <w:lang w:val="sq-AL"/>
        </w:rPr>
        <w:footnoteReference w:id="37"/>
      </w:r>
      <w:r w:rsidRPr="00551729">
        <w:rPr>
          <w:rFonts w:ascii="Garamond" w:hAnsi="Garamond"/>
          <w:sz w:val="24"/>
          <w:szCs w:val="24"/>
          <w:lang w:val="sq-AL"/>
        </w:rPr>
        <w:t>, por akoma nuk është zbatuar.</w:t>
      </w:r>
    </w:p>
    <w:p w14:paraId="1BADCD23" w14:textId="3F1A5B27" w:rsidR="00500457" w:rsidRPr="00551729" w:rsidRDefault="00500457" w:rsidP="009211D8">
      <w:pPr>
        <w:widowControl w:val="0"/>
        <w:spacing w:before="123"/>
        <w:jc w:val="center"/>
        <w:rPr>
          <w:rFonts w:ascii="Garamond" w:hAnsi="Garamond"/>
          <w:b/>
          <w:sz w:val="24"/>
          <w:szCs w:val="24"/>
        </w:rPr>
      </w:pPr>
      <w:r w:rsidRPr="00551729">
        <w:rPr>
          <w:rFonts w:ascii="Garamond" w:hAnsi="Garamond"/>
          <w:b/>
          <w:sz w:val="24"/>
          <w:szCs w:val="24"/>
        </w:rPr>
        <w:t>Tabela 1</w:t>
      </w:r>
      <w:r w:rsidR="001F5F4A">
        <w:rPr>
          <w:rFonts w:ascii="Garamond" w:hAnsi="Garamond"/>
          <w:b/>
          <w:sz w:val="24"/>
          <w:szCs w:val="24"/>
        </w:rPr>
        <w:t>.</w:t>
      </w:r>
      <w:r w:rsidRPr="00551729">
        <w:rPr>
          <w:rFonts w:ascii="Garamond" w:hAnsi="Garamond"/>
          <w:b/>
          <w:sz w:val="24"/>
          <w:szCs w:val="24"/>
        </w:rPr>
        <w:t xml:space="preserve"> Zona e mbuluar nga zona e programit</w:t>
      </w:r>
    </w:p>
    <w:tbl>
      <w:tblPr>
        <w:tblW w:w="0" w:type="auto"/>
        <w:tblInd w:w="152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07"/>
        <w:gridCol w:w="1588"/>
        <w:gridCol w:w="1767"/>
      </w:tblGrid>
      <w:tr w:rsidR="00500457" w:rsidRPr="00551729" w14:paraId="1BADCD27" w14:textId="77777777" w:rsidTr="00C521D5">
        <w:trPr>
          <w:trHeight w:hRule="exact" w:val="456"/>
        </w:trPr>
        <w:tc>
          <w:tcPr>
            <w:tcW w:w="3007" w:type="dxa"/>
            <w:tcBorders>
              <w:top w:val="single" w:sz="8" w:space="0" w:color="7A9FCD"/>
              <w:left w:val="single" w:sz="8" w:space="0" w:color="7A9FCD"/>
              <w:bottom w:val="single" w:sz="8" w:space="0" w:color="7A9FCD"/>
            </w:tcBorders>
            <w:shd w:val="clear" w:color="auto" w:fill="4F81BC"/>
          </w:tcPr>
          <w:p w14:paraId="1BADCD24" w14:textId="77777777" w:rsidR="00500457" w:rsidRPr="00551729" w:rsidRDefault="00500457" w:rsidP="00500457">
            <w:pPr>
              <w:pStyle w:val="TableParagraph"/>
              <w:spacing w:before="120"/>
              <w:ind w:left="188" w:right="279" w:firstLine="284"/>
              <w:jc w:val="center"/>
              <w:rPr>
                <w:rFonts w:ascii="Garamond" w:hAnsi="Garamond"/>
                <w:b/>
                <w:sz w:val="18"/>
                <w:szCs w:val="18"/>
                <w:lang w:val="sq-AL"/>
              </w:rPr>
            </w:pPr>
            <w:r w:rsidRPr="00551729">
              <w:rPr>
                <w:rFonts w:ascii="Garamond" w:hAnsi="Garamond"/>
                <w:b/>
                <w:sz w:val="18"/>
                <w:szCs w:val="18"/>
                <w:lang w:val="sq-AL"/>
              </w:rPr>
              <w:t>Shteti</w:t>
            </w:r>
          </w:p>
        </w:tc>
        <w:tc>
          <w:tcPr>
            <w:tcW w:w="1588" w:type="dxa"/>
            <w:tcBorders>
              <w:top w:val="single" w:sz="8" w:space="0" w:color="7A9FCD"/>
              <w:bottom w:val="single" w:sz="8" w:space="0" w:color="7A9FCD"/>
            </w:tcBorders>
            <w:shd w:val="clear" w:color="auto" w:fill="4F81BC"/>
          </w:tcPr>
          <w:p w14:paraId="1BADCD25" w14:textId="77777777" w:rsidR="00500457" w:rsidRPr="00551729" w:rsidRDefault="00500457" w:rsidP="00500457">
            <w:pPr>
              <w:pStyle w:val="TableParagraph"/>
              <w:spacing w:before="96"/>
              <w:ind w:left="283" w:right="320" w:firstLine="284"/>
              <w:jc w:val="center"/>
              <w:rPr>
                <w:rFonts w:ascii="Garamond" w:hAnsi="Garamond"/>
                <w:b/>
                <w:sz w:val="18"/>
                <w:szCs w:val="18"/>
                <w:lang w:val="sq-AL"/>
              </w:rPr>
            </w:pPr>
            <w:r w:rsidRPr="00551729">
              <w:rPr>
                <w:rFonts w:ascii="Garamond" w:hAnsi="Garamond"/>
                <w:b/>
                <w:sz w:val="18"/>
                <w:szCs w:val="18"/>
                <w:lang w:val="sq-AL"/>
              </w:rPr>
              <w:t>Zona në km</w:t>
            </w:r>
            <w:r w:rsidRPr="00551729">
              <w:rPr>
                <w:rFonts w:ascii="Garamond" w:hAnsi="Garamond"/>
                <w:b/>
                <w:position w:val="8"/>
                <w:sz w:val="18"/>
                <w:szCs w:val="18"/>
                <w:lang w:val="sq-AL"/>
              </w:rPr>
              <w:t>2</w:t>
            </w:r>
          </w:p>
        </w:tc>
        <w:tc>
          <w:tcPr>
            <w:tcW w:w="1767" w:type="dxa"/>
            <w:tcBorders>
              <w:top w:val="single" w:sz="8" w:space="0" w:color="7A9FCD"/>
              <w:bottom w:val="single" w:sz="8" w:space="0" w:color="7A9FCD"/>
              <w:right w:val="single" w:sz="8" w:space="0" w:color="7A9FCD"/>
            </w:tcBorders>
            <w:shd w:val="clear" w:color="auto" w:fill="4F81BC"/>
          </w:tcPr>
          <w:p w14:paraId="1BADCD26" w14:textId="77777777" w:rsidR="00500457" w:rsidRPr="00551729" w:rsidRDefault="00500457" w:rsidP="00500457">
            <w:pPr>
              <w:pStyle w:val="TableParagraph"/>
              <w:spacing w:before="28"/>
              <w:ind w:left="402" w:right="268" w:firstLine="284"/>
              <w:rPr>
                <w:rFonts w:ascii="Garamond" w:hAnsi="Garamond"/>
                <w:b/>
                <w:sz w:val="18"/>
                <w:szCs w:val="18"/>
                <w:lang w:val="sq-AL"/>
              </w:rPr>
            </w:pPr>
            <w:r w:rsidRPr="00551729">
              <w:rPr>
                <w:rFonts w:ascii="Garamond" w:hAnsi="Garamond"/>
                <w:b/>
                <w:sz w:val="18"/>
                <w:szCs w:val="18"/>
                <w:lang w:val="sq-AL"/>
              </w:rPr>
              <w:t>% e territorit të përgjithshëm</w:t>
            </w:r>
          </w:p>
        </w:tc>
      </w:tr>
      <w:tr w:rsidR="00500457" w:rsidRPr="00551729" w14:paraId="1BADCD2B" w14:textId="77777777" w:rsidTr="00C521D5">
        <w:trPr>
          <w:trHeight w:hRule="exact" w:val="306"/>
        </w:trPr>
        <w:tc>
          <w:tcPr>
            <w:tcW w:w="3007" w:type="dxa"/>
            <w:tcBorders>
              <w:top w:val="single" w:sz="8" w:space="0" w:color="7A9FCD"/>
              <w:left w:val="single" w:sz="8" w:space="0" w:color="7A9FCD"/>
              <w:bottom w:val="single" w:sz="8" w:space="0" w:color="7A9FCD"/>
            </w:tcBorders>
            <w:shd w:val="clear" w:color="auto" w:fill="94B3D6"/>
          </w:tcPr>
          <w:p w14:paraId="1BADCD28" w14:textId="77777777" w:rsidR="00500457" w:rsidRPr="00551729" w:rsidRDefault="00500457" w:rsidP="00500457">
            <w:pPr>
              <w:pStyle w:val="TableParagraph"/>
              <w:spacing w:before="45"/>
              <w:ind w:left="187" w:right="280" w:firstLine="284"/>
              <w:jc w:val="center"/>
              <w:rPr>
                <w:rFonts w:ascii="Garamond" w:hAnsi="Garamond"/>
                <w:b/>
                <w:sz w:val="18"/>
                <w:szCs w:val="18"/>
                <w:lang w:val="sq-AL"/>
              </w:rPr>
            </w:pPr>
            <w:r w:rsidRPr="00551729">
              <w:rPr>
                <w:rFonts w:ascii="Garamond" w:hAnsi="Garamond"/>
                <w:b/>
                <w:sz w:val="18"/>
                <w:szCs w:val="18"/>
                <w:lang w:val="sq-AL"/>
              </w:rPr>
              <w:t>Mali i Zi</w:t>
            </w:r>
          </w:p>
        </w:tc>
        <w:tc>
          <w:tcPr>
            <w:tcW w:w="1588" w:type="dxa"/>
            <w:tcBorders>
              <w:top w:val="single" w:sz="8" w:space="0" w:color="7A9FCD"/>
              <w:bottom w:val="single" w:sz="8" w:space="0" w:color="7A9FCD"/>
            </w:tcBorders>
            <w:shd w:val="clear" w:color="auto" w:fill="94B3D6"/>
          </w:tcPr>
          <w:p w14:paraId="1BADCD29" w14:textId="77777777" w:rsidR="00500457" w:rsidRPr="00551729" w:rsidRDefault="00500457" w:rsidP="00500457">
            <w:pPr>
              <w:pStyle w:val="TableParagraph"/>
              <w:spacing w:before="45"/>
              <w:ind w:left="283" w:right="320" w:firstLine="284"/>
              <w:jc w:val="center"/>
              <w:rPr>
                <w:rFonts w:ascii="Garamond" w:hAnsi="Garamond"/>
                <w:b/>
                <w:sz w:val="18"/>
                <w:szCs w:val="18"/>
                <w:lang w:val="sq-AL"/>
              </w:rPr>
            </w:pPr>
            <w:r w:rsidRPr="00551729">
              <w:rPr>
                <w:rFonts w:ascii="Garamond" w:hAnsi="Garamond"/>
                <w:b/>
                <w:sz w:val="18"/>
                <w:szCs w:val="18"/>
                <w:lang w:val="sq-AL"/>
              </w:rPr>
              <w:t>13,812</w:t>
            </w:r>
          </w:p>
        </w:tc>
        <w:tc>
          <w:tcPr>
            <w:tcW w:w="1767" w:type="dxa"/>
            <w:tcBorders>
              <w:top w:val="single" w:sz="8" w:space="0" w:color="7A9FCD"/>
              <w:bottom w:val="single" w:sz="8" w:space="0" w:color="7A9FCD"/>
              <w:right w:val="single" w:sz="8" w:space="0" w:color="7A9FCD"/>
            </w:tcBorders>
            <w:shd w:val="clear" w:color="auto" w:fill="94B3D6"/>
          </w:tcPr>
          <w:p w14:paraId="1BADCD2A" w14:textId="77777777" w:rsidR="00500457" w:rsidRPr="00551729" w:rsidRDefault="00500457" w:rsidP="00500457">
            <w:pPr>
              <w:pStyle w:val="TableParagraph"/>
              <w:spacing w:before="45"/>
              <w:ind w:left="685" w:right="631" w:firstLine="284"/>
              <w:jc w:val="center"/>
              <w:rPr>
                <w:rFonts w:ascii="Garamond" w:hAnsi="Garamond"/>
                <w:b/>
                <w:sz w:val="18"/>
                <w:szCs w:val="18"/>
                <w:lang w:val="sq-AL"/>
              </w:rPr>
            </w:pPr>
            <w:r w:rsidRPr="00551729">
              <w:rPr>
                <w:rFonts w:ascii="Garamond" w:hAnsi="Garamond"/>
                <w:b/>
                <w:sz w:val="18"/>
                <w:szCs w:val="18"/>
                <w:lang w:val="sq-AL"/>
              </w:rPr>
              <w:t>100</w:t>
            </w:r>
          </w:p>
        </w:tc>
      </w:tr>
      <w:tr w:rsidR="00500457" w:rsidRPr="00551729" w14:paraId="1BADCD2F" w14:textId="77777777" w:rsidTr="00C521D5">
        <w:trPr>
          <w:trHeight w:hRule="exact" w:val="204"/>
        </w:trPr>
        <w:tc>
          <w:tcPr>
            <w:tcW w:w="3007" w:type="dxa"/>
            <w:tcBorders>
              <w:top w:val="single" w:sz="8" w:space="0" w:color="7A9FCD"/>
              <w:left w:val="single" w:sz="8" w:space="0" w:color="7A9FCD"/>
              <w:bottom w:val="single" w:sz="8" w:space="0" w:color="7A9FCD"/>
            </w:tcBorders>
          </w:tcPr>
          <w:p w14:paraId="1BADCD2C" w14:textId="77777777" w:rsidR="00500457" w:rsidRPr="00551729" w:rsidRDefault="00500457" w:rsidP="00500457">
            <w:pPr>
              <w:pStyle w:val="TableParagraph"/>
              <w:spacing w:line="178" w:lineRule="exact"/>
              <w:ind w:left="188" w:right="280" w:firstLine="284"/>
              <w:jc w:val="center"/>
              <w:rPr>
                <w:rFonts w:ascii="Garamond" w:hAnsi="Garamond"/>
                <w:b/>
                <w:sz w:val="18"/>
                <w:szCs w:val="18"/>
                <w:lang w:val="sq-AL"/>
              </w:rPr>
            </w:pPr>
            <w:r w:rsidRPr="00551729">
              <w:rPr>
                <w:rFonts w:ascii="Garamond" w:hAnsi="Garamond"/>
                <w:b/>
                <w:sz w:val="18"/>
                <w:szCs w:val="18"/>
                <w:lang w:val="sq-AL"/>
              </w:rPr>
              <w:t>Rozaje</w:t>
            </w:r>
          </w:p>
        </w:tc>
        <w:tc>
          <w:tcPr>
            <w:tcW w:w="1588" w:type="dxa"/>
            <w:tcBorders>
              <w:top w:val="single" w:sz="8" w:space="0" w:color="7A9FCD"/>
              <w:bottom w:val="single" w:sz="8" w:space="0" w:color="7A9FCD"/>
            </w:tcBorders>
          </w:tcPr>
          <w:p w14:paraId="1BADCD2D"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432</w:t>
            </w:r>
          </w:p>
        </w:tc>
        <w:tc>
          <w:tcPr>
            <w:tcW w:w="1767" w:type="dxa"/>
            <w:tcBorders>
              <w:top w:val="single" w:sz="8" w:space="0" w:color="7A9FCD"/>
              <w:bottom w:val="single" w:sz="8" w:space="0" w:color="7A9FCD"/>
              <w:right w:val="single" w:sz="8" w:space="0" w:color="7A9FCD"/>
            </w:tcBorders>
          </w:tcPr>
          <w:p w14:paraId="1BADCD2E"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3.12</w:t>
            </w:r>
          </w:p>
        </w:tc>
      </w:tr>
      <w:tr w:rsidR="00500457" w:rsidRPr="00551729" w14:paraId="1BADCD33" w14:textId="77777777" w:rsidTr="00C521D5">
        <w:trPr>
          <w:trHeight w:hRule="exact" w:val="205"/>
        </w:trPr>
        <w:tc>
          <w:tcPr>
            <w:tcW w:w="3007" w:type="dxa"/>
            <w:tcBorders>
              <w:top w:val="single" w:sz="8" w:space="0" w:color="7A9FCD"/>
              <w:left w:val="single" w:sz="8" w:space="0" w:color="7A9FCD"/>
              <w:bottom w:val="single" w:sz="8" w:space="0" w:color="7A9FCD"/>
            </w:tcBorders>
            <w:shd w:val="clear" w:color="auto" w:fill="DBE4F0"/>
          </w:tcPr>
          <w:p w14:paraId="1BADCD30" w14:textId="77777777" w:rsidR="00500457" w:rsidRPr="00551729" w:rsidRDefault="00500457" w:rsidP="00500457">
            <w:pPr>
              <w:pStyle w:val="TableParagraph"/>
              <w:spacing w:line="178" w:lineRule="exact"/>
              <w:ind w:left="186" w:right="280" w:firstLine="284"/>
              <w:jc w:val="center"/>
              <w:rPr>
                <w:rFonts w:ascii="Garamond" w:hAnsi="Garamond"/>
                <w:b/>
                <w:sz w:val="18"/>
                <w:szCs w:val="18"/>
                <w:lang w:val="sq-AL"/>
              </w:rPr>
            </w:pPr>
            <w:r w:rsidRPr="00551729">
              <w:rPr>
                <w:rFonts w:ascii="Garamond" w:hAnsi="Garamond"/>
                <w:b/>
                <w:sz w:val="18"/>
                <w:szCs w:val="18"/>
                <w:lang w:val="sq-AL"/>
              </w:rPr>
              <w:t>Berane*</w:t>
            </w:r>
          </w:p>
        </w:tc>
        <w:tc>
          <w:tcPr>
            <w:tcW w:w="1588" w:type="dxa"/>
            <w:tcBorders>
              <w:top w:val="single" w:sz="8" w:space="0" w:color="7A9FCD"/>
              <w:bottom w:val="single" w:sz="8" w:space="0" w:color="7A9FCD"/>
            </w:tcBorders>
            <w:shd w:val="clear" w:color="auto" w:fill="DBE4F0"/>
          </w:tcPr>
          <w:p w14:paraId="1BADCD31" w14:textId="77777777" w:rsidR="00500457" w:rsidRPr="00551729" w:rsidRDefault="00500457" w:rsidP="00500457">
            <w:pPr>
              <w:pStyle w:val="TableParagraph"/>
              <w:spacing w:line="181" w:lineRule="exact"/>
              <w:ind w:left="283" w:right="318" w:firstLine="284"/>
              <w:jc w:val="center"/>
              <w:rPr>
                <w:rFonts w:ascii="Garamond" w:hAnsi="Garamond"/>
                <w:sz w:val="18"/>
                <w:szCs w:val="18"/>
                <w:lang w:val="sq-AL"/>
              </w:rPr>
            </w:pPr>
            <w:r w:rsidRPr="00551729">
              <w:rPr>
                <w:rFonts w:ascii="Garamond" w:hAnsi="Garamond"/>
                <w:sz w:val="18"/>
                <w:szCs w:val="18"/>
                <w:lang w:val="sq-AL"/>
              </w:rPr>
              <w:t>544</w:t>
            </w:r>
          </w:p>
        </w:tc>
        <w:tc>
          <w:tcPr>
            <w:tcW w:w="1767" w:type="dxa"/>
            <w:tcBorders>
              <w:top w:val="single" w:sz="8" w:space="0" w:color="7A9FCD"/>
              <w:bottom w:val="single" w:sz="8" w:space="0" w:color="7A9FCD"/>
              <w:right w:val="single" w:sz="8" w:space="0" w:color="7A9FCD"/>
            </w:tcBorders>
            <w:shd w:val="clear" w:color="auto" w:fill="DBE4F0"/>
          </w:tcPr>
          <w:p w14:paraId="1BADCD32" w14:textId="77777777" w:rsidR="00500457" w:rsidRPr="00551729" w:rsidRDefault="00500457" w:rsidP="00500457">
            <w:pPr>
              <w:pStyle w:val="TableParagraph"/>
              <w:spacing w:line="181" w:lineRule="exact"/>
              <w:ind w:left="683" w:right="631" w:firstLine="284"/>
              <w:jc w:val="center"/>
              <w:rPr>
                <w:rFonts w:ascii="Garamond" w:hAnsi="Garamond"/>
                <w:sz w:val="18"/>
                <w:szCs w:val="18"/>
                <w:lang w:val="sq-AL"/>
              </w:rPr>
            </w:pPr>
            <w:r w:rsidRPr="00551729">
              <w:rPr>
                <w:rFonts w:ascii="Garamond" w:hAnsi="Garamond"/>
                <w:sz w:val="18"/>
                <w:szCs w:val="18"/>
                <w:lang w:val="sq-AL"/>
              </w:rPr>
              <w:t>3.94</w:t>
            </w:r>
          </w:p>
        </w:tc>
      </w:tr>
      <w:tr w:rsidR="00500457" w:rsidRPr="00551729" w14:paraId="1BADCD37" w14:textId="77777777" w:rsidTr="00C521D5">
        <w:trPr>
          <w:trHeight w:hRule="exact" w:val="204"/>
        </w:trPr>
        <w:tc>
          <w:tcPr>
            <w:tcW w:w="3007" w:type="dxa"/>
            <w:tcBorders>
              <w:top w:val="single" w:sz="8" w:space="0" w:color="7A9FCD"/>
              <w:left w:val="single" w:sz="8" w:space="0" w:color="7A9FCD"/>
              <w:bottom w:val="single" w:sz="8" w:space="0" w:color="7A9FCD"/>
            </w:tcBorders>
          </w:tcPr>
          <w:p w14:paraId="1BADCD34" w14:textId="77777777" w:rsidR="00500457" w:rsidRPr="00551729" w:rsidRDefault="00500457" w:rsidP="00500457">
            <w:pPr>
              <w:pStyle w:val="TableParagraph"/>
              <w:spacing w:line="178" w:lineRule="exact"/>
              <w:ind w:left="186" w:right="280" w:firstLine="284"/>
              <w:jc w:val="center"/>
              <w:rPr>
                <w:rFonts w:ascii="Garamond" w:hAnsi="Garamond"/>
                <w:b/>
                <w:sz w:val="18"/>
                <w:szCs w:val="18"/>
                <w:lang w:val="sq-AL"/>
              </w:rPr>
            </w:pPr>
            <w:r w:rsidRPr="00551729">
              <w:rPr>
                <w:rFonts w:ascii="Garamond" w:hAnsi="Garamond"/>
                <w:b/>
                <w:sz w:val="18"/>
                <w:szCs w:val="18"/>
                <w:lang w:val="sq-AL"/>
              </w:rPr>
              <w:t>Petnjica</w:t>
            </w:r>
          </w:p>
        </w:tc>
        <w:tc>
          <w:tcPr>
            <w:tcW w:w="1588" w:type="dxa"/>
            <w:tcBorders>
              <w:top w:val="single" w:sz="8" w:space="0" w:color="7A9FCD"/>
              <w:bottom w:val="single" w:sz="8" w:space="0" w:color="7A9FCD"/>
            </w:tcBorders>
          </w:tcPr>
          <w:p w14:paraId="1BADCD35"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173</w:t>
            </w:r>
          </w:p>
        </w:tc>
        <w:tc>
          <w:tcPr>
            <w:tcW w:w="1767" w:type="dxa"/>
            <w:tcBorders>
              <w:top w:val="single" w:sz="8" w:space="0" w:color="7A9FCD"/>
              <w:bottom w:val="single" w:sz="8" w:space="0" w:color="7A9FCD"/>
              <w:right w:val="single" w:sz="8" w:space="0" w:color="7A9FCD"/>
            </w:tcBorders>
          </w:tcPr>
          <w:p w14:paraId="1BADCD36"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1.25</w:t>
            </w:r>
          </w:p>
        </w:tc>
      </w:tr>
      <w:tr w:rsidR="00500457" w:rsidRPr="00551729" w14:paraId="1BADCD3B" w14:textId="77777777" w:rsidTr="00C521D5">
        <w:trPr>
          <w:trHeight w:hRule="exact" w:val="204"/>
        </w:trPr>
        <w:tc>
          <w:tcPr>
            <w:tcW w:w="3007" w:type="dxa"/>
            <w:tcBorders>
              <w:top w:val="single" w:sz="8" w:space="0" w:color="7A9FCD"/>
              <w:left w:val="single" w:sz="8" w:space="0" w:color="7A9FCD"/>
              <w:bottom w:val="single" w:sz="8" w:space="0" w:color="7A9FCD"/>
            </w:tcBorders>
            <w:shd w:val="clear" w:color="auto" w:fill="DBE4F0"/>
          </w:tcPr>
          <w:p w14:paraId="1BADCD38" w14:textId="77777777" w:rsidR="00500457" w:rsidRPr="00551729" w:rsidRDefault="00500457" w:rsidP="00500457">
            <w:pPr>
              <w:pStyle w:val="TableParagraph"/>
              <w:spacing w:line="178" w:lineRule="exact"/>
              <w:ind w:left="188" w:right="280" w:firstLine="284"/>
              <w:jc w:val="center"/>
              <w:rPr>
                <w:rFonts w:ascii="Garamond" w:hAnsi="Garamond"/>
                <w:b/>
                <w:sz w:val="18"/>
                <w:szCs w:val="18"/>
                <w:lang w:val="sq-AL"/>
              </w:rPr>
            </w:pPr>
            <w:r w:rsidRPr="00551729">
              <w:rPr>
                <w:rFonts w:ascii="Garamond" w:hAnsi="Garamond"/>
                <w:b/>
                <w:sz w:val="18"/>
                <w:szCs w:val="18"/>
                <w:lang w:val="sq-AL"/>
              </w:rPr>
              <w:t>Andrijevica</w:t>
            </w:r>
          </w:p>
        </w:tc>
        <w:tc>
          <w:tcPr>
            <w:tcW w:w="1588" w:type="dxa"/>
            <w:tcBorders>
              <w:top w:val="single" w:sz="8" w:space="0" w:color="7A9FCD"/>
              <w:bottom w:val="single" w:sz="8" w:space="0" w:color="7A9FCD"/>
            </w:tcBorders>
            <w:shd w:val="clear" w:color="auto" w:fill="DBE4F0"/>
          </w:tcPr>
          <w:p w14:paraId="1BADCD39"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283</w:t>
            </w:r>
          </w:p>
        </w:tc>
        <w:tc>
          <w:tcPr>
            <w:tcW w:w="1767" w:type="dxa"/>
            <w:tcBorders>
              <w:top w:val="single" w:sz="8" w:space="0" w:color="7A9FCD"/>
              <w:bottom w:val="single" w:sz="8" w:space="0" w:color="7A9FCD"/>
              <w:right w:val="single" w:sz="8" w:space="0" w:color="7A9FCD"/>
            </w:tcBorders>
            <w:shd w:val="clear" w:color="auto" w:fill="DBE4F0"/>
          </w:tcPr>
          <w:p w14:paraId="1BADCD3A"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2.04</w:t>
            </w:r>
          </w:p>
        </w:tc>
      </w:tr>
      <w:tr w:rsidR="00500457" w:rsidRPr="00551729" w14:paraId="1BADCD3F" w14:textId="77777777" w:rsidTr="00C521D5">
        <w:trPr>
          <w:trHeight w:hRule="exact" w:val="204"/>
        </w:trPr>
        <w:tc>
          <w:tcPr>
            <w:tcW w:w="3007" w:type="dxa"/>
            <w:tcBorders>
              <w:top w:val="single" w:sz="8" w:space="0" w:color="7A9FCD"/>
              <w:left w:val="single" w:sz="8" w:space="0" w:color="7A9FCD"/>
              <w:bottom w:val="single" w:sz="8" w:space="0" w:color="7A9FCD"/>
            </w:tcBorders>
          </w:tcPr>
          <w:p w14:paraId="1BADCD3C" w14:textId="77777777" w:rsidR="00500457" w:rsidRPr="00551729" w:rsidRDefault="00500457" w:rsidP="00500457">
            <w:pPr>
              <w:pStyle w:val="TableParagraph"/>
              <w:spacing w:line="178" w:lineRule="exact"/>
              <w:ind w:left="188" w:right="279" w:firstLine="284"/>
              <w:jc w:val="center"/>
              <w:rPr>
                <w:rFonts w:ascii="Garamond" w:hAnsi="Garamond"/>
                <w:b/>
                <w:sz w:val="18"/>
                <w:szCs w:val="18"/>
                <w:lang w:val="sq-AL"/>
              </w:rPr>
            </w:pPr>
            <w:r w:rsidRPr="00551729">
              <w:rPr>
                <w:rFonts w:ascii="Garamond" w:hAnsi="Garamond"/>
                <w:b/>
                <w:sz w:val="18"/>
                <w:szCs w:val="18"/>
                <w:lang w:val="sq-AL"/>
              </w:rPr>
              <w:t>Plava</w:t>
            </w:r>
          </w:p>
        </w:tc>
        <w:tc>
          <w:tcPr>
            <w:tcW w:w="1588" w:type="dxa"/>
            <w:tcBorders>
              <w:top w:val="single" w:sz="8" w:space="0" w:color="7A9FCD"/>
              <w:bottom w:val="single" w:sz="8" w:space="0" w:color="7A9FCD"/>
            </w:tcBorders>
          </w:tcPr>
          <w:p w14:paraId="1BADCD3D"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329</w:t>
            </w:r>
          </w:p>
        </w:tc>
        <w:tc>
          <w:tcPr>
            <w:tcW w:w="1767" w:type="dxa"/>
            <w:tcBorders>
              <w:top w:val="single" w:sz="8" w:space="0" w:color="7A9FCD"/>
              <w:bottom w:val="single" w:sz="8" w:space="0" w:color="7A9FCD"/>
              <w:right w:val="single" w:sz="8" w:space="0" w:color="7A9FCD"/>
            </w:tcBorders>
          </w:tcPr>
          <w:p w14:paraId="1BADCD3E"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2.38</w:t>
            </w:r>
          </w:p>
        </w:tc>
      </w:tr>
      <w:tr w:rsidR="00500457" w:rsidRPr="00551729" w14:paraId="1BADCD43" w14:textId="77777777" w:rsidTr="00C521D5">
        <w:trPr>
          <w:trHeight w:hRule="exact" w:val="204"/>
        </w:trPr>
        <w:tc>
          <w:tcPr>
            <w:tcW w:w="3007" w:type="dxa"/>
            <w:tcBorders>
              <w:top w:val="single" w:sz="8" w:space="0" w:color="7A9FCD"/>
              <w:left w:val="single" w:sz="8" w:space="0" w:color="7A9FCD"/>
              <w:bottom w:val="single" w:sz="8" w:space="0" w:color="7A9FCD"/>
            </w:tcBorders>
            <w:shd w:val="clear" w:color="auto" w:fill="DBE4F0"/>
          </w:tcPr>
          <w:p w14:paraId="1BADCD40" w14:textId="77777777" w:rsidR="00500457" w:rsidRPr="00551729" w:rsidRDefault="00500457" w:rsidP="00500457">
            <w:pPr>
              <w:pStyle w:val="TableParagraph"/>
              <w:spacing w:line="178" w:lineRule="exact"/>
              <w:ind w:left="188" w:right="278" w:firstLine="284"/>
              <w:jc w:val="center"/>
              <w:rPr>
                <w:rFonts w:ascii="Garamond" w:hAnsi="Garamond"/>
                <w:b/>
                <w:sz w:val="18"/>
                <w:szCs w:val="18"/>
                <w:lang w:val="sq-AL"/>
              </w:rPr>
            </w:pPr>
            <w:r w:rsidRPr="00551729">
              <w:rPr>
                <w:rFonts w:ascii="Garamond" w:hAnsi="Garamond"/>
                <w:b/>
                <w:sz w:val="18"/>
                <w:szCs w:val="18"/>
                <w:lang w:val="sq-AL"/>
              </w:rPr>
              <w:t>Gucia**</w:t>
            </w:r>
          </w:p>
        </w:tc>
        <w:tc>
          <w:tcPr>
            <w:tcW w:w="1588" w:type="dxa"/>
            <w:tcBorders>
              <w:top w:val="single" w:sz="8" w:space="0" w:color="7A9FCD"/>
              <w:bottom w:val="single" w:sz="8" w:space="0" w:color="7A9FCD"/>
            </w:tcBorders>
            <w:shd w:val="clear" w:color="auto" w:fill="DBE4F0"/>
          </w:tcPr>
          <w:p w14:paraId="1BADCD41"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157</w:t>
            </w:r>
          </w:p>
        </w:tc>
        <w:tc>
          <w:tcPr>
            <w:tcW w:w="1767" w:type="dxa"/>
            <w:tcBorders>
              <w:top w:val="single" w:sz="8" w:space="0" w:color="7A9FCD"/>
              <w:bottom w:val="single" w:sz="8" w:space="0" w:color="7A9FCD"/>
              <w:right w:val="single" w:sz="8" w:space="0" w:color="7A9FCD"/>
            </w:tcBorders>
            <w:shd w:val="clear" w:color="auto" w:fill="DBE4F0"/>
          </w:tcPr>
          <w:p w14:paraId="1BADCD42"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1.13</w:t>
            </w:r>
          </w:p>
        </w:tc>
      </w:tr>
      <w:tr w:rsidR="00500457" w:rsidRPr="00551729" w14:paraId="1BADCD47" w14:textId="77777777" w:rsidTr="00C521D5">
        <w:trPr>
          <w:trHeight w:hRule="exact" w:val="204"/>
        </w:trPr>
        <w:tc>
          <w:tcPr>
            <w:tcW w:w="3007" w:type="dxa"/>
            <w:tcBorders>
              <w:top w:val="single" w:sz="8" w:space="0" w:color="7A9FCD"/>
              <w:left w:val="single" w:sz="8" w:space="0" w:color="7A9FCD"/>
              <w:bottom w:val="single" w:sz="8" w:space="0" w:color="7A9FCD"/>
            </w:tcBorders>
          </w:tcPr>
          <w:p w14:paraId="1BADCD44" w14:textId="77777777" w:rsidR="00500457" w:rsidRPr="00551729" w:rsidRDefault="00500457" w:rsidP="00500457">
            <w:pPr>
              <w:pStyle w:val="TableParagraph"/>
              <w:spacing w:line="178" w:lineRule="exact"/>
              <w:ind w:left="188" w:right="278" w:firstLine="284"/>
              <w:jc w:val="center"/>
              <w:rPr>
                <w:rFonts w:ascii="Garamond" w:hAnsi="Garamond"/>
                <w:b/>
                <w:sz w:val="18"/>
                <w:szCs w:val="18"/>
                <w:lang w:val="sq-AL"/>
              </w:rPr>
            </w:pPr>
            <w:r w:rsidRPr="00551729">
              <w:rPr>
                <w:rFonts w:ascii="Garamond" w:hAnsi="Garamond"/>
                <w:b/>
                <w:sz w:val="18"/>
                <w:szCs w:val="18"/>
                <w:lang w:val="sq-AL"/>
              </w:rPr>
              <w:t>Danilovgrad</w:t>
            </w:r>
          </w:p>
        </w:tc>
        <w:tc>
          <w:tcPr>
            <w:tcW w:w="1588" w:type="dxa"/>
            <w:tcBorders>
              <w:top w:val="single" w:sz="8" w:space="0" w:color="7A9FCD"/>
              <w:bottom w:val="single" w:sz="8" w:space="0" w:color="7A9FCD"/>
            </w:tcBorders>
          </w:tcPr>
          <w:p w14:paraId="1BADCD45"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501</w:t>
            </w:r>
          </w:p>
        </w:tc>
        <w:tc>
          <w:tcPr>
            <w:tcW w:w="1767" w:type="dxa"/>
            <w:tcBorders>
              <w:top w:val="single" w:sz="8" w:space="0" w:color="7A9FCD"/>
              <w:bottom w:val="single" w:sz="8" w:space="0" w:color="7A9FCD"/>
              <w:right w:val="single" w:sz="8" w:space="0" w:color="7A9FCD"/>
            </w:tcBorders>
          </w:tcPr>
          <w:p w14:paraId="1BADCD46"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3.62</w:t>
            </w:r>
          </w:p>
        </w:tc>
      </w:tr>
      <w:tr w:rsidR="00500457" w:rsidRPr="00551729" w14:paraId="1BADCD4B" w14:textId="77777777" w:rsidTr="00C521D5">
        <w:trPr>
          <w:trHeight w:hRule="exact" w:val="204"/>
        </w:trPr>
        <w:tc>
          <w:tcPr>
            <w:tcW w:w="3007" w:type="dxa"/>
            <w:tcBorders>
              <w:top w:val="single" w:sz="8" w:space="0" w:color="7A9FCD"/>
              <w:left w:val="single" w:sz="8" w:space="0" w:color="7A9FCD"/>
              <w:bottom w:val="single" w:sz="8" w:space="0" w:color="7A9FCD"/>
            </w:tcBorders>
            <w:shd w:val="clear" w:color="auto" w:fill="DBE4F0"/>
          </w:tcPr>
          <w:p w14:paraId="1BADCD48" w14:textId="77777777" w:rsidR="00500457" w:rsidRPr="00551729" w:rsidRDefault="00500457" w:rsidP="00500457">
            <w:pPr>
              <w:pStyle w:val="TableParagraph"/>
              <w:spacing w:line="178" w:lineRule="exact"/>
              <w:ind w:left="188" w:right="280" w:firstLine="284"/>
              <w:jc w:val="center"/>
              <w:rPr>
                <w:rFonts w:ascii="Garamond" w:hAnsi="Garamond"/>
                <w:b/>
                <w:sz w:val="18"/>
                <w:szCs w:val="18"/>
                <w:lang w:val="sq-AL"/>
              </w:rPr>
            </w:pPr>
            <w:r w:rsidRPr="00551729">
              <w:rPr>
                <w:rFonts w:ascii="Garamond" w:hAnsi="Garamond"/>
                <w:b/>
                <w:sz w:val="18"/>
                <w:szCs w:val="18"/>
                <w:lang w:val="sq-AL"/>
              </w:rPr>
              <w:t>Podgorica</w:t>
            </w:r>
          </w:p>
        </w:tc>
        <w:tc>
          <w:tcPr>
            <w:tcW w:w="1588" w:type="dxa"/>
            <w:tcBorders>
              <w:top w:val="single" w:sz="8" w:space="0" w:color="7A9FCD"/>
              <w:bottom w:val="single" w:sz="8" w:space="0" w:color="7A9FCD"/>
            </w:tcBorders>
            <w:shd w:val="clear" w:color="auto" w:fill="DBE4F0"/>
          </w:tcPr>
          <w:p w14:paraId="1BADCD49"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1,441</w:t>
            </w:r>
          </w:p>
        </w:tc>
        <w:tc>
          <w:tcPr>
            <w:tcW w:w="1767" w:type="dxa"/>
            <w:tcBorders>
              <w:top w:val="single" w:sz="8" w:space="0" w:color="7A9FCD"/>
              <w:bottom w:val="single" w:sz="8" w:space="0" w:color="7A9FCD"/>
              <w:right w:val="single" w:sz="8" w:space="0" w:color="7A9FCD"/>
            </w:tcBorders>
            <w:shd w:val="clear" w:color="auto" w:fill="DBE4F0"/>
          </w:tcPr>
          <w:p w14:paraId="1BADCD4A" w14:textId="77777777" w:rsidR="00500457" w:rsidRPr="00551729" w:rsidRDefault="00500457" w:rsidP="00500457">
            <w:pPr>
              <w:pStyle w:val="TableParagraph"/>
              <w:spacing w:line="180" w:lineRule="exact"/>
              <w:ind w:left="685" w:right="631" w:firstLine="284"/>
              <w:jc w:val="center"/>
              <w:rPr>
                <w:rFonts w:ascii="Garamond" w:hAnsi="Garamond"/>
                <w:sz w:val="18"/>
                <w:szCs w:val="18"/>
                <w:lang w:val="sq-AL"/>
              </w:rPr>
            </w:pPr>
            <w:r w:rsidRPr="00551729">
              <w:rPr>
                <w:rFonts w:ascii="Garamond" w:hAnsi="Garamond"/>
                <w:sz w:val="18"/>
                <w:szCs w:val="18"/>
                <w:lang w:val="sq-AL"/>
              </w:rPr>
              <w:t>10.43</w:t>
            </w:r>
          </w:p>
        </w:tc>
      </w:tr>
      <w:tr w:rsidR="00500457" w:rsidRPr="00551729" w14:paraId="1BADCD4F" w14:textId="77777777" w:rsidTr="00C521D5">
        <w:trPr>
          <w:trHeight w:hRule="exact" w:val="204"/>
        </w:trPr>
        <w:tc>
          <w:tcPr>
            <w:tcW w:w="3007" w:type="dxa"/>
            <w:tcBorders>
              <w:top w:val="single" w:sz="8" w:space="0" w:color="7A9FCD"/>
              <w:left w:val="single" w:sz="8" w:space="0" w:color="7A9FCD"/>
              <w:bottom w:val="single" w:sz="8" w:space="0" w:color="7A9FCD"/>
            </w:tcBorders>
          </w:tcPr>
          <w:p w14:paraId="1BADCD4C" w14:textId="77777777" w:rsidR="00500457" w:rsidRPr="00551729" w:rsidRDefault="00500457" w:rsidP="00500457">
            <w:pPr>
              <w:pStyle w:val="TableParagraph"/>
              <w:spacing w:line="178" w:lineRule="exact"/>
              <w:ind w:left="188" w:right="280" w:firstLine="284"/>
              <w:jc w:val="center"/>
              <w:rPr>
                <w:rFonts w:ascii="Garamond" w:hAnsi="Garamond"/>
                <w:b/>
                <w:sz w:val="18"/>
                <w:szCs w:val="18"/>
                <w:lang w:val="sq-AL"/>
              </w:rPr>
            </w:pPr>
            <w:r w:rsidRPr="00551729">
              <w:rPr>
                <w:rFonts w:ascii="Garamond" w:hAnsi="Garamond"/>
                <w:b/>
                <w:sz w:val="18"/>
                <w:szCs w:val="18"/>
                <w:lang w:val="sq-AL"/>
              </w:rPr>
              <w:t>Tivar</w:t>
            </w:r>
          </w:p>
        </w:tc>
        <w:tc>
          <w:tcPr>
            <w:tcW w:w="1588" w:type="dxa"/>
            <w:tcBorders>
              <w:top w:val="single" w:sz="8" w:space="0" w:color="7A9FCD"/>
              <w:bottom w:val="single" w:sz="8" w:space="0" w:color="7A9FCD"/>
            </w:tcBorders>
          </w:tcPr>
          <w:p w14:paraId="1BADCD4D"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598</w:t>
            </w:r>
          </w:p>
        </w:tc>
        <w:tc>
          <w:tcPr>
            <w:tcW w:w="1767" w:type="dxa"/>
            <w:tcBorders>
              <w:top w:val="single" w:sz="8" w:space="0" w:color="7A9FCD"/>
              <w:bottom w:val="single" w:sz="8" w:space="0" w:color="7A9FCD"/>
              <w:right w:val="single" w:sz="8" w:space="0" w:color="7A9FCD"/>
            </w:tcBorders>
          </w:tcPr>
          <w:p w14:paraId="1BADCD4E"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4.32</w:t>
            </w:r>
          </w:p>
        </w:tc>
      </w:tr>
      <w:tr w:rsidR="00500457" w:rsidRPr="00551729" w14:paraId="1BADCD53" w14:textId="77777777" w:rsidTr="00C521D5">
        <w:trPr>
          <w:trHeight w:hRule="exact" w:val="204"/>
        </w:trPr>
        <w:tc>
          <w:tcPr>
            <w:tcW w:w="3007" w:type="dxa"/>
            <w:tcBorders>
              <w:top w:val="single" w:sz="8" w:space="0" w:color="7A9FCD"/>
              <w:left w:val="single" w:sz="8" w:space="0" w:color="7A9FCD"/>
              <w:bottom w:val="single" w:sz="8" w:space="0" w:color="7A9FCD"/>
            </w:tcBorders>
            <w:shd w:val="clear" w:color="auto" w:fill="DBE4F0"/>
          </w:tcPr>
          <w:p w14:paraId="1BADCD50" w14:textId="77777777" w:rsidR="00500457" w:rsidRPr="00551729" w:rsidRDefault="00500457" w:rsidP="00500457">
            <w:pPr>
              <w:pStyle w:val="TableParagraph"/>
              <w:spacing w:line="178" w:lineRule="exact"/>
              <w:ind w:left="188" w:right="278" w:firstLine="284"/>
              <w:jc w:val="center"/>
              <w:rPr>
                <w:rFonts w:ascii="Garamond" w:hAnsi="Garamond"/>
                <w:b/>
                <w:sz w:val="18"/>
                <w:szCs w:val="18"/>
                <w:lang w:val="sq-AL"/>
              </w:rPr>
            </w:pPr>
            <w:r w:rsidRPr="00551729">
              <w:rPr>
                <w:rFonts w:ascii="Garamond" w:hAnsi="Garamond"/>
                <w:b/>
                <w:sz w:val="18"/>
                <w:szCs w:val="18"/>
                <w:lang w:val="sq-AL"/>
              </w:rPr>
              <w:t>Ulqin</w:t>
            </w:r>
          </w:p>
        </w:tc>
        <w:tc>
          <w:tcPr>
            <w:tcW w:w="1588" w:type="dxa"/>
            <w:tcBorders>
              <w:top w:val="single" w:sz="8" w:space="0" w:color="7A9FCD"/>
              <w:bottom w:val="single" w:sz="8" w:space="0" w:color="7A9FCD"/>
            </w:tcBorders>
            <w:shd w:val="clear" w:color="auto" w:fill="DBE4F0"/>
          </w:tcPr>
          <w:p w14:paraId="1BADCD51"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255</w:t>
            </w:r>
          </w:p>
        </w:tc>
        <w:tc>
          <w:tcPr>
            <w:tcW w:w="1767" w:type="dxa"/>
            <w:tcBorders>
              <w:top w:val="single" w:sz="8" w:space="0" w:color="7A9FCD"/>
              <w:bottom w:val="single" w:sz="8" w:space="0" w:color="7A9FCD"/>
              <w:right w:val="single" w:sz="8" w:space="0" w:color="7A9FCD"/>
            </w:tcBorders>
            <w:shd w:val="clear" w:color="auto" w:fill="DBE4F0"/>
          </w:tcPr>
          <w:p w14:paraId="1BADCD52"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1.84</w:t>
            </w:r>
          </w:p>
        </w:tc>
      </w:tr>
      <w:tr w:rsidR="00500457" w:rsidRPr="00551729" w14:paraId="1BADCD57" w14:textId="77777777" w:rsidTr="00C521D5">
        <w:trPr>
          <w:trHeight w:hRule="exact" w:val="204"/>
        </w:trPr>
        <w:tc>
          <w:tcPr>
            <w:tcW w:w="3007" w:type="dxa"/>
            <w:tcBorders>
              <w:top w:val="single" w:sz="8" w:space="0" w:color="7A9FCD"/>
              <w:left w:val="single" w:sz="8" w:space="0" w:color="7A9FCD"/>
              <w:bottom w:val="single" w:sz="8" w:space="0" w:color="7A9FCD"/>
            </w:tcBorders>
          </w:tcPr>
          <w:p w14:paraId="1BADCD54" w14:textId="77777777" w:rsidR="00500457" w:rsidRPr="00551729" w:rsidRDefault="00500457" w:rsidP="00500457">
            <w:pPr>
              <w:pStyle w:val="TableParagraph"/>
              <w:spacing w:line="178" w:lineRule="exact"/>
              <w:ind w:left="186" w:right="280" w:firstLine="284"/>
              <w:jc w:val="center"/>
              <w:rPr>
                <w:rFonts w:ascii="Garamond" w:hAnsi="Garamond"/>
                <w:b/>
                <w:sz w:val="18"/>
                <w:szCs w:val="18"/>
                <w:lang w:val="sq-AL"/>
              </w:rPr>
            </w:pPr>
            <w:r w:rsidRPr="00551729">
              <w:rPr>
                <w:rFonts w:ascii="Garamond" w:hAnsi="Garamond"/>
                <w:b/>
                <w:sz w:val="18"/>
                <w:szCs w:val="18"/>
                <w:lang w:val="sq-AL"/>
              </w:rPr>
              <w:t>Cetinja</w:t>
            </w:r>
          </w:p>
        </w:tc>
        <w:tc>
          <w:tcPr>
            <w:tcW w:w="1588" w:type="dxa"/>
            <w:tcBorders>
              <w:top w:val="single" w:sz="8" w:space="0" w:color="7A9FCD"/>
              <w:bottom w:val="single" w:sz="8" w:space="0" w:color="7A9FCD"/>
            </w:tcBorders>
          </w:tcPr>
          <w:p w14:paraId="1BADCD55"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910</w:t>
            </w:r>
          </w:p>
        </w:tc>
        <w:tc>
          <w:tcPr>
            <w:tcW w:w="1767" w:type="dxa"/>
            <w:tcBorders>
              <w:top w:val="single" w:sz="8" w:space="0" w:color="7A9FCD"/>
              <w:bottom w:val="single" w:sz="8" w:space="0" w:color="7A9FCD"/>
              <w:right w:val="single" w:sz="8" w:space="0" w:color="7A9FCD"/>
            </w:tcBorders>
          </w:tcPr>
          <w:p w14:paraId="1BADCD56"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6.58</w:t>
            </w:r>
          </w:p>
        </w:tc>
      </w:tr>
      <w:tr w:rsidR="00500457" w:rsidRPr="00551729" w14:paraId="1BADCD5B" w14:textId="77777777" w:rsidTr="00C521D5">
        <w:trPr>
          <w:trHeight w:hRule="exact" w:val="204"/>
        </w:trPr>
        <w:tc>
          <w:tcPr>
            <w:tcW w:w="3007" w:type="dxa"/>
            <w:tcBorders>
              <w:top w:val="single" w:sz="8" w:space="0" w:color="7A9FCD"/>
              <w:left w:val="single" w:sz="8" w:space="0" w:color="7A9FCD"/>
              <w:bottom w:val="single" w:sz="8" w:space="0" w:color="7A9FCD"/>
            </w:tcBorders>
            <w:shd w:val="clear" w:color="auto" w:fill="DBE4F0"/>
          </w:tcPr>
          <w:p w14:paraId="1BADCD58" w14:textId="77777777" w:rsidR="00500457" w:rsidRPr="00551729" w:rsidRDefault="00500457" w:rsidP="00500457">
            <w:pPr>
              <w:pStyle w:val="TableParagraph"/>
              <w:spacing w:line="178" w:lineRule="exact"/>
              <w:ind w:left="186" w:right="280" w:firstLine="284"/>
              <w:jc w:val="center"/>
              <w:rPr>
                <w:rFonts w:ascii="Garamond" w:hAnsi="Garamond"/>
                <w:b/>
                <w:sz w:val="18"/>
                <w:szCs w:val="18"/>
                <w:lang w:val="sq-AL"/>
              </w:rPr>
            </w:pPr>
            <w:r w:rsidRPr="00551729">
              <w:rPr>
                <w:rFonts w:ascii="Garamond" w:hAnsi="Garamond"/>
                <w:b/>
                <w:sz w:val="18"/>
                <w:szCs w:val="18"/>
                <w:lang w:val="sq-AL"/>
              </w:rPr>
              <w:t>Budva</w:t>
            </w:r>
          </w:p>
        </w:tc>
        <w:tc>
          <w:tcPr>
            <w:tcW w:w="1588" w:type="dxa"/>
            <w:tcBorders>
              <w:top w:val="single" w:sz="8" w:space="0" w:color="7A9FCD"/>
              <w:bottom w:val="single" w:sz="8" w:space="0" w:color="7A9FCD"/>
            </w:tcBorders>
            <w:shd w:val="clear" w:color="auto" w:fill="DBE4F0"/>
          </w:tcPr>
          <w:p w14:paraId="1BADCD59" w14:textId="77777777" w:rsidR="00500457" w:rsidRPr="00551729" w:rsidRDefault="00500457" w:rsidP="00500457">
            <w:pPr>
              <w:pStyle w:val="TableParagraph"/>
              <w:spacing w:line="180" w:lineRule="exact"/>
              <w:ind w:left="283" w:right="318" w:firstLine="284"/>
              <w:jc w:val="center"/>
              <w:rPr>
                <w:rFonts w:ascii="Garamond" w:hAnsi="Garamond"/>
                <w:sz w:val="18"/>
                <w:szCs w:val="18"/>
                <w:lang w:val="sq-AL"/>
              </w:rPr>
            </w:pPr>
            <w:r w:rsidRPr="00551729">
              <w:rPr>
                <w:rFonts w:ascii="Garamond" w:hAnsi="Garamond"/>
                <w:sz w:val="18"/>
                <w:szCs w:val="18"/>
                <w:lang w:val="sq-AL"/>
              </w:rPr>
              <w:t>122</w:t>
            </w:r>
          </w:p>
        </w:tc>
        <w:tc>
          <w:tcPr>
            <w:tcW w:w="1767" w:type="dxa"/>
            <w:tcBorders>
              <w:top w:val="single" w:sz="8" w:space="0" w:color="7A9FCD"/>
              <w:bottom w:val="single" w:sz="8" w:space="0" w:color="7A9FCD"/>
              <w:right w:val="single" w:sz="8" w:space="0" w:color="7A9FCD"/>
            </w:tcBorders>
            <w:shd w:val="clear" w:color="auto" w:fill="DBE4F0"/>
          </w:tcPr>
          <w:p w14:paraId="1BADCD5A" w14:textId="77777777" w:rsidR="00500457" w:rsidRPr="00551729" w:rsidRDefault="00500457" w:rsidP="00500457">
            <w:pPr>
              <w:pStyle w:val="TableParagraph"/>
              <w:spacing w:line="180" w:lineRule="exact"/>
              <w:ind w:left="683" w:right="631" w:firstLine="284"/>
              <w:jc w:val="center"/>
              <w:rPr>
                <w:rFonts w:ascii="Garamond" w:hAnsi="Garamond"/>
                <w:sz w:val="18"/>
                <w:szCs w:val="18"/>
                <w:lang w:val="sq-AL"/>
              </w:rPr>
            </w:pPr>
            <w:r w:rsidRPr="00551729">
              <w:rPr>
                <w:rFonts w:ascii="Garamond" w:hAnsi="Garamond"/>
                <w:sz w:val="18"/>
                <w:szCs w:val="18"/>
                <w:lang w:val="sq-AL"/>
              </w:rPr>
              <w:t>0.88</w:t>
            </w:r>
          </w:p>
        </w:tc>
      </w:tr>
      <w:tr w:rsidR="00500457" w:rsidRPr="00551729" w14:paraId="1BADCD5F" w14:textId="77777777" w:rsidTr="00C521D5">
        <w:trPr>
          <w:trHeight w:hRule="exact" w:val="296"/>
        </w:trPr>
        <w:tc>
          <w:tcPr>
            <w:tcW w:w="3007" w:type="dxa"/>
            <w:tcBorders>
              <w:top w:val="single" w:sz="8" w:space="0" w:color="7A9FCD"/>
              <w:left w:val="single" w:sz="8" w:space="0" w:color="7A9FCD"/>
              <w:bottom w:val="single" w:sz="8" w:space="0" w:color="7A9FCD"/>
            </w:tcBorders>
          </w:tcPr>
          <w:p w14:paraId="1BADCD5C" w14:textId="77777777" w:rsidR="00500457" w:rsidRPr="00551729" w:rsidRDefault="00500457" w:rsidP="00500457">
            <w:pPr>
              <w:pStyle w:val="TableParagraph"/>
              <w:spacing w:before="39"/>
              <w:ind w:left="186" w:right="280" w:firstLine="284"/>
              <w:jc w:val="center"/>
              <w:rPr>
                <w:rFonts w:ascii="Garamond" w:hAnsi="Garamond"/>
                <w:b/>
                <w:sz w:val="18"/>
                <w:szCs w:val="18"/>
                <w:lang w:val="sq-AL"/>
              </w:rPr>
            </w:pPr>
            <w:r w:rsidRPr="00551729">
              <w:rPr>
                <w:rFonts w:ascii="Garamond" w:hAnsi="Garamond"/>
                <w:b/>
                <w:sz w:val="18"/>
                <w:szCs w:val="18"/>
                <w:lang w:val="sq-AL"/>
              </w:rPr>
              <w:t>Gjithsej Mali i Zi</w:t>
            </w:r>
          </w:p>
        </w:tc>
        <w:tc>
          <w:tcPr>
            <w:tcW w:w="1588" w:type="dxa"/>
            <w:tcBorders>
              <w:top w:val="single" w:sz="8" w:space="0" w:color="7A9FCD"/>
              <w:bottom w:val="single" w:sz="8" w:space="0" w:color="7A9FCD"/>
            </w:tcBorders>
          </w:tcPr>
          <w:p w14:paraId="1BADCD5D" w14:textId="77777777" w:rsidR="00500457" w:rsidRPr="00551729" w:rsidRDefault="00500457" w:rsidP="00500457">
            <w:pPr>
              <w:pStyle w:val="TableParagraph"/>
              <w:spacing w:before="39"/>
              <w:ind w:left="283" w:right="318" w:firstLine="284"/>
              <w:jc w:val="center"/>
              <w:rPr>
                <w:rFonts w:ascii="Garamond" w:hAnsi="Garamond"/>
                <w:b/>
                <w:sz w:val="18"/>
                <w:szCs w:val="18"/>
                <w:lang w:val="sq-AL"/>
              </w:rPr>
            </w:pPr>
            <w:r w:rsidRPr="00551729">
              <w:rPr>
                <w:rFonts w:ascii="Garamond" w:hAnsi="Garamond"/>
                <w:b/>
                <w:sz w:val="18"/>
                <w:szCs w:val="18"/>
                <w:lang w:val="sq-AL"/>
              </w:rPr>
              <w:t>5,745</w:t>
            </w:r>
          </w:p>
        </w:tc>
        <w:tc>
          <w:tcPr>
            <w:tcW w:w="1767" w:type="dxa"/>
            <w:tcBorders>
              <w:top w:val="single" w:sz="8" w:space="0" w:color="7A9FCD"/>
              <w:bottom w:val="single" w:sz="8" w:space="0" w:color="7A9FCD"/>
              <w:right w:val="single" w:sz="8" w:space="0" w:color="7A9FCD"/>
            </w:tcBorders>
          </w:tcPr>
          <w:p w14:paraId="1BADCD5E" w14:textId="77777777" w:rsidR="00500457" w:rsidRPr="00551729" w:rsidRDefault="00500457" w:rsidP="00500457">
            <w:pPr>
              <w:pStyle w:val="TableParagraph"/>
              <w:spacing w:before="39"/>
              <w:ind w:left="685" w:right="631" w:firstLine="284"/>
              <w:jc w:val="center"/>
              <w:rPr>
                <w:rFonts w:ascii="Garamond" w:hAnsi="Garamond"/>
                <w:b/>
                <w:sz w:val="18"/>
                <w:szCs w:val="18"/>
                <w:lang w:val="sq-AL"/>
              </w:rPr>
            </w:pPr>
            <w:r w:rsidRPr="00551729">
              <w:rPr>
                <w:rFonts w:ascii="Garamond" w:hAnsi="Garamond"/>
                <w:b/>
                <w:sz w:val="18"/>
                <w:szCs w:val="18"/>
                <w:lang w:val="sq-AL"/>
              </w:rPr>
              <w:t>41.59</w:t>
            </w:r>
          </w:p>
        </w:tc>
      </w:tr>
      <w:tr w:rsidR="00500457" w:rsidRPr="00551729" w14:paraId="1BADCD63" w14:textId="77777777" w:rsidTr="00C521D5">
        <w:trPr>
          <w:trHeight w:hRule="exact" w:val="203"/>
        </w:trPr>
        <w:tc>
          <w:tcPr>
            <w:tcW w:w="3007" w:type="dxa"/>
            <w:tcBorders>
              <w:top w:val="single" w:sz="8" w:space="0" w:color="7A9FCD"/>
              <w:left w:val="single" w:sz="8" w:space="0" w:color="7A9FCD"/>
              <w:bottom w:val="single" w:sz="8" w:space="0" w:color="7A9FCD"/>
            </w:tcBorders>
            <w:shd w:val="clear" w:color="auto" w:fill="94B3D6"/>
          </w:tcPr>
          <w:p w14:paraId="1BADCD60" w14:textId="77777777" w:rsidR="00500457" w:rsidRPr="00551729" w:rsidRDefault="00500457" w:rsidP="00500457">
            <w:pPr>
              <w:pStyle w:val="TableParagraph"/>
              <w:spacing w:line="179" w:lineRule="exact"/>
              <w:ind w:left="188" w:right="280" w:firstLine="284"/>
              <w:jc w:val="center"/>
              <w:rPr>
                <w:rFonts w:ascii="Garamond" w:hAnsi="Garamond"/>
                <w:b/>
                <w:sz w:val="18"/>
                <w:szCs w:val="18"/>
                <w:lang w:val="sq-AL"/>
              </w:rPr>
            </w:pPr>
            <w:r w:rsidRPr="00551729">
              <w:rPr>
                <w:rFonts w:ascii="Garamond" w:hAnsi="Garamond"/>
                <w:b/>
                <w:sz w:val="18"/>
                <w:szCs w:val="18"/>
                <w:lang w:val="sq-AL"/>
              </w:rPr>
              <w:t>Shqipëria</w:t>
            </w:r>
          </w:p>
        </w:tc>
        <w:tc>
          <w:tcPr>
            <w:tcW w:w="1588" w:type="dxa"/>
            <w:tcBorders>
              <w:top w:val="single" w:sz="8" w:space="0" w:color="7A9FCD"/>
              <w:bottom w:val="single" w:sz="8" w:space="0" w:color="7A9FCD"/>
            </w:tcBorders>
            <w:shd w:val="clear" w:color="auto" w:fill="94B3D6"/>
          </w:tcPr>
          <w:p w14:paraId="1BADCD61" w14:textId="77777777" w:rsidR="00500457" w:rsidRPr="00551729" w:rsidRDefault="00500457" w:rsidP="00500457">
            <w:pPr>
              <w:pStyle w:val="TableParagraph"/>
              <w:spacing w:line="179" w:lineRule="exact"/>
              <w:ind w:left="283" w:right="320" w:firstLine="284"/>
              <w:jc w:val="center"/>
              <w:rPr>
                <w:rFonts w:ascii="Garamond" w:hAnsi="Garamond"/>
                <w:b/>
                <w:sz w:val="18"/>
                <w:szCs w:val="18"/>
                <w:lang w:val="sq-AL"/>
              </w:rPr>
            </w:pPr>
            <w:r w:rsidRPr="00551729">
              <w:rPr>
                <w:rFonts w:ascii="Garamond" w:hAnsi="Garamond"/>
                <w:b/>
                <w:sz w:val="18"/>
                <w:szCs w:val="18"/>
                <w:lang w:val="sq-AL"/>
              </w:rPr>
              <w:t>28,748</w:t>
            </w:r>
          </w:p>
        </w:tc>
        <w:tc>
          <w:tcPr>
            <w:tcW w:w="1767" w:type="dxa"/>
            <w:tcBorders>
              <w:top w:val="single" w:sz="8" w:space="0" w:color="7A9FCD"/>
              <w:bottom w:val="single" w:sz="8" w:space="0" w:color="7A9FCD"/>
              <w:right w:val="single" w:sz="8" w:space="0" w:color="7A9FCD"/>
            </w:tcBorders>
            <w:shd w:val="clear" w:color="auto" w:fill="94B3D6"/>
          </w:tcPr>
          <w:p w14:paraId="1BADCD62" w14:textId="77777777" w:rsidR="00500457" w:rsidRPr="00551729" w:rsidRDefault="00500457" w:rsidP="00500457">
            <w:pPr>
              <w:pStyle w:val="TableParagraph"/>
              <w:spacing w:line="179" w:lineRule="exact"/>
              <w:ind w:left="685" w:right="631" w:firstLine="284"/>
              <w:jc w:val="center"/>
              <w:rPr>
                <w:rFonts w:ascii="Garamond" w:hAnsi="Garamond"/>
                <w:b/>
                <w:sz w:val="18"/>
                <w:szCs w:val="18"/>
                <w:lang w:val="sq-AL"/>
              </w:rPr>
            </w:pPr>
            <w:r w:rsidRPr="00551729">
              <w:rPr>
                <w:rFonts w:ascii="Garamond" w:hAnsi="Garamond"/>
                <w:b/>
                <w:sz w:val="18"/>
                <w:szCs w:val="18"/>
                <w:lang w:val="sq-AL"/>
              </w:rPr>
              <w:t>100</w:t>
            </w:r>
          </w:p>
        </w:tc>
      </w:tr>
      <w:tr w:rsidR="00500457" w:rsidRPr="00551729" w14:paraId="1BADCD67" w14:textId="77777777" w:rsidTr="00C521D5">
        <w:trPr>
          <w:trHeight w:hRule="exact" w:val="205"/>
        </w:trPr>
        <w:tc>
          <w:tcPr>
            <w:tcW w:w="3007" w:type="dxa"/>
            <w:tcBorders>
              <w:top w:val="single" w:sz="8" w:space="0" w:color="7A9FCD"/>
              <w:left w:val="single" w:sz="8" w:space="0" w:color="7A9FCD"/>
              <w:bottom w:val="single" w:sz="8" w:space="0" w:color="7A9FCD"/>
            </w:tcBorders>
          </w:tcPr>
          <w:p w14:paraId="1BADCD64" w14:textId="77777777" w:rsidR="00500457" w:rsidRPr="00551729" w:rsidRDefault="00500457" w:rsidP="00500457">
            <w:pPr>
              <w:pStyle w:val="TableParagraph"/>
              <w:spacing w:line="180" w:lineRule="exact"/>
              <w:ind w:left="188" w:right="277" w:firstLine="284"/>
              <w:jc w:val="center"/>
              <w:rPr>
                <w:rFonts w:ascii="Garamond" w:hAnsi="Garamond"/>
                <w:b/>
                <w:sz w:val="18"/>
                <w:szCs w:val="18"/>
                <w:lang w:val="sq-AL"/>
              </w:rPr>
            </w:pPr>
            <w:r w:rsidRPr="00551729">
              <w:rPr>
                <w:rFonts w:ascii="Garamond" w:hAnsi="Garamond"/>
                <w:b/>
                <w:sz w:val="18"/>
                <w:szCs w:val="18"/>
                <w:lang w:val="sq-AL"/>
              </w:rPr>
              <w:t>Shkodra</w:t>
            </w:r>
          </w:p>
        </w:tc>
        <w:tc>
          <w:tcPr>
            <w:tcW w:w="1588" w:type="dxa"/>
            <w:tcBorders>
              <w:top w:val="single" w:sz="8" w:space="0" w:color="7A9FCD"/>
              <w:bottom w:val="single" w:sz="8" w:space="0" w:color="7A9FCD"/>
            </w:tcBorders>
          </w:tcPr>
          <w:p w14:paraId="1BADCD65" w14:textId="77777777" w:rsidR="00500457" w:rsidRPr="00551729" w:rsidRDefault="00500457" w:rsidP="00500457">
            <w:pPr>
              <w:pStyle w:val="TableParagraph"/>
              <w:spacing w:line="183" w:lineRule="exact"/>
              <w:ind w:left="283" w:right="318" w:firstLine="284"/>
              <w:jc w:val="center"/>
              <w:rPr>
                <w:rFonts w:ascii="Garamond" w:hAnsi="Garamond"/>
                <w:sz w:val="18"/>
                <w:szCs w:val="18"/>
                <w:lang w:val="sq-AL"/>
              </w:rPr>
            </w:pPr>
            <w:r w:rsidRPr="00551729">
              <w:rPr>
                <w:rFonts w:ascii="Garamond" w:hAnsi="Garamond"/>
                <w:sz w:val="18"/>
                <w:szCs w:val="18"/>
                <w:lang w:val="sq-AL"/>
              </w:rPr>
              <w:t>3,562</w:t>
            </w:r>
          </w:p>
        </w:tc>
        <w:tc>
          <w:tcPr>
            <w:tcW w:w="1767" w:type="dxa"/>
            <w:tcBorders>
              <w:top w:val="single" w:sz="8" w:space="0" w:color="7A9FCD"/>
              <w:bottom w:val="single" w:sz="8" w:space="0" w:color="7A9FCD"/>
              <w:right w:val="single" w:sz="8" w:space="0" w:color="7A9FCD"/>
            </w:tcBorders>
          </w:tcPr>
          <w:p w14:paraId="1BADCD66" w14:textId="77777777" w:rsidR="00500457" w:rsidRPr="00551729" w:rsidRDefault="00500457" w:rsidP="00500457">
            <w:pPr>
              <w:pStyle w:val="TableParagraph"/>
              <w:spacing w:line="183" w:lineRule="exact"/>
              <w:ind w:left="685" w:right="631" w:firstLine="284"/>
              <w:jc w:val="center"/>
              <w:rPr>
                <w:rFonts w:ascii="Garamond" w:hAnsi="Garamond"/>
                <w:sz w:val="18"/>
                <w:szCs w:val="18"/>
                <w:lang w:val="sq-AL"/>
              </w:rPr>
            </w:pPr>
            <w:r w:rsidRPr="00551729">
              <w:rPr>
                <w:rFonts w:ascii="Garamond" w:hAnsi="Garamond"/>
                <w:sz w:val="18"/>
                <w:szCs w:val="18"/>
                <w:lang w:val="sq-AL"/>
              </w:rPr>
              <w:t>12.39</w:t>
            </w:r>
          </w:p>
        </w:tc>
      </w:tr>
      <w:tr w:rsidR="00500457" w:rsidRPr="00551729" w14:paraId="1BADCD6B" w14:textId="77777777" w:rsidTr="00C521D5">
        <w:trPr>
          <w:trHeight w:hRule="exact" w:val="203"/>
        </w:trPr>
        <w:tc>
          <w:tcPr>
            <w:tcW w:w="3007" w:type="dxa"/>
            <w:tcBorders>
              <w:top w:val="single" w:sz="8" w:space="0" w:color="7A9FCD"/>
              <w:left w:val="single" w:sz="8" w:space="0" w:color="7A9FCD"/>
              <w:bottom w:val="single" w:sz="8" w:space="0" w:color="7A9FCD"/>
            </w:tcBorders>
            <w:shd w:val="clear" w:color="auto" w:fill="D2DFED"/>
          </w:tcPr>
          <w:p w14:paraId="1BADCD68" w14:textId="77777777" w:rsidR="00500457" w:rsidRPr="00551729" w:rsidRDefault="00500457" w:rsidP="00500457">
            <w:pPr>
              <w:pStyle w:val="TableParagraph"/>
              <w:spacing w:line="180" w:lineRule="exact"/>
              <w:ind w:left="188" w:right="277" w:firstLine="284"/>
              <w:jc w:val="center"/>
              <w:rPr>
                <w:rFonts w:ascii="Garamond" w:hAnsi="Garamond"/>
                <w:b/>
                <w:sz w:val="18"/>
                <w:szCs w:val="18"/>
                <w:lang w:val="sq-AL"/>
              </w:rPr>
            </w:pPr>
            <w:r w:rsidRPr="00551729">
              <w:rPr>
                <w:rFonts w:ascii="Garamond" w:hAnsi="Garamond"/>
                <w:b/>
                <w:sz w:val="18"/>
                <w:szCs w:val="18"/>
                <w:lang w:val="sq-AL"/>
              </w:rPr>
              <w:t>Lezha</w:t>
            </w:r>
          </w:p>
        </w:tc>
        <w:tc>
          <w:tcPr>
            <w:tcW w:w="1588" w:type="dxa"/>
            <w:tcBorders>
              <w:top w:val="single" w:sz="8" w:space="0" w:color="7A9FCD"/>
              <w:bottom w:val="single" w:sz="8" w:space="0" w:color="7A9FCD"/>
            </w:tcBorders>
            <w:shd w:val="clear" w:color="auto" w:fill="D2DFED"/>
          </w:tcPr>
          <w:p w14:paraId="1BADCD69" w14:textId="77777777" w:rsidR="00500457" w:rsidRPr="00551729" w:rsidRDefault="00500457" w:rsidP="00500457">
            <w:pPr>
              <w:pStyle w:val="TableParagraph"/>
              <w:spacing w:line="182" w:lineRule="exact"/>
              <w:ind w:left="283" w:right="318" w:firstLine="284"/>
              <w:jc w:val="center"/>
              <w:rPr>
                <w:rFonts w:ascii="Garamond" w:hAnsi="Garamond"/>
                <w:sz w:val="18"/>
                <w:szCs w:val="18"/>
                <w:lang w:val="sq-AL"/>
              </w:rPr>
            </w:pPr>
            <w:r w:rsidRPr="00551729">
              <w:rPr>
                <w:rFonts w:ascii="Garamond" w:hAnsi="Garamond"/>
                <w:sz w:val="18"/>
                <w:szCs w:val="18"/>
                <w:lang w:val="sq-AL"/>
              </w:rPr>
              <w:t>1,620</w:t>
            </w:r>
          </w:p>
        </w:tc>
        <w:tc>
          <w:tcPr>
            <w:tcW w:w="1767" w:type="dxa"/>
            <w:tcBorders>
              <w:top w:val="single" w:sz="8" w:space="0" w:color="7A9FCD"/>
              <w:bottom w:val="single" w:sz="8" w:space="0" w:color="7A9FCD"/>
              <w:right w:val="single" w:sz="8" w:space="0" w:color="7A9FCD"/>
            </w:tcBorders>
            <w:shd w:val="clear" w:color="auto" w:fill="D2DFED"/>
          </w:tcPr>
          <w:p w14:paraId="1BADCD6A" w14:textId="77777777" w:rsidR="00500457" w:rsidRPr="00551729" w:rsidRDefault="00500457" w:rsidP="00500457">
            <w:pPr>
              <w:pStyle w:val="TableParagraph"/>
              <w:spacing w:line="182" w:lineRule="exact"/>
              <w:ind w:left="683" w:right="631" w:firstLine="284"/>
              <w:jc w:val="center"/>
              <w:rPr>
                <w:rFonts w:ascii="Garamond" w:hAnsi="Garamond"/>
                <w:sz w:val="18"/>
                <w:szCs w:val="18"/>
                <w:lang w:val="sq-AL"/>
              </w:rPr>
            </w:pPr>
            <w:r w:rsidRPr="00551729">
              <w:rPr>
                <w:rFonts w:ascii="Garamond" w:hAnsi="Garamond"/>
                <w:sz w:val="18"/>
                <w:szCs w:val="18"/>
                <w:lang w:val="sq-AL"/>
              </w:rPr>
              <w:t>5.63</w:t>
            </w:r>
          </w:p>
        </w:tc>
      </w:tr>
      <w:tr w:rsidR="00500457" w:rsidRPr="00551729" w14:paraId="1BADCD6F" w14:textId="77777777" w:rsidTr="00C521D5">
        <w:trPr>
          <w:trHeight w:hRule="exact" w:val="204"/>
        </w:trPr>
        <w:tc>
          <w:tcPr>
            <w:tcW w:w="3007" w:type="dxa"/>
            <w:tcBorders>
              <w:top w:val="single" w:sz="8" w:space="0" w:color="7A9FCD"/>
              <w:left w:val="single" w:sz="8" w:space="0" w:color="7A9FCD"/>
              <w:bottom w:val="single" w:sz="8" w:space="0" w:color="7A9FCD"/>
            </w:tcBorders>
          </w:tcPr>
          <w:p w14:paraId="1BADCD6C" w14:textId="77777777" w:rsidR="00500457" w:rsidRPr="00551729" w:rsidRDefault="00500457" w:rsidP="00500457">
            <w:pPr>
              <w:pStyle w:val="TableParagraph"/>
              <w:spacing w:line="180" w:lineRule="exact"/>
              <w:ind w:left="186" w:right="280" w:firstLine="284"/>
              <w:jc w:val="center"/>
              <w:rPr>
                <w:rFonts w:ascii="Garamond" w:hAnsi="Garamond"/>
                <w:b/>
                <w:sz w:val="18"/>
                <w:szCs w:val="18"/>
                <w:lang w:val="sq-AL"/>
              </w:rPr>
            </w:pPr>
            <w:r w:rsidRPr="00551729">
              <w:rPr>
                <w:rFonts w:ascii="Garamond" w:hAnsi="Garamond"/>
                <w:b/>
                <w:sz w:val="18"/>
                <w:szCs w:val="18"/>
                <w:lang w:val="sq-AL"/>
              </w:rPr>
              <w:t>Tropoja</w:t>
            </w:r>
          </w:p>
        </w:tc>
        <w:tc>
          <w:tcPr>
            <w:tcW w:w="1588" w:type="dxa"/>
            <w:tcBorders>
              <w:top w:val="single" w:sz="8" w:space="0" w:color="7A9FCD"/>
              <w:bottom w:val="single" w:sz="8" w:space="0" w:color="7A9FCD"/>
            </w:tcBorders>
          </w:tcPr>
          <w:p w14:paraId="1BADCD6D" w14:textId="77777777" w:rsidR="00500457" w:rsidRPr="00551729" w:rsidRDefault="00500457" w:rsidP="00500457">
            <w:pPr>
              <w:pStyle w:val="TableParagraph"/>
              <w:spacing w:line="183" w:lineRule="exact"/>
              <w:ind w:left="283" w:right="318" w:firstLine="284"/>
              <w:jc w:val="center"/>
              <w:rPr>
                <w:rFonts w:ascii="Garamond" w:hAnsi="Garamond"/>
                <w:sz w:val="18"/>
                <w:szCs w:val="18"/>
                <w:lang w:val="sq-AL"/>
              </w:rPr>
            </w:pPr>
            <w:r w:rsidRPr="00551729">
              <w:rPr>
                <w:rFonts w:ascii="Garamond" w:hAnsi="Garamond"/>
                <w:sz w:val="18"/>
                <w:szCs w:val="18"/>
                <w:lang w:val="sq-AL"/>
              </w:rPr>
              <w:t>1,043</w:t>
            </w:r>
          </w:p>
        </w:tc>
        <w:tc>
          <w:tcPr>
            <w:tcW w:w="1767" w:type="dxa"/>
            <w:tcBorders>
              <w:top w:val="single" w:sz="8" w:space="0" w:color="7A9FCD"/>
              <w:bottom w:val="single" w:sz="8" w:space="0" w:color="7A9FCD"/>
              <w:right w:val="single" w:sz="8" w:space="0" w:color="7A9FCD"/>
            </w:tcBorders>
          </w:tcPr>
          <w:p w14:paraId="1BADCD6E" w14:textId="77777777" w:rsidR="00500457" w:rsidRPr="00551729" w:rsidRDefault="00500457" w:rsidP="00500457">
            <w:pPr>
              <w:pStyle w:val="TableParagraph"/>
              <w:spacing w:line="183" w:lineRule="exact"/>
              <w:ind w:left="683" w:right="631" w:firstLine="284"/>
              <w:jc w:val="center"/>
              <w:rPr>
                <w:rFonts w:ascii="Garamond" w:hAnsi="Garamond"/>
                <w:sz w:val="18"/>
                <w:szCs w:val="18"/>
                <w:lang w:val="sq-AL"/>
              </w:rPr>
            </w:pPr>
            <w:r w:rsidRPr="00551729">
              <w:rPr>
                <w:rFonts w:ascii="Garamond" w:hAnsi="Garamond"/>
                <w:sz w:val="18"/>
                <w:szCs w:val="18"/>
                <w:lang w:val="sq-AL"/>
              </w:rPr>
              <w:t>3.62</w:t>
            </w:r>
          </w:p>
        </w:tc>
      </w:tr>
      <w:tr w:rsidR="00500457" w:rsidRPr="00551729" w14:paraId="1BADCD73" w14:textId="77777777" w:rsidTr="00C521D5">
        <w:trPr>
          <w:trHeight w:hRule="exact" w:val="205"/>
        </w:trPr>
        <w:tc>
          <w:tcPr>
            <w:tcW w:w="3007" w:type="dxa"/>
            <w:tcBorders>
              <w:top w:val="single" w:sz="8" w:space="0" w:color="7A9FCD"/>
              <w:left w:val="single" w:sz="8" w:space="0" w:color="7A9FCD"/>
              <w:bottom w:val="single" w:sz="8" w:space="0" w:color="7A9FCD"/>
            </w:tcBorders>
          </w:tcPr>
          <w:p w14:paraId="1BADCD70" w14:textId="77777777" w:rsidR="00500457" w:rsidRPr="00551729" w:rsidRDefault="00500457" w:rsidP="00500457">
            <w:pPr>
              <w:pStyle w:val="TableParagraph"/>
              <w:spacing w:line="180" w:lineRule="exact"/>
              <w:ind w:left="188" w:right="277" w:firstLine="284"/>
              <w:jc w:val="center"/>
              <w:rPr>
                <w:rFonts w:ascii="Garamond" w:hAnsi="Garamond"/>
                <w:b/>
                <w:sz w:val="18"/>
                <w:szCs w:val="18"/>
                <w:lang w:val="sq-AL"/>
              </w:rPr>
            </w:pPr>
            <w:r w:rsidRPr="00551729">
              <w:rPr>
                <w:rFonts w:ascii="Garamond" w:hAnsi="Garamond"/>
                <w:b/>
                <w:sz w:val="18"/>
                <w:szCs w:val="18"/>
                <w:lang w:val="sq-AL"/>
              </w:rPr>
              <w:t>Gjithsej Shqipëria</w:t>
            </w:r>
          </w:p>
        </w:tc>
        <w:tc>
          <w:tcPr>
            <w:tcW w:w="1588" w:type="dxa"/>
            <w:tcBorders>
              <w:top w:val="single" w:sz="8" w:space="0" w:color="7A9FCD"/>
              <w:bottom w:val="single" w:sz="8" w:space="0" w:color="7A9FCD"/>
            </w:tcBorders>
          </w:tcPr>
          <w:p w14:paraId="1BADCD71" w14:textId="77777777" w:rsidR="00500457" w:rsidRPr="00551729" w:rsidRDefault="00500457" w:rsidP="00500457">
            <w:pPr>
              <w:pStyle w:val="TableParagraph"/>
              <w:spacing w:line="180" w:lineRule="exact"/>
              <w:ind w:left="283" w:right="318" w:firstLine="284"/>
              <w:jc w:val="center"/>
              <w:rPr>
                <w:rFonts w:ascii="Garamond" w:hAnsi="Garamond"/>
                <w:b/>
                <w:sz w:val="18"/>
                <w:szCs w:val="18"/>
                <w:lang w:val="sq-AL"/>
              </w:rPr>
            </w:pPr>
            <w:r w:rsidRPr="00551729">
              <w:rPr>
                <w:rFonts w:ascii="Garamond" w:hAnsi="Garamond"/>
                <w:b/>
                <w:sz w:val="18"/>
                <w:szCs w:val="18"/>
                <w:lang w:val="sq-AL"/>
              </w:rPr>
              <w:t>6,225</w:t>
            </w:r>
          </w:p>
        </w:tc>
        <w:tc>
          <w:tcPr>
            <w:tcW w:w="1767" w:type="dxa"/>
            <w:tcBorders>
              <w:top w:val="single" w:sz="8" w:space="0" w:color="7A9FCD"/>
              <w:bottom w:val="single" w:sz="8" w:space="0" w:color="7A9FCD"/>
              <w:right w:val="single" w:sz="8" w:space="0" w:color="7A9FCD"/>
            </w:tcBorders>
          </w:tcPr>
          <w:p w14:paraId="1BADCD72" w14:textId="77777777" w:rsidR="00500457" w:rsidRPr="00551729" w:rsidRDefault="00500457" w:rsidP="00500457">
            <w:pPr>
              <w:pStyle w:val="TableParagraph"/>
              <w:spacing w:line="180" w:lineRule="exact"/>
              <w:ind w:left="683" w:right="631" w:firstLine="284"/>
              <w:jc w:val="center"/>
              <w:rPr>
                <w:rFonts w:ascii="Garamond" w:hAnsi="Garamond"/>
                <w:b/>
                <w:sz w:val="18"/>
                <w:szCs w:val="18"/>
                <w:lang w:val="sq-AL"/>
              </w:rPr>
            </w:pPr>
            <w:r w:rsidRPr="00551729">
              <w:rPr>
                <w:rFonts w:ascii="Garamond" w:hAnsi="Garamond"/>
                <w:b/>
                <w:sz w:val="18"/>
                <w:szCs w:val="18"/>
                <w:lang w:val="sq-AL"/>
              </w:rPr>
              <w:t>21.6</w:t>
            </w:r>
          </w:p>
        </w:tc>
      </w:tr>
      <w:tr w:rsidR="00500457" w:rsidRPr="00551729" w14:paraId="1BADCD78" w14:textId="77777777" w:rsidTr="00C521D5">
        <w:trPr>
          <w:trHeight w:hRule="exact" w:val="388"/>
        </w:trPr>
        <w:tc>
          <w:tcPr>
            <w:tcW w:w="3007" w:type="dxa"/>
            <w:tcBorders>
              <w:top w:val="single" w:sz="8" w:space="0" w:color="7A9FCD"/>
              <w:left w:val="single" w:sz="8" w:space="0" w:color="7A9FCD"/>
              <w:bottom w:val="single" w:sz="8" w:space="0" w:color="7A9FCD"/>
            </w:tcBorders>
            <w:shd w:val="clear" w:color="auto" w:fill="D2DFED"/>
          </w:tcPr>
          <w:p w14:paraId="1BADCD74" w14:textId="77777777" w:rsidR="00500457" w:rsidRPr="00551729" w:rsidRDefault="00500457" w:rsidP="00500457">
            <w:pPr>
              <w:pStyle w:val="TableParagraph"/>
              <w:spacing w:line="179" w:lineRule="exact"/>
              <w:ind w:left="188" w:right="280" w:firstLine="284"/>
              <w:jc w:val="center"/>
              <w:rPr>
                <w:rFonts w:ascii="Garamond" w:hAnsi="Garamond"/>
                <w:b/>
                <w:sz w:val="18"/>
                <w:szCs w:val="18"/>
                <w:lang w:val="sq-AL"/>
              </w:rPr>
            </w:pPr>
            <w:r w:rsidRPr="00551729">
              <w:rPr>
                <w:rFonts w:ascii="Garamond" w:hAnsi="Garamond"/>
                <w:b/>
                <w:sz w:val="18"/>
                <w:szCs w:val="18"/>
                <w:lang w:val="sq-AL"/>
              </w:rPr>
              <w:t>Zona e përgjithshme e programit</w:t>
            </w:r>
          </w:p>
        </w:tc>
        <w:tc>
          <w:tcPr>
            <w:tcW w:w="1588" w:type="dxa"/>
            <w:tcBorders>
              <w:top w:val="single" w:sz="8" w:space="0" w:color="7A9FCD"/>
              <w:bottom w:val="single" w:sz="8" w:space="0" w:color="7A9FCD"/>
            </w:tcBorders>
            <w:shd w:val="clear" w:color="auto" w:fill="D2DFED"/>
          </w:tcPr>
          <w:p w14:paraId="1BADCD75" w14:textId="77777777" w:rsidR="00500457" w:rsidRPr="00551729" w:rsidRDefault="00500457" w:rsidP="00500457">
            <w:pPr>
              <w:pStyle w:val="TableParagraph"/>
              <w:spacing w:line="179" w:lineRule="exact"/>
              <w:ind w:left="283" w:right="320" w:firstLine="284"/>
              <w:jc w:val="center"/>
              <w:rPr>
                <w:rFonts w:ascii="Garamond" w:hAnsi="Garamond"/>
                <w:b/>
                <w:sz w:val="18"/>
                <w:szCs w:val="18"/>
                <w:lang w:val="sq-AL"/>
              </w:rPr>
            </w:pPr>
            <w:r w:rsidRPr="00551729">
              <w:rPr>
                <w:rFonts w:ascii="Garamond" w:hAnsi="Garamond"/>
                <w:b/>
                <w:sz w:val="18"/>
                <w:szCs w:val="18"/>
                <w:lang w:val="sq-AL"/>
              </w:rPr>
              <w:t>11,970</w:t>
            </w:r>
          </w:p>
        </w:tc>
        <w:tc>
          <w:tcPr>
            <w:tcW w:w="1767" w:type="dxa"/>
            <w:tcBorders>
              <w:top w:val="single" w:sz="8" w:space="0" w:color="7A9FCD"/>
              <w:bottom w:val="single" w:sz="8" w:space="0" w:color="7A9FCD"/>
              <w:right w:val="single" w:sz="8" w:space="0" w:color="7A9FCD"/>
            </w:tcBorders>
            <w:shd w:val="clear" w:color="auto" w:fill="D2DFED"/>
          </w:tcPr>
          <w:p w14:paraId="1BADCD76" w14:textId="77777777" w:rsidR="00500457" w:rsidRPr="00551729" w:rsidRDefault="00500457" w:rsidP="009211D8">
            <w:pPr>
              <w:pStyle w:val="TableParagraph"/>
              <w:spacing w:line="178" w:lineRule="exact"/>
              <w:ind w:left="429" w:right="268"/>
              <w:rPr>
                <w:rFonts w:ascii="Garamond" w:hAnsi="Garamond"/>
                <w:b/>
                <w:sz w:val="18"/>
                <w:szCs w:val="18"/>
                <w:lang w:val="sq-AL"/>
              </w:rPr>
            </w:pPr>
            <w:r w:rsidRPr="00551729">
              <w:rPr>
                <w:rFonts w:ascii="Garamond" w:hAnsi="Garamond"/>
                <w:b/>
                <w:sz w:val="18"/>
                <w:szCs w:val="18"/>
                <w:lang w:val="sq-AL"/>
              </w:rPr>
              <w:t>MNE: 47.9 %</w:t>
            </w:r>
          </w:p>
          <w:p w14:paraId="1BADCD77" w14:textId="77777777" w:rsidR="00500457" w:rsidRPr="00551729" w:rsidRDefault="00500457" w:rsidP="00500457">
            <w:pPr>
              <w:pStyle w:val="TableParagraph"/>
              <w:spacing w:line="183" w:lineRule="exact"/>
              <w:ind w:left="501" w:right="268" w:firstLine="284"/>
              <w:rPr>
                <w:rFonts w:ascii="Garamond" w:hAnsi="Garamond"/>
                <w:b/>
                <w:sz w:val="18"/>
                <w:szCs w:val="18"/>
                <w:lang w:val="sq-AL"/>
              </w:rPr>
            </w:pPr>
            <w:r w:rsidRPr="00551729">
              <w:rPr>
                <w:rFonts w:ascii="Garamond" w:hAnsi="Garamond"/>
                <w:b/>
                <w:sz w:val="18"/>
                <w:szCs w:val="18"/>
                <w:lang w:val="sq-AL"/>
              </w:rPr>
              <w:t>AL: 52.1 %</w:t>
            </w:r>
          </w:p>
        </w:tc>
      </w:tr>
    </w:tbl>
    <w:p w14:paraId="1BADCD79" w14:textId="7127CF77" w:rsidR="00500457" w:rsidRPr="00551729" w:rsidRDefault="00500457" w:rsidP="00500457">
      <w:pPr>
        <w:widowControl w:val="0"/>
        <w:spacing w:after="0" w:line="240" w:lineRule="auto"/>
        <w:rPr>
          <w:rFonts w:ascii="Garamond" w:hAnsi="Garamond"/>
          <w:sz w:val="20"/>
          <w:szCs w:val="20"/>
        </w:rPr>
      </w:pPr>
      <w:r w:rsidRPr="00551729">
        <w:rPr>
          <w:rFonts w:ascii="Garamond" w:hAnsi="Garamond"/>
          <w:b/>
          <w:sz w:val="20"/>
          <w:szCs w:val="20"/>
        </w:rPr>
        <w:t>*</w:t>
      </w:r>
      <w:r w:rsidR="001F5F4A">
        <w:rPr>
          <w:rFonts w:ascii="Garamond" w:hAnsi="Garamond"/>
          <w:b/>
          <w:sz w:val="20"/>
          <w:szCs w:val="20"/>
        </w:rPr>
        <w:t xml:space="preserve"> </w:t>
      </w:r>
      <w:r w:rsidRPr="00551729">
        <w:rPr>
          <w:rFonts w:ascii="Garamond" w:hAnsi="Garamond"/>
          <w:sz w:val="20"/>
          <w:szCs w:val="20"/>
        </w:rPr>
        <w:t xml:space="preserve">Të dhëna nga </w:t>
      </w:r>
      <w:hyperlink r:id="rId23">
        <w:r w:rsidRPr="00551729">
          <w:rPr>
            <w:rFonts w:ascii="Garamond" w:hAnsi="Garamond"/>
            <w:sz w:val="20"/>
            <w:szCs w:val="20"/>
          </w:rPr>
          <w:t>http://www.trpezi.eu/BIHOR%20I%20STUDIJA.html</w:t>
        </w:r>
      </w:hyperlink>
    </w:p>
    <w:p w14:paraId="1BADCD7A" w14:textId="04CB57BC" w:rsidR="00500457" w:rsidRPr="00551729" w:rsidRDefault="00500457" w:rsidP="00500457">
      <w:pPr>
        <w:widowControl w:val="0"/>
        <w:spacing w:after="0" w:line="240" w:lineRule="auto"/>
        <w:rPr>
          <w:rFonts w:ascii="Garamond" w:hAnsi="Garamond"/>
          <w:sz w:val="20"/>
          <w:szCs w:val="20"/>
        </w:rPr>
      </w:pPr>
      <w:r w:rsidRPr="00551729">
        <w:rPr>
          <w:rFonts w:ascii="Garamond" w:hAnsi="Garamond"/>
          <w:sz w:val="20"/>
          <w:szCs w:val="20"/>
        </w:rPr>
        <w:t>**</w:t>
      </w:r>
      <w:r w:rsidR="001F5F4A">
        <w:rPr>
          <w:rFonts w:ascii="Garamond" w:hAnsi="Garamond"/>
          <w:sz w:val="20"/>
          <w:szCs w:val="20"/>
        </w:rPr>
        <w:t xml:space="preserve"> </w:t>
      </w:r>
      <w:r w:rsidRPr="00551729">
        <w:rPr>
          <w:rFonts w:ascii="Garamond" w:hAnsi="Garamond"/>
          <w:sz w:val="20"/>
          <w:szCs w:val="20"/>
        </w:rPr>
        <w:t xml:space="preserve">Të dhëna nga </w:t>
      </w:r>
      <w:hyperlink r:id="rId24">
        <w:r w:rsidRPr="00551729">
          <w:rPr>
            <w:rFonts w:ascii="Garamond" w:hAnsi="Garamond"/>
            <w:sz w:val="20"/>
            <w:szCs w:val="20"/>
          </w:rPr>
          <w:t>http://www.plav.me/uploads/dokumenta/odluke/GUSINJE%20-%20studija.pdf</w:t>
        </w:r>
      </w:hyperlink>
    </w:p>
    <w:p w14:paraId="1BADCD7B" w14:textId="77777777" w:rsidR="00500457" w:rsidRPr="00551729" w:rsidRDefault="00500457" w:rsidP="00500457">
      <w:pPr>
        <w:pStyle w:val="BodyText"/>
        <w:spacing w:before="11"/>
        <w:ind w:firstLine="284"/>
        <w:rPr>
          <w:rFonts w:ascii="Garamond" w:hAnsi="Garamond"/>
          <w:sz w:val="24"/>
          <w:szCs w:val="24"/>
          <w:lang w:val="sq-AL"/>
        </w:rPr>
      </w:pPr>
    </w:p>
    <w:p w14:paraId="1BADCD7C" w14:textId="757E46E2" w:rsidR="00500457" w:rsidRPr="00551729" w:rsidRDefault="00500457" w:rsidP="00500457">
      <w:pPr>
        <w:pStyle w:val="BodyText"/>
        <w:spacing w:before="57"/>
        <w:ind w:left="140" w:right="133" w:firstLine="284"/>
        <w:jc w:val="both"/>
        <w:rPr>
          <w:rFonts w:ascii="Garamond" w:hAnsi="Garamond"/>
          <w:sz w:val="24"/>
          <w:szCs w:val="24"/>
          <w:lang w:val="sq-AL"/>
        </w:rPr>
      </w:pPr>
      <w:r w:rsidRPr="00551729">
        <w:rPr>
          <w:rFonts w:ascii="Garamond" w:hAnsi="Garamond"/>
          <w:sz w:val="24"/>
          <w:szCs w:val="24"/>
          <w:lang w:val="sq-AL"/>
        </w:rPr>
        <w:t>Në përgjithësi, zona e programit ka 23 komuna dhe një total prej 1.114 vendbanimeve - qytete dhe fshatra. Shtatë komuna ndodhen direkt në kufi: Plavë, Andrijevica, Podgoricë, Gucia dhe Ulqini në Mal të Zi, dhe Shkodër dhe Koplik në Shqipëri. Vija kufitare kalon nëpër vargjet malore të lartë t</w:t>
      </w:r>
      <w:r w:rsidR="001F5F4A">
        <w:rPr>
          <w:rFonts w:ascii="Garamond" w:hAnsi="Garamond"/>
          <w:sz w:val="24"/>
          <w:szCs w:val="24"/>
          <w:lang w:val="sq-AL"/>
        </w:rPr>
        <w:t>ë Prokletije/</w:t>
      </w:r>
      <w:r w:rsidRPr="00551729">
        <w:rPr>
          <w:rFonts w:ascii="Garamond" w:hAnsi="Garamond"/>
          <w:sz w:val="24"/>
          <w:szCs w:val="24"/>
          <w:lang w:val="sq-AL"/>
        </w:rPr>
        <w:t>Bjeshkët e Nemuna (Alpet Shqiptare) dhe liqenin e Shkodrës, për të përfunduar në detin Adriatik. Pikat e kalimit kufitar, veçanërisht ato të Sukobinë -</w:t>
      </w:r>
      <w:r w:rsidR="00241432">
        <w:rPr>
          <w:rFonts w:ascii="Garamond" w:hAnsi="Garamond"/>
          <w:sz w:val="24"/>
          <w:szCs w:val="24"/>
          <w:lang w:val="sq-AL"/>
        </w:rPr>
        <w:t xml:space="preserve"> </w:t>
      </w:r>
      <w:r w:rsidRPr="00551729">
        <w:rPr>
          <w:rFonts w:ascii="Garamond" w:hAnsi="Garamond"/>
          <w:sz w:val="24"/>
          <w:szCs w:val="24"/>
          <w:lang w:val="sq-AL"/>
        </w:rPr>
        <w:t>Muriqan dhe Bozaj -</w:t>
      </w:r>
      <w:r w:rsidR="00241432">
        <w:rPr>
          <w:rFonts w:ascii="Garamond" w:hAnsi="Garamond"/>
          <w:sz w:val="24"/>
          <w:szCs w:val="24"/>
          <w:lang w:val="sq-AL"/>
        </w:rPr>
        <w:t xml:space="preserve"> </w:t>
      </w:r>
      <w:r w:rsidRPr="00551729">
        <w:rPr>
          <w:rFonts w:ascii="Garamond" w:hAnsi="Garamond"/>
          <w:sz w:val="24"/>
          <w:szCs w:val="24"/>
          <w:lang w:val="sq-AL"/>
        </w:rPr>
        <w:t>Hani i Hotit, janë lehtësisht të arritshme gjatë gjithë vitit, ndërsa në pikën e kalimit kufitar Vermosh-Gercan janë duke u bërë përmirësime në infrastrukturën rrugore të saj, pasi ndodhet në lartësi të madhe, duke e bërë të vështirë kalimin e saj gjatë dimrit.</w:t>
      </w:r>
    </w:p>
    <w:p w14:paraId="1BADCD7D" w14:textId="6D51A172" w:rsidR="00500457" w:rsidRPr="00551729" w:rsidRDefault="00500457" w:rsidP="000F7F87">
      <w:pPr>
        <w:pStyle w:val="TEKSTIII"/>
      </w:pPr>
      <w:r w:rsidRPr="00551729">
        <w:t xml:space="preserve">Zona e programit në </w:t>
      </w:r>
      <w:r w:rsidRPr="00551729">
        <w:rPr>
          <w:b/>
        </w:rPr>
        <w:t xml:space="preserve">Mal të Zi </w:t>
      </w:r>
      <w:r w:rsidRPr="00551729">
        <w:t>karakterizohet nga një profil gjeografik dhe klimatik i ndryshëm,</w:t>
      </w:r>
      <w:r w:rsidR="00C521D5" w:rsidRPr="00551729">
        <w:t xml:space="preserve"> </w:t>
      </w:r>
      <w:r w:rsidRPr="00551729">
        <w:t>i mbushur me vargje malore, fusha, lugina, lumenj, laguna dhe liqene. Zona e programit përmban disa parqe kombëtare, zona të mbrojtura dhe peizazhe që pasqyrojnë biodiversitet të pasur dhe dallimet mjedisore. Pjesa kontinentale ose veriore e rajonit është një zonë malore. Majat malore arrijnë deri në</w:t>
      </w:r>
    </w:p>
    <w:p w14:paraId="1BADCD7E" w14:textId="6FAB7FBB" w:rsidR="00500457" w:rsidRPr="00551729" w:rsidRDefault="00500457" w:rsidP="000F7F87">
      <w:pPr>
        <w:pStyle w:val="TEKSTIII"/>
      </w:pPr>
      <w:r w:rsidRPr="00551729">
        <w:t>2.500 m lartësi, dhe territori përshkohet nga lumenj, si lumi Lim, Morava dhe Tara, duke</w:t>
      </w:r>
      <w:r w:rsidR="00C521D5" w:rsidRPr="00551729">
        <w:t xml:space="preserve"> </w:t>
      </w:r>
      <w:r w:rsidRPr="00551729">
        <w:t>formuar kanione dhe lugina mbresëlënëse. Në lindje rajoni është i dominuar nga malet Prokletije dhe Hajla, ngjitur me Shqipërinë. Prokletije është shënuar si një Park Kombëtar që nga viti 2009. Komunat bregdetare të Tivarit dhe Ulqinit ndjekin traditën e kultivimit të agrumeve dhe ullinjve, si dhe atë të prodhimit të vajit të ullirit.</w:t>
      </w:r>
    </w:p>
    <w:p w14:paraId="1BADCD7F" w14:textId="6E0649D0" w:rsidR="00500457" w:rsidRPr="00551729" w:rsidRDefault="00500457" w:rsidP="000F7F87">
      <w:pPr>
        <w:pStyle w:val="TEKSTIII"/>
      </w:pPr>
      <w:r w:rsidRPr="00551729">
        <w:t xml:space="preserve">Zona e programit në </w:t>
      </w:r>
      <w:r w:rsidRPr="00551729">
        <w:rPr>
          <w:b/>
        </w:rPr>
        <w:t xml:space="preserve">Shqipëri </w:t>
      </w:r>
      <w:r w:rsidRPr="00551729">
        <w:t>paraqet kontraste të mprehta, pasi alternon male, kodra, lumenj, liqene dhe bregdet, shumë afër me njëri-tjetrin. Në këtë zonë kalumenj të shumtë që kalojnë nëpër territor, të cilët shpesh shkaktojnë përmbytje gjatë stinëve me reshje. Zona</w:t>
      </w:r>
      <w:r w:rsidR="00C521D5" w:rsidRPr="00551729">
        <w:t xml:space="preserve"> </w:t>
      </w:r>
      <w:r w:rsidRPr="00551729">
        <w:t>shtrihet nga malet e larta (Alpet Shqiptare) në pjesën veriore të saj në kufi me Malin e Zi, deri në bregdet (Velipoj</w:t>
      </w:r>
      <w:r w:rsidR="00D40334">
        <w:t>ë dhe Shëngjin), në pjesën veri</w:t>
      </w:r>
      <w:r w:rsidRPr="00551729">
        <w:t>perëndimore të Shqipërisë. Maja më e lartë është Jezerca me 2,694 m lartësi, në rajonin e Shkodrës, dhe ajo më e ulëta (-6m) ndodhet në rajonin e Lezhës. Në territorin e rajonit të Shkodrës mbizotërojnë malet, duke zënë 80% të sipërfaqes; dhe pyjet përbëjnë rreth 30% të</w:t>
      </w:r>
      <w:r w:rsidRPr="00551729">
        <w:rPr>
          <w:spacing w:val="-14"/>
        </w:rPr>
        <w:t xml:space="preserve"> </w:t>
      </w:r>
      <w:r w:rsidRPr="00551729">
        <w:t>saj.</w:t>
      </w:r>
    </w:p>
    <w:p w14:paraId="1BADCD80" w14:textId="77777777" w:rsidR="000F7F87" w:rsidRPr="00551729" w:rsidRDefault="000F7F87" w:rsidP="000F7F87">
      <w:pPr>
        <w:pStyle w:val="TEKSTIII"/>
      </w:pPr>
    </w:p>
    <w:p w14:paraId="1BADCD81" w14:textId="77777777" w:rsidR="000F7F87" w:rsidRPr="00551729" w:rsidRDefault="000F7F87" w:rsidP="000F7F87">
      <w:pPr>
        <w:pStyle w:val="TEKSTIII"/>
      </w:pPr>
    </w:p>
    <w:p w14:paraId="1BADCD82" w14:textId="77777777" w:rsidR="000F7F87" w:rsidRPr="00551729" w:rsidRDefault="000F7F87" w:rsidP="000F7F87">
      <w:pPr>
        <w:pStyle w:val="TEKSTIII"/>
      </w:pPr>
    </w:p>
    <w:p w14:paraId="1BADCD83" w14:textId="77777777" w:rsidR="000F7F87" w:rsidRPr="00551729" w:rsidRDefault="000F7F87" w:rsidP="000F7F87">
      <w:pPr>
        <w:pStyle w:val="TEKSTIII"/>
      </w:pPr>
    </w:p>
    <w:p w14:paraId="1BADCD84" w14:textId="77777777" w:rsidR="000F7F87" w:rsidRPr="00551729" w:rsidRDefault="000F7F87" w:rsidP="000F7F87">
      <w:pPr>
        <w:pStyle w:val="TEKSTIII"/>
      </w:pPr>
    </w:p>
    <w:p w14:paraId="1BADCD85" w14:textId="77777777" w:rsidR="000F7F87" w:rsidRPr="00551729" w:rsidRDefault="000F7F87" w:rsidP="000F7F87">
      <w:pPr>
        <w:pStyle w:val="TEKSTIII"/>
      </w:pPr>
    </w:p>
    <w:p w14:paraId="1BADCD86" w14:textId="77777777" w:rsidR="000F7F87" w:rsidRPr="00551729" w:rsidRDefault="000F7F87" w:rsidP="000F7F87">
      <w:pPr>
        <w:pStyle w:val="TEKSTIII"/>
      </w:pPr>
    </w:p>
    <w:p w14:paraId="1BADCD87" w14:textId="77777777" w:rsidR="000F7F87" w:rsidRPr="00551729" w:rsidRDefault="000F7F87" w:rsidP="000F7F87">
      <w:pPr>
        <w:pStyle w:val="TEKSTIII"/>
      </w:pPr>
    </w:p>
    <w:p w14:paraId="1BADCD88" w14:textId="6F41FD05" w:rsidR="000F7F87" w:rsidRPr="00551729" w:rsidRDefault="0082753C" w:rsidP="000F7F87">
      <w:pPr>
        <w:pStyle w:val="TEKSTIII"/>
      </w:pPr>
      <w:r w:rsidRPr="00551729">
        <w:rPr>
          <w:noProof/>
          <w:lang w:eastAsia="sq-AL"/>
        </w:rPr>
        <mc:AlternateContent>
          <mc:Choice Requires="wpg">
            <w:drawing>
              <wp:anchor distT="0" distB="0" distL="114300" distR="114300" simplePos="0" relativeHeight="251660291" behindDoc="1" locked="0" layoutInCell="1" allowOverlap="1" wp14:anchorId="7E194BCA" wp14:editId="1446D5DD">
                <wp:simplePos x="0" y="0"/>
                <wp:positionH relativeFrom="page">
                  <wp:posOffset>970059</wp:posOffset>
                </wp:positionH>
                <wp:positionV relativeFrom="paragraph">
                  <wp:posOffset>-151075</wp:posOffset>
                </wp:positionV>
                <wp:extent cx="2845435" cy="4579952"/>
                <wp:effectExtent l="19050" t="19050" r="12065" b="1143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5435" cy="4579952"/>
                          <a:chOff x="7030" y="513"/>
                          <a:chExt cx="4201" cy="7502"/>
                        </a:xfrm>
                      </wpg:grpSpPr>
                      <wps:wsp>
                        <wps:cNvPr id="83" name="Freeform 50"/>
                        <wps:cNvSpPr>
                          <a:spLocks/>
                        </wps:cNvSpPr>
                        <wps:spPr bwMode="auto">
                          <a:xfrm>
                            <a:off x="7030" y="912"/>
                            <a:ext cx="4201" cy="6611"/>
                          </a:xfrm>
                          <a:custGeom>
                            <a:avLst/>
                            <a:gdLst>
                              <a:gd name="T0" fmla="+- 0 10893 7030"/>
                              <a:gd name="T1" fmla="*/ T0 w 4201"/>
                              <a:gd name="T2" fmla="+- 0 513 513"/>
                              <a:gd name="T3" fmla="*/ 513 h 7502"/>
                              <a:gd name="T4" fmla="+- 0 7368 7030"/>
                              <a:gd name="T5" fmla="*/ T4 w 4201"/>
                              <a:gd name="T6" fmla="+- 0 513 513"/>
                              <a:gd name="T7" fmla="*/ 513 h 7502"/>
                              <a:gd name="T8" fmla="+- 0 7291 7030"/>
                              <a:gd name="T9" fmla="*/ T8 w 4201"/>
                              <a:gd name="T10" fmla="+- 0 522 513"/>
                              <a:gd name="T11" fmla="*/ 522 h 7502"/>
                              <a:gd name="T12" fmla="+- 0 7220 7030"/>
                              <a:gd name="T13" fmla="*/ T12 w 4201"/>
                              <a:gd name="T14" fmla="+- 0 548 513"/>
                              <a:gd name="T15" fmla="*/ 548 h 7502"/>
                              <a:gd name="T16" fmla="+- 0 7157 7030"/>
                              <a:gd name="T17" fmla="*/ T16 w 4201"/>
                              <a:gd name="T18" fmla="+- 0 588 513"/>
                              <a:gd name="T19" fmla="*/ 588 h 7502"/>
                              <a:gd name="T20" fmla="+- 0 7104 7030"/>
                              <a:gd name="T21" fmla="*/ T20 w 4201"/>
                              <a:gd name="T22" fmla="+- 0 640 513"/>
                              <a:gd name="T23" fmla="*/ 640 h 7502"/>
                              <a:gd name="T24" fmla="+- 0 7064 7030"/>
                              <a:gd name="T25" fmla="*/ T24 w 4201"/>
                              <a:gd name="T26" fmla="+- 0 703 513"/>
                              <a:gd name="T27" fmla="*/ 703 h 7502"/>
                              <a:gd name="T28" fmla="+- 0 7039 7030"/>
                              <a:gd name="T29" fmla="*/ T28 w 4201"/>
                              <a:gd name="T30" fmla="+- 0 774 513"/>
                              <a:gd name="T31" fmla="*/ 774 h 7502"/>
                              <a:gd name="T32" fmla="+- 0 7030 7030"/>
                              <a:gd name="T33" fmla="*/ T32 w 4201"/>
                              <a:gd name="T34" fmla="+- 0 851 513"/>
                              <a:gd name="T35" fmla="*/ 851 h 7502"/>
                              <a:gd name="T36" fmla="+- 0 7030 7030"/>
                              <a:gd name="T37" fmla="*/ T36 w 4201"/>
                              <a:gd name="T38" fmla="+- 0 7677 513"/>
                              <a:gd name="T39" fmla="*/ 7677 h 7502"/>
                              <a:gd name="T40" fmla="+- 0 7039 7030"/>
                              <a:gd name="T41" fmla="*/ T40 w 4201"/>
                              <a:gd name="T42" fmla="+- 0 7755 513"/>
                              <a:gd name="T43" fmla="*/ 7755 h 7502"/>
                              <a:gd name="T44" fmla="+- 0 7064 7030"/>
                              <a:gd name="T45" fmla="*/ T44 w 4201"/>
                              <a:gd name="T46" fmla="+- 0 7826 513"/>
                              <a:gd name="T47" fmla="*/ 7826 h 7502"/>
                              <a:gd name="T48" fmla="+- 0 7104 7030"/>
                              <a:gd name="T49" fmla="*/ T48 w 4201"/>
                              <a:gd name="T50" fmla="+- 0 7889 513"/>
                              <a:gd name="T51" fmla="*/ 7889 h 7502"/>
                              <a:gd name="T52" fmla="+- 0 7157 7030"/>
                              <a:gd name="T53" fmla="*/ T52 w 4201"/>
                              <a:gd name="T54" fmla="+- 0 7941 513"/>
                              <a:gd name="T55" fmla="*/ 7941 h 7502"/>
                              <a:gd name="T56" fmla="+- 0 7220 7030"/>
                              <a:gd name="T57" fmla="*/ T56 w 4201"/>
                              <a:gd name="T58" fmla="+- 0 7981 513"/>
                              <a:gd name="T59" fmla="*/ 7981 h 7502"/>
                              <a:gd name="T60" fmla="+- 0 7291 7030"/>
                              <a:gd name="T61" fmla="*/ T60 w 4201"/>
                              <a:gd name="T62" fmla="+- 0 8006 513"/>
                              <a:gd name="T63" fmla="*/ 8006 h 7502"/>
                              <a:gd name="T64" fmla="+- 0 7368 7030"/>
                              <a:gd name="T65" fmla="*/ T64 w 4201"/>
                              <a:gd name="T66" fmla="+- 0 8015 513"/>
                              <a:gd name="T67" fmla="*/ 8015 h 7502"/>
                              <a:gd name="T68" fmla="+- 0 10893 7030"/>
                              <a:gd name="T69" fmla="*/ T68 w 4201"/>
                              <a:gd name="T70" fmla="+- 0 8015 513"/>
                              <a:gd name="T71" fmla="*/ 8015 h 7502"/>
                              <a:gd name="T72" fmla="+- 0 10970 7030"/>
                              <a:gd name="T73" fmla="*/ T72 w 4201"/>
                              <a:gd name="T74" fmla="+- 0 8006 513"/>
                              <a:gd name="T75" fmla="*/ 8006 h 7502"/>
                              <a:gd name="T76" fmla="+- 0 11041 7030"/>
                              <a:gd name="T77" fmla="*/ T76 w 4201"/>
                              <a:gd name="T78" fmla="+- 0 7981 513"/>
                              <a:gd name="T79" fmla="*/ 7981 h 7502"/>
                              <a:gd name="T80" fmla="+- 0 11104 7030"/>
                              <a:gd name="T81" fmla="*/ T80 w 4201"/>
                              <a:gd name="T82" fmla="+- 0 7941 513"/>
                              <a:gd name="T83" fmla="*/ 7941 h 7502"/>
                              <a:gd name="T84" fmla="+- 0 11157 7030"/>
                              <a:gd name="T85" fmla="*/ T84 w 4201"/>
                              <a:gd name="T86" fmla="+- 0 7889 513"/>
                              <a:gd name="T87" fmla="*/ 7889 h 7502"/>
                              <a:gd name="T88" fmla="+- 0 11197 7030"/>
                              <a:gd name="T89" fmla="*/ T88 w 4201"/>
                              <a:gd name="T90" fmla="+- 0 7826 513"/>
                              <a:gd name="T91" fmla="*/ 7826 h 7502"/>
                              <a:gd name="T92" fmla="+- 0 11222 7030"/>
                              <a:gd name="T93" fmla="*/ T92 w 4201"/>
                              <a:gd name="T94" fmla="+- 0 7755 513"/>
                              <a:gd name="T95" fmla="*/ 7755 h 7502"/>
                              <a:gd name="T96" fmla="+- 0 11231 7030"/>
                              <a:gd name="T97" fmla="*/ T96 w 4201"/>
                              <a:gd name="T98" fmla="+- 0 7677 513"/>
                              <a:gd name="T99" fmla="*/ 7677 h 7502"/>
                              <a:gd name="T100" fmla="+- 0 11231 7030"/>
                              <a:gd name="T101" fmla="*/ T100 w 4201"/>
                              <a:gd name="T102" fmla="+- 0 851 513"/>
                              <a:gd name="T103" fmla="*/ 851 h 7502"/>
                              <a:gd name="T104" fmla="+- 0 11222 7030"/>
                              <a:gd name="T105" fmla="*/ T104 w 4201"/>
                              <a:gd name="T106" fmla="+- 0 774 513"/>
                              <a:gd name="T107" fmla="*/ 774 h 7502"/>
                              <a:gd name="T108" fmla="+- 0 11197 7030"/>
                              <a:gd name="T109" fmla="*/ T108 w 4201"/>
                              <a:gd name="T110" fmla="+- 0 703 513"/>
                              <a:gd name="T111" fmla="*/ 703 h 7502"/>
                              <a:gd name="T112" fmla="+- 0 11157 7030"/>
                              <a:gd name="T113" fmla="*/ T112 w 4201"/>
                              <a:gd name="T114" fmla="+- 0 640 513"/>
                              <a:gd name="T115" fmla="*/ 640 h 7502"/>
                              <a:gd name="T116" fmla="+- 0 11104 7030"/>
                              <a:gd name="T117" fmla="*/ T116 w 4201"/>
                              <a:gd name="T118" fmla="+- 0 588 513"/>
                              <a:gd name="T119" fmla="*/ 588 h 7502"/>
                              <a:gd name="T120" fmla="+- 0 11041 7030"/>
                              <a:gd name="T121" fmla="*/ T120 w 4201"/>
                              <a:gd name="T122" fmla="+- 0 548 513"/>
                              <a:gd name="T123" fmla="*/ 548 h 7502"/>
                              <a:gd name="T124" fmla="+- 0 10970 7030"/>
                              <a:gd name="T125" fmla="*/ T124 w 4201"/>
                              <a:gd name="T126" fmla="+- 0 522 513"/>
                              <a:gd name="T127" fmla="*/ 522 h 7502"/>
                              <a:gd name="T128" fmla="+- 0 10893 7030"/>
                              <a:gd name="T129" fmla="*/ T128 w 4201"/>
                              <a:gd name="T130" fmla="+- 0 513 513"/>
                              <a:gd name="T131" fmla="*/ 513 h 7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1" h="7502">
                                <a:moveTo>
                                  <a:pt x="3863" y="0"/>
                                </a:moveTo>
                                <a:lnTo>
                                  <a:pt x="338" y="0"/>
                                </a:lnTo>
                                <a:lnTo>
                                  <a:pt x="261" y="9"/>
                                </a:lnTo>
                                <a:lnTo>
                                  <a:pt x="190" y="35"/>
                                </a:lnTo>
                                <a:lnTo>
                                  <a:pt x="127" y="75"/>
                                </a:lnTo>
                                <a:lnTo>
                                  <a:pt x="74" y="127"/>
                                </a:lnTo>
                                <a:lnTo>
                                  <a:pt x="34" y="190"/>
                                </a:lnTo>
                                <a:lnTo>
                                  <a:pt x="9" y="261"/>
                                </a:lnTo>
                                <a:lnTo>
                                  <a:pt x="0" y="338"/>
                                </a:lnTo>
                                <a:lnTo>
                                  <a:pt x="0" y="7164"/>
                                </a:lnTo>
                                <a:lnTo>
                                  <a:pt x="9" y="7242"/>
                                </a:lnTo>
                                <a:lnTo>
                                  <a:pt x="34" y="7313"/>
                                </a:lnTo>
                                <a:lnTo>
                                  <a:pt x="74" y="7376"/>
                                </a:lnTo>
                                <a:lnTo>
                                  <a:pt x="127" y="7428"/>
                                </a:lnTo>
                                <a:lnTo>
                                  <a:pt x="190" y="7468"/>
                                </a:lnTo>
                                <a:lnTo>
                                  <a:pt x="261" y="7493"/>
                                </a:lnTo>
                                <a:lnTo>
                                  <a:pt x="338" y="7502"/>
                                </a:lnTo>
                                <a:lnTo>
                                  <a:pt x="3863" y="7502"/>
                                </a:lnTo>
                                <a:lnTo>
                                  <a:pt x="3940" y="7493"/>
                                </a:lnTo>
                                <a:lnTo>
                                  <a:pt x="4011" y="7468"/>
                                </a:lnTo>
                                <a:lnTo>
                                  <a:pt x="4074" y="7428"/>
                                </a:lnTo>
                                <a:lnTo>
                                  <a:pt x="4127" y="7376"/>
                                </a:lnTo>
                                <a:lnTo>
                                  <a:pt x="4167" y="7313"/>
                                </a:lnTo>
                                <a:lnTo>
                                  <a:pt x="4192" y="7242"/>
                                </a:lnTo>
                                <a:lnTo>
                                  <a:pt x="4201" y="7164"/>
                                </a:lnTo>
                                <a:lnTo>
                                  <a:pt x="4201" y="338"/>
                                </a:lnTo>
                                <a:lnTo>
                                  <a:pt x="4192" y="261"/>
                                </a:lnTo>
                                <a:lnTo>
                                  <a:pt x="4167" y="190"/>
                                </a:lnTo>
                                <a:lnTo>
                                  <a:pt x="4127" y="127"/>
                                </a:lnTo>
                                <a:lnTo>
                                  <a:pt x="4074" y="75"/>
                                </a:lnTo>
                                <a:lnTo>
                                  <a:pt x="4011" y="35"/>
                                </a:lnTo>
                                <a:lnTo>
                                  <a:pt x="3940" y="9"/>
                                </a:lnTo>
                                <a:lnTo>
                                  <a:pt x="3863"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51"/>
                        <wps:cNvSpPr>
                          <a:spLocks/>
                        </wps:cNvSpPr>
                        <wps:spPr bwMode="auto">
                          <a:xfrm>
                            <a:off x="7030" y="513"/>
                            <a:ext cx="4201" cy="7502"/>
                          </a:xfrm>
                          <a:custGeom>
                            <a:avLst/>
                            <a:gdLst>
                              <a:gd name="T0" fmla="+- 0 7368 7030"/>
                              <a:gd name="T1" fmla="*/ T0 w 4201"/>
                              <a:gd name="T2" fmla="+- 0 513 513"/>
                              <a:gd name="T3" fmla="*/ 513 h 7502"/>
                              <a:gd name="T4" fmla="+- 0 7291 7030"/>
                              <a:gd name="T5" fmla="*/ T4 w 4201"/>
                              <a:gd name="T6" fmla="+- 0 522 513"/>
                              <a:gd name="T7" fmla="*/ 522 h 7502"/>
                              <a:gd name="T8" fmla="+- 0 7220 7030"/>
                              <a:gd name="T9" fmla="*/ T8 w 4201"/>
                              <a:gd name="T10" fmla="+- 0 548 513"/>
                              <a:gd name="T11" fmla="*/ 548 h 7502"/>
                              <a:gd name="T12" fmla="+- 0 7157 7030"/>
                              <a:gd name="T13" fmla="*/ T12 w 4201"/>
                              <a:gd name="T14" fmla="+- 0 588 513"/>
                              <a:gd name="T15" fmla="*/ 588 h 7502"/>
                              <a:gd name="T16" fmla="+- 0 7104 7030"/>
                              <a:gd name="T17" fmla="*/ T16 w 4201"/>
                              <a:gd name="T18" fmla="+- 0 640 513"/>
                              <a:gd name="T19" fmla="*/ 640 h 7502"/>
                              <a:gd name="T20" fmla="+- 0 7064 7030"/>
                              <a:gd name="T21" fmla="*/ T20 w 4201"/>
                              <a:gd name="T22" fmla="+- 0 703 513"/>
                              <a:gd name="T23" fmla="*/ 703 h 7502"/>
                              <a:gd name="T24" fmla="+- 0 7039 7030"/>
                              <a:gd name="T25" fmla="*/ T24 w 4201"/>
                              <a:gd name="T26" fmla="+- 0 774 513"/>
                              <a:gd name="T27" fmla="*/ 774 h 7502"/>
                              <a:gd name="T28" fmla="+- 0 7030 7030"/>
                              <a:gd name="T29" fmla="*/ T28 w 4201"/>
                              <a:gd name="T30" fmla="+- 0 851 513"/>
                              <a:gd name="T31" fmla="*/ 851 h 7502"/>
                              <a:gd name="T32" fmla="+- 0 7030 7030"/>
                              <a:gd name="T33" fmla="*/ T32 w 4201"/>
                              <a:gd name="T34" fmla="+- 0 7677 513"/>
                              <a:gd name="T35" fmla="*/ 7677 h 7502"/>
                              <a:gd name="T36" fmla="+- 0 7039 7030"/>
                              <a:gd name="T37" fmla="*/ T36 w 4201"/>
                              <a:gd name="T38" fmla="+- 0 7755 513"/>
                              <a:gd name="T39" fmla="*/ 7755 h 7502"/>
                              <a:gd name="T40" fmla="+- 0 7064 7030"/>
                              <a:gd name="T41" fmla="*/ T40 w 4201"/>
                              <a:gd name="T42" fmla="+- 0 7826 513"/>
                              <a:gd name="T43" fmla="*/ 7826 h 7502"/>
                              <a:gd name="T44" fmla="+- 0 7104 7030"/>
                              <a:gd name="T45" fmla="*/ T44 w 4201"/>
                              <a:gd name="T46" fmla="+- 0 7889 513"/>
                              <a:gd name="T47" fmla="*/ 7889 h 7502"/>
                              <a:gd name="T48" fmla="+- 0 7157 7030"/>
                              <a:gd name="T49" fmla="*/ T48 w 4201"/>
                              <a:gd name="T50" fmla="+- 0 7941 513"/>
                              <a:gd name="T51" fmla="*/ 7941 h 7502"/>
                              <a:gd name="T52" fmla="+- 0 7220 7030"/>
                              <a:gd name="T53" fmla="*/ T52 w 4201"/>
                              <a:gd name="T54" fmla="+- 0 7981 513"/>
                              <a:gd name="T55" fmla="*/ 7981 h 7502"/>
                              <a:gd name="T56" fmla="+- 0 7291 7030"/>
                              <a:gd name="T57" fmla="*/ T56 w 4201"/>
                              <a:gd name="T58" fmla="+- 0 8006 513"/>
                              <a:gd name="T59" fmla="*/ 8006 h 7502"/>
                              <a:gd name="T60" fmla="+- 0 7368 7030"/>
                              <a:gd name="T61" fmla="*/ T60 w 4201"/>
                              <a:gd name="T62" fmla="+- 0 8015 513"/>
                              <a:gd name="T63" fmla="*/ 8015 h 7502"/>
                              <a:gd name="T64" fmla="+- 0 10893 7030"/>
                              <a:gd name="T65" fmla="*/ T64 w 4201"/>
                              <a:gd name="T66" fmla="+- 0 513 513"/>
                              <a:gd name="T67" fmla="*/ 513 h 7502"/>
                              <a:gd name="T68" fmla="+- 0 10970 7030"/>
                              <a:gd name="T69" fmla="*/ T68 w 4201"/>
                              <a:gd name="T70" fmla="+- 0 522 513"/>
                              <a:gd name="T71" fmla="*/ 522 h 7502"/>
                              <a:gd name="T72" fmla="+- 0 11041 7030"/>
                              <a:gd name="T73" fmla="*/ T72 w 4201"/>
                              <a:gd name="T74" fmla="+- 0 548 513"/>
                              <a:gd name="T75" fmla="*/ 548 h 7502"/>
                              <a:gd name="T76" fmla="+- 0 11104 7030"/>
                              <a:gd name="T77" fmla="*/ T76 w 4201"/>
                              <a:gd name="T78" fmla="+- 0 588 513"/>
                              <a:gd name="T79" fmla="*/ 588 h 7502"/>
                              <a:gd name="T80" fmla="+- 0 11157 7030"/>
                              <a:gd name="T81" fmla="*/ T80 w 4201"/>
                              <a:gd name="T82" fmla="+- 0 640 513"/>
                              <a:gd name="T83" fmla="*/ 640 h 7502"/>
                              <a:gd name="T84" fmla="+- 0 11197 7030"/>
                              <a:gd name="T85" fmla="*/ T84 w 4201"/>
                              <a:gd name="T86" fmla="+- 0 703 513"/>
                              <a:gd name="T87" fmla="*/ 703 h 7502"/>
                              <a:gd name="T88" fmla="+- 0 11222 7030"/>
                              <a:gd name="T89" fmla="*/ T88 w 4201"/>
                              <a:gd name="T90" fmla="+- 0 774 513"/>
                              <a:gd name="T91" fmla="*/ 774 h 7502"/>
                              <a:gd name="T92" fmla="+- 0 11231 7030"/>
                              <a:gd name="T93" fmla="*/ T92 w 4201"/>
                              <a:gd name="T94" fmla="+- 0 851 513"/>
                              <a:gd name="T95" fmla="*/ 851 h 7502"/>
                              <a:gd name="T96" fmla="+- 0 11231 7030"/>
                              <a:gd name="T97" fmla="*/ T96 w 4201"/>
                              <a:gd name="T98" fmla="+- 0 7677 513"/>
                              <a:gd name="T99" fmla="*/ 7677 h 7502"/>
                              <a:gd name="T100" fmla="+- 0 11222 7030"/>
                              <a:gd name="T101" fmla="*/ T100 w 4201"/>
                              <a:gd name="T102" fmla="+- 0 7755 513"/>
                              <a:gd name="T103" fmla="*/ 7755 h 7502"/>
                              <a:gd name="T104" fmla="+- 0 11197 7030"/>
                              <a:gd name="T105" fmla="*/ T104 w 4201"/>
                              <a:gd name="T106" fmla="+- 0 7826 513"/>
                              <a:gd name="T107" fmla="*/ 7826 h 7502"/>
                              <a:gd name="T108" fmla="+- 0 11157 7030"/>
                              <a:gd name="T109" fmla="*/ T108 w 4201"/>
                              <a:gd name="T110" fmla="+- 0 7889 513"/>
                              <a:gd name="T111" fmla="*/ 7889 h 7502"/>
                              <a:gd name="T112" fmla="+- 0 11104 7030"/>
                              <a:gd name="T113" fmla="*/ T112 w 4201"/>
                              <a:gd name="T114" fmla="+- 0 7941 513"/>
                              <a:gd name="T115" fmla="*/ 7941 h 7502"/>
                              <a:gd name="T116" fmla="+- 0 11041 7030"/>
                              <a:gd name="T117" fmla="*/ T116 w 4201"/>
                              <a:gd name="T118" fmla="+- 0 7981 513"/>
                              <a:gd name="T119" fmla="*/ 7981 h 7502"/>
                              <a:gd name="T120" fmla="+- 0 10970 7030"/>
                              <a:gd name="T121" fmla="*/ T120 w 4201"/>
                              <a:gd name="T122" fmla="+- 0 8006 513"/>
                              <a:gd name="T123" fmla="*/ 8006 h 7502"/>
                              <a:gd name="T124" fmla="+- 0 10893 7030"/>
                              <a:gd name="T125" fmla="*/ T124 w 4201"/>
                              <a:gd name="T126" fmla="+- 0 8015 513"/>
                              <a:gd name="T127" fmla="*/ 8015 h 7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201" h="7502">
                                <a:moveTo>
                                  <a:pt x="338" y="0"/>
                                </a:moveTo>
                                <a:lnTo>
                                  <a:pt x="261" y="9"/>
                                </a:lnTo>
                                <a:lnTo>
                                  <a:pt x="190" y="35"/>
                                </a:lnTo>
                                <a:lnTo>
                                  <a:pt x="127" y="75"/>
                                </a:lnTo>
                                <a:lnTo>
                                  <a:pt x="74" y="127"/>
                                </a:lnTo>
                                <a:lnTo>
                                  <a:pt x="34" y="190"/>
                                </a:lnTo>
                                <a:lnTo>
                                  <a:pt x="9" y="261"/>
                                </a:lnTo>
                                <a:lnTo>
                                  <a:pt x="0" y="338"/>
                                </a:lnTo>
                                <a:lnTo>
                                  <a:pt x="0" y="7164"/>
                                </a:lnTo>
                                <a:lnTo>
                                  <a:pt x="9" y="7242"/>
                                </a:lnTo>
                                <a:lnTo>
                                  <a:pt x="34" y="7313"/>
                                </a:lnTo>
                                <a:lnTo>
                                  <a:pt x="74" y="7376"/>
                                </a:lnTo>
                                <a:lnTo>
                                  <a:pt x="127" y="7428"/>
                                </a:lnTo>
                                <a:lnTo>
                                  <a:pt x="190" y="7468"/>
                                </a:lnTo>
                                <a:lnTo>
                                  <a:pt x="261" y="7493"/>
                                </a:lnTo>
                                <a:lnTo>
                                  <a:pt x="338" y="7502"/>
                                </a:lnTo>
                                <a:moveTo>
                                  <a:pt x="3863" y="0"/>
                                </a:moveTo>
                                <a:lnTo>
                                  <a:pt x="3940" y="9"/>
                                </a:lnTo>
                                <a:lnTo>
                                  <a:pt x="4011" y="35"/>
                                </a:lnTo>
                                <a:lnTo>
                                  <a:pt x="4074" y="75"/>
                                </a:lnTo>
                                <a:lnTo>
                                  <a:pt x="4127" y="127"/>
                                </a:lnTo>
                                <a:lnTo>
                                  <a:pt x="4167" y="190"/>
                                </a:lnTo>
                                <a:lnTo>
                                  <a:pt x="4192" y="261"/>
                                </a:lnTo>
                                <a:lnTo>
                                  <a:pt x="4201" y="338"/>
                                </a:lnTo>
                                <a:lnTo>
                                  <a:pt x="4201" y="7164"/>
                                </a:lnTo>
                                <a:lnTo>
                                  <a:pt x="4192" y="7242"/>
                                </a:lnTo>
                                <a:lnTo>
                                  <a:pt x="4167" y="7313"/>
                                </a:lnTo>
                                <a:lnTo>
                                  <a:pt x="4127" y="7376"/>
                                </a:lnTo>
                                <a:lnTo>
                                  <a:pt x="4074" y="7428"/>
                                </a:lnTo>
                                <a:lnTo>
                                  <a:pt x="4011" y="7468"/>
                                </a:lnTo>
                                <a:lnTo>
                                  <a:pt x="3940" y="7493"/>
                                </a:lnTo>
                                <a:lnTo>
                                  <a:pt x="3863" y="7502"/>
                                </a:lnTo>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226" y="1037"/>
                            <a:ext cx="3807" cy="3317"/>
                          </a:xfrm>
                          <a:prstGeom prst="rect">
                            <a:avLst/>
                          </a:prstGeom>
                          <a:noFill/>
                          <a:extLst>
                            <a:ext uri="{909E8E84-426E-40DD-AFC4-6F175D3DCCD1}">
                              <a14:hiddenFill xmlns:a14="http://schemas.microsoft.com/office/drawing/2010/main">
                                <a:solidFill>
                                  <a:srgbClr val="FFFFFF"/>
                                </a:solidFill>
                              </a14:hiddenFill>
                            </a:ext>
                          </a:extLst>
                        </pic:spPr>
                      </pic:pic>
                      <wps:wsp>
                        <wps:cNvPr id="86" name="Text Box 53"/>
                        <wps:cNvSpPr txBox="1">
                          <a:spLocks noChangeArrowheads="1"/>
                        </wps:cNvSpPr>
                        <wps:spPr bwMode="auto">
                          <a:xfrm>
                            <a:off x="8452" y="732"/>
                            <a:ext cx="135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4D3EF" w14:textId="77777777" w:rsidR="0082753C" w:rsidRDefault="0082753C" w:rsidP="0082753C">
                              <w:pPr>
                                <w:spacing w:line="180" w:lineRule="exact"/>
                                <w:ind w:right="-13"/>
                                <w:rPr>
                                  <w:rFonts w:ascii="Times New Roman" w:hAnsi="Times New Roman"/>
                                  <w:b/>
                                  <w:sz w:val="18"/>
                                </w:rPr>
                              </w:pPr>
                              <w:r>
                                <w:rPr>
                                  <w:rFonts w:ascii="Times New Roman" w:hAnsi="Times New Roman"/>
                                  <w:b/>
                                  <w:sz w:val="18"/>
                                </w:rPr>
                                <w:t>Liqeni i</w:t>
                              </w:r>
                              <w:r>
                                <w:rPr>
                                  <w:rFonts w:ascii="Times New Roman" w:hAnsi="Times New Roman"/>
                                  <w:b/>
                                  <w:spacing w:val="-10"/>
                                  <w:sz w:val="18"/>
                                </w:rPr>
                                <w:t xml:space="preserve"> </w:t>
                              </w:r>
                              <w:r>
                                <w:rPr>
                                  <w:rFonts w:ascii="Times New Roman" w:hAnsi="Times New Roman"/>
                                  <w:b/>
                                  <w:sz w:val="18"/>
                                </w:rPr>
                                <w:t>Shkodrës</w:t>
                              </w:r>
                            </w:p>
                          </w:txbxContent>
                        </wps:txbx>
                        <wps:bodyPr rot="0" vert="horz" wrap="square" lIns="0" tIns="0" rIns="0" bIns="0" anchor="t" anchorCtr="0" upright="1">
                          <a:noAutofit/>
                        </wps:bodyPr>
                      </wps:wsp>
                      <wps:wsp>
                        <wps:cNvPr id="87" name="Text Box 54"/>
                        <wps:cNvSpPr txBox="1">
                          <a:spLocks noChangeArrowheads="1"/>
                        </wps:cNvSpPr>
                        <wps:spPr bwMode="auto">
                          <a:xfrm>
                            <a:off x="7100" y="4496"/>
                            <a:ext cx="4131" cy="3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35A6F" w14:textId="77777777" w:rsidR="0082753C" w:rsidRPr="0082753C" w:rsidRDefault="0082753C" w:rsidP="0082753C">
                              <w:pPr>
                                <w:spacing w:after="0" w:line="240" w:lineRule="auto"/>
                                <w:jc w:val="center"/>
                                <w:rPr>
                                  <w:rFonts w:ascii="Times New Roman" w:hAnsi="Times New Roman"/>
                                  <w:sz w:val="16"/>
                                  <w:szCs w:val="20"/>
                                </w:rPr>
                              </w:pPr>
                              <w:r w:rsidRPr="0082753C">
                                <w:rPr>
                                  <w:rFonts w:ascii="Times New Roman" w:hAnsi="Times New Roman"/>
                                  <w:sz w:val="16"/>
                                  <w:szCs w:val="20"/>
                                </w:rPr>
                                <w:t>Tipari më dallues gjeografik dhe mjedisor i zonës së</w:t>
                              </w:r>
                            </w:p>
                            <w:p w14:paraId="7241094C" w14:textId="77777777" w:rsidR="0082753C" w:rsidRPr="0082753C" w:rsidRDefault="0082753C" w:rsidP="0082753C">
                              <w:pPr>
                                <w:spacing w:after="0" w:line="240" w:lineRule="auto"/>
                                <w:jc w:val="both"/>
                                <w:rPr>
                                  <w:rFonts w:ascii="Times New Roman" w:hAnsi="Times New Roman"/>
                                  <w:sz w:val="16"/>
                                  <w:szCs w:val="20"/>
                                </w:rPr>
                              </w:pPr>
                              <w:r w:rsidRPr="0082753C">
                                <w:rPr>
                                  <w:rFonts w:ascii="Times New Roman" w:hAnsi="Times New Roman"/>
                                  <w:sz w:val="16"/>
                                  <w:szCs w:val="20"/>
                                </w:rPr>
                                <w:t>programit është Liqeni i Shkodrës. Ai është liqeni më i madh në Ballkan, me një sipërfaqe prej 384 km</w:t>
                              </w:r>
                              <w:r w:rsidRPr="0082753C">
                                <w:rPr>
                                  <w:rFonts w:ascii="Times New Roman" w:hAnsi="Times New Roman"/>
                                  <w:position w:val="7"/>
                                  <w:sz w:val="16"/>
                                  <w:szCs w:val="20"/>
                                </w:rPr>
                                <w:t>2</w:t>
                              </w:r>
                              <w:r w:rsidRPr="0082753C">
                                <w:rPr>
                                  <w:rFonts w:ascii="Times New Roman" w:hAnsi="Times New Roman"/>
                                  <w:sz w:val="16"/>
                                  <w:szCs w:val="20"/>
                                </w:rPr>
                                <w:t>, të shtrira në Mal të Zi (2/3) dhe Shqipëri (1/3); të dyja vendet e kanë listuar atë si një Park Kombëtar - liqeni është i shënuar edhe si një vend Ramsar. Liqeni është pjesërisht nën nivelin e detit, i cili mbushet nga lumi Moraça dhe derdhet në Adriatik nëpërmjet lumit 41 km të gjatë (Buna), e cila formon kufirin ndërkombëtar në gjysmën e poshtme të gjatësisë së saj. Liqeni përmban një nga rezervatet më të mëdhenj në Evropë, duke pasur 270 specie zogjsh, pjesë e të cilëve janë disa nga pelikanët e fundit në Evropë. Gjithashtu liqeni përmban habitate të pulëbardhave dhe çafkave, si dhe është i bollshëm në peshk, veçanërisht në krap, gjuhëz dhe ngjala. Bashkëpunimi mes dy vendeve në lidhje me mbrojtjen dhe rehabilitimin e liqenit të Shkodrës është rritur në dekadën e</w:t>
                              </w:r>
                              <w:r w:rsidRPr="0082753C">
                                <w:rPr>
                                  <w:rFonts w:ascii="Times New Roman" w:hAnsi="Times New Roman"/>
                                  <w:spacing w:val="-19"/>
                                  <w:sz w:val="16"/>
                                  <w:szCs w:val="20"/>
                                </w:rPr>
                                <w:t xml:space="preserve"> </w:t>
                              </w:r>
                              <w:r w:rsidRPr="0082753C">
                                <w:rPr>
                                  <w:rFonts w:ascii="Times New Roman" w:hAnsi="Times New Roman"/>
                                  <w:sz w:val="16"/>
                                  <w:szCs w:val="20"/>
                                </w:rPr>
                                <w:t>fundit.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left:0;text-align:left;margin-left:76.4pt;margin-top:-11.9pt;width:224.05pt;height:360.65pt;z-index:-251656189;mso-position-horizontal-relative:page" coordorigin="7030,513" coordsize="4201,7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">
                <v:shape id="Freeform 50" o:spid="_x0000_s1027" style="position:absolute;left:7030;top:912;width:4201;height:6611;visibility:visible;mso-wrap-style:square;v-text-anchor:top" coordsize="4201,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2t88QA&#10;AADbAAAADwAAAGRycy9kb3ducmV2LnhtbESPQWvCQBSE7wX/w/KE3upGCxKiqxRBCGKhRkG8vWaf&#10;Sdrs27C7avz3rlDocZiZb5j5sjetuJLzjWUF41ECgri0uuFKwWG/fktB+ICssbVMCu7kYbkYvMwx&#10;0/bGO7oWoRIRwj5DBXUIXSalL2sy6Ee2I47e2TqDIUpXSe3wFuGmlZMkmUqDDceFGjta1VT+Fhej&#10;4IzHokq3+uuzMaf7Zvxj82+XK/U67D9mIAL14T/81861gvQdnl/i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drfPEAAAA2wAAAA8AAAAAAAAAAAAAAAAAmAIAAGRycy9k&#10;b3ducmV2LnhtbFBLBQYAAAAABAAEAPUAAACJAwAAAAA=&#10;" path="m3863,l338,,261,9,190,35,127,75,74,127,34,190,9,261,,338,,7164r9,78l34,7313r40,63l127,7428r63,40l261,7493r77,9l3863,7502r77,-9l4011,7468r63,-40l4127,7376r40,-63l4192,7242r9,-78l4201,338r-9,-77l4167,190r-40,-63l4074,75,4011,35,3940,9,3863,xe" fillcolor="#ffc" stroked="f">
                  <v:path arrowok="t" o:connecttype="custom" o:connectlocs="3863,452;338,452;261,460;190,483;127,518;74,564;34,620;9,682;0,750;0,6765;9,6834;34,6897;74,6952;127,6998;190,7033;261,7055;338,7063;3863,7063;3940,7055;4011,7033;4074,6998;4127,6952;4167,6897;4192,6834;4201,6765;4201,750;4192,682;4167,620;4127,564;4074,518;4011,483;3940,460;3863,452" o:connectangles="0,0,0,0,0,0,0,0,0,0,0,0,0,0,0,0,0,0,0,0,0,0,0,0,0,0,0,0,0,0,0,0,0"/>
                </v:shape>
                <v:shape id="AutoShape 51" o:spid="_x0000_s1028" style="position:absolute;left:7030;top:513;width:4201;height:7502;visibility:visible;mso-wrap-style:square;v-text-anchor:top" coordsize="4201,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dGsUA&#10;AADbAAAADwAAAGRycy9kb3ducmV2LnhtbESPQWvCQBSE7wX/w/KEXkLdtBSV6CoiWHpqaRLw+pp9&#10;JovZtyG7NWl/fVcQPA4z8w2z3o62FRfqvXGs4HmWgiCunDZcKyiLw9MShA/IGlvHpOCXPGw3k4c1&#10;ZtoN/EWXPNQiQthnqKAJocuk9FVDFv3MdcTRO7neYoiyr6XucYhw28qXNJ1Li4bjQoMd7RuqzvmP&#10;VSC/Pw51+5YkhVnMBz0cT3+l+VTqcTruViACjeEevrXftYLlK1y/xB8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d0axQAAANsAAAAPAAAAAAAAAAAAAAAAAJgCAABkcnMv&#10;ZG93bnJldi54bWxQSwUGAAAAAAQABAD1AAAAigMAAAAA&#10;" path="m338,l261,9,190,35,127,75,74,127,34,190,9,261,,338,,7164r9,78l34,7313r40,63l127,7428r63,40l261,7493r77,9m3863,r77,9l4011,35r63,40l4127,127r40,63l4192,261r9,77l4201,7164r-9,78l4167,7313r-40,63l4074,7428r-63,40l3940,7493r-77,9e" filled="f" strokecolor="white" strokeweight="3pt">
                  <v:path arrowok="t" o:connecttype="custom" o:connectlocs="338,513;261,522;190,548;127,588;74,640;34,703;9,774;0,851;0,7677;9,7755;34,7826;74,7889;127,7941;190,7981;261,8006;338,8015;3863,513;3940,522;4011,548;4074,588;4127,640;4167,703;4192,774;4201,851;4201,7677;4192,7755;4167,7826;4127,7889;4074,7941;4011,7981;3940,8006;3863,8015"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9" type="#_x0000_t75" style="position:absolute;left:7226;top:1037;width:3807;height:3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t2+jEAAAA2wAAAA8AAABkcnMvZG93bnJldi54bWxEj0FrwkAUhO8F/8PyhN7qRsWi0VUkRfRW&#10;agTx9sg+s8Hs25DdmtRf3y0UPA4z8w2z2vS2FndqfeVYwXiUgCAunK64VHDKd29zED4ga6wdk4If&#10;8rBZD15WmGrX8Rfdj6EUEcI+RQUmhCaV0heGLPqRa4ijd3WtxRBlW0rdYhfhtpaTJHmXFiuOCwYb&#10;ygwVt+O3VcCP82c+XWQm2z+uH5dm3+WnolTqddhvlyAC9eEZ/m8ftIL5DP6+xB8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4t2+jEAAAA2wAAAA8AAAAAAAAAAAAAAAAA&#10;nwIAAGRycy9kb3ducmV2LnhtbFBLBQYAAAAABAAEAPcAAACQAwAAAAA=&#10;">
                  <v:imagedata r:id="rId26" o:title=""/>
                </v:shape>
                <v:shapetype id="_x0000_t202" coordsize="21600,21600" o:spt="202" path="m,l,21600r21600,l21600,xe">
                  <v:stroke joinstyle="miter"/>
                  <v:path gradientshapeok="t" o:connecttype="rect"/>
                </v:shapetype>
                <v:shape id="Text Box 53" o:spid="_x0000_s1030" type="#_x0000_t202" style="position:absolute;left:8452;top:732;width:135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14:paraId="48D4D3EF" w14:textId="77777777" w:rsidR="0082753C" w:rsidRDefault="0082753C" w:rsidP="0082753C">
                        <w:pPr>
                          <w:spacing w:line="180" w:lineRule="exact"/>
                          <w:ind w:right="-13"/>
                          <w:rPr>
                            <w:rFonts w:ascii="Times New Roman" w:hAnsi="Times New Roman"/>
                            <w:b/>
                            <w:sz w:val="18"/>
                          </w:rPr>
                        </w:pPr>
                        <w:r>
                          <w:rPr>
                            <w:rFonts w:ascii="Times New Roman" w:hAnsi="Times New Roman"/>
                            <w:b/>
                            <w:sz w:val="18"/>
                          </w:rPr>
                          <w:t>Liqeni i</w:t>
                        </w:r>
                        <w:r>
                          <w:rPr>
                            <w:rFonts w:ascii="Times New Roman" w:hAnsi="Times New Roman"/>
                            <w:b/>
                            <w:spacing w:val="-10"/>
                            <w:sz w:val="18"/>
                          </w:rPr>
                          <w:t xml:space="preserve"> </w:t>
                        </w:r>
                        <w:r>
                          <w:rPr>
                            <w:rFonts w:ascii="Times New Roman" w:hAnsi="Times New Roman"/>
                            <w:b/>
                            <w:sz w:val="18"/>
                          </w:rPr>
                          <w:t>Shkodrës</w:t>
                        </w:r>
                      </w:p>
                    </w:txbxContent>
                  </v:textbox>
                </v:shape>
                <v:shape id="Text Box 54" o:spid="_x0000_s1031" type="#_x0000_t202" style="position:absolute;left:7100;top:4496;width:4131;height:3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14:paraId="27D35A6F" w14:textId="77777777" w:rsidR="0082753C" w:rsidRPr="0082753C" w:rsidRDefault="0082753C" w:rsidP="0082753C">
                        <w:pPr>
                          <w:spacing w:after="0" w:line="240" w:lineRule="auto"/>
                          <w:jc w:val="center"/>
                          <w:rPr>
                            <w:rFonts w:ascii="Times New Roman" w:hAnsi="Times New Roman"/>
                            <w:sz w:val="16"/>
                            <w:szCs w:val="20"/>
                          </w:rPr>
                        </w:pPr>
                        <w:r w:rsidRPr="0082753C">
                          <w:rPr>
                            <w:rFonts w:ascii="Times New Roman" w:hAnsi="Times New Roman"/>
                            <w:sz w:val="16"/>
                            <w:szCs w:val="20"/>
                          </w:rPr>
                          <w:t>Tipari më dallues gjeografik dhe mjedisor i zonës së</w:t>
                        </w:r>
                      </w:p>
                      <w:p w14:paraId="7241094C" w14:textId="77777777" w:rsidR="0082753C" w:rsidRPr="0082753C" w:rsidRDefault="0082753C" w:rsidP="0082753C">
                        <w:pPr>
                          <w:spacing w:after="0" w:line="240" w:lineRule="auto"/>
                          <w:jc w:val="both"/>
                          <w:rPr>
                            <w:rFonts w:ascii="Times New Roman" w:hAnsi="Times New Roman"/>
                            <w:sz w:val="16"/>
                            <w:szCs w:val="20"/>
                          </w:rPr>
                        </w:pPr>
                        <w:r w:rsidRPr="0082753C">
                          <w:rPr>
                            <w:rFonts w:ascii="Times New Roman" w:hAnsi="Times New Roman"/>
                            <w:sz w:val="16"/>
                            <w:szCs w:val="20"/>
                          </w:rPr>
                          <w:t>programit është Liqeni i Shkodrës. Ai është liqeni më i madh në Ballkan, me një sipërfaqe prej 384 km</w:t>
                        </w:r>
                        <w:r w:rsidRPr="0082753C">
                          <w:rPr>
                            <w:rFonts w:ascii="Times New Roman" w:hAnsi="Times New Roman"/>
                            <w:position w:val="7"/>
                            <w:sz w:val="16"/>
                            <w:szCs w:val="20"/>
                          </w:rPr>
                          <w:t>2</w:t>
                        </w:r>
                        <w:r w:rsidRPr="0082753C">
                          <w:rPr>
                            <w:rFonts w:ascii="Times New Roman" w:hAnsi="Times New Roman"/>
                            <w:sz w:val="16"/>
                            <w:szCs w:val="20"/>
                          </w:rPr>
                          <w:t>, të shtrira në Mal të Zi (2/3) dhe Shqipëri (1/3); të dyja vendet e kanë listuar atë si një Park Kombëtar - liqeni është i shënuar edhe si një vend Ramsar. Liqeni është pjesërisht nën nivelin e detit, i cili mbushet nga lumi Moraça dhe derdhet në Adriatik nëpërmjet lumit 41 km të gjatë (Buna), e cila formon kufirin ndërkombëtar në gjysmën e poshtme të gjatësisë së saj. Liqeni përmban një nga rezervatet më të mëdhenj në Evropë, duke pasur 270 specie zogjsh, pjesë e të cilëve janë disa nga pelikanët e fundit në Evropë. Gjithashtu liqeni përmban habitate të pulëbardhave dhe çafkave, si dhe është i bollshëm në peshk, veçanërisht në krap, gjuhëz dhe ngjala. Bashkëpunimi mes dy vendeve në lidhje me mbrojtjen dhe rehabilitimin e liqenit të Shkodrës është rritur në dekadën e</w:t>
                        </w:r>
                        <w:r w:rsidRPr="0082753C">
                          <w:rPr>
                            <w:rFonts w:ascii="Times New Roman" w:hAnsi="Times New Roman"/>
                            <w:spacing w:val="-19"/>
                            <w:sz w:val="16"/>
                            <w:szCs w:val="20"/>
                          </w:rPr>
                          <w:t xml:space="preserve"> </w:t>
                        </w:r>
                        <w:r w:rsidRPr="0082753C">
                          <w:rPr>
                            <w:rFonts w:ascii="Times New Roman" w:hAnsi="Times New Roman"/>
                            <w:sz w:val="16"/>
                            <w:szCs w:val="20"/>
                          </w:rPr>
                          <w:t>fundit.</w:t>
                        </w:r>
                      </w:p>
                    </w:txbxContent>
                  </v:textbox>
                </v:shape>
                <w10:wrap anchorx="page"/>
              </v:group>
            </w:pict>
          </mc:Fallback>
        </mc:AlternateContent>
      </w:r>
    </w:p>
    <w:p w14:paraId="1BADCD89" w14:textId="77777777" w:rsidR="000F7F87" w:rsidRPr="00551729" w:rsidRDefault="000F7F87" w:rsidP="000F7F87">
      <w:pPr>
        <w:pStyle w:val="TEKSTIII"/>
      </w:pPr>
    </w:p>
    <w:p w14:paraId="1BADCD8A" w14:textId="77777777" w:rsidR="000F7F87" w:rsidRPr="00551729" w:rsidRDefault="000F7F87" w:rsidP="000F7F87">
      <w:pPr>
        <w:pStyle w:val="TEKSTIII"/>
      </w:pPr>
    </w:p>
    <w:p w14:paraId="1BADCD8B" w14:textId="77777777" w:rsidR="000F7F87" w:rsidRPr="00551729" w:rsidRDefault="000F7F87" w:rsidP="000F7F87">
      <w:pPr>
        <w:pStyle w:val="TEKSTIII"/>
      </w:pPr>
    </w:p>
    <w:p w14:paraId="1BADCD8C" w14:textId="77777777" w:rsidR="000F7F87" w:rsidRPr="00551729" w:rsidRDefault="000F7F87" w:rsidP="000F7F87">
      <w:pPr>
        <w:pStyle w:val="TEKSTIII"/>
      </w:pPr>
    </w:p>
    <w:p w14:paraId="1BADCD8D" w14:textId="77777777" w:rsidR="000F7F87" w:rsidRPr="00551729" w:rsidRDefault="000F7F87" w:rsidP="000F7F87">
      <w:pPr>
        <w:pStyle w:val="TEKSTIII"/>
      </w:pPr>
    </w:p>
    <w:p w14:paraId="1BADCD8E" w14:textId="77777777" w:rsidR="000F7F87" w:rsidRPr="00551729" w:rsidRDefault="000F7F87" w:rsidP="000F7F87">
      <w:pPr>
        <w:pStyle w:val="TEKSTIII"/>
      </w:pPr>
    </w:p>
    <w:p w14:paraId="1BADCD8F" w14:textId="77777777" w:rsidR="000F7F87" w:rsidRPr="00551729" w:rsidRDefault="000F7F87" w:rsidP="000F7F87">
      <w:pPr>
        <w:pStyle w:val="TEKSTIII"/>
      </w:pPr>
    </w:p>
    <w:p w14:paraId="1BADCD90" w14:textId="77777777" w:rsidR="000F7F87" w:rsidRPr="00551729" w:rsidRDefault="000F7F87" w:rsidP="000F7F87">
      <w:pPr>
        <w:pStyle w:val="TEKSTIII"/>
      </w:pPr>
    </w:p>
    <w:p w14:paraId="1BADCD91" w14:textId="77777777" w:rsidR="000F7F87" w:rsidRPr="00551729" w:rsidRDefault="000F7F87" w:rsidP="000F7F87">
      <w:pPr>
        <w:pStyle w:val="TEKSTIII"/>
      </w:pPr>
    </w:p>
    <w:p w14:paraId="1BADCD92" w14:textId="77777777" w:rsidR="000F7F87" w:rsidRPr="00551729" w:rsidRDefault="000F7F87" w:rsidP="000F7F87">
      <w:pPr>
        <w:pStyle w:val="TEKSTIII"/>
      </w:pPr>
    </w:p>
    <w:p w14:paraId="1BADCD93" w14:textId="77777777" w:rsidR="000F7F87" w:rsidRPr="00551729" w:rsidRDefault="000F7F87" w:rsidP="000F7F87">
      <w:pPr>
        <w:pStyle w:val="TEKSTIII"/>
      </w:pPr>
    </w:p>
    <w:p w14:paraId="1BADCD94" w14:textId="77777777" w:rsidR="000F7F87" w:rsidRPr="00551729" w:rsidRDefault="000F7F87" w:rsidP="000F7F87">
      <w:pPr>
        <w:pStyle w:val="TEKSTIII"/>
      </w:pPr>
    </w:p>
    <w:p w14:paraId="1BADCD95" w14:textId="77777777" w:rsidR="000F7F87" w:rsidRPr="00551729" w:rsidRDefault="000F7F87" w:rsidP="000F7F87">
      <w:pPr>
        <w:pStyle w:val="TEKSTIII"/>
      </w:pPr>
    </w:p>
    <w:p w14:paraId="1BADCD96" w14:textId="77777777" w:rsidR="000F7F87" w:rsidRPr="00551729" w:rsidRDefault="000F7F87" w:rsidP="000F7F87">
      <w:pPr>
        <w:pStyle w:val="TEKSTIII"/>
      </w:pPr>
    </w:p>
    <w:p w14:paraId="1BADCD97" w14:textId="77777777" w:rsidR="000F7F87" w:rsidRPr="00551729" w:rsidRDefault="000F7F87" w:rsidP="000F7F87">
      <w:pPr>
        <w:pStyle w:val="TEKSTIII"/>
      </w:pPr>
    </w:p>
    <w:p w14:paraId="1BADCD98" w14:textId="77777777" w:rsidR="000F7F87" w:rsidRDefault="000F7F87" w:rsidP="000F7F87">
      <w:pPr>
        <w:pStyle w:val="TEKSTIII"/>
      </w:pPr>
    </w:p>
    <w:p w14:paraId="4D4BE5FB" w14:textId="0113CA3B" w:rsidR="0082753C" w:rsidRDefault="0082753C" w:rsidP="000F7F87">
      <w:pPr>
        <w:pStyle w:val="TEKSTIII"/>
      </w:pPr>
    </w:p>
    <w:p w14:paraId="73C2A985" w14:textId="77777777" w:rsidR="0082753C" w:rsidRDefault="0082753C" w:rsidP="000F7F87">
      <w:pPr>
        <w:pStyle w:val="TEKSTIII"/>
      </w:pPr>
    </w:p>
    <w:p w14:paraId="0DEE3D45" w14:textId="77777777" w:rsidR="0082753C" w:rsidRDefault="0082753C" w:rsidP="000F7F87">
      <w:pPr>
        <w:pStyle w:val="TEKSTIII"/>
      </w:pPr>
    </w:p>
    <w:p w14:paraId="07B12D8D" w14:textId="77777777" w:rsidR="0082753C" w:rsidRDefault="0082753C" w:rsidP="000F7F87">
      <w:pPr>
        <w:pStyle w:val="TEKSTIII"/>
      </w:pPr>
    </w:p>
    <w:p w14:paraId="332D3784" w14:textId="77777777" w:rsidR="0082753C" w:rsidRDefault="0082753C" w:rsidP="000F7F87">
      <w:pPr>
        <w:pStyle w:val="TEKSTIII"/>
      </w:pPr>
    </w:p>
    <w:p w14:paraId="68B78CC1" w14:textId="77777777" w:rsidR="0082753C" w:rsidRDefault="0082753C" w:rsidP="000F7F87">
      <w:pPr>
        <w:pStyle w:val="TEKSTIII"/>
      </w:pPr>
    </w:p>
    <w:p w14:paraId="649FC517" w14:textId="77777777" w:rsidR="0082753C" w:rsidRDefault="0082753C" w:rsidP="000F7F87">
      <w:pPr>
        <w:pStyle w:val="TEKSTIII"/>
      </w:pPr>
      <w:bookmarkStart w:id="32" w:name="_GoBack"/>
      <w:bookmarkEnd w:id="32"/>
    </w:p>
    <w:p w14:paraId="1BADCD99" w14:textId="77777777" w:rsidR="000F7F87" w:rsidRPr="00551729" w:rsidRDefault="000F7F87" w:rsidP="000F7F87">
      <w:pPr>
        <w:pStyle w:val="TEKSTIII"/>
      </w:pPr>
    </w:p>
    <w:p w14:paraId="1BADCD9A" w14:textId="77777777" w:rsidR="00500457" w:rsidRPr="00551729" w:rsidRDefault="00500457" w:rsidP="000F7F87">
      <w:pPr>
        <w:pStyle w:val="TEKSTIII"/>
      </w:pPr>
      <w:r w:rsidRPr="00551729">
        <w:t>Rajoni i Shkodrës është gjithashtu i pasur me burime ujore. Drini, Buna, Shala, Cemi, Kiri janë lumenjtë kryesorë që rrjedhin në këtë zonë, me Drinin, i cili është lumi më i rëndësishëm i Shqipërisë - hidrocentralet e ndërtuar në të prodhojnë mbi 60% të prodhimit të përgjithshëm të energjisë elektrike në Shqipëri. Lezha ka pjesën e saj të maleve të larta dhe kodrave, të cilat mbulojnë rreth 65% të territorit të saj, ndërsa pjesa tjetër mbulohet nga fushat. Lumenjtë Mat dhe Ishëm, të cilët derdhen në detin Adriatik, së bashku me disa fusha lagunore, e bëjnë rajonin e Lezhës të pasur me burime ujore. Lezha ka një vijë bregdetare 38 km të gjatë, e cila fillon tek Kepi i Rodonit në jug dhe kufizohet me Velipojën-Shkodër në veri. Rrethi i Tropojës dominohet nga malet, me pyje që zënë 62% të territorit të tij të përgjithshëm; duke qenë se përmban liqenin e Fierzës dhe përshkohet nga lumenjtë Drini dhe Valbona, kjo zonë është e pasur me burime ujore.</w:t>
      </w:r>
    </w:p>
    <w:p w14:paraId="1BADCD9B" w14:textId="77777777" w:rsidR="00500457" w:rsidRPr="00551729" w:rsidRDefault="00500457" w:rsidP="000F7F87">
      <w:pPr>
        <w:pStyle w:val="TEKSTIII"/>
      </w:pPr>
      <w:r w:rsidRPr="00551729">
        <w:t>Zona e Programit ka klimë mesdhetare në zonën e saj bregdetare, me verë dhe vjeshtë të nxehtë dhe të thatë, dhe klimë kontinentale në zonën veriore malore, me dimër relativisht të ftohtë dhe me reshje dëbore të rënda në brendësi. Elemente të tilla gjeografike me kontrast të lartë pasurojë mjedisin, florën dhe faunën e zonës së programit. Burimet e saj natyrore janë stimuluese për zhvillimin e turizmit dhe</w:t>
      </w:r>
      <w:r w:rsidR="000F7F87" w:rsidRPr="00551729">
        <w:t xml:space="preserve"> </w:t>
      </w:r>
      <w:r w:rsidRPr="00551729">
        <w:t>agrobiznesit, si stimujt kryesorë ekonomikë për të rritur mundësitë për mirëqenien dhe prosperitetin e banorëve në zonën e programit.</w:t>
      </w:r>
    </w:p>
    <w:p w14:paraId="1BADCD9C" w14:textId="77777777" w:rsidR="00500457" w:rsidRPr="00551729" w:rsidRDefault="000F7F87" w:rsidP="000F7F87">
      <w:pPr>
        <w:pStyle w:val="TEKSTIII"/>
        <w:rPr>
          <w:b/>
        </w:rPr>
      </w:pPr>
      <w:bookmarkStart w:id="33" w:name="_bookmark31"/>
      <w:bookmarkEnd w:id="33"/>
      <w:r w:rsidRPr="00551729">
        <w:rPr>
          <w:b/>
        </w:rPr>
        <w:t xml:space="preserve">2. </w:t>
      </w:r>
      <w:r w:rsidR="00500457" w:rsidRPr="00551729">
        <w:rPr>
          <w:b/>
        </w:rPr>
        <w:t>ANALIZA</w:t>
      </w:r>
      <w:r w:rsidR="00500457" w:rsidRPr="00551729">
        <w:rPr>
          <w:b/>
          <w:spacing w:val="-4"/>
        </w:rPr>
        <w:t xml:space="preserve"> </w:t>
      </w:r>
      <w:r w:rsidR="00500457" w:rsidRPr="00551729">
        <w:rPr>
          <w:b/>
        </w:rPr>
        <w:t>PESTLE</w:t>
      </w:r>
    </w:p>
    <w:p w14:paraId="1BADCD9D" w14:textId="77777777" w:rsidR="00500457" w:rsidRPr="00551729" w:rsidRDefault="000F7F87" w:rsidP="000F7F87">
      <w:pPr>
        <w:pStyle w:val="TEKSTIII"/>
        <w:rPr>
          <w:b/>
        </w:rPr>
      </w:pPr>
      <w:bookmarkStart w:id="34" w:name="_bookmark32"/>
      <w:bookmarkEnd w:id="34"/>
      <w:r w:rsidRPr="00551729">
        <w:rPr>
          <w:b/>
        </w:rPr>
        <w:t xml:space="preserve">2.1 </w:t>
      </w:r>
      <w:r w:rsidR="00500457" w:rsidRPr="00551729">
        <w:rPr>
          <w:b/>
        </w:rPr>
        <w:t>Reformat politike dhe procesi i integrimit në</w:t>
      </w:r>
      <w:r w:rsidR="00500457" w:rsidRPr="00551729">
        <w:rPr>
          <w:b/>
          <w:spacing w:val="-16"/>
        </w:rPr>
        <w:t xml:space="preserve"> </w:t>
      </w:r>
      <w:r w:rsidR="00500457" w:rsidRPr="00551729">
        <w:rPr>
          <w:b/>
        </w:rPr>
        <w:t>BE</w:t>
      </w:r>
    </w:p>
    <w:p w14:paraId="1BADCD9E" w14:textId="77777777" w:rsidR="00500457" w:rsidRPr="00551729" w:rsidRDefault="00500457" w:rsidP="000F7F87">
      <w:pPr>
        <w:pStyle w:val="TEKSTIII"/>
      </w:pPr>
      <w:r w:rsidRPr="00551729">
        <w:t>Si Mali i Zi ashtu edhe Shqipëria janë të angazhuar për t'u bërë anëtarë të Bashkimit Evropian. Mali i Zi e ka marrë tashmë statusin e vendit kandidat, ndërsa Shqipëria pret ta marrë atë në qershor të vitit 2014.</w:t>
      </w:r>
    </w:p>
    <w:p w14:paraId="1BADCD9F" w14:textId="77777777" w:rsidR="00500457" w:rsidRPr="00551729" w:rsidRDefault="00500457" w:rsidP="000F7F87">
      <w:pPr>
        <w:pStyle w:val="TEKSTIII"/>
      </w:pPr>
      <w:r w:rsidRPr="00551729">
        <w:t>Transformimi në demokraci funksionale dhe ekonomi tregu ka qenë baza logjike e proceseve të thella të reformave kombëtare institucionale dhe ristrukturuese në Mal të Zi dhe Shqipëri.</w:t>
      </w:r>
    </w:p>
    <w:p w14:paraId="1BADCDA0" w14:textId="56B8A989" w:rsidR="00500457" w:rsidRPr="00551729" w:rsidRDefault="00500457" w:rsidP="000F7F87">
      <w:pPr>
        <w:pStyle w:val="TEKSTIII"/>
      </w:pPr>
      <w:r w:rsidRPr="00551729">
        <w:rPr>
          <w:b/>
        </w:rPr>
        <w:t xml:space="preserve">Mali i Zi </w:t>
      </w:r>
      <w:r w:rsidRPr="00551729">
        <w:t>ka bërë progres për sa i përket përmirësimit të legjislacionit në vend, kuadrit institucional dhe politik, forcimit të funksionimit të parlamentit, sistemit gjyqësor, politikave antikorrupsion, të drejtave të njeriut dhe mbrojtjes së minoriteteve</w:t>
      </w:r>
      <w:r w:rsidR="000F7F87" w:rsidRPr="00551729">
        <w:rPr>
          <w:rStyle w:val="FootnoteReference"/>
        </w:rPr>
        <w:footnoteReference w:id="38"/>
      </w:r>
      <w:r w:rsidRPr="00551729">
        <w:t>. Reformat e vazhdueshme në administratën kushtetuese dhe atë publike duhet të përparojnë akoma më tej. Stabiliteti makroekonomik është ruajtur gjerësisht. Përmirësime të mëtejshme janë bërë në procedurat për hyrjen në treg dhe rimëkëmbjen nga falimentimi, së bashku me reformat e liberalizimit të tregut. Është bërë progres i mirë edhe në fushat e prokurimit publik, politikave të transportit, statistikave, dhe të shkencës dhe kërkimit.</w:t>
      </w:r>
    </w:p>
    <w:p w14:paraId="1BADCDA1" w14:textId="77777777" w:rsidR="00500457" w:rsidRPr="00551729" w:rsidRDefault="00500457" w:rsidP="000F7F87">
      <w:pPr>
        <w:pStyle w:val="TEKSTIII"/>
      </w:pPr>
      <w:r w:rsidRPr="00551729">
        <w:t>Ristrukturimi i ekonomisë për të siguruar një alokim efikas të burimeve mbetet një sfidë kryesore, së bashku me luftimin e një sektor të madh informal, i cili vazhdon të pengojë mjedisin e biznesit; këto janë rreziqe të mëdha për aftësinë për të ndjekur politikat e duhura makroekonomike për të siguruar se stabiliteti makro-financiar është ruajtur.</w:t>
      </w:r>
    </w:p>
    <w:p w14:paraId="1BADCDA2" w14:textId="77777777" w:rsidR="00500457" w:rsidRPr="00551729" w:rsidRDefault="00500457" w:rsidP="000F7F87">
      <w:pPr>
        <w:pStyle w:val="TEKSTIII"/>
      </w:pPr>
      <w:r w:rsidRPr="00551729">
        <w:t>Marrëdhëniet me Bashkimin Evropian kanë parë përparim të konsiderueshëm që kur është nënshkruar Partneriteti Evropian për Malin e Zi nga Këshilli i Evropës, më 22 janar 2007. Një vit më pas, më 15 tetor 2007 Mali i Zi nënshkroi Marrëveshjen e Stabilizim Asocimit (MSA) dhe një Marrëveshje të Përkohshme mbi tregtinë dhe çështjet e lidhura me të. Kjo e fundit hyri në fuqi në 1 janar 2008, ndërsa MSA hyri në fuqi në 1 maj 2010. Të bindur në përparimin e reformave të tij, Mali i Zi aplikoi për anëtarësim në BE më 15 dhjetor 2008. Pas një viti, në 19 dhjetor 2008, BE-ja hoqi kërkesën e vizave për malazezët që vizitonin shtetet anëtare të saj. Që nga data 17 dhjetor 2010, Mali i Zi ka marrë statusin e vendit kandidat për anëtarësim në BE. Bisedimet për negociatat mbi pranimin në BE kanë filluar më 29 qershor 2012 pasi Këshilli miratoi vlerësimin e Komisionit, i cili pranon se Mali i Zi është në përputhje me kriteret për anëtarësim në BE.</w:t>
      </w:r>
    </w:p>
    <w:p w14:paraId="1BADCDA3" w14:textId="018D2EB8" w:rsidR="00500457" w:rsidRPr="00551729" w:rsidRDefault="00500457" w:rsidP="000F7F87">
      <w:pPr>
        <w:pStyle w:val="TEKSTIII"/>
      </w:pPr>
      <w:r w:rsidRPr="00551729">
        <w:t>Në përgjithësi, Mali i Zi vazhdon të zbatojë detyrimet e tij sipas Marrëveshjes së Stabilizimit</w:t>
      </w:r>
      <w:r w:rsidR="00C521D5" w:rsidRPr="00551729">
        <w:t xml:space="preserve"> </w:t>
      </w:r>
      <w:r w:rsidRPr="00551729">
        <w:t>dhe Asoci</w:t>
      </w:r>
      <w:r w:rsidR="009211D8">
        <w:t>i</w:t>
      </w:r>
      <w:r w:rsidRPr="00551729">
        <w:t>mit (MSA) me një ecuri të</w:t>
      </w:r>
      <w:r w:rsidRPr="00551729">
        <w:rPr>
          <w:spacing w:val="-10"/>
        </w:rPr>
        <w:t xml:space="preserve"> </w:t>
      </w:r>
      <w:r w:rsidRPr="00551729">
        <w:t>mirë.</w:t>
      </w:r>
    </w:p>
    <w:p w14:paraId="1BADCDA4" w14:textId="61809F87" w:rsidR="00500457" w:rsidRPr="00551729" w:rsidRDefault="00500457" w:rsidP="000F7F87">
      <w:pPr>
        <w:pStyle w:val="TEKSTIII"/>
      </w:pPr>
      <w:r w:rsidRPr="00551729">
        <w:rPr>
          <w:i/>
        </w:rPr>
        <w:t>Strategjia Kombëtare e Zhvillimit të Qëndrueshëm 2007 (SKZhQ) e Malit të Zi</w:t>
      </w:r>
      <w:r w:rsidR="000F7F87" w:rsidRPr="00551729">
        <w:rPr>
          <w:rStyle w:val="FootnoteReference"/>
          <w:i/>
        </w:rPr>
        <w:footnoteReference w:id="39"/>
      </w:r>
      <w:r w:rsidRPr="00551729">
        <w:rPr>
          <w:b/>
          <w:position w:val="6"/>
        </w:rPr>
        <w:t xml:space="preserve"> </w:t>
      </w:r>
      <w:r w:rsidRPr="00551729">
        <w:t>është një nga</w:t>
      </w:r>
      <w:r w:rsidR="00C521D5" w:rsidRPr="00551729">
        <w:t xml:space="preserve"> </w:t>
      </w:r>
      <w:r w:rsidRPr="00551729">
        <w:t>dokumentet kryesore të zhvillimit të politikave të vendit. Ajo përcakton pesë qëllimet afatgjata për arritjen e zhvillimit të</w:t>
      </w:r>
      <w:r w:rsidRPr="00551729">
        <w:rPr>
          <w:spacing w:val="-11"/>
        </w:rPr>
        <w:t xml:space="preserve"> </w:t>
      </w:r>
      <w:r w:rsidRPr="00551729">
        <w:t>qëndrueshëm:</w:t>
      </w:r>
    </w:p>
    <w:p w14:paraId="1BADCDA5" w14:textId="77777777" w:rsidR="00500457" w:rsidRPr="00551729" w:rsidRDefault="00500457" w:rsidP="000F7F87">
      <w:pPr>
        <w:pStyle w:val="TEKSTIII"/>
      </w:pPr>
      <w:r w:rsidRPr="00551729">
        <w:t>Përshpejtimi i rritjes dhe zhvillimit ekonomik dhe reduktimi i pabarazive të zhvillimit</w:t>
      </w:r>
      <w:r w:rsidRPr="00551729">
        <w:rPr>
          <w:spacing w:val="-29"/>
        </w:rPr>
        <w:t xml:space="preserve"> </w:t>
      </w:r>
      <w:r w:rsidRPr="00551729">
        <w:t>rajonal;</w:t>
      </w:r>
    </w:p>
    <w:p w14:paraId="1BADCDA6" w14:textId="32B4B59A" w:rsidR="00500457" w:rsidRPr="00551729" w:rsidRDefault="000F7F87" w:rsidP="000F7F87">
      <w:pPr>
        <w:pStyle w:val="TEKSTIII"/>
      </w:pPr>
      <w:r w:rsidRPr="00551729">
        <w:t>-</w:t>
      </w:r>
      <w:r w:rsidR="001F5F4A">
        <w:t xml:space="preserve"> </w:t>
      </w:r>
      <w:r w:rsidR="00500457" w:rsidRPr="00551729">
        <w:t>Reduktimi i varfërisë; sigurimi i aksesit të barabartë në shërbime dhe</w:t>
      </w:r>
      <w:r w:rsidR="00500457" w:rsidRPr="00551729">
        <w:rPr>
          <w:spacing w:val="-20"/>
        </w:rPr>
        <w:t xml:space="preserve"> </w:t>
      </w:r>
      <w:r w:rsidR="00500457" w:rsidRPr="00551729">
        <w:t>burime;</w:t>
      </w:r>
    </w:p>
    <w:p w14:paraId="1BADCDA7" w14:textId="59A797B5" w:rsidR="00500457" w:rsidRPr="00551729" w:rsidRDefault="000F7F87" w:rsidP="000F7F87">
      <w:pPr>
        <w:pStyle w:val="TEKSTIII"/>
      </w:pPr>
      <w:r w:rsidRPr="00551729">
        <w:t>-</w:t>
      </w:r>
      <w:r w:rsidR="001F5F4A">
        <w:t xml:space="preserve"> </w:t>
      </w:r>
      <w:r w:rsidR="00500457" w:rsidRPr="00551729">
        <w:t>Sigurimi i kontrollit efikas të ndotjes dhe menaxhimi i qëndrueshëm i burimeve</w:t>
      </w:r>
      <w:r w:rsidR="00500457" w:rsidRPr="00551729">
        <w:rPr>
          <w:spacing w:val="-21"/>
        </w:rPr>
        <w:t xml:space="preserve"> </w:t>
      </w:r>
      <w:r w:rsidR="00500457" w:rsidRPr="00551729">
        <w:t>natyrore;</w:t>
      </w:r>
    </w:p>
    <w:p w14:paraId="1BADCDA8" w14:textId="0D73CE87" w:rsidR="00500457" w:rsidRPr="00551729" w:rsidRDefault="000F7F87" w:rsidP="000F7F87">
      <w:pPr>
        <w:pStyle w:val="TEKSTIII"/>
      </w:pPr>
      <w:r w:rsidRPr="00551729">
        <w:t>-</w:t>
      </w:r>
      <w:r w:rsidR="001F5F4A">
        <w:t xml:space="preserve"> </w:t>
      </w:r>
      <w:r w:rsidR="00500457" w:rsidRPr="00551729">
        <w:t>Përmirësimi i sistemit të qeverisjes dhe pjesëmarrjes publike; mobilizimi i të gjitha palëve të interesuara dhe ngritja e kapaciteteve në të gjitha</w:t>
      </w:r>
      <w:r w:rsidR="00500457" w:rsidRPr="00551729">
        <w:rPr>
          <w:spacing w:val="-13"/>
        </w:rPr>
        <w:t xml:space="preserve"> </w:t>
      </w:r>
      <w:r w:rsidR="00500457" w:rsidRPr="00551729">
        <w:t>nivelet;</w:t>
      </w:r>
    </w:p>
    <w:p w14:paraId="1BADCDA9" w14:textId="2EC6C75E" w:rsidR="00500457" w:rsidRPr="00551729" w:rsidRDefault="000F7F87" w:rsidP="000F7F87">
      <w:pPr>
        <w:pStyle w:val="TEKSTIII"/>
      </w:pPr>
      <w:r w:rsidRPr="00551729">
        <w:t>-</w:t>
      </w:r>
      <w:r w:rsidR="001F5F4A">
        <w:t xml:space="preserve"> </w:t>
      </w:r>
      <w:r w:rsidR="00500457" w:rsidRPr="00551729">
        <w:t>Ruajtja e diversitetit dhe identiteteve</w:t>
      </w:r>
      <w:r w:rsidR="00500457" w:rsidRPr="00551729">
        <w:rPr>
          <w:spacing w:val="-16"/>
        </w:rPr>
        <w:t xml:space="preserve"> </w:t>
      </w:r>
      <w:r w:rsidR="00500457" w:rsidRPr="00551729">
        <w:t>kulturore.</w:t>
      </w:r>
    </w:p>
    <w:p w14:paraId="1BADCDAA" w14:textId="2045E9D1" w:rsidR="00500457" w:rsidRPr="00551729" w:rsidRDefault="00500457" w:rsidP="000F7F87">
      <w:pPr>
        <w:pStyle w:val="TEKSTIII"/>
      </w:pPr>
      <w:r w:rsidRPr="00551729">
        <w:t xml:space="preserve">Duke njohur progresin e </w:t>
      </w:r>
      <w:r w:rsidRPr="00551729">
        <w:rPr>
          <w:b/>
        </w:rPr>
        <w:t xml:space="preserve">Shqipërisë </w:t>
      </w:r>
      <w:r w:rsidRPr="00551729">
        <w:t>me reformat politike dhe ekonomike, Bashkimi Evropian nënshkroi Marrëveshjen e Stabilizim Asoci</w:t>
      </w:r>
      <w:r w:rsidR="009211D8">
        <w:t>i</w:t>
      </w:r>
      <w:r w:rsidRPr="00551729">
        <w:t>mit me Shqipërinë në qershor të vitit 2006, e cila hyri në fuqi në prill 2009. Shqipëria iu bashkua NATO-s në prill 2009. Liberalizimi i vizave për qytetarët e Shqipërisë për të hyjnë në shtetet e Shengenit hyri në fuqi më 15 dhjetor 2010.</w:t>
      </w:r>
    </w:p>
    <w:p w14:paraId="1BADCDAB" w14:textId="3527A768" w:rsidR="00500457" w:rsidRPr="00551729" w:rsidRDefault="00500457" w:rsidP="000F7F87">
      <w:pPr>
        <w:pStyle w:val="TEKSTIII"/>
      </w:pPr>
      <w:r w:rsidRPr="00551729">
        <w:t>Hyrja në fuqi e Marrëveshjes së Stabilizim Asoc</w:t>
      </w:r>
      <w:r w:rsidR="009211D8">
        <w:t>i</w:t>
      </w:r>
      <w:r w:rsidRPr="00551729">
        <w:t>imit shënoi një etapë cilësisht të re në marrëdhëniet dypalëshe, duke sjellë detyrime dhe angazhime të reja të rëndësishme për vendin në fushat e drejtësisë, lirisë dhe sigurisë, lëvizjes së lirë të punonjësve, të drejtës së vendosjes dhe lëvizjes së lirë të kapitalit</w:t>
      </w:r>
      <w:r w:rsidR="00C521D5" w:rsidRPr="00551729">
        <w:t xml:space="preserve"> </w:t>
      </w:r>
      <w:r w:rsidRPr="00551729">
        <w:t>dhe shërbimeve, si dhe për transportin, fushën audio-vizuale dhe telekomunikacionit. Në përgjithësi, zbatimi i MSA-së ka vazhduar pa probleme, dhe Shqipëria ka vazhduar përafrimin e legjislacionit të saj me kërkesat e legjislacionit të BE-së në një sërë fushash dhe rritjen e aftësive të saj për të marrë përsipër detyrimet e anëtarësimit. Përmirësime thelbësore janë bërë në fusha të tilla si reformat e brendshme dhe ekonomike të tregut, rendi publik dhe menaxhimi i kufijve, reformat ligjore dhe administrata publike, prokurimi publik, statistikat, drejtësia, liria dhe siguria, dhe</w:t>
      </w:r>
      <w:r w:rsidRPr="00551729">
        <w:rPr>
          <w:spacing w:val="-25"/>
        </w:rPr>
        <w:t xml:space="preserve"> </w:t>
      </w:r>
      <w:r w:rsidRPr="00551729">
        <w:t>doganat.</w:t>
      </w:r>
    </w:p>
    <w:p w14:paraId="1BADCDAC" w14:textId="19E3B064" w:rsidR="00500457" w:rsidRPr="001F5F4A" w:rsidRDefault="00500457" w:rsidP="001F5F4A">
      <w:pPr>
        <w:spacing w:after="0" w:line="240" w:lineRule="auto"/>
        <w:ind w:firstLine="288"/>
        <w:jc w:val="both"/>
        <w:rPr>
          <w:rFonts w:ascii="Garamond" w:hAnsi="Garamond"/>
        </w:rPr>
      </w:pPr>
      <w:r w:rsidRPr="001F5F4A">
        <w:rPr>
          <w:rFonts w:ascii="Garamond" w:hAnsi="Garamond"/>
        </w:rPr>
        <w:t>Duke parë që Shqipëria arriti përparimin e nevojshëm, Komisioni Evropian rekomandoi në tetor të vitit 2013 që Këshilli Evropian t</w:t>
      </w:r>
      <w:r w:rsidR="001F5F4A">
        <w:rPr>
          <w:rFonts w:ascii="Garamond" w:hAnsi="Garamond"/>
        </w:rPr>
        <w:t>’</w:t>
      </w:r>
      <w:r w:rsidRPr="001F5F4A">
        <w:rPr>
          <w:rFonts w:ascii="Garamond" w:hAnsi="Garamond"/>
        </w:rPr>
        <w:t>i japë Shqipërisë statusin e Vendit Kandidat për në BE</w:t>
      </w:r>
      <w:r w:rsidR="00DA52B0" w:rsidRPr="001F5F4A">
        <w:rPr>
          <w:rFonts w:ascii="Garamond" w:hAnsi="Garamond"/>
          <w:vertAlign w:val="superscript"/>
        </w:rPr>
        <w:footnoteReference w:id="40"/>
      </w:r>
      <w:r w:rsidRPr="001F5F4A">
        <w:rPr>
          <w:rFonts w:ascii="Garamond" w:hAnsi="Garamond"/>
        </w:rPr>
        <w:t>.</w:t>
      </w:r>
    </w:p>
    <w:p w14:paraId="1BADCDAD" w14:textId="33303D93" w:rsidR="00500457" w:rsidRPr="00551729" w:rsidRDefault="00500457" w:rsidP="001F5F4A">
      <w:pPr>
        <w:spacing w:after="0" w:line="240" w:lineRule="auto"/>
        <w:ind w:firstLine="288"/>
        <w:jc w:val="both"/>
        <w:rPr>
          <w:rFonts w:ascii="Garamond" w:hAnsi="Garamond"/>
          <w:sz w:val="24"/>
          <w:szCs w:val="24"/>
        </w:rPr>
      </w:pPr>
      <w:r w:rsidRPr="001F5F4A">
        <w:rPr>
          <w:rFonts w:ascii="Garamond" w:hAnsi="Garamond"/>
        </w:rPr>
        <w:t>Megjithatë, sfidat kryesore mbesin në përfundimin e reformave në administratën publike</w:t>
      </w:r>
      <w:r w:rsidRPr="001F5F4A">
        <w:rPr>
          <w:rFonts w:ascii="Garamond" w:hAnsi="Garamond"/>
          <w:sz w:val="24"/>
          <w:szCs w:val="24"/>
        </w:rPr>
        <w:t xml:space="preserve"> </w:t>
      </w:r>
      <w:r w:rsidRPr="00551729">
        <w:rPr>
          <w:rFonts w:ascii="Garamond" w:hAnsi="Garamond"/>
          <w:sz w:val="24"/>
          <w:szCs w:val="24"/>
        </w:rPr>
        <w:t>dhe sistemin gjyqësor, në mënyrë që të forcohen institucionet e vendit. Zbatimi i reformës së pronës dhe reformës së administratës publike janë gjithashtu të rëndësishme, pasi njëra do t</w:t>
      </w:r>
      <w:r w:rsidR="007F4192">
        <w:rPr>
          <w:rFonts w:ascii="Garamond" w:hAnsi="Garamond"/>
          <w:sz w:val="24"/>
          <w:szCs w:val="24"/>
        </w:rPr>
        <w:t>’</w:t>
      </w:r>
      <w:r w:rsidRPr="00551729">
        <w:rPr>
          <w:rFonts w:ascii="Garamond" w:hAnsi="Garamond"/>
          <w:sz w:val="24"/>
          <w:szCs w:val="24"/>
        </w:rPr>
        <w:t>i hapë rrugën krijimit të tregut të tokës dhe të tjera do të përmirësojë ofrimin e shërbimeve për qytetarët. Përfundimi i ristrukturimit ekonomik - privatizimi në shkallë të gjerë dhe ruajtja e stabilitetit makroekonomik, dhe përmirësimi i mëtejshëm i klimës së biznesit për të tërhequr investimet private të drejtpërdrejta, janë prioritete kyçe për të ardhmen, së bashku me luftën ndaj ekonomisë së madhe informale. Është thelbësore të ruhet vrulli i reformave, veçanërisht duke u përqendruar në zbatimin e legjislacionit të miratuar dhe sigurimin e sundimit të</w:t>
      </w:r>
      <w:r w:rsidRPr="00551729">
        <w:rPr>
          <w:rFonts w:ascii="Garamond" w:hAnsi="Garamond"/>
          <w:spacing w:val="-8"/>
          <w:sz w:val="24"/>
          <w:szCs w:val="24"/>
        </w:rPr>
        <w:t xml:space="preserve"> </w:t>
      </w:r>
      <w:r w:rsidRPr="00551729">
        <w:rPr>
          <w:rFonts w:ascii="Garamond" w:hAnsi="Garamond"/>
          <w:sz w:val="24"/>
          <w:szCs w:val="24"/>
        </w:rPr>
        <w:t>ligjit.</w:t>
      </w:r>
    </w:p>
    <w:p w14:paraId="1BADCDAE" w14:textId="77777777" w:rsidR="00500457" w:rsidRPr="00551729" w:rsidRDefault="00500457" w:rsidP="00DA52B0">
      <w:pPr>
        <w:pStyle w:val="TEKSTIII"/>
      </w:pPr>
      <w:r w:rsidRPr="00551729">
        <w:rPr>
          <w:i/>
        </w:rPr>
        <w:t xml:space="preserve">Strategjia Kombëtare për Zhvillim dhe Integrim të Shqipërisë 2014-2020 (SKZHI), </w:t>
      </w:r>
      <w:r w:rsidRPr="00551729">
        <w:t>konsiderohet si kuadri i politikave gjithëpërfshirëse për vendin në kontekstin e integrimit në BE. Ajo përcakton katër shtyllat e politikës strategjike që përcaktojnë themelet për ndërhyrjet sektoriale dhe të bazuara në vend</w:t>
      </w:r>
      <w:r w:rsidR="00DA52B0" w:rsidRPr="00551729">
        <w:rPr>
          <w:rStyle w:val="FootnoteReference"/>
        </w:rPr>
        <w:footnoteReference w:id="41"/>
      </w:r>
      <w:r w:rsidRPr="00551729">
        <w:t>:</w:t>
      </w:r>
    </w:p>
    <w:p w14:paraId="1BADCDAF" w14:textId="282175CD" w:rsidR="00500457" w:rsidRPr="00551729" w:rsidRDefault="00500457" w:rsidP="00AD6F0B">
      <w:pPr>
        <w:pStyle w:val="TEKSTIII"/>
        <w:numPr>
          <w:ilvl w:val="0"/>
          <w:numId w:val="1"/>
        </w:numPr>
      </w:pPr>
      <w:r w:rsidRPr="00551729">
        <w:rPr>
          <w:i/>
        </w:rPr>
        <w:t xml:space="preserve">Forcimi i demokracisë dhe shtetit të së drejtës që adreson aspekte si: </w:t>
      </w:r>
      <w:r w:rsidRPr="00551729">
        <w:t>sistemi zgjedhor, drejtësia dhe punët e brendshme, të drejtat e njeriut dhe media, qeverisja efektive dhe politikat</w:t>
      </w:r>
      <w:r w:rsidR="00C521D5" w:rsidRPr="00551729">
        <w:t xml:space="preserve"> </w:t>
      </w:r>
      <w:r w:rsidRPr="00551729">
        <w:t>e jashtme dhe të</w:t>
      </w:r>
      <w:r w:rsidRPr="00551729">
        <w:rPr>
          <w:spacing w:val="-11"/>
        </w:rPr>
        <w:t xml:space="preserve"> </w:t>
      </w:r>
      <w:r w:rsidRPr="00551729">
        <w:t>mbrojtjes;</w:t>
      </w:r>
    </w:p>
    <w:p w14:paraId="1BADCDB0" w14:textId="26B0FF75" w:rsidR="00500457" w:rsidRPr="00551729" w:rsidRDefault="00AD6F0B" w:rsidP="00DA52B0">
      <w:pPr>
        <w:pStyle w:val="TEKSTIII"/>
      </w:pPr>
      <w:r>
        <w:rPr>
          <w:i/>
        </w:rPr>
        <w:t xml:space="preserve">- </w:t>
      </w:r>
      <w:r w:rsidR="00500457" w:rsidRPr="00551729">
        <w:rPr>
          <w:i/>
        </w:rPr>
        <w:t xml:space="preserve">Krijimi i kushteve për zhvillim ekonomik konkurrues dhe të qëndrueshëm </w:t>
      </w:r>
      <w:r w:rsidR="00500457" w:rsidRPr="00551729">
        <w:t>nëpërmjet përdorimit efikas të burimeve që mbulojnë: stabilitetin dhe qëndrueshmërinë makroekonomike,</w:t>
      </w:r>
      <w:r w:rsidR="00C521D5" w:rsidRPr="00551729">
        <w:t xml:space="preserve"> </w:t>
      </w:r>
      <w:r w:rsidR="00500457" w:rsidRPr="00551729">
        <w:t>ekonominë konkurruese të tregut, përdorimin efikas të burimeve, zhvillimin e integruar rajonal dhe zhvillimin e</w:t>
      </w:r>
      <w:r w:rsidR="00500457" w:rsidRPr="00551729">
        <w:rPr>
          <w:spacing w:val="-7"/>
        </w:rPr>
        <w:t xml:space="preserve"> </w:t>
      </w:r>
      <w:r w:rsidR="00500457" w:rsidRPr="00551729">
        <w:t>qëndrueshëm;</w:t>
      </w:r>
    </w:p>
    <w:p w14:paraId="1BADCDB1" w14:textId="77777777" w:rsidR="00500457" w:rsidRPr="00551729" w:rsidRDefault="00DA52B0" w:rsidP="00DA52B0">
      <w:pPr>
        <w:pStyle w:val="TEKSTIII"/>
      </w:pPr>
      <w:r w:rsidRPr="00551729">
        <w:rPr>
          <w:i/>
        </w:rPr>
        <w:t>-</w:t>
      </w:r>
      <w:r w:rsidR="00500457" w:rsidRPr="00551729">
        <w:rPr>
          <w:i/>
        </w:rPr>
        <w:t xml:space="preserve">Nxitja e përfshirjes sociale, mirëqenies dhe zhvillimit të tregut të punës, </w:t>
      </w:r>
      <w:r w:rsidR="00500457" w:rsidRPr="00551729">
        <w:t>të cilat synojnë të promovojnë: politikat e punësimit dhe përfshirjes sociale, politikat</w:t>
      </w:r>
      <w:r w:rsidR="00500457" w:rsidRPr="00551729">
        <w:rPr>
          <w:spacing w:val="-19"/>
        </w:rPr>
        <w:t xml:space="preserve"> </w:t>
      </w:r>
      <w:r w:rsidR="00500457" w:rsidRPr="00551729">
        <w:t>sociale;</w:t>
      </w:r>
    </w:p>
    <w:p w14:paraId="1BADCDB2" w14:textId="063C446B" w:rsidR="00500457" w:rsidRPr="00551729" w:rsidRDefault="00DA52B0" w:rsidP="00DA52B0">
      <w:pPr>
        <w:pStyle w:val="TEKSTIII"/>
      </w:pPr>
      <w:r w:rsidRPr="00551729">
        <w:rPr>
          <w:i/>
        </w:rPr>
        <w:t>-</w:t>
      </w:r>
      <w:r w:rsidR="00162B5E">
        <w:rPr>
          <w:i/>
        </w:rPr>
        <w:t xml:space="preserve"> </w:t>
      </w:r>
      <w:r w:rsidR="00500457" w:rsidRPr="00551729">
        <w:rPr>
          <w:i/>
        </w:rPr>
        <w:t>Zhvillimi i një shoqërie të bazuar në dituri, inovacion dhe teknologji di</w:t>
      </w:r>
      <w:r w:rsidR="00553C30">
        <w:rPr>
          <w:i/>
        </w:rPr>
        <w:t>gj</w:t>
      </w:r>
      <w:r w:rsidR="00500457" w:rsidRPr="00551729">
        <w:rPr>
          <w:i/>
        </w:rPr>
        <w:t xml:space="preserve">itale, </w:t>
      </w:r>
      <w:r w:rsidR="00500457" w:rsidRPr="00551729">
        <w:t>që përfshin ndërhyrjet në fushat në vijim: arsimin e lartë, kërkimin dhe inovacionin, teknologjinë e informacionit dhe</w:t>
      </w:r>
      <w:r w:rsidR="00500457" w:rsidRPr="00551729">
        <w:rPr>
          <w:spacing w:val="-10"/>
        </w:rPr>
        <w:t xml:space="preserve"> </w:t>
      </w:r>
      <w:r w:rsidR="00500457" w:rsidRPr="00551729">
        <w:t>komunikimit.</w:t>
      </w:r>
    </w:p>
    <w:p w14:paraId="1BADCDB3" w14:textId="43EB29A9" w:rsidR="00500457" w:rsidRPr="00551729" w:rsidRDefault="00500457" w:rsidP="00DA52B0">
      <w:pPr>
        <w:pStyle w:val="TEKSTIII"/>
      </w:pPr>
      <w:r w:rsidRPr="00551729">
        <w:rPr>
          <w:i/>
        </w:rPr>
        <w:t xml:space="preserve">Strategjia Ndërsektoriale e Zhvillimit Rajonal të Shqipërisë </w:t>
      </w:r>
      <w:r w:rsidRPr="00551729">
        <w:t>dallon zonat kufitare si subjekt të planifikimit të politikave ndërsektoriale dhe i bën çështjet ndërkufitare pjesë të planifikimit të politikave të zhvillimit në nivel qarku.</w:t>
      </w:r>
    </w:p>
    <w:p w14:paraId="1BADCDB5" w14:textId="77777777" w:rsidR="00500457" w:rsidRPr="00551729" w:rsidRDefault="00500457" w:rsidP="00DA52B0">
      <w:pPr>
        <w:pStyle w:val="TEKSTIII"/>
        <w:rPr>
          <w:b/>
        </w:rPr>
      </w:pPr>
      <w:bookmarkStart w:id="35" w:name="_bookmark33"/>
      <w:bookmarkEnd w:id="35"/>
      <w:r w:rsidRPr="00551729">
        <w:rPr>
          <w:b/>
        </w:rPr>
        <w:t>Konteksti Ekonomik i Vendit</w:t>
      </w:r>
    </w:p>
    <w:p w14:paraId="1BADCDB6" w14:textId="4E74DB7F" w:rsidR="00500457" w:rsidRPr="00551729" w:rsidRDefault="00500457" w:rsidP="00DA52B0">
      <w:pPr>
        <w:pStyle w:val="TEKSTIII"/>
      </w:pPr>
      <w:r w:rsidRPr="00551729">
        <w:rPr>
          <w:b/>
        </w:rPr>
        <w:t xml:space="preserve">Mali i Zi </w:t>
      </w:r>
      <w:r w:rsidRPr="00551729">
        <w:t>po përpiqet të sigurojë forcimin ekonomik dhe stabilitetin financiar nëpërmjet konsolidimit fiskal dhe reformave strukturore. Reformat strukturore të Malit të Zi në sektorin publik, sektorin financiar, si dhe në klimën e investimeve, kanë bërë të mundur që vendi të bëjë progres në vitet e fundit në rritjen e të ardhurave për frymë dhe reduktimin e varfërisë, avancimin e reformave strukturore, dhe përgatitjen për anëtarësim në BE. GDP për frymë është 5.063 Euro në vitin 2012</w:t>
      </w:r>
      <w:r w:rsidR="00DA52B0" w:rsidRPr="00551729">
        <w:rPr>
          <w:rStyle w:val="FootnoteReference"/>
        </w:rPr>
        <w:footnoteReference w:id="42"/>
      </w:r>
      <w:r w:rsidRPr="00551729">
        <w:t xml:space="preserve">, pak më e ulët në krahasim me 5.211 </w:t>
      </w:r>
      <w:r w:rsidR="00E650D0" w:rsidRPr="00551729">
        <w:t xml:space="preserve">euro </w:t>
      </w:r>
      <w:r w:rsidRPr="00551729">
        <w:t>e regjistruar në vitin 2011, por më e lartë se në gjashtë vendet e tjerë të</w:t>
      </w:r>
      <w:r w:rsidRPr="00551729">
        <w:rPr>
          <w:spacing w:val="-31"/>
        </w:rPr>
        <w:t xml:space="preserve"> </w:t>
      </w:r>
      <w:r w:rsidRPr="00551729">
        <w:t>rajonit.</w:t>
      </w:r>
    </w:p>
    <w:p w14:paraId="1BADCDB7" w14:textId="2F78931F" w:rsidR="00500457" w:rsidRPr="00551729" w:rsidRDefault="00500457" w:rsidP="00DA52B0">
      <w:pPr>
        <w:pStyle w:val="TEKSTIII"/>
      </w:pPr>
      <w:r w:rsidRPr="00551729">
        <w:t>Ekonomia e Malit të Zi ka hyrë në recesion në vitin 2008, dhe ka filluar të ngrihet pjesërisht në vitin 2010 dhe 2011 me një mesatare prej 2.9%. Megjithatë, rritja ka ndaluar përsëri</w:t>
      </w:r>
      <w:r w:rsidR="001125E2">
        <w:t>,</w:t>
      </w:r>
      <w:r w:rsidRPr="00551729">
        <w:t xml:space="preserve"> pasi GDP</w:t>
      </w:r>
      <w:r w:rsidR="001125E2">
        <w:t>-ja</w:t>
      </w:r>
      <w:r w:rsidRPr="00551729">
        <w:t xml:space="preserve"> ka regjistruar një rritje negative prej 2.5%</w:t>
      </w:r>
      <w:r w:rsidR="00DA52B0" w:rsidRPr="00551729">
        <w:rPr>
          <w:rStyle w:val="FootnoteReference"/>
        </w:rPr>
        <w:footnoteReference w:id="43"/>
      </w:r>
      <w:r w:rsidRPr="00551729">
        <w:t>, ndërsa papunësia ka arritur në rreth 19.7% në vitin 2012 nga 16.5% që ishte në vitin 2010</w:t>
      </w:r>
      <w:r w:rsidR="001D6390" w:rsidRPr="00551729">
        <w:rPr>
          <w:rStyle w:val="FootnoteReference"/>
        </w:rPr>
        <w:footnoteReference w:id="44"/>
      </w:r>
      <w:r w:rsidRPr="00551729">
        <w:t>. Shtyllat kryesore ekonomike të vendit mbeten turizmi, i ndjekur nga prodhimi, ndërsa sektorë të tjerë si ndërtimi dhe industria janë kontraktuar gjatë vitit 2012. Inflamacioni është rritur nga 0.5% në vitin 2010, në rreth 3.6% në vitin 2012 dhe borxhi publik është rritur nga nën 30% e GDP-së në vitin 2007 në mbi 54% të GDP-së në vitin 2012. Nga ana tjetër, kredia për ekonominë vazhdon të mbetet në nivele shumë të ulëta, ndërkohë që disa banka kanë ndaluar së dhëni hua për sektorin privat.</w:t>
      </w:r>
    </w:p>
    <w:p w14:paraId="1BADCDB8" w14:textId="356910E5" w:rsidR="00500457" w:rsidRPr="00551729" w:rsidRDefault="00500457" w:rsidP="00DA52B0">
      <w:pPr>
        <w:pStyle w:val="TEKSTIII"/>
      </w:pPr>
      <w:r w:rsidRPr="00551729">
        <w:t>Sfida kryesore në të ardhmen mbetet fuqizimi i konkurrencës së ekonomisë së Malit të Zi, duke përmirësuar produktivitetin dhe duke tërhequr IHD të tjera në më shumë sektorë sesa vetëm turizmi dhe pasuritë e patundshme. Mjedisi i biznesit do të përmirësohet më tej duke vazhduar luftën ndaj korrupsionit dhe fuqizimin e shtetit ligjor. Hendeku midis ofertës dhe kërkesës së aftësive të punës</w:t>
      </w:r>
      <w:r w:rsidR="00C521D5" w:rsidRPr="00551729">
        <w:t xml:space="preserve"> </w:t>
      </w:r>
      <w:r w:rsidRPr="00551729">
        <w:t>duhet të tejkalohet duke lejuar vendosjen më të pavarur të pagave në nivel kompanie. Forcimi i financave publike së bashku me reduktimin e ekonomisë informale janë gjithashtu sfida të rëndësishme që duhet</w:t>
      </w:r>
      <w:r w:rsidRPr="00551729">
        <w:rPr>
          <w:spacing w:val="-5"/>
        </w:rPr>
        <w:t xml:space="preserve"> </w:t>
      </w:r>
      <w:r w:rsidRPr="00551729">
        <w:t>përballuar.</w:t>
      </w:r>
    </w:p>
    <w:p w14:paraId="1BADCDB9" w14:textId="77777777" w:rsidR="00500457" w:rsidRPr="00551729" w:rsidRDefault="00500457" w:rsidP="00DA52B0">
      <w:pPr>
        <w:pStyle w:val="TEKSTIII"/>
      </w:pPr>
      <w:r w:rsidRPr="00551729">
        <w:t>Mali i Zi u bë anëtar i plotë i Organizatës Botërore të Tregtisë në prill të vitit 2012. Si vend anëtar i Procesit të Bashkëpunimit të Evropës Juglindore (PBEJL) që nga data 11 maj 2007, Mali i Zi e ka nënshkruar anëtarësimin në Marrëveshjen e Tregtisë së Lirë të Evropës Qendrore (CEFTA) më 26 korrik 2007, dhe gjithashtu ka nënshkruar një marrëveshje të tregtisë së lirë me vendet pjesë të Shoqatës Evropiane të Tregtisë së Lirë (EFTA), e cila ka hyrë në fuqi në korrik të vitit 2012.</w:t>
      </w:r>
    </w:p>
    <w:p w14:paraId="1BADCDBA" w14:textId="55DD171E" w:rsidR="00500457" w:rsidRPr="00551729" w:rsidRDefault="00500457" w:rsidP="00366695">
      <w:pPr>
        <w:pStyle w:val="TEKSTIII"/>
      </w:pPr>
      <w:r w:rsidRPr="00551729">
        <w:rPr>
          <w:b/>
        </w:rPr>
        <w:t xml:space="preserve">Shqipëria </w:t>
      </w:r>
      <w:r w:rsidRPr="00551729">
        <w:t>ka bërë ecje relativisht të mirë gjatë dekadës së fundit. Vendi ka qëndruar larg recesionit,</w:t>
      </w:r>
      <w:r w:rsidR="00C521D5" w:rsidRPr="00551729">
        <w:t xml:space="preserve"> </w:t>
      </w:r>
      <w:r w:rsidRPr="00551729">
        <w:t>duke ruajtur ritmet pozitive të rritjes, pavarësisht ekspozimit të saj ndaj</w:t>
      </w:r>
      <w:r w:rsidR="00366695" w:rsidRPr="00551729">
        <w:t xml:space="preserve"> krizës së vështirë ekonomike,</w:t>
      </w:r>
      <w:r w:rsidR="00C521D5" w:rsidRPr="00551729">
        <w:t xml:space="preserve"> </w:t>
      </w:r>
      <w:r w:rsidRPr="00551729">
        <w:t>e</w:t>
      </w:r>
      <w:r w:rsidR="00366695" w:rsidRPr="00551729">
        <w:t xml:space="preserve"> </w:t>
      </w:r>
      <w:r w:rsidRPr="00551729">
        <w:t>cila ka goditur Greqinë dhe Italinë, si dhe rrethimit nga ekonomitë rajonale kontraktuese. Rritja e GDP-së së saj është ngadalësuar nga një kulm i normës së rritjes prej 7.5% në vitin 2008, në një normë më të ulët të rritjes prej 1.6% në vitin 2012</w:t>
      </w:r>
      <w:r w:rsidR="00347F15" w:rsidRPr="00551729">
        <w:rPr>
          <w:rStyle w:val="FootnoteReference"/>
        </w:rPr>
        <w:footnoteReference w:id="45"/>
      </w:r>
      <w:r w:rsidRPr="00551729">
        <w:t xml:space="preserve">. Sektori i shërbimeve është kontribuuesi kryesor në GDP, duke përbërë më shumë se gjysmën e GDP-së së vendit. Shqipëria cilësohet si një vend me të ardhura të ulëta deri në mesatare me një GDP për frymë, e cila në vitin 2012 qëndron në 3.415 </w:t>
      </w:r>
      <w:r w:rsidR="005F2EA9" w:rsidRPr="00551729">
        <w:t>euro</w:t>
      </w:r>
      <w:r w:rsidR="00347F15" w:rsidRPr="00551729">
        <w:rPr>
          <w:rStyle w:val="FootnoteReference"/>
        </w:rPr>
        <w:footnoteReference w:id="46"/>
      </w:r>
      <w:r w:rsidRPr="00551729">
        <w:t>. Shkalla e papunësisë me një mesatare prej 13% është ndër më të ulëtat në rajon. Borxhi publik i përgjithshëm i Shqipërisë ka arritur në 60.6% të GDP-së deri në fund të vitit 2012</w:t>
      </w:r>
      <w:r w:rsidR="00347F15" w:rsidRPr="00551729">
        <w:rPr>
          <w:rStyle w:val="FootnoteReference"/>
        </w:rPr>
        <w:footnoteReference w:id="47"/>
      </w:r>
      <w:r w:rsidRPr="00551729">
        <w:t>. Ekonomia mbetet e brishtë për shkak të dobësive të brendshme strukturore dhe paqëndrueshmërisë ekonomike</w:t>
      </w:r>
      <w:r w:rsidRPr="00551729">
        <w:rPr>
          <w:spacing w:val="-26"/>
        </w:rPr>
        <w:t xml:space="preserve"> </w:t>
      </w:r>
      <w:r w:rsidRPr="00551729">
        <w:t>globale.</w:t>
      </w:r>
    </w:p>
    <w:p w14:paraId="1BADCDBB" w14:textId="5DDBAEB8" w:rsidR="00500457" w:rsidRPr="00551729" w:rsidRDefault="00500457" w:rsidP="00366695">
      <w:pPr>
        <w:pStyle w:val="TEKSTIII"/>
      </w:pPr>
      <w:r w:rsidRPr="00551729">
        <w:t xml:space="preserve">Sfida kryesore në të ardhmen mbetet sigurimi i rritjes së qëndrueshme afatgjatë, duke ndjekur politika të matura fiskale dhe monetare dhe reformat strukturore. Shqipëria duhet </w:t>
      </w:r>
      <w:r w:rsidRPr="00551729">
        <w:rPr>
          <w:spacing w:val="3"/>
        </w:rPr>
        <w:t xml:space="preserve">të </w:t>
      </w:r>
      <w:r w:rsidRPr="00551729">
        <w:t>punojë për reduktimin e niveleve të larta të deficitit buxhetor dhe të borxhit publik. Ajo duhet të përmirësojë parashikimin fiskal duke hequr dorë nga mbivlerësimi i të ardhurave dhe duke përmirësuar në mënyrë të konsiderueshme përputhjen e taksave. Përmirësimi i mëtejshëm i mjedisit të biznesit dhe investimeve është thelbësor</w:t>
      </w:r>
      <w:r w:rsidR="00C521D5" w:rsidRPr="00551729">
        <w:t xml:space="preserve"> </w:t>
      </w:r>
      <w:r w:rsidRPr="00551729">
        <w:t>për diversifikimin e ekonomisë dhe nxitjen e potencialit të saj të rritjes afatgjatë. Përforcimi i shtetit ligjor, lufta kundër korrupsionit dhe adresimi i detyrimeve të pashlyera, si dhe zhvillimi i infrastrukturës dhe përmirësimi i kapitalit njerëzor, janë fushat kryesore ku duhet të përqendrohen shumë përpjekje. Reduktimi i ekonomisë gri mbetet një sfidë e</w:t>
      </w:r>
      <w:r w:rsidRPr="00551729">
        <w:rPr>
          <w:spacing w:val="-19"/>
        </w:rPr>
        <w:t xml:space="preserve"> </w:t>
      </w:r>
      <w:r w:rsidRPr="00551729">
        <w:t>rëndësishme.</w:t>
      </w:r>
    </w:p>
    <w:p w14:paraId="1BADCDBC" w14:textId="77777777" w:rsidR="00500457" w:rsidRPr="00551729" w:rsidRDefault="00500457" w:rsidP="00366695">
      <w:pPr>
        <w:pStyle w:val="TEKSTIII"/>
      </w:pPr>
      <w:r w:rsidRPr="00551729">
        <w:t>Shqipëria ka Marrëveshje për Tregti të Lirë me të gjitha vendet e rajonit, duke përfshirë Malin e Zi, dhe është anëtare e CEFTA-s që nga viti 2006.</w:t>
      </w:r>
    </w:p>
    <w:p w14:paraId="1BADCDBD" w14:textId="77777777" w:rsidR="00500457" w:rsidRPr="00551729" w:rsidRDefault="00366695" w:rsidP="00366695">
      <w:pPr>
        <w:pStyle w:val="TEKSTIII"/>
        <w:rPr>
          <w:b/>
        </w:rPr>
      </w:pPr>
      <w:bookmarkStart w:id="36" w:name="_bookmark34"/>
      <w:bookmarkEnd w:id="36"/>
      <w:r w:rsidRPr="00551729">
        <w:rPr>
          <w:b/>
        </w:rPr>
        <w:t xml:space="preserve">2.2 </w:t>
      </w:r>
      <w:r w:rsidR="00500457" w:rsidRPr="00551729">
        <w:rPr>
          <w:b/>
        </w:rPr>
        <w:t>KARAKTERISTIKAT EKONOMIKE TË ZONËS SË</w:t>
      </w:r>
      <w:r w:rsidR="00500457" w:rsidRPr="00551729">
        <w:rPr>
          <w:b/>
          <w:spacing w:val="-26"/>
        </w:rPr>
        <w:t xml:space="preserve"> </w:t>
      </w:r>
      <w:r w:rsidR="00500457" w:rsidRPr="00551729">
        <w:rPr>
          <w:b/>
        </w:rPr>
        <w:t>PROGRAMIT</w:t>
      </w:r>
    </w:p>
    <w:p w14:paraId="1BADCDBF" w14:textId="328F379F" w:rsidR="00500457" w:rsidRPr="00551729" w:rsidRDefault="00500457" w:rsidP="00366695">
      <w:pPr>
        <w:pStyle w:val="TEKSTIII"/>
      </w:pPr>
      <w:r w:rsidRPr="00551729">
        <w:t xml:space="preserve">Zona e programit përmban të gjitha pabarazitë rajonale të hasura në </w:t>
      </w:r>
      <w:r w:rsidRPr="00551729">
        <w:rPr>
          <w:b/>
        </w:rPr>
        <w:t xml:space="preserve">Mal të Zi </w:t>
      </w:r>
      <w:r w:rsidRPr="00551729">
        <w:t>në drejtim të zhvillimeve social-ekonomike. Ashtu si në nivel kombëtar, ajo është e dominuar nga Podgorica, e cili është motori ekonomik i vendit. Strategjia e Zhvillimit Rajonal të Malit të Zi 2010-2014 ofron një pasqyrë të qartë të situatës social-ekonomike në zonën e programit nëpërmjet indeksit të saj të zhvillimit, e cila veçon</w:t>
      </w:r>
      <w:r w:rsidR="00C521D5" w:rsidRPr="00551729">
        <w:t xml:space="preserve"> </w:t>
      </w:r>
      <w:r w:rsidRPr="00551729">
        <w:t>vetëm</w:t>
      </w:r>
      <w:r w:rsidR="00C521D5" w:rsidRPr="00551729">
        <w:t xml:space="preserve"> </w:t>
      </w:r>
      <w:r w:rsidRPr="00551729">
        <w:t>bashkitë</w:t>
      </w:r>
      <w:r w:rsidR="00C521D5" w:rsidRPr="00551729">
        <w:t xml:space="preserve"> </w:t>
      </w:r>
      <w:r w:rsidRPr="00551729">
        <w:t>e</w:t>
      </w:r>
      <w:r w:rsidR="00C521D5" w:rsidRPr="00551729">
        <w:t xml:space="preserve"> </w:t>
      </w:r>
      <w:r w:rsidRPr="00551729">
        <w:t>Budvës</w:t>
      </w:r>
      <w:r w:rsidR="00C521D5" w:rsidRPr="00551729">
        <w:t xml:space="preserve"> </w:t>
      </w:r>
      <w:r w:rsidRPr="00551729">
        <w:t>dhe</w:t>
      </w:r>
      <w:r w:rsidR="00C521D5" w:rsidRPr="00551729">
        <w:t xml:space="preserve"> </w:t>
      </w:r>
      <w:r w:rsidRPr="00551729">
        <w:t>Podgoricës</w:t>
      </w:r>
      <w:r w:rsidR="00C521D5" w:rsidRPr="00551729">
        <w:t xml:space="preserve"> </w:t>
      </w:r>
      <w:r w:rsidRPr="00551729">
        <w:t>me</w:t>
      </w:r>
      <w:r w:rsidR="00C521D5" w:rsidRPr="00551729">
        <w:rPr>
          <w:spacing w:val="25"/>
        </w:rPr>
        <w:t xml:space="preserve"> </w:t>
      </w:r>
      <w:r w:rsidRPr="00551729">
        <w:t>një</w:t>
      </w:r>
      <w:r w:rsidR="00885A4E">
        <w:t xml:space="preserve"> </w:t>
      </w:r>
      <w:r w:rsidRPr="00551729">
        <w:t xml:space="preserve">nivel zhvillimi mbi mesataren kombëtare. Çdo bashki e zonës së programit është nën mesataren kombëtare, me </w:t>
      </w:r>
      <w:r w:rsidR="003128C6" w:rsidRPr="00551729">
        <w:t xml:space="preserve">Bashkinë </w:t>
      </w:r>
      <w:r w:rsidRPr="00551729">
        <w:t>e Plavës në krye që është më pak e zhvilluara në vend. Ndryshe nga Budva, e cila ka indeksin më të lartë të zhvillimit në Mal të Zi, përkatësisht 362.4, dy bashkitë e tjera bregdetare të zonës së programit, Tivari dhe Ulqini, janë nën mesataren</w:t>
      </w:r>
      <w:r w:rsidRPr="00551729">
        <w:rPr>
          <w:spacing w:val="-1"/>
        </w:rPr>
        <w:t xml:space="preserve"> </w:t>
      </w:r>
      <w:r w:rsidRPr="00551729">
        <w:t>kombëtare.</w:t>
      </w:r>
    </w:p>
    <w:p w14:paraId="1BADCDC0" w14:textId="77777777" w:rsidR="00366695" w:rsidRPr="00551729" w:rsidRDefault="00366695" w:rsidP="00366695">
      <w:pPr>
        <w:pStyle w:val="TEKSTIII"/>
      </w:pPr>
    </w:p>
    <w:p w14:paraId="1BADCDC1" w14:textId="77777777" w:rsidR="00366695" w:rsidRPr="00551729" w:rsidRDefault="00366695" w:rsidP="00366695">
      <w:pPr>
        <w:pStyle w:val="TEKSTIII"/>
      </w:pPr>
    </w:p>
    <w:p w14:paraId="1BADCDC2" w14:textId="77777777" w:rsidR="00F51A34" w:rsidRDefault="00F51A34" w:rsidP="00366695">
      <w:pPr>
        <w:pStyle w:val="TEKSTIII"/>
      </w:pPr>
    </w:p>
    <w:p w14:paraId="3B55ADFF" w14:textId="77777777" w:rsidR="00885A4E" w:rsidRDefault="00885A4E" w:rsidP="00366695">
      <w:pPr>
        <w:pStyle w:val="TEKSTIII"/>
      </w:pPr>
    </w:p>
    <w:p w14:paraId="6100E44E" w14:textId="77777777" w:rsidR="00885A4E" w:rsidRPr="00551729" w:rsidRDefault="00885A4E" w:rsidP="00366695">
      <w:pPr>
        <w:pStyle w:val="TEKSTIII"/>
      </w:pPr>
    </w:p>
    <w:p w14:paraId="1BADCDC3" w14:textId="77777777" w:rsidR="00366695" w:rsidRPr="00551729" w:rsidRDefault="00366695" w:rsidP="00366695">
      <w:pPr>
        <w:pStyle w:val="TEKSTIII"/>
      </w:pPr>
    </w:p>
    <w:p w14:paraId="1BADCDC4" w14:textId="77777777" w:rsidR="00500457" w:rsidRPr="00553C30" w:rsidRDefault="00500457" w:rsidP="00500457">
      <w:pPr>
        <w:widowControl w:val="0"/>
        <w:spacing w:line="195" w:lineRule="exact"/>
        <w:ind w:left="1258" w:firstLine="284"/>
        <w:rPr>
          <w:rFonts w:ascii="Garamond" w:hAnsi="Garamond"/>
          <w:i/>
          <w:sz w:val="24"/>
          <w:szCs w:val="24"/>
        </w:rPr>
      </w:pPr>
      <w:r w:rsidRPr="00553C30">
        <w:rPr>
          <w:rFonts w:ascii="Garamond" w:hAnsi="Garamond"/>
          <w:i/>
          <w:sz w:val="24"/>
          <w:szCs w:val="24"/>
        </w:rPr>
        <w:t>Grafiku 1. Indeksi i Zhvillimit Rajonale, Mal i Zi</w:t>
      </w:r>
    </w:p>
    <w:p w14:paraId="1BADCDC5" w14:textId="77777777" w:rsidR="00366695" w:rsidRPr="00551729" w:rsidRDefault="00366695" w:rsidP="00553C30">
      <w:pPr>
        <w:pStyle w:val="BodyText"/>
        <w:ind w:left="140" w:right="4801" w:firstLine="284"/>
        <w:jc w:val="center"/>
        <w:rPr>
          <w:rFonts w:ascii="Garamond" w:hAnsi="Garamond"/>
          <w:sz w:val="24"/>
          <w:szCs w:val="24"/>
          <w:lang w:val="sq-AL"/>
        </w:rPr>
      </w:pPr>
      <w:r w:rsidRPr="00551729">
        <w:rPr>
          <w:rFonts w:ascii="Garamond" w:hAnsi="Garamond"/>
          <w:noProof/>
          <w:sz w:val="24"/>
          <w:szCs w:val="24"/>
          <w:lang w:val="sq-AL" w:eastAsia="sq-AL"/>
        </w:rPr>
        <w:drawing>
          <wp:inline distT="0" distB="0" distL="0" distR="0" wp14:anchorId="1BADD791" wp14:editId="1BADD792">
            <wp:extent cx="2392680" cy="1280160"/>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2680" cy="1280160"/>
                    </a:xfrm>
                    <a:prstGeom prst="rect">
                      <a:avLst/>
                    </a:prstGeom>
                    <a:noFill/>
                  </pic:spPr>
                </pic:pic>
              </a:graphicData>
            </a:graphic>
          </wp:inline>
        </w:drawing>
      </w:r>
    </w:p>
    <w:p w14:paraId="1BADCDC6" w14:textId="77777777" w:rsidR="00366695" w:rsidRPr="00551729" w:rsidRDefault="00366695" w:rsidP="00500457">
      <w:pPr>
        <w:pStyle w:val="BodyText"/>
        <w:ind w:left="140" w:right="4801" w:firstLine="284"/>
        <w:jc w:val="both"/>
        <w:rPr>
          <w:rFonts w:ascii="Garamond" w:hAnsi="Garamond"/>
          <w:sz w:val="24"/>
          <w:szCs w:val="24"/>
          <w:lang w:val="sq-AL"/>
        </w:rPr>
      </w:pPr>
    </w:p>
    <w:p w14:paraId="1BADCDC7" w14:textId="01B0A1E9" w:rsidR="00500457" w:rsidRPr="00551729" w:rsidRDefault="00500457" w:rsidP="00F51A34">
      <w:pPr>
        <w:pStyle w:val="TEKSTIII"/>
      </w:pPr>
      <w:r w:rsidRPr="00551729">
        <w:t>Rajoni verior, relativisht i industrializuar në kohën e Jugosllavisë, është përballur me një rënie të</w:t>
      </w:r>
      <w:r w:rsidR="00C521D5" w:rsidRPr="00551729">
        <w:t xml:space="preserve"> </w:t>
      </w:r>
      <w:r w:rsidRPr="00551729">
        <w:t>madhe</w:t>
      </w:r>
      <w:r w:rsidR="00F51A34" w:rsidRPr="00551729">
        <w:t xml:space="preserve"> </w:t>
      </w:r>
      <w:r w:rsidRPr="00551729">
        <w:t>ekonomike. I gjithë rajoni verior kontribuon në GDP-në kombëtare me vetëm 18%</w:t>
      </w:r>
      <w:r w:rsidR="00F51A34" w:rsidRPr="00551729">
        <w:rPr>
          <w:rStyle w:val="FootnoteReference"/>
        </w:rPr>
        <w:footnoteReference w:id="48"/>
      </w:r>
      <w:r w:rsidRPr="00551729">
        <w:t>, ndërsa papunësia mesatare dhe niveli i varfërisë janë dukshëm më të larta sesa në rajonet qendrore dhe bregdetare. Kjo situatë mund të çojë në një rrallim të vazhdueshëm të popullsisë së këtij rajoni, i cili mund të pengojë planet e mëtejshme të zhvillimit. Megjithatë, rajoni ka burime të vlefshme, të cilat janë të lidhura kryesisht me mjedisin e tij unik. Veçanërisht, ky është rasti për sektorët e bujqësisë dhe pyjeve, për prodhimin e energjisë së rinovueshme, dhe për zhvillimin e të gjitha llojeve të turizmit malor dhe ekoturizmit. Veprimtaritë e vogla prodhuese, kryesisht të lidhura me përpunimin e ushqimit (mish, fruta dhe perime) dhe përpunimin e drurit po rimarrin zhvillim, dhe shumë përpjekje i janë kushtuar zhvillimit të produkteve të reja të turizmit.</w:t>
      </w:r>
    </w:p>
    <w:p w14:paraId="1BADCDC8" w14:textId="7E9DFFC3" w:rsidR="00500457" w:rsidRPr="00551729" w:rsidRDefault="00500457" w:rsidP="00F51A34">
      <w:pPr>
        <w:pStyle w:val="TEKSTIII"/>
      </w:pPr>
      <w:r w:rsidRPr="00551729">
        <w:t xml:space="preserve">Duke pasur një pozitë qendrore, </w:t>
      </w:r>
      <w:r w:rsidR="003128C6" w:rsidRPr="00551729">
        <w:t xml:space="preserve">Bashkia </w:t>
      </w:r>
      <w:r w:rsidRPr="00551729">
        <w:t>e Podgoricës është e përqendruar në ofrimin e shërbimeve dhe industritë. Gjithashtu, ajo përfiton edhe nga toka dhe kushtet e favorshme klimatike për zhvillimin e bujqësisë intensive. Pavarësisht nga aktivitetet që lidhen me portin e Tivarit, rajoni bregdetar është shumë i varur nga turizmi dhe aktivitetet përkatëse. Në aspektin e infrastrukturës së turizmit, Ulqini dhe Tivari janë ende larg nga të qenit në nivel të bashkive të tjera të bregdetit Adriatik të Malit të Zi.</w:t>
      </w:r>
    </w:p>
    <w:p w14:paraId="1BADCDCA" w14:textId="7D17ED47" w:rsidR="00500457" w:rsidRPr="00551729" w:rsidRDefault="00500457" w:rsidP="00F51A34">
      <w:pPr>
        <w:pStyle w:val="TEKSTIII"/>
      </w:pPr>
      <w:r w:rsidRPr="00551729">
        <w:t xml:space="preserve">Në </w:t>
      </w:r>
      <w:r w:rsidRPr="00551729">
        <w:rPr>
          <w:b/>
        </w:rPr>
        <w:t xml:space="preserve">Shqipëri </w:t>
      </w:r>
      <w:r w:rsidRPr="00551729">
        <w:t xml:space="preserve">pabarazitë rajonale janë gjithashtu të dukshme. Zhvillimi social-ekonomik i vendit anon shumë në favor të rajonit qendror. Rajoni i Tiranës kontribuon me më shumë se një të tretën e GDP-së së vendit, dhe është deri tani rajoni më i zhvilluar në krahasim me të gjitha rajonet e tjera të Shqipërisë. Kjo tregon qartë se të gjitha rajonet e tjera janë nën potencialin e tyre të zhvillimit, pasi i duhet </w:t>
      </w:r>
      <w:r w:rsidRPr="00551729">
        <w:rPr>
          <w:spacing w:val="3"/>
        </w:rPr>
        <w:t xml:space="preserve">të </w:t>
      </w:r>
      <w:r w:rsidRPr="00551729">
        <w:t>gjejnë rrugë</w:t>
      </w:r>
      <w:r w:rsidR="00C521D5" w:rsidRPr="00551729">
        <w:t xml:space="preserve"> </w:t>
      </w:r>
      <w:r w:rsidRPr="00551729">
        <w:t>dhe</w:t>
      </w:r>
      <w:r w:rsidR="00C521D5" w:rsidRPr="00551729">
        <w:t xml:space="preserve"> </w:t>
      </w:r>
      <w:r w:rsidRPr="00551729">
        <w:t>mundësi</w:t>
      </w:r>
      <w:r w:rsidR="00C521D5" w:rsidRPr="00551729">
        <w:t xml:space="preserve"> </w:t>
      </w:r>
      <w:r w:rsidRPr="00551729">
        <w:t>për</w:t>
      </w:r>
      <w:r w:rsidR="00C521D5" w:rsidRPr="00551729">
        <w:t xml:space="preserve"> </w:t>
      </w:r>
      <w:r w:rsidRPr="00551729">
        <w:t>të</w:t>
      </w:r>
      <w:r w:rsidR="00C521D5" w:rsidRPr="00551729">
        <w:t xml:space="preserve"> </w:t>
      </w:r>
      <w:r w:rsidRPr="00551729">
        <w:t>përfituar</w:t>
      </w:r>
      <w:r w:rsidRPr="00551729">
        <w:rPr>
          <w:spacing w:val="3"/>
        </w:rPr>
        <w:t xml:space="preserve"> </w:t>
      </w:r>
      <w:r w:rsidRPr="00551729">
        <w:t>nga</w:t>
      </w:r>
      <w:r w:rsidR="009365AB">
        <w:t xml:space="preserve"> </w:t>
      </w:r>
      <w:r w:rsidRPr="00551729">
        <w:t>avantazhet e tyre krahasuese. Rajonet Shkodër dhe Lezhë pasqyrojnë gjerësisht këto pengesa për sa i përket zhvillimit social-ekonomik.</w:t>
      </w:r>
    </w:p>
    <w:p w14:paraId="1BADCDCB" w14:textId="7DB29C0C" w:rsidR="00500457" w:rsidRPr="00551729" w:rsidRDefault="00500457" w:rsidP="00F51A34">
      <w:pPr>
        <w:pStyle w:val="TEKSTIII"/>
      </w:pPr>
      <w:r w:rsidRPr="00551729">
        <w:t>Shkodra është rajoni më i zhvilluar në zonën e programit të Shqipërisë. Kontributi i Qarkut të Shkodrës NË GDP- në e vitit 2011</w:t>
      </w:r>
      <w:r w:rsidR="00F51A34" w:rsidRPr="00551729">
        <w:rPr>
          <w:rStyle w:val="FootnoteReference"/>
        </w:rPr>
        <w:footnoteReference w:id="49"/>
      </w:r>
      <w:r w:rsidRPr="00551729">
        <w:rPr>
          <w:position w:val="6"/>
        </w:rPr>
        <w:t xml:space="preserve"> </w:t>
      </w:r>
      <w:r w:rsidRPr="00551729">
        <w:t>arriti në 555 milion</w:t>
      </w:r>
      <w:r w:rsidR="005E2A40">
        <w:t>ë</w:t>
      </w:r>
      <w:r w:rsidRPr="00551729">
        <w:t xml:space="preserve"> </w:t>
      </w:r>
      <w:r w:rsidR="005E2A40" w:rsidRPr="00551729">
        <w:t>euro</w:t>
      </w:r>
      <w:r w:rsidRPr="00551729">
        <w:t>, pra 6.1% të GDP-së së përgjithshme të vendit, duke u renditur e shtata ndër 12 qarqet e Shqipërisë. Kontribuuesi kryesor</w:t>
      </w:r>
      <w:r w:rsidR="00F51A34" w:rsidRPr="00551729">
        <w:t xml:space="preserve"> </w:t>
      </w:r>
      <w:r w:rsidRPr="00551729">
        <w:t>në aktivitetin ekonomik në rajonin e Shkodrës</w:t>
      </w:r>
      <w:r w:rsidRPr="00551729">
        <w:rPr>
          <w:spacing w:val="16"/>
        </w:rPr>
        <w:t xml:space="preserve"> </w:t>
      </w:r>
      <w:r w:rsidRPr="00551729">
        <w:t>të</w:t>
      </w:r>
      <w:r w:rsidR="00F51A34" w:rsidRPr="00551729">
        <w:t xml:space="preserve"> </w:t>
      </w:r>
      <w:r w:rsidRPr="00551729">
        <w:t>jetë rreth 26% në GDP-në e rajonit, pasuar</w:t>
      </w:r>
      <w:r w:rsidRPr="00551729">
        <w:rPr>
          <w:spacing w:val="33"/>
        </w:rPr>
        <w:t xml:space="preserve"> </w:t>
      </w:r>
      <w:r w:rsidRPr="00551729">
        <w:t>nga</w:t>
      </w:r>
      <w:r w:rsidRPr="00551729">
        <w:rPr>
          <w:spacing w:val="1"/>
        </w:rPr>
        <w:t xml:space="preserve"> </w:t>
      </w:r>
      <w:r w:rsidR="00F51A34" w:rsidRPr="00551729">
        <w:t>tkontri</w:t>
      </w:r>
      <w:r w:rsidRPr="00551729">
        <w:t>buti</w:t>
      </w:r>
      <w:r w:rsidR="00F51A34" w:rsidRPr="00551729">
        <w:t xml:space="preserve"> </w:t>
      </w:r>
      <w:r w:rsidRPr="00551729">
        <w:t>i përbashkët i të cilave në vitin 2011 është 23% në GDP-në e rajonit. Kontributi i sektorit financiar dhe i pasurive të patundshme arrin në 19%, pasuar nga shërbimet e tjera që llogaritet të kontribuojnë me</w:t>
      </w:r>
      <w:r w:rsidR="00C521D5" w:rsidRPr="00551729">
        <w:t xml:space="preserve"> </w:t>
      </w:r>
      <w:r w:rsidRPr="00551729">
        <w:t>13% të GDP-së rajonale. Kontributi i industrisë në ekonominë e rajonit është 11%, e ngjashme me mesataren kombëtare, e cila vlerësohet të jetë 11.2%. Sektori me nivelin më të ulët të kontributit në ekonominë e rajonit të Shkodrës është ndërtimi, i cili përbën 8% të GDP-së së</w:t>
      </w:r>
      <w:r w:rsidRPr="00551729">
        <w:rPr>
          <w:spacing w:val="-24"/>
        </w:rPr>
        <w:t xml:space="preserve"> </w:t>
      </w:r>
      <w:r w:rsidRPr="00551729">
        <w:t>rajonit.</w:t>
      </w:r>
    </w:p>
    <w:p w14:paraId="1BADCDCC" w14:textId="77777777" w:rsidR="00500457" w:rsidRPr="00551729" w:rsidRDefault="00500457" w:rsidP="00500457">
      <w:pPr>
        <w:pStyle w:val="BodyText"/>
        <w:ind w:firstLine="284"/>
        <w:rPr>
          <w:rFonts w:ascii="Garamond" w:hAnsi="Garamond"/>
          <w:sz w:val="24"/>
          <w:szCs w:val="24"/>
          <w:lang w:val="sq-AL"/>
        </w:rPr>
      </w:pPr>
    </w:p>
    <w:p w14:paraId="1BADCDCD" w14:textId="77777777" w:rsidR="00500457" w:rsidRPr="00551729" w:rsidRDefault="00500457" w:rsidP="00500457">
      <w:pPr>
        <w:pStyle w:val="BodyText"/>
        <w:ind w:firstLine="284"/>
        <w:rPr>
          <w:rFonts w:ascii="Garamond" w:hAnsi="Garamond"/>
          <w:sz w:val="24"/>
          <w:szCs w:val="24"/>
          <w:lang w:val="sq-AL"/>
        </w:rPr>
      </w:pPr>
    </w:p>
    <w:p w14:paraId="1BADCDCE" w14:textId="77777777" w:rsidR="00500457" w:rsidRPr="00551729" w:rsidRDefault="00500457" w:rsidP="00500457">
      <w:pPr>
        <w:pStyle w:val="BodyText"/>
        <w:ind w:firstLine="284"/>
        <w:rPr>
          <w:rFonts w:ascii="Garamond" w:hAnsi="Garamond"/>
          <w:sz w:val="24"/>
          <w:szCs w:val="24"/>
          <w:lang w:val="sq-AL"/>
        </w:rPr>
      </w:pPr>
    </w:p>
    <w:p w14:paraId="1BADCDCF" w14:textId="77777777" w:rsidR="00F51A34" w:rsidRPr="00551729" w:rsidRDefault="00F51A34" w:rsidP="00615CA4">
      <w:pPr>
        <w:pStyle w:val="BodyText"/>
        <w:ind w:firstLine="284"/>
        <w:jc w:val="center"/>
        <w:rPr>
          <w:rFonts w:ascii="Garamond" w:hAnsi="Garamond"/>
          <w:sz w:val="24"/>
          <w:szCs w:val="24"/>
          <w:lang w:val="sq-AL"/>
        </w:rPr>
      </w:pPr>
      <w:r w:rsidRPr="00551729">
        <w:rPr>
          <w:rFonts w:ascii="Garamond" w:hAnsi="Garamond"/>
          <w:noProof/>
          <w:sz w:val="24"/>
          <w:szCs w:val="24"/>
          <w:lang w:val="sq-AL" w:eastAsia="sq-AL"/>
        </w:rPr>
        <w:drawing>
          <wp:inline distT="0" distB="0" distL="0" distR="0" wp14:anchorId="1BADD793" wp14:editId="1BADD794">
            <wp:extent cx="2926080" cy="1676400"/>
            <wp:effectExtent l="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6080" cy="1676400"/>
                    </a:xfrm>
                    <a:prstGeom prst="rect">
                      <a:avLst/>
                    </a:prstGeom>
                    <a:noFill/>
                  </pic:spPr>
                </pic:pic>
              </a:graphicData>
            </a:graphic>
          </wp:inline>
        </w:drawing>
      </w:r>
    </w:p>
    <w:p w14:paraId="1BADCDD0" w14:textId="77777777" w:rsidR="00F51A34" w:rsidRPr="00551729" w:rsidRDefault="00F51A34" w:rsidP="00F51A34">
      <w:pPr>
        <w:widowControl w:val="0"/>
        <w:spacing w:line="98" w:lineRule="exact"/>
        <w:ind w:left="5082" w:firstLine="284"/>
        <w:rPr>
          <w:rFonts w:ascii="Garamond" w:hAnsi="Garamond"/>
          <w:b/>
          <w:sz w:val="24"/>
          <w:szCs w:val="24"/>
        </w:rPr>
      </w:pPr>
    </w:p>
    <w:p w14:paraId="1BADCDD1" w14:textId="77777777" w:rsidR="00F51A34" w:rsidRPr="00615CA4" w:rsidRDefault="00F51A34" w:rsidP="00615CA4">
      <w:pPr>
        <w:pStyle w:val="TEKSTIII"/>
        <w:ind w:firstLine="0"/>
        <w:jc w:val="center"/>
        <w:rPr>
          <w:i/>
        </w:rPr>
      </w:pPr>
      <w:r w:rsidRPr="00615CA4">
        <w:rPr>
          <w:i/>
        </w:rPr>
        <w:t>Grafiku 2. Kontributi rajonal në GDP në %, Shqipëria</w:t>
      </w:r>
    </w:p>
    <w:p w14:paraId="1BADCDD2" w14:textId="77777777" w:rsidR="00F51A34" w:rsidRPr="00551729" w:rsidRDefault="00F51A34" w:rsidP="00500457">
      <w:pPr>
        <w:pStyle w:val="BodyText"/>
        <w:ind w:firstLine="284"/>
        <w:rPr>
          <w:rFonts w:ascii="Garamond" w:hAnsi="Garamond"/>
          <w:sz w:val="24"/>
          <w:szCs w:val="24"/>
          <w:lang w:val="sq-AL"/>
        </w:rPr>
      </w:pPr>
    </w:p>
    <w:p w14:paraId="1BADCDD3" w14:textId="17AEC359" w:rsidR="00500457" w:rsidRPr="00551729" w:rsidRDefault="00500457" w:rsidP="00F51A34">
      <w:pPr>
        <w:pStyle w:val="TEKSTIII"/>
      </w:pPr>
      <w:r w:rsidRPr="00551729">
        <w:t>GDP e qarkut të Lezhës për vitin 2011 llogaritet me 334 milionë Euro ose rreth 3.7% të GDP-së së vendit</w:t>
      </w:r>
      <w:r w:rsidR="00F51A34" w:rsidRPr="00551729">
        <w:rPr>
          <w:rStyle w:val="FootnoteReference"/>
        </w:rPr>
        <w:footnoteReference w:id="50"/>
      </w:r>
      <w:r w:rsidRPr="00551729">
        <w:t>. Kontribuuesit kryesorë në GDP-në e qarkut të Lezhës janë tregtia, hotelet, transporti dhe komunikimi, që kontribuojnë me 26%, dhe sektori i bujqësisë që kontribuon me 25%. Kontributi</w:t>
      </w:r>
      <w:r w:rsidR="00C521D5" w:rsidRPr="00551729">
        <w:t xml:space="preserve"> </w:t>
      </w:r>
      <w:r w:rsidRPr="00551729">
        <w:t>i sektorit financiar dhe i pasurive të patundshme arrin në 19%, pasuar nga shërbimet e tjera që kontribuojnë me 13% të GDP-së rajonit. Kontributi i sektorit të ndërtimit është vlerësuar me 10%, nën mesataren kombëtare të vlerësuar me 12.8%, ndërkohë që industria është kontribuuesi më i vogël për ekonominë e qarkut të Lezhës , duke zënë 8% të GDP-së në vitin 2011.</w:t>
      </w:r>
    </w:p>
    <w:p w14:paraId="1BADCDD4" w14:textId="77777777" w:rsidR="00500457" w:rsidRPr="00551729" w:rsidRDefault="00500457" w:rsidP="00F51A34">
      <w:pPr>
        <w:pStyle w:val="TEKSTIII"/>
      </w:pPr>
      <w:r w:rsidRPr="00551729">
        <w:t>Kontributi i qarkut të Kukësit në GDP-në e Shqipërisë, ku Tropoja përbën 24% të popullsisë, është më i ulëti në vend me vetëm 2.4%; sektorët më të rëndësishëm janë bujqësia, e cila është përgjegjëse për 34%, dhe tregtia, hotelet dhe turizmi me 20%.</w:t>
      </w:r>
    </w:p>
    <w:p w14:paraId="1BADCDD5" w14:textId="77777777" w:rsidR="00500457" w:rsidRPr="00551729" w:rsidRDefault="00500457" w:rsidP="00F51A34">
      <w:pPr>
        <w:pStyle w:val="TEKSTIII"/>
      </w:pPr>
      <w:r w:rsidRPr="00551729">
        <w:t>Përveç sektorit të shërbimeve, i cili është kontribuuesi kryesor në GDP-në e vendit, sektori i bujqësisë ka një rëndësi të madhe për zhvillimin ekonomik dhe punësimin në zonën e programit, pasi pavarësisht lëvizjeve të mëdha drejt zonave urbane të regjistruara nga Censusi i fundit në vitit 2011, një pjesë e madhe e popullsisë ende jeton në zonat rurale.</w:t>
      </w:r>
    </w:p>
    <w:p w14:paraId="1BADCDD6" w14:textId="77777777" w:rsidR="00500457" w:rsidRPr="00551729" w:rsidRDefault="00F51A34" w:rsidP="00F51A34">
      <w:pPr>
        <w:pStyle w:val="TEKSTIII"/>
        <w:rPr>
          <w:b/>
        </w:rPr>
      </w:pPr>
      <w:bookmarkStart w:id="37" w:name="_bookmark35"/>
      <w:bookmarkEnd w:id="37"/>
      <w:r w:rsidRPr="00551729">
        <w:rPr>
          <w:b/>
        </w:rPr>
        <w:t xml:space="preserve">2.2.1 </w:t>
      </w:r>
      <w:r w:rsidR="00500457" w:rsidRPr="00551729">
        <w:rPr>
          <w:b/>
        </w:rPr>
        <w:t>Sektori</w:t>
      </w:r>
      <w:r w:rsidR="00500457" w:rsidRPr="00551729">
        <w:rPr>
          <w:b/>
          <w:spacing w:val="-6"/>
        </w:rPr>
        <w:t xml:space="preserve"> </w:t>
      </w:r>
      <w:r w:rsidR="00500457" w:rsidRPr="00551729">
        <w:rPr>
          <w:b/>
        </w:rPr>
        <w:t>Privat</w:t>
      </w:r>
    </w:p>
    <w:p w14:paraId="1BADCDD7" w14:textId="77777777" w:rsidR="00500457" w:rsidRPr="00551729" w:rsidRDefault="00500457" w:rsidP="00F51A34">
      <w:pPr>
        <w:pStyle w:val="TEKSTIII"/>
      </w:pPr>
      <w:r w:rsidRPr="00551729">
        <w:t>Struktura e operatorëve ekonomikë në zonën e programit mbizotërohet nga ndërmarrjet e vogla dhe të mesme. NVM-të në Mal të Zi përbëjnë 98.6% të numrit të përgjithshëm të operatorëve ekonomikë, ndërsa në Shqipëri ato përbëjnë 95.4% të totalit. Shumica e NVM-ve në të dyja anët e kufirit punojnë në sektorin e shërbimeve.</w:t>
      </w:r>
    </w:p>
    <w:p w14:paraId="1BADCDD8" w14:textId="77777777" w:rsidR="00500457" w:rsidRPr="00551729" w:rsidRDefault="00500457" w:rsidP="00F51A34">
      <w:pPr>
        <w:pStyle w:val="TEKSTIII"/>
      </w:pPr>
      <w:r w:rsidRPr="00551729">
        <w:t xml:space="preserve">Pjesa më e madhe e operatorëve ekonomikë të </w:t>
      </w:r>
      <w:r w:rsidRPr="00551729">
        <w:rPr>
          <w:b/>
        </w:rPr>
        <w:t xml:space="preserve">Malit të Zi </w:t>
      </w:r>
      <w:r w:rsidRPr="00551729">
        <w:t>janë të përqendruar në zonën e programit, e cila ka një total prej 14,215 ndërmarrjesh</w:t>
      </w:r>
      <w:r w:rsidR="00F51A34" w:rsidRPr="00551729">
        <w:rPr>
          <w:rStyle w:val="FootnoteReference"/>
        </w:rPr>
        <w:footnoteReference w:id="51"/>
      </w:r>
      <w:r w:rsidRPr="00551729">
        <w:t>, që përbëjnë 67.3% të numrit të përgjithshëm të ndërmarrjeve në nivel kombëtar. Rreth 49.2% e këtyre NVM-ve janë të vendosura në Podgoricë, duke treguar pabarazitë e zhvillimit rajonal. Komuna të tjera të rëndësishme në zonën e programit janë Budva me 16% dhe Tivari me 14.5% të NVM-ve të zonës së programit. Andrijevica dhe Plava janë dy komunat me numrin më të vogël të ndërmarrjeve me më pak se 1% të numrit të përgjithshëm. Rreth 83% e totalit të 34 ndërmarrjeve që kanë më shumë se 250 punonjës janë të vendosura në Podgoricë. Niveli i femrave që zotërojnë një biznes në zonën e programit është mjaft modest, më i ulët se 9.5%; ai është pak më i ulët se 9.6% që është mesatarja kombëtare.</w:t>
      </w:r>
    </w:p>
    <w:p w14:paraId="1BADCDD9" w14:textId="7BD43C8E" w:rsidR="00500457" w:rsidRPr="00551729" w:rsidRDefault="00500457" w:rsidP="00F51A34">
      <w:pPr>
        <w:pStyle w:val="TEKSTIII"/>
      </w:pPr>
      <w:r w:rsidRPr="00551729">
        <w:t>Forcimi i mekanizmave mbështetës të biznesit mbetet një sfidë. Dhomat e Tregtisë së Malit të Zi kanë ende një aktivitet të kufizuar në ofrimin e mbështetjes dhe këshillave për sipërmarrësit. Ekzistojnë 2 inkubatorë biznesi në zonën e programit, një në Podgoricë nën mbikëqyrjen e Drejtorisë për Zhvillimin e NVM-ve (SMEDA) që mbulon Podgoricën dhe Tivarin, dhe një tjetër në Berane.</w:t>
      </w:r>
    </w:p>
    <w:p w14:paraId="1BADCDDA" w14:textId="77777777" w:rsidR="00500457" w:rsidRPr="00551729" w:rsidRDefault="00500457" w:rsidP="00500457">
      <w:pPr>
        <w:pStyle w:val="BodyText"/>
        <w:ind w:firstLine="284"/>
        <w:rPr>
          <w:rFonts w:ascii="Garamond" w:hAnsi="Garamond"/>
          <w:sz w:val="24"/>
          <w:szCs w:val="24"/>
          <w:lang w:val="sq-AL"/>
        </w:rPr>
      </w:pPr>
    </w:p>
    <w:p w14:paraId="1BADCDDB" w14:textId="77777777" w:rsidR="00500457" w:rsidRPr="00551729" w:rsidRDefault="00500457" w:rsidP="00500457">
      <w:pPr>
        <w:pStyle w:val="BodyText"/>
        <w:spacing w:before="10"/>
        <w:ind w:firstLine="284"/>
        <w:rPr>
          <w:rFonts w:ascii="Garamond" w:hAnsi="Garamond"/>
          <w:sz w:val="24"/>
          <w:szCs w:val="24"/>
          <w:lang w:val="sq-AL"/>
        </w:rPr>
      </w:pPr>
    </w:p>
    <w:p w14:paraId="1BADCDDC" w14:textId="3470D822" w:rsidR="00500457" w:rsidRPr="00553C30" w:rsidRDefault="00500457" w:rsidP="00615CA4">
      <w:pPr>
        <w:pStyle w:val="TEKSTIII"/>
        <w:ind w:firstLine="0"/>
        <w:jc w:val="center"/>
        <w:rPr>
          <w:i/>
        </w:rPr>
      </w:pPr>
      <w:r w:rsidRPr="00553C30">
        <w:rPr>
          <w:i/>
        </w:rPr>
        <w:t>Grafiku 3</w:t>
      </w:r>
      <w:r w:rsidR="00615CA4" w:rsidRPr="00553C30">
        <w:rPr>
          <w:i/>
        </w:rPr>
        <w:t xml:space="preserve">. </w:t>
      </w:r>
      <w:r w:rsidRPr="00553C30">
        <w:rPr>
          <w:i/>
        </w:rPr>
        <w:t>NVM-të sipas sektorëve kryesorë ekonomikë në zonën e programit Mal</w:t>
      </w:r>
      <w:r w:rsidRPr="00553C30">
        <w:rPr>
          <w:i/>
          <w:spacing w:val="-2"/>
        </w:rPr>
        <w:t xml:space="preserve"> </w:t>
      </w:r>
      <w:r w:rsidRPr="00553C30">
        <w:rPr>
          <w:i/>
        </w:rPr>
        <w:t>i</w:t>
      </w:r>
      <w:r w:rsidRPr="00553C30">
        <w:rPr>
          <w:i/>
          <w:spacing w:val="-2"/>
        </w:rPr>
        <w:t xml:space="preserve"> </w:t>
      </w:r>
      <w:r w:rsidRPr="00553C30">
        <w:rPr>
          <w:i/>
        </w:rPr>
        <w:t>Zi</w:t>
      </w:r>
      <w:r w:rsidR="00124F91" w:rsidRPr="00553C30">
        <w:rPr>
          <w:i/>
        </w:rPr>
        <w:t xml:space="preserve"> </w:t>
      </w:r>
      <w:r w:rsidRPr="00553C30">
        <w:rPr>
          <w:i/>
        </w:rPr>
        <w:t>Shqipëri</w:t>
      </w:r>
    </w:p>
    <w:p w14:paraId="1BADCDDD" w14:textId="77777777" w:rsidR="00500457" w:rsidRPr="00551729" w:rsidRDefault="00500457" w:rsidP="00500457">
      <w:pPr>
        <w:pStyle w:val="BodyText"/>
        <w:spacing w:before="2" w:after="1"/>
        <w:ind w:firstLine="284"/>
        <w:rPr>
          <w:rFonts w:ascii="Garamond" w:hAnsi="Garamond"/>
          <w:sz w:val="24"/>
          <w:szCs w:val="24"/>
          <w:lang w:val="sq-AL"/>
        </w:rPr>
      </w:pPr>
    </w:p>
    <w:tbl>
      <w:tblPr>
        <w:tblW w:w="0" w:type="auto"/>
        <w:tblInd w:w="23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727"/>
        <w:gridCol w:w="4632"/>
      </w:tblGrid>
      <w:tr w:rsidR="00500457" w:rsidRPr="00551729" w14:paraId="1BADCDE2" w14:textId="77777777" w:rsidTr="00C521D5">
        <w:trPr>
          <w:trHeight w:hRule="exact" w:val="2550"/>
        </w:trPr>
        <w:tc>
          <w:tcPr>
            <w:tcW w:w="4727" w:type="dxa"/>
          </w:tcPr>
          <w:p w14:paraId="1BADCDDE" w14:textId="77777777" w:rsidR="00500457" w:rsidRPr="00551729" w:rsidRDefault="00500457" w:rsidP="00C521D5">
            <w:pPr>
              <w:pStyle w:val="TableParagraph"/>
              <w:ind w:left="200" w:firstLine="284"/>
              <w:rPr>
                <w:rFonts w:ascii="Garamond" w:hAnsi="Garamond"/>
                <w:sz w:val="24"/>
                <w:szCs w:val="24"/>
                <w:lang w:val="sq-AL"/>
              </w:rPr>
            </w:pPr>
            <w:r w:rsidRPr="00551729">
              <w:rPr>
                <w:rFonts w:ascii="Garamond" w:hAnsi="Garamond"/>
                <w:noProof/>
                <w:sz w:val="24"/>
                <w:szCs w:val="24"/>
                <w:lang w:val="sq-AL" w:eastAsia="sq-AL"/>
              </w:rPr>
              <w:drawing>
                <wp:inline distT="0" distB="0" distL="0" distR="0" wp14:anchorId="1BADD795" wp14:editId="1BADD796">
                  <wp:extent cx="2670175" cy="1485265"/>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0175" cy="1485265"/>
                          </a:xfrm>
                          <a:prstGeom prst="rect">
                            <a:avLst/>
                          </a:prstGeom>
                          <a:noFill/>
                          <a:ln>
                            <a:noFill/>
                          </a:ln>
                        </pic:spPr>
                      </pic:pic>
                    </a:graphicData>
                  </a:graphic>
                </wp:inline>
              </w:drawing>
            </w:r>
          </w:p>
          <w:p w14:paraId="1BADCDDF" w14:textId="77777777" w:rsidR="00500457" w:rsidRPr="00551729" w:rsidRDefault="00500457" w:rsidP="00C521D5">
            <w:pPr>
              <w:pStyle w:val="TableParagraph"/>
              <w:ind w:firstLine="284"/>
              <w:rPr>
                <w:rFonts w:ascii="Garamond" w:hAnsi="Garamond"/>
                <w:sz w:val="24"/>
                <w:szCs w:val="24"/>
                <w:lang w:val="sq-AL"/>
              </w:rPr>
            </w:pPr>
          </w:p>
        </w:tc>
        <w:tc>
          <w:tcPr>
            <w:tcW w:w="4632" w:type="dxa"/>
          </w:tcPr>
          <w:p w14:paraId="1BADCDE0" w14:textId="77777777" w:rsidR="00500457" w:rsidRPr="00551729" w:rsidRDefault="00500457" w:rsidP="00C521D5">
            <w:pPr>
              <w:pStyle w:val="TableParagraph"/>
              <w:spacing w:before="4"/>
              <w:ind w:firstLine="284"/>
              <w:rPr>
                <w:rFonts w:ascii="Garamond" w:hAnsi="Garamond"/>
                <w:sz w:val="24"/>
                <w:szCs w:val="24"/>
                <w:lang w:val="sq-AL"/>
              </w:rPr>
            </w:pPr>
          </w:p>
          <w:p w14:paraId="1BADCDE1" w14:textId="77777777" w:rsidR="00500457" w:rsidRPr="00551729" w:rsidRDefault="00500457" w:rsidP="00C521D5">
            <w:pPr>
              <w:pStyle w:val="TableParagraph"/>
              <w:ind w:left="330" w:firstLine="284"/>
              <w:rPr>
                <w:rFonts w:ascii="Garamond" w:hAnsi="Garamond"/>
                <w:sz w:val="24"/>
                <w:szCs w:val="24"/>
                <w:lang w:val="sq-AL"/>
              </w:rPr>
            </w:pPr>
            <w:r w:rsidRPr="00551729">
              <w:rPr>
                <w:rFonts w:ascii="Garamond" w:hAnsi="Garamond"/>
                <w:noProof/>
                <w:sz w:val="24"/>
                <w:szCs w:val="24"/>
                <w:lang w:val="sq-AL" w:eastAsia="sq-AL"/>
              </w:rPr>
              <w:drawing>
                <wp:inline distT="0" distB="0" distL="0" distR="0" wp14:anchorId="1BADD797" wp14:editId="1BADD798">
                  <wp:extent cx="2604135" cy="1572895"/>
                  <wp:effectExtent l="0" t="0" r="5715"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4135" cy="1572895"/>
                          </a:xfrm>
                          <a:prstGeom prst="rect">
                            <a:avLst/>
                          </a:prstGeom>
                          <a:noFill/>
                          <a:ln>
                            <a:noFill/>
                          </a:ln>
                        </pic:spPr>
                      </pic:pic>
                    </a:graphicData>
                  </a:graphic>
                </wp:inline>
              </w:drawing>
            </w:r>
          </w:p>
        </w:tc>
      </w:tr>
    </w:tbl>
    <w:p w14:paraId="1BADCDE3" w14:textId="77777777" w:rsidR="00500457" w:rsidRPr="00551729" w:rsidRDefault="00500457" w:rsidP="00500457">
      <w:pPr>
        <w:pStyle w:val="BodyText"/>
        <w:ind w:firstLine="284"/>
        <w:rPr>
          <w:rFonts w:ascii="Garamond" w:hAnsi="Garamond"/>
          <w:sz w:val="24"/>
          <w:szCs w:val="24"/>
          <w:lang w:val="sq-AL"/>
        </w:rPr>
      </w:pPr>
    </w:p>
    <w:p w14:paraId="1BADCDE4" w14:textId="2688F9C3" w:rsidR="00500457" w:rsidRPr="00551729" w:rsidRDefault="00500457" w:rsidP="00F51A34">
      <w:pPr>
        <w:pStyle w:val="TEKSTIII"/>
      </w:pPr>
      <w:r w:rsidRPr="00551729">
        <w:t xml:space="preserve">Në </w:t>
      </w:r>
      <w:r w:rsidRPr="00551729">
        <w:rPr>
          <w:b/>
        </w:rPr>
        <w:t xml:space="preserve">Shqipëri </w:t>
      </w:r>
      <w:r w:rsidRPr="00551729">
        <w:t>zona e programit regjistron një total prej 10,174 ndërmarrjesh</w:t>
      </w:r>
      <w:r w:rsidR="00F51A34" w:rsidRPr="00551729">
        <w:rPr>
          <w:rStyle w:val="FootnoteReference"/>
        </w:rPr>
        <w:footnoteReference w:id="52"/>
      </w:r>
      <w:r w:rsidRPr="00551729">
        <w:rPr>
          <w:position w:val="6"/>
        </w:rPr>
        <w:t xml:space="preserve"> </w:t>
      </w:r>
      <w:r w:rsidRPr="00551729">
        <w:t>në fund të vitit 2012, ose rreth 9.7% të numrit të përgjithshëm të ndërmarrjeve të vendit. Ajo ka një shkallë lindje prej 13%</w:t>
      </w:r>
      <w:r w:rsidR="00F51A34" w:rsidRPr="00551729">
        <w:rPr>
          <w:rStyle w:val="FootnoteReference"/>
        </w:rPr>
        <w:footnoteReference w:id="53"/>
      </w:r>
      <w:r w:rsidRPr="00551729">
        <w:t>, më</w:t>
      </w:r>
      <w:r w:rsidR="00C521D5" w:rsidRPr="00551729">
        <w:t xml:space="preserve"> </w:t>
      </w:r>
      <w:r w:rsidRPr="00551729">
        <w:t>e lartë në krahasim me mesataren kombëtare prej 12.2%, e ndikuar kryesisht nga Shkodra, e cila me 14.1% tregon një zhvillim relativisht më të lartë të aktivitetit ekonomik, në të kundërt me rajonin e Lezhës dhe rrethin e Tropojës, të cilat kanë një përqindje më të ulët krahasuar me mesataren në nivel kombëtar, vetëm</w:t>
      </w:r>
      <w:r w:rsidRPr="00551729">
        <w:rPr>
          <w:spacing w:val="-4"/>
        </w:rPr>
        <w:t xml:space="preserve"> </w:t>
      </w:r>
      <w:r w:rsidRPr="00551729">
        <w:t>10.8%.</w:t>
      </w:r>
    </w:p>
    <w:p w14:paraId="1BADCDE5" w14:textId="2F529259" w:rsidR="00500457" w:rsidRPr="00551729" w:rsidRDefault="00500457" w:rsidP="00F51A34">
      <w:pPr>
        <w:pStyle w:val="TEKSTIII"/>
      </w:pPr>
      <w:r w:rsidRPr="00551729">
        <w:t>Operatorët ekonomikë në rajonet e Shkodrës, Lezhës si dhe në rrethin e Tropojës, janë jashtëzakonisht shumë të fragmentuar dhe të vegjël në madhësi, duke pasqyruar strukturën e ndërmarrjeve në nivel kombëtar, dhe duke treguar se biznesi është kryesisht familjar dhe mbizotëron vetëpunësimi. Struktura e ndërmarrjeve është e dominuar nga ndërmarrje shumë të vogla, me 1</w:t>
      </w:r>
      <w:r w:rsidR="00883B97">
        <w:t>–</w:t>
      </w:r>
      <w:r w:rsidRPr="00551729">
        <w:t>4 persona të punësuar, të cilat përbëjnë 85.7% të numrit të përgjithshëm të ndërmarrjeve në zonën e programit. Megjithatë, kjo vlerë është nën mesataren kombëtare, e cila i përllogarit NVM-të me 1</w:t>
      </w:r>
      <w:r w:rsidR="00883B97">
        <w:t>–</w:t>
      </w:r>
      <w:r w:rsidRPr="00551729">
        <w:t>4 persona të punësuar në rreth 90.2% në vitin 2012. Aktiviteti ekonomik menaxhohet kryesisht nga meshkujt, dhe numri i femrave menaxhuese në zonat përfituese është nën mesataren kombëtare prej 27.4% - më e larta në Shkodër në vlerën 25.1%, e ndjekur nga Lezha me 24.7%, dhe më pas nga Tropoja</w:t>
      </w:r>
      <w:r w:rsidR="008127F3">
        <w:t>,</w:t>
      </w:r>
      <w:r w:rsidRPr="00551729">
        <w:t xml:space="preserve"> që regjistron nivelin më të ulët në Shqipëri me</w:t>
      </w:r>
      <w:r w:rsidRPr="00551729">
        <w:rPr>
          <w:spacing w:val="-6"/>
        </w:rPr>
        <w:t xml:space="preserve"> </w:t>
      </w:r>
      <w:r w:rsidRPr="00551729">
        <w:t>14.2%.</w:t>
      </w:r>
    </w:p>
    <w:p w14:paraId="1BADCDE6" w14:textId="77777777" w:rsidR="00500457" w:rsidRPr="00551729" w:rsidRDefault="00500457" w:rsidP="00F51A34">
      <w:pPr>
        <w:pStyle w:val="TEKSTIII"/>
      </w:pPr>
      <w:r w:rsidRPr="00551729">
        <w:t>Përveç përmasave të vogla të ndërmarrjeve, një faktor i rëndësishëm që përbën pengesë për zhvillimin ekonomik në zonën e programit në të dyja anët e kufirit është mungesa e njohurive teknologjike dhe aftësive të punës. Kjo mbetet një sfidë themelore, sepse kërkesa e tregut për shërbime dhe produkte të cilësisë së lartë nuk përputhet me aftësitë e papërshtatshme të punonjësve. Ekonomitë më pak të zhvilluara të zonave rurale dhe të largëta nuk janë në gjendje të shfrytëzojnë mundësitë e ofruara nga qytetet më të zhvilluara bregdetare dhe qendrat e mëdha urbane të zonës së programit. Një tjetër sfidë kryesore është aksesi i dobët i NVM-ve në financim; politikat tepër të kujdesshme të kredi-dhënies të miratuara nga institucionet financiare në të dyja vendet janë një pengesë serioze në rritjen e ndërmarrjeve në zonën e programit. Dhomat e Tregtisë, organizatat e biznesit dhe Agjencitë për Zhvillim Rajonal të pranishme në zonën e programit duhet të marrin një rol më proaktiv në promovimin e zhvillimit të bizneseve dhe të bashkëpunimit.</w:t>
      </w:r>
    </w:p>
    <w:p w14:paraId="19F6A805" w14:textId="77777777" w:rsidR="009365AB" w:rsidRDefault="009365AB" w:rsidP="00F51A34">
      <w:pPr>
        <w:pStyle w:val="TEKSTIII"/>
        <w:rPr>
          <w:b/>
        </w:rPr>
      </w:pPr>
      <w:bookmarkStart w:id="38" w:name="_bookmark36"/>
      <w:bookmarkEnd w:id="38"/>
    </w:p>
    <w:p w14:paraId="26987899" w14:textId="77777777" w:rsidR="009365AB" w:rsidRDefault="009365AB" w:rsidP="00F51A34">
      <w:pPr>
        <w:pStyle w:val="TEKSTIII"/>
        <w:rPr>
          <w:b/>
        </w:rPr>
      </w:pPr>
    </w:p>
    <w:p w14:paraId="42574293" w14:textId="77777777" w:rsidR="009365AB" w:rsidRDefault="009365AB" w:rsidP="00F51A34">
      <w:pPr>
        <w:pStyle w:val="TEKSTIII"/>
        <w:rPr>
          <w:b/>
        </w:rPr>
      </w:pPr>
    </w:p>
    <w:p w14:paraId="1BADCDE7" w14:textId="24ADDAA5" w:rsidR="00500457" w:rsidRPr="00551729" w:rsidRDefault="009365AB" w:rsidP="00F51A34">
      <w:pPr>
        <w:pStyle w:val="TEKSTIII"/>
        <w:rPr>
          <w:b/>
        </w:rPr>
      </w:pPr>
      <w:r>
        <w:rPr>
          <w:b/>
        </w:rPr>
        <w:t xml:space="preserve">2.2.2 </w:t>
      </w:r>
      <w:r w:rsidR="00500457" w:rsidRPr="00551729">
        <w:rPr>
          <w:b/>
        </w:rPr>
        <w:t>Tregu i</w:t>
      </w:r>
      <w:r w:rsidR="00500457" w:rsidRPr="00551729">
        <w:rPr>
          <w:b/>
          <w:spacing w:val="-3"/>
        </w:rPr>
        <w:t xml:space="preserve"> </w:t>
      </w:r>
      <w:r w:rsidR="00500457" w:rsidRPr="00551729">
        <w:rPr>
          <w:b/>
        </w:rPr>
        <w:t>punës</w:t>
      </w:r>
    </w:p>
    <w:p w14:paraId="1BADCDE8" w14:textId="77777777" w:rsidR="00500457" w:rsidRPr="00551729" w:rsidRDefault="00500457" w:rsidP="00F51A34">
      <w:pPr>
        <w:pStyle w:val="TEKSTIII"/>
      </w:pPr>
      <w:r w:rsidRPr="00551729">
        <w:t>Si në Mal të Zi ashtu edhe në Shqipëri, papunësia është relativisht e lartë sipas standardeve ndërkombëtare. Ajo është ende një problem i madh ekonomik në të dyja anët e zonës së programit, dhe karakterizohet nga dallime të mëdha rajonale.</w:t>
      </w:r>
    </w:p>
    <w:p w14:paraId="1BADCDE9" w14:textId="5C4E9FFE" w:rsidR="00500457" w:rsidRPr="00551729" w:rsidRDefault="00500457" w:rsidP="00D3611F">
      <w:pPr>
        <w:pStyle w:val="TEKSTIII"/>
      </w:pPr>
      <w:r w:rsidRPr="00551729">
        <w:t xml:space="preserve">Në </w:t>
      </w:r>
      <w:r w:rsidRPr="00551729">
        <w:rPr>
          <w:b/>
        </w:rPr>
        <w:t xml:space="preserve">Mal të Zi </w:t>
      </w:r>
      <w:r w:rsidRPr="00551729">
        <w:t>tregu i punës ka pësuar krizë, duke regjistruar një rritje të papunësisë që arriti në 20.45% në</w:t>
      </w:r>
      <w:r w:rsidR="00C521D5" w:rsidRPr="00551729">
        <w:t xml:space="preserve"> </w:t>
      </w:r>
      <w:r w:rsidRPr="00551729">
        <w:t>vitin</w:t>
      </w:r>
      <w:r w:rsidRPr="00551729">
        <w:rPr>
          <w:spacing w:val="25"/>
        </w:rPr>
        <w:t xml:space="preserve"> </w:t>
      </w:r>
      <w:r w:rsidR="00F51A34" w:rsidRPr="00551729">
        <w:t>2011</w:t>
      </w:r>
      <w:r w:rsidR="00D3611F" w:rsidRPr="00551729">
        <w:rPr>
          <w:rStyle w:val="FootnoteReference"/>
        </w:rPr>
        <w:footnoteReference w:id="54"/>
      </w:r>
      <w:r w:rsidR="00F51A34" w:rsidRPr="00551729">
        <w:t xml:space="preserve"> </w:t>
      </w:r>
      <w:r w:rsidRPr="00551729">
        <w:t>duke</w:t>
      </w:r>
      <w:r w:rsidRPr="00551729">
        <w:rPr>
          <w:spacing w:val="26"/>
        </w:rPr>
        <w:t xml:space="preserve"> </w:t>
      </w:r>
      <w:r w:rsidRPr="00551729">
        <w:t>u</w:t>
      </w:r>
      <w:r w:rsidRPr="00551729">
        <w:rPr>
          <w:spacing w:val="25"/>
        </w:rPr>
        <w:t xml:space="preserve"> </w:t>
      </w:r>
      <w:r w:rsidRPr="00551729">
        <w:t>ulur</w:t>
      </w:r>
      <w:r w:rsidRPr="00551729">
        <w:rPr>
          <w:spacing w:val="28"/>
        </w:rPr>
        <w:t xml:space="preserve"> </w:t>
      </w:r>
      <w:r w:rsidRPr="00551729">
        <w:t>në</w:t>
      </w:r>
      <w:r w:rsidRPr="00551729">
        <w:rPr>
          <w:spacing w:val="29"/>
        </w:rPr>
        <w:t xml:space="preserve"> </w:t>
      </w:r>
      <w:r w:rsidRPr="00551729">
        <w:t>19.6%</w:t>
      </w:r>
      <w:r w:rsidRPr="00551729">
        <w:rPr>
          <w:spacing w:val="26"/>
        </w:rPr>
        <w:t xml:space="preserve"> </w:t>
      </w:r>
      <w:r w:rsidRPr="00551729">
        <w:t>në</w:t>
      </w:r>
      <w:r w:rsidRPr="00551729">
        <w:rPr>
          <w:spacing w:val="26"/>
        </w:rPr>
        <w:t xml:space="preserve"> </w:t>
      </w:r>
      <w:r w:rsidRPr="00551729">
        <w:t>vitin</w:t>
      </w:r>
      <w:r w:rsidRPr="00551729">
        <w:rPr>
          <w:spacing w:val="24"/>
        </w:rPr>
        <w:t xml:space="preserve"> </w:t>
      </w:r>
      <w:r w:rsidRPr="00551729">
        <w:t>2012.</w:t>
      </w:r>
      <w:r w:rsidRPr="00551729">
        <w:rPr>
          <w:spacing w:val="25"/>
        </w:rPr>
        <w:t xml:space="preserve"> </w:t>
      </w:r>
      <w:r w:rsidRPr="00551729">
        <w:t>Zona</w:t>
      </w:r>
      <w:r w:rsidRPr="00551729">
        <w:rPr>
          <w:spacing w:val="23"/>
        </w:rPr>
        <w:t xml:space="preserve"> </w:t>
      </w:r>
      <w:r w:rsidRPr="00551729">
        <w:t>e</w:t>
      </w:r>
      <w:r w:rsidRPr="00551729">
        <w:rPr>
          <w:spacing w:val="26"/>
        </w:rPr>
        <w:t xml:space="preserve"> </w:t>
      </w:r>
      <w:r w:rsidRPr="00551729">
        <w:t>programit</w:t>
      </w:r>
      <w:r w:rsidRPr="00551729">
        <w:rPr>
          <w:spacing w:val="26"/>
        </w:rPr>
        <w:t xml:space="preserve"> </w:t>
      </w:r>
      <w:r w:rsidRPr="00551729">
        <w:t>ka</w:t>
      </w:r>
      <w:r w:rsidRPr="00551729">
        <w:rPr>
          <w:spacing w:val="26"/>
        </w:rPr>
        <w:t xml:space="preserve"> </w:t>
      </w:r>
      <w:r w:rsidRPr="00551729">
        <w:t>rreth</w:t>
      </w:r>
      <w:r w:rsidRPr="00551729">
        <w:rPr>
          <w:spacing w:val="25"/>
        </w:rPr>
        <w:t xml:space="preserve"> </w:t>
      </w:r>
      <w:r w:rsidRPr="00551729">
        <w:t>93.4%</w:t>
      </w:r>
      <w:r w:rsidRPr="00551729">
        <w:rPr>
          <w:spacing w:val="26"/>
        </w:rPr>
        <w:t xml:space="preserve"> </w:t>
      </w:r>
      <w:r w:rsidRPr="00551729">
        <w:t>të</w:t>
      </w:r>
      <w:r w:rsidRPr="00551729">
        <w:rPr>
          <w:spacing w:val="26"/>
        </w:rPr>
        <w:t xml:space="preserve"> </w:t>
      </w:r>
      <w:r w:rsidRPr="00551729">
        <w:t>forcës</w:t>
      </w:r>
      <w:r w:rsidRPr="00551729">
        <w:rPr>
          <w:spacing w:val="26"/>
        </w:rPr>
        <w:t xml:space="preserve"> </w:t>
      </w:r>
      <w:r w:rsidRPr="00551729">
        <w:t>aktive</w:t>
      </w:r>
      <w:r w:rsidRPr="00551729">
        <w:rPr>
          <w:spacing w:val="26"/>
        </w:rPr>
        <w:t xml:space="preserve"> </w:t>
      </w:r>
      <w:r w:rsidRPr="00551729">
        <w:t>të</w:t>
      </w:r>
      <w:r w:rsidR="00D3611F" w:rsidRPr="00551729">
        <w:t xml:space="preserve"> </w:t>
      </w:r>
      <w:r w:rsidRPr="00551729">
        <w:t>punës në vend. Të dhënat e censusit tregojnë pabarazitë e zhvillimit rajonal në Mal të Zi me rajonin bregdetar dhe atë qendror duke përparuar më shumë se rajonet më të varfra dhe më pak të zhvilluara pa dalje në det, të cilat ndodhen në veri të vendit. Budva ka nivelin më të ulët të papunësisë me 13.2%,</w:t>
      </w:r>
      <w:r w:rsidR="00C521D5" w:rsidRPr="00551729">
        <w:t xml:space="preserve"> </w:t>
      </w:r>
      <w:r w:rsidRPr="00551729">
        <w:t>e ndjekur nga të gjitha bashkitë bregdetare dhe ato të rajonit qendror. Nga ana tjetër, bashkitë pa dalje në det të Rozhajës dhe Plavës janë bashkitë më pak të zhvilluara në zonën e programit me një shkallë të lartë papunësie deri në 58.5% dhe 50.4%</w:t>
      </w:r>
      <w:r w:rsidRPr="00551729">
        <w:rPr>
          <w:spacing w:val="-23"/>
        </w:rPr>
        <w:t xml:space="preserve"> </w:t>
      </w:r>
      <w:r w:rsidRPr="00551729">
        <w:t>respektivisht.</w:t>
      </w:r>
    </w:p>
    <w:p w14:paraId="1BADCDEA" w14:textId="77777777" w:rsidR="00500457" w:rsidRPr="00551729" w:rsidRDefault="00500457" w:rsidP="00F51A34">
      <w:pPr>
        <w:pStyle w:val="TEKSTIII"/>
      </w:pPr>
      <w:r w:rsidRPr="00551729">
        <w:t>Pjesa më e madhe e fuqisë punëtore është e punësuar në sektorin e shërbimeve (76.2%), pasuar nga industria me 18.1%, dhe bujqësia me 5.6% të numrit të përgjithshëm të të punësuarve në nivel kombëtar. Pjesa veriore e Malit të Zi regjistron një shkallë më të lartë të punësimit në bujqësi, me rreth 14.9%, dhe në industri me rreth 21.7%, ndërkohë që punësimi në shërbime llogaritet në 63.3%. Punësimi në shërbime në rajonin bregdetar është rreth 83%, i ndjekur nga industria me 15.1% dhe bujqësia me vetëm 1.9%. Rajoni qendror është më i balancuar dhe më afër normave kombëtare. Deri tani, Podgorica përbën motorin kryesor ekonomik dhe të punësimit të rajonit qendror. Punëdhënësi më i madh në program është sektori i tregtisë me 20.5%, i ndjekur nga administrata publike me 12.5%. Rreth 55.9% e numrit të përgjithshëm të të punësuarve janë meshkuj, ndërkohë që femrat përbëjnë pjesën e mbetur prej 44.1 %.</w:t>
      </w:r>
    </w:p>
    <w:p w14:paraId="1BADCDEB" w14:textId="4F5CAB50" w:rsidR="00500457" w:rsidRPr="00551729" w:rsidRDefault="00500457" w:rsidP="00F51A34">
      <w:pPr>
        <w:pStyle w:val="TEKSTIII"/>
      </w:pPr>
      <w:r w:rsidRPr="00551729">
        <w:t>Fuqia e përgjithshme punëtore në Shqipëri arrin në 1,117,082 persona në fund të muajit dhjetor 2012</w:t>
      </w:r>
      <w:r w:rsidR="00D3611F" w:rsidRPr="00551729">
        <w:rPr>
          <w:rStyle w:val="FootnoteReference"/>
        </w:rPr>
        <w:footnoteReference w:id="55"/>
      </w:r>
      <w:r w:rsidRPr="00551729">
        <w:t>. Ajo nuk ka pasur ndryshime të mëdha, pavarësisht nga ngadalësimi ekonomik gjatë 2-3 viteve të fundit. Shkalla e përgjithshme e punësimit</w:t>
      </w:r>
      <w:r w:rsidR="00D3611F" w:rsidRPr="00551729">
        <w:rPr>
          <w:rStyle w:val="FootnoteReference"/>
        </w:rPr>
        <w:footnoteReference w:id="56"/>
      </w:r>
      <w:r w:rsidRPr="00551729">
        <w:rPr>
          <w:position w:val="6"/>
        </w:rPr>
        <w:t xml:space="preserve"> </w:t>
      </w:r>
      <w:r w:rsidRPr="00551729">
        <w:t>në Shqipëri gjatë vitit 2012 arriti në 56.4 %, ndërkohë që shkalla e përgjithshme e papunësisë</w:t>
      </w:r>
      <w:r w:rsidR="00D3611F" w:rsidRPr="00551729">
        <w:rPr>
          <w:rStyle w:val="FootnoteReference"/>
        </w:rPr>
        <w:footnoteReference w:id="57"/>
      </w:r>
      <w:r w:rsidRPr="00551729">
        <w:rPr>
          <w:position w:val="6"/>
        </w:rPr>
        <w:t xml:space="preserve"> </w:t>
      </w:r>
      <w:r w:rsidRPr="00551729">
        <w:t>ka mbetur në 13.9%, njëlloj si në vitin 2011. Papunësia në rajonet e Shkodrës dhe Lezhës pasqyron të njëjtën normë mesatare të papunësisë si në nivel kombëtar, dhe gjithashtu të njëjtën strukturë punësimi. Rrethi i Tropojës ruan të njëjtën strukturë të punësimit duke regjistruar nivele të larta të papunësisë. Në fund të vitit 2012, numri i të papunëve në Shkodër qëndron në 19,417 persona, duke përbërë 13.6% të totalit të të papunëve; Lezha me 15,021 persona të papunë përbën 10.6% të totalit; ndërsa Tropoja regjistron 2,368 të papunë, ose rreth 36% të forcave të përgjithshme të punës që i përkasin grup-moshës 15-64 vjeç në rrethin e Tropojës. Papunësia është më</w:t>
      </w:r>
      <w:r w:rsidR="00C521D5" w:rsidRPr="00551729">
        <w:t xml:space="preserve"> </w:t>
      </w:r>
      <w:r w:rsidRPr="00551729">
        <w:t>e pranishme në zonat urbane, pasi ata që jetojnë në zonat rurale janë konsideruar si të</w:t>
      </w:r>
      <w:r w:rsidRPr="00551729">
        <w:rPr>
          <w:spacing w:val="-22"/>
        </w:rPr>
        <w:t xml:space="preserve"> </w:t>
      </w:r>
      <w:r w:rsidRPr="00551729">
        <w:t>vetë-punësuar.</w:t>
      </w:r>
    </w:p>
    <w:p w14:paraId="1BADCDEC" w14:textId="3E5EFABD" w:rsidR="00500457" w:rsidRPr="00551729" w:rsidRDefault="00500457" w:rsidP="00F51A34">
      <w:pPr>
        <w:pStyle w:val="TEKSTIII"/>
      </w:pPr>
      <w:r w:rsidRPr="00551729">
        <w:t>Fuqia punëtore në Shqipëri dhe në zonën e programit është e dominuar nga grup-mosha 25-54 vjeç, e cila përbën 66.5% të fuqisë së përgjithshme punëtore. Më shumë se 54% e punësimit të përg</w:t>
      </w:r>
      <w:r w:rsidR="00F85B51" w:rsidRPr="00551729">
        <w:t>jithshëm është</w:t>
      </w:r>
      <w:r w:rsidR="00C521D5" w:rsidRPr="00551729">
        <w:t xml:space="preserve"> </w:t>
      </w:r>
      <w:r w:rsidR="00F85B51" w:rsidRPr="00551729">
        <w:t>në sektorin e</w:t>
      </w:r>
      <w:r w:rsidRPr="00551729">
        <w:t xml:space="preserve"> bujqësisë,</w:t>
      </w:r>
      <w:r w:rsidR="00C521D5" w:rsidRPr="00551729">
        <w:t xml:space="preserve"> </w:t>
      </w:r>
      <w:r w:rsidR="00F85B51" w:rsidRPr="00551729">
        <w:t>ndërsa</w:t>
      </w:r>
      <w:r w:rsidR="00C521D5" w:rsidRPr="00551729">
        <w:t xml:space="preserve"> </w:t>
      </w:r>
      <w:r w:rsidR="00F85B51" w:rsidRPr="00551729">
        <w:t>punësimi</w:t>
      </w:r>
      <w:r w:rsidR="00C521D5" w:rsidRPr="00551729">
        <w:t xml:space="preserve"> </w:t>
      </w:r>
      <w:r w:rsidR="00F85B51" w:rsidRPr="00551729">
        <w:t xml:space="preserve">në sektorin </w:t>
      </w:r>
      <w:r w:rsidRPr="00551729">
        <w:t>pr</w:t>
      </w:r>
      <w:r w:rsidR="00F85B51" w:rsidRPr="00551729">
        <w:t>ivat</w:t>
      </w:r>
      <w:r w:rsidR="00C521D5" w:rsidRPr="00551729">
        <w:t xml:space="preserve"> </w:t>
      </w:r>
      <w:r w:rsidR="00F85B51" w:rsidRPr="00551729">
        <w:t>jobujqësor qëndron në</w:t>
      </w:r>
      <w:r w:rsidRPr="00551729">
        <w:t xml:space="preserve"> 28.7%.</w:t>
      </w:r>
    </w:p>
    <w:p w14:paraId="1BADCDED" w14:textId="035065D3" w:rsidR="00500457" w:rsidRPr="00551729" w:rsidRDefault="00500457" w:rsidP="00F85B51">
      <w:pPr>
        <w:pStyle w:val="TEKSTIII"/>
      </w:pPr>
      <w:r w:rsidRPr="00551729">
        <w:t>Punësimi në sektorin privat jobujqësor dominohet nga sektori i shërbimeve (tregti, hotele, transport), e cila përbën 55.6% të numrit të përgjithshëm të të punësuarve në sektorin privat, e ndjekur nga punësimi në sektorin e ndërtimit, i cili përbën 22.2%. Punësimi në prodhim qëndron në 17.2%, ndërsa në sektorin e energjisë shkon deri në 5% të numrit të përgjithshëm të të punësuarve në sektorin privat.</w:t>
      </w:r>
    </w:p>
    <w:p w14:paraId="1BADCDEE" w14:textId="278651D5" w:rsidR="00500457" w:rsidRPr="00551729" w:rsidRDefault="00500457" w:rsidP="00F85B51">
      <w:pPr>
        <w:pStyle w:val="TEKSTIII"/>
      </w:pPr>
      <w:r w:rsidRPr="00551729">
        <w:t>Duhet të theksohet se në të dy</w:t>
      </w:r>
      <w:r w:rsidR="001E5AF6">
        <w:t>ja</w:t>
      </w:r>
      <w:r w:rsidRPr="00551729">
        <w:t xml:space="preserve"> vendet, një numër i konsiderueshëm personash punojnë jashtë vendit dhe janë shumë aktivë në ofrimin e ndihmës për familjet e tyre. Pra, dërgesat e emigrantëve luajnë një rol të rëndësishëm në subvencionimin e të ardhurave dhe konsumin vendor.</w:t>
      </w:r>
    </w:p>
    <w:p w14:paraId="1BADCDF1" w14:textId="77777777" w:rsidR="00500457" w:rsidRPr="00551729" w:rsidRDefault="00F85B51" w:rsidP="00F85B51">
      <w:pPr>
        <w:pStyle w:val="TEKSTIII"/>
        <w:rPr>
          <w:b/>
        </w:rPr>
      </w:pPr>
      <w:bookmarkStart w:id="39" w:name="_bookmark37"/>
      <w:bookmarkEnd w:id="39"/>
      <w:r w:rsidRPr="00551729">
        <w:rPr>
          <w:b/>
        </w:rPr>
        <w:t xml:space="preserve">2.2.3 </w:t>
      </w:r>
      <w:r w:rsidR="00500457" w:rsidRPr="00551729">
        <w:rPr>
          <w:b/>
        </w:rPr>
        <w:t>Bujqësia dhe Zhvillimi</w:t>
      </w:r>
      <w:r w:rsidR="00500457" w:rsidRPr="00551729">
        <w:rPr>
          <w:b/>
          <w:spacing w:val="-12"/>
        </w:rPr>
        <w:t xml:space="preserve"> </w:t>
      </w:r>
      <w:r w:rsidR="00500457" w:rsidRPr="00551729">
        <w:rPr>
          <w:b/>
        </w:rPr>
        <w:t>rural</w:t>
      </w:r>
    </w:p>
    <w:p w14:paraId="1BADCDF2" w14:textId="2003DD60" w:rsidR="00500457" w:rsidRPr="00551729" w:rsidRDefault="00500457" w:rsidP="00F85B51">
      <w:pPr>
        <w:pStyle w:val="TEKSTIII"/>
      </w:pPr>
      <w:r w:rsidRPr="00551729">
        <w:t>Pjesa Malazeze e zonës së programit është më e pasur në burime bujqësore dhe ka më shumë potencial në këtë sektor në krahasim me pjesën e Shqipërisë. Megjithatë, sektori i bujqësisë dhe zhvillimi i tij</w:t>
      </w:r>
      <w:r w:rsidR="00C521D5" w:rsidRPr="00551729">
        <w:t xml:space="preserve"> </w:t>
      </w:r>
      <w:r w:rsidRPr="00551729">
        <w:t>është po aq i rëndësishëm për të gjithë zonën e programit, veçanërisht për shkak të pjesës së madhe të popullsisë që jeton në zonën rurale, ku bujqësia është aktiviteti kryesor ekonomik. Një tipar i përbashkët në zonën e programit është produktiviteti dhe konkurrenca e ulët në fushën e bujqësisë. Ai vjen si</w:t>
      </w:r>
      <w:r w:rsidR="00C521D5" w:rsidRPr="00551729">
        <w:t xml:space="preserve"> </w:t>
      </w:r>
      <w:r w:rsidRPr="00551729">
        <w:t>pasojë e: fermave të vogla të cilat kanë prodhim dhe fitim të kufizuar; prodhimit kryesisht për të mbuluar nevojat e jetesës, sesa për shitje direkte në tregjet e gjelbra; dhe nivelit të ulët të finalizimit të produkteve bujqësore dhe industrisë ushqimore të</w:t>
      </w:r>
      <w:r w:rsidRPr="00551729">
        <w:rPr>
          <w:spacing w:val="-24"/>
        </w:rPr>
        <w:t xml:space="preserve"> </w:t>
      </w:r>
      <w:r w:rsidRPr="00551729">
        <w:t>pazhvilluar.</w:t>
      </w:r>
    </w:p>
    <w:p w14:paraId="1BADCDF3" w14:textId="6DAD7783" w:rsidR="00500457" w:rsidRPr="00551729" w:rsidRDefault="00500457" w:rsidP="00733062">
      <w:pPr>
        <w:pStyle w:val="TEKSTIII"/>
      </w:pPr>
      <w:r w:rsidRPr="00551729">
        <w:t xml:space="preserve">Zona e programit mbulon rreth 38% të totalit të tokës bujqësore të </w:t>
      </w:r>
      <w:r w:rsidRPr="00551729">
        <w:rPr>
          <w:b/>
        </w:rPr>
        <w:t>Malit të Zi</w:t>
      </w:r>
      <w:r w:rsidRPr="00551729">
        <w:t>. Punësimi në bujqësi është raportuar të jetë rreth 2.5% e totalit të të punësuarve</w:t>
      </w:r>
      <w:r w:rsidR="00F85B51" w:rsidRPr="00551729">
        <w:rPr>
          <w:rStyle w:val="FootnoteReference"/>
        </w:rPr>
        <w:footnoteReference w:id="58"/>
      </w:r>
      <w:r w:rsidRPr="00551729">
        <w:t xml:space="preserve">, Podgorica është rajoni kryesor fushor në Mal të Zi </w:t>
      </w:r>
      <w:r w:rsidR="008127F3">
        <w:t>–</w:t>
      </w:r>
      <w:r w:rsidRPr="00551729">
        <w:t xml:space="preserve"> vetëm ajo zë rreth 31.5% të tokës bujqësore në zonën e programit. Ajo ofron kushte optimale për prodhim të larmishëm: perime, prodhimin e drithërave, blegtori, fruta dhe verë. Vera, e cila është produkti kryesor Malazez i orientuar drejt eksportit, prodhohet në Podgoricë - rreth 80% e prodhimit të përgjithshëm të verës në vend. Bashkitë e tjera të ndodhura në zonën qendrore, si Berane dhe Danilovgrad janë prodhuesit kryesorë të mollëve, kumbullave dhe dardhave. Bashkitë në zonën bregdetare të cilat kanë aktivitet të veçantë bujqësor janë të Ulqini dhe Tivari. Rajoni bregdetar është veçanërisht i përshtatshëm për frutat subtropikale dhe prodhimin e ullirit. Më shumë se 80% e pemëve agrume në Mal të Zi janë në Ulqin (65%) dhe Tivar. Këto dy bashki (Tivar dhe Ulqin) janë edhe</w:t>
      </w:r>
      <w:r w:rsidR="00C521D5" w:rsidRPr="00551729">
        <w:t xml:space="preserve"> </w:t>
      </w:r>
      <w:r w:rsidRPr="00551729">
        <w:t>prodhuesit më të mëdhenj të vajit të ullirit - me 47% të prodhimit të përgjithshëm të vajit të ullirit në Mal të Zi. Ndërkohë që prodhimi i vajit të ullirit mban një potencial të madh për zhvillim, relievi kodrinor i zonës bregdetare dhe rajonit përreth liqenit të Shkodrës është</w:t>
      </w:r>
      <w:r w:rsidR="008127F3">
        <w:t>,</w:t>
      </w:r>
      <w:r w:rsidRPr="00551729">
        <w:t xml:space="preserve"> gjithashtu</w:t>
      </w:r>
      <w:r w:rsidR="008127F3">
        <w:t>,</w:t>
      </w:r>
      <w:r w:rsidRPr="00551729">
        <w:t xml:space="preserve"> i pasur me bimë mjalti dhe bimë mjekësore, dhe është i përshtatshëm për</w:t>
      </w:r>
      <w:r w:rsidRPr="00551729">
        <w:rPr>
          <w:spacing w:val="-20"/>
        </w:rPr>
        <w:t xml:space="preserve"> </w:t>
      </w:r>
      <w:r w:rsidRPr="00551729">
        <w:t>blegtori.</w:t>
      </w:r>
    </w:p>
    <w:p w14:paraId="1BADCDF4" w14:textId="5A2488D5" w:rsidR="00500457" w:rsidRPr="00551729" w:rsidRDefault="00500457" w:rsidP="00733062">
      <w:pPr>
        <w:pStyle w:val="TEKSTIII"/>
      </w:pPr>
      <w:r w:rsidRPr="00551729">
        <w:t xml:space="preserve">Zona e programit në </w:t>
      </w:r>
      <w:r w:rsidRPr="00551729">
        <w:rPr>
          <w:b/>
        </w:rPr>
        <w:t xml:space="preserve">Shqipëri </w:t>
      </w:r>
      <w:r w:rsidRPr="00551729">
        <w:t>mbulon rreth 3.2% të sipërfaqes së përgjithshme të tokës së</w:t>
      </w:r>
      <w:r w:rsidR="00C521D5" w:rsidRPr="00551729">
        <w:t xml:space="preserve"> </w:t>
      </w:r>
      <w:r w:rsidRPr="00551729">
        <w:t>vendit</w:t>
      </w:r>
      <w:r w:rsidR="00F85B51" w:rsidRPr="00551729">
        <w:rPr>
          <w:rStyle w:val="FootnoteReference"/>
        </w:rPr>
        <w:footnoteReference w:id="59"/>
      </w:r>
      <w:r w:rsidRPr="00551729">
        <w:t>. Pjesa më e madhe e territorit të saj është e dominuar nga pyjet, kullotat (80%), ndërsa pjesa e tokës në 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liqenit të Shkodrës, ku terreni dhe kushtet klimatike janë të favorshme për bujqësinë e perimeve. Qarku i Lezhës ka një traditë për blegtorinë e derrave, pasi ajo ka 91.7% të inventarit total të shtetit. Prodhimi bujqësor në rrethin e</w:t>
      </w:r>
      <w:r w:rsidR="00733062" w:rsidRPr="00551729">
        <w:t xml:space="preserve"> </w:t>
      </w:r>
      <w:r w:rsidRPr="00551729">
        <w:t>Tropojës është i orientuar kryesisht drejt prodhimit të thekrës, dhe zona është e famshme për pyjet me gështenja.</w:t>
      </w:r>
    </w:p>
    <w:p w14:paraId="1BADCDF5" w14:textId="77777777" w:rsidR="00500457" w:rsidRPr="00551729" w:rsidRDefault="00500457" w:rsidP="00733062">
      <w:pPr>
        <w:pStyle w:val="TEKSTIII"/>
      </w:pPr>
      <w:r w:rsidRPr="00551729">
        <w:t>Pavarësisht se zona e programit është e pasur me burime ujore, vetëm 32% e tokës bujqësore në zonë ujitet, duke treguar nivelin e ulët të zhvillimit në sektorin e bujqësisë. Bujqësia në zonën e programit është një aktivitet familjar, i orientuar drejt nevojave për jetesë, me toka shumë të fragmentuara - madhësia e fermës është 1.1 ha në Shkodër; 0.89 ha në Lezhë, dhe 0.60 ha në Tropojë, madhësi të cilat janë sa gjysma e mesatares Shqiptare, prej 1.20 ha.</w:t>
      </w:r>
    </w:p>
    <w:p w14:paraId="1BADCDF6" w14:textId="40BCA14F" w:rsidR="00500457" w:rsidRPr="00551729" w:rsidRDefault="00500457" w:rsidP="00733062">
      <w:pPr>
        <w:pStyle w:val="TEKSTIII"/>
      </w:pPr>
      <w:r w:rsidRPr="00551729">
        <w:t>Përmirësimi i mëtejshëm i aksesit në treg, infrastruktura rurale, dhe menaxhimi më i mirë i burimeve ujore mund të jenë prioritetet e ardhshme në zonën e programit. Modernizimi i bujqësisë, përmirësimi i proceseve të prodhimit dhe vendosja e standardeve të sigurisë ushqimore në përputhje me standardet e BE-së, si dhe rritja e prodhimit tradicional bujqësor, janë sfida për t</w:t>
      </w:r>
      <w:r w:rsidR="00365069">
        <w:t>’</w:t>
      </w:r>
      <w:r w:rsidRPr="00551729">
        <w:t>u përballuar në zonën e programit. Iniciativat ndërkufitare mund të mbështesin dhe promovojnë: i</w:t>
      </w:r>
      <w:r w:rsidR="003B6021">
        <w:t>.</w:t>
      </w:r>
      <w:r w:rsidRPr="00551729">
        <w:t xml:space="preserve"> diversifikimin e aktiviteteve rurale (p.sh. akomodimi i turistëve në ferma); ii</w:t>
      </w:r>
      <w:r w:rsidR="003B6021">
        <w:t>.</w:t>
      </w:r>
      <w:r w:rsidRPr="00551729">
        <w:t xml:space="preserve"> aksesin në tregje dhe zhvillimin e prodhimit dhe marketingut të produkteve ushqimore organike; iii</w:t>
      </w:r>
      <w:r w:rsidR="003B6021">
        <w:t>.</w:t>
      </w:r>
      <w:r w:rsidRPr="00551729">
        <w:t xml:space="preserve"> mbrojtjen (p.sh. mbrojtja e emërtimit </w:t>
      </w:r>
      <w:r w:rsidRPr="00551729">
        <w:rPr>
          <w:spacing w:val="3"/>
        </w:rPr>
        <w:t xml:space="preserve">të </w:t>
      </w:r>
      <w:r w:rsidRPr="00551729">
        <w:t>origjinës) dhe tregtimin e produkteve tradicionale bujqësore dhe agroushqimore; dhe iv</w:t>
      </w:r>
      <w:r w:rsidR="003B6021">
        <w:t>.</w:t>
      </w:r>
      <w:r w:rsidRPr="00551729">
        <w:t xml:space="preserve"> bashkëpunimin midis prodhuesve.</w:t>
      </w:r>
      <w:r w:rsidR="00C521D5" w:rsidRPr="00551729">
        <w:t xml:space="preserve"> </w:t>
      </w:r>
      <w:r w:rsidRPr="00551729">
        <w:t>Mund të konsiderohet përkrahja e përpjekjeve që janë duke u bërë në të dy</w:t>
      </w:r>
      <w:r w:rsidR="001E5AF6">
        <w:t>ja</w:t>
      </w:r>
      <w:r w:rsidRPr="00551729">
        <w:t xml:space="preserve"> vendet për të ndjekur një qasje të integruar që synon promovimin dhe lidhjen e bujqësisë me aktivitete të tjera turistike dhe ekonomike</w:t>
      </w:r>
      <w:r w:rsidRPr="00551729">
        <w:rPr>
          <w:spacing w:val="-3"/>
        </w:rPr>
        <w:t xml:space="preserve"> </w:t>
      </w:r>
      <w:r w:rsidRPr="00551729">
        <w:t>në</w:t>
      </w:r>
      <w:r w:rsidRPr="00551729">
        <w:rPr>
          <w:spacing w:val="-2"/>
        </w:rPr>
        <w:t xml:space="preserve"> </w:t>
      </w:r>
      <w:r w:rsidRPr="00551729">
        <w:t>një</w:t>
      </w:r>
      <w:r w:rsidRPr="00551729">
        <w:rPr>
          <w:spacing w:val="-4"/>
        </w:rPr>
        <w:t xml:space="preserve"> </w:t>
      </w:r>
      <w:r w:rsidRPr="00551729">
        <w:t>paketë,</w:t>
      </w:r>
      <w:r w:rsidRPr="00551729">
        <w:rPr>
          <w:spacing w:val="-4"/>
        </w:rPr>
        <w:t xml:space="preserve"> </w:t>
      </w:r>
      <w:r w:rsidRPr="00551729">
        <w:t>si</w:t>
      </w:r>
      <w:r w:rsidRPr="00551729">
        <w:rPr>
          <w:spacing w:val="-2"/>
        </w:rPr>
        <w:t xml:space="preserve"> </w:t>
      </w:r>
      <w:r w:rsidRPr="00551729">
        <w:t>forma</w:t>
      </w:r>
      <w:r w:rsidRPr="00551729">
        <w:rPr>
          <w:spacing w:val="-4"/>
        </w:rPr>
        <w:t xml:space="preserve"> </w:t>
      </w:r>
      <w:r w:rsidRPr="00551729">
        <w:t>më</w:t>
      </w:r>
      <w:r w:rsidRPr="00551729">
        <w:rPr>
          <w:spacing w:val="-4"/>
        </w:rPr>
        <w:t xml:space="preserve"> </w:t>
      </w:r>
      <w:r w:rsidRPr="00551729">
        <w:t>e</w:t>
      </w:r>
      <w:r w:rsidRPr="00551729">
        <w:rPr>
          <w:spacing w:val="-2"/>
        </w:rPr>
        <w:t xml:space="preserve"> </w:t>
      </w:r>
      <w:r w:rsidRPr="00551729">
        <w:t>përshtatshme</w:t>
      </w:r>
      <w:r w:rsidRPr="00551729">
        <w:rPr>
          <w:spacing w:val="-4"/>
        </w:rPr>
        <w:t xml:space="preserve"> </w:t>
      </w:r>
      <w:r w:rsidRPr="00551729">
        <w:t>e</w:t>
      </w:r>
      <w:r w:rsidRPr="00551729">
        <w:rPr>
          <w:spacing w:val="-2"/>
        </w:rPr>
        <w:t xml:space="preserve"> </w:t>
      </w:r>
      <w:r w:rsidRPr="00551729">
        <w:t>zhvillimit</w:t>
      </w:r>
      <w:r w:rsidRPr="00551729">
        <w:rPr>
          <w:spacing w:val="-4"/>
        </w:rPr>
        <w:t xml:space="preserve"> </w:t>
      </w:r>
      <w:r w:rsidRPr="00551729">
        <w:t>të</w:t>
      </w:r>
      <w:r w:rsidRPr="00551729">
        <w:rPr>
          <w:spacing w:val="-2"/>
        </w:rPr>
        <w:t xml:space="preserve"> </w:t>
      </w:r>
      <w:r w:rsidRPr="00551729">
        <w:t>bujqësisë</w:t>
      </w:r>
      <w:r w:rsidRPr="00551729">
        <w:rPr>
          <w:spacing w:val="-2"/>
        </w:rPr>
        <w:t xml:space="preserve"> </w:t>
      </w:r>
      <w:r w:rsidRPr="00551729">
        <w:t>në</w:t>
      </w:r>
      <w:r w:rsidRPr="00551729">
        <w:rPr>
          <w:spacing w:val="-4"/>
        </w:rPr>
        <w:t xml:space="preserve"> </w:t>
      </w:r>
      <w:r w:rsidRPr="00551729">
        <w:t>zonën</w:t>
      </w:r>
      <w:r w:rsidRPr="00551729">
        <w:rPr>
          <w:spacing w:val="-2"/>
        </w:rPr>
        <w:t xml:space="preserve"> </w:t>
      </w:r>
      <w:r w:rsidRPr="00551729">
        <w:t>e</w:t>
      </w:r>
      <w:r w:rsidRPr="00551729">
        <w:rPr>
          <w:spacing w:val="-4"/>
        </w:rPr>
        <w:t xml:space="preserve"> </w:t>
      </w:r>
      <w:r w:rsidRPr="00551729">
        <w:t>programit.</w:t>
      </w:r>
    </w:p>
    <w:p w14:paraId="1BADCDF7" w14:textId="5FFF8EB7" w:rsidR="00500457" w:rsidRPr="00551729" w:rsidRDefault="003B6021" w:rsidP="00733062">
      <w:pPr>
        <w:pStyle w:val="TEKSTIII"/>
        <w:rPr>
          <w:b/>
        </w:rPr>
      </w:pPr>
      <w:bookmarkStart w:id="40" w:name="_bookmark38"/>
      <w:bookmarkEnd w:id="40"/>
      <w:r>
        <w:rPr>
          <w:b/>
        </w:rPr>
        <w:t>2</w:t>
      </w:r>
      <w:r w:rsidR="00481D46" w:rsidRPr="00551729">
        <w:rPr>
          <w:b/>
        </w:rPr>
        <w:t xml:space="preserve">.2.4 </w:t>
      </w:r>
      <w:r w:rsidR="00500457" w:rsidRPr="00551729">
        <w:rPr>
          <w:b/>
        </w:rPr>
        <w:t>Turizmi</w:t>
      </w:r>
    </w:p>
    <w:p w14:paraId="1BADCDF8" w14:textId="410A8645" w:rsidR="00500457" w:rsidRPr="00551729" w:rsidRDefault="00500457" w:rsidP="00733062">
      <w:pPr>
        <w:pStyle w:val="TEKSTIII"/>
      </w:pPr>
      <w:r w:rsidRPr="00551729">
        <w:t>Rëndësia e turizmit është e ndryshme për ekonomitë e Malit të Zi dhe Shqipërisë. Mali i Zi është tashmë një destinacion i popullarizuar turistik, ndërsa Shqipëria ka ende shumë për të bërë, për t</w:t>
      </w:r>
      <w:r w:rsidR="002F2528">
        <w:t>’</w:t>
      </w:r>
      <w:r w:rsidRPr="00551729">
        <w:t>u bërë një destinacion i tillë.</w:t>
      </w:r>
    </w:p>
    <w:p w14:paraId="1BADCDF9" w14:textId="21E2B716" w:rsidR="00500457" w:rsidRPr="00551729" w:rsidRDefault="00500457" w:rsidP="00481D46">
      <w:pPr>
        <w:pStyle w:val="TEKSTIII"/>
      </w:pPr>
      <w:r w:rsidRPr="00551729">
        <w:t xml:space="preserve">Në </w:t>
      </w:r>
      <w:r w:rsidRPr="00551729">
        <w:rPr>
          <w:b/>
        </w:rPr>
        <w:t>Mal të Zi</w:t>
      </w:r>
      <w:r w:rsidRPr="00551729">
        <w:t>, turizmi është një sektor kryesor i ekonomisë, i cili përbën rreth 9.9% të GDP-së së vendit në vitin 2012, ose rreth 336 milion</w:t>
      </w:r>
      <w:r w:rsidR="005E2A40">
        <w:t>ë</w:t>
      </w:r>
      <w:r w:rsidRPr="00551729">
        <w:t xml:space="preserve"> </w:t>
      </w:r>
      <w:r w:rsidR="005E2A40" w:rsidRPr="00551729">
        <w:t>euro</w:t>
      </w:r>
      <w:r w:rsidRPr="00551729">
        <w:t>, që është 20.7% më i lartë se në vitin 2011</w:t>
      </w:r>
      <w:r w:rsidR="00481D46" w:rsidRPr="00551729">
        <w:rPr>
          <w:rStyle w:val="FootnoteReference"/>
        </w:rPr>
        <w:footnoteReference w:id="60"/>
      </w:r>
      <w:r w:rsidRPr="00551729">
        <w:t>. Turizmi punëson rreth</w:t>
      </w:r>
      <w:r w:rsidR="00481D46" w:rsidRPr="00551729">
        <w:t xml:space="preserve"> </w:t>
      </w:r>
      <w:r w:rsidRPr="00551729">
        <w:t xml:space="preserve">12.000 persona, ose 6.9% të punësimit të përgjithshëm në vitin 2012. Ai është sektori më premtues ekonomik në Mal të Zi, dhe pritet që të përbëjë rreth 14.8% të GDP-së së vendit në vitin 2021, veçanërisht në qoftë se përpjekjet për </w:t>
      </w:r>
      <w:r w:rsidR="00C521D5" w:rsidRPr="00551729">
        <w:t>“</w:t>
      </w:r>
      <w:r w:rsidRPr="00551729">
        <w:t>integrimin e të gjitha rajoneve në një destinacion të vetëm me cilësi të lartë</w:t>
      </w:r>
      <w:r w:rsidR="00C521D5" w:rsidRPr="00551729">
        <w:t>”</w:t>
      </w:r>
      <w:r w:rsidRPr="00551729">
        <w:t xml:space="preserve"> nën markën </w:t>
      </w:r>
      <w:r w:rsidR="00C521D5" w:rsidRPr="00551729">
        <w:t>“</w:t>
      </w:r>
      <w:r w:rsidRPr="00551729">
        <w:t>Mali i Zi</w:t>
      </w:r>
      <w:r w:rsidR="00BD3F25">
        <w:t>–</w:t>
      </w:r>
      <w:r w:rsidRPr="00551729">
        <w:t>Bukuria e Egër</w:t>
      </w:r>
      <w:r w:rsidR="00C521D5" w:rsidRPr="00551729">
        <w:t>”</w:t>
      </w:r>
      <w:r w:rsidR="00481D46" w:rsidRPr="00551729">
        <w:rPr>
          <w:rStyle w:val="FootnoteReference"/>
        </w:rPr>
        <w:footnoteReference w:id="61"/>
      </w:r>
      <w:r w:rsidRPr="00551729">
        <w:rPr>
          <w:position w:val="10"/>
        </w:rPr>
        <w:t xml:space="preserve"> </w:t>
      </w:r>
      <w:r w:rsidRPr="00551729">
        <w:t>dalin me sukses. Një objektivi i tillë politik synon të sigurojë një zhvillim të përgjithshëm më të ekuilibruar të rajoneve të Malit të Zi, në veçanti në sektorin e turizmit, i cili mbështetet kryesisht në turizmin bregdetar gjatë kohës së verës.</w:t>
      </w:r>
    </w:p>
    <w:p w14:paraId="1BADCDFA" w14:textId="446F2FB3" w:rsidR="00500457" w:rsidRPr="00551729" w:rsidRDefault="00500457" w:rsidP="00481D46">
      <w:pPr>
        <w:pStyle w:val="TEKSTIII"/>
      </w:pPr>
      <w:r w:rsidRPr="00551729">
        <w:t>Zona e programit në kufi me Shqipërinë, ofron një shumëllojshmëri të destinacioneve turistike, duke ofruar aktivitete të turizmit bregdetar dhe malor të tilla si noti, ecja në natyrë, çiklizmi, si dhe shijimi i pijes së verës. Rajoni bregdetar në zonën e programit përbën më shumë se 69% të totalit të qëndrimeve me fjetje në vend në vitin 2012</w:t>
      </w:r>
      <w:r w:rsidR="00481D46" w:rsidRPr="00551729">
        <w:rPr>
          <w:rStyle w:val="FootnoteReference"/>
        </w:rPr>
        <w:footnoteReference w:id="62"/>
      </w:r>
      <w:r w:rsidRPr="00551729">
        <w:t>, kryesisht në periudhën e pushimeve Korrik-Gusht. Bregdeti i zonës së programit tërhoqi rreth 67.5% të totalit prej 1,44 milionë turistë</w:t>
      </w:r>
      <w:r w:rsidR="008127F3">
        <w:t>sh</w:t>
      </w:r>
      <w:r w:rsidRPr="00551729">
        <w:t xml:space="preserve"> që hynë në Malin e Zi në vitin 2012. 160</w:t>
      </w:r>
      <w:r w:rsidR="00481D46" w:rsidRPr="00551729">
        <w:t xml:space="preserve"> </w:t>
      </w:r>
      <w:r w:rsidRPr="00551729">
        <w:t xml:space="preserve">objekte akomoduese bregdetare që gjenden në zonën e programit përbëjnë rreth 49% të totalit të mjediseve akomoduese në Mal të Zi, ndërsa në zonën e programit ndodhen edhe rreth 30% e objekteve akomoduese të zonave jobregdetare të vendit. Ture të verës organizohen në Podgoricë dhe vreshtat e bashkive jugore. Pavarësisht nivelit të ulët aktual të vizitave turistike, rajoni kontinental ka përparësi të shumta për zhvillimin e të gjitha llojeve të turizmit të lidhura me sportet malore (ski, ecje, çiklizëm, </w:t>
      </w:r>
      <w:r w:rsidRPr="003B6021">
        <w:rPr>
          <w:i/>
        </w:rPr>
        <w:t>rafting</w:t>
      </w:r>
      <w:r w:rsidRPr="00551729">
        <w:t xml:space="preserve"> etj.), duke përmendur natyrën e paprekur dhe biodiversitetin e pasur (dy parqe kombëtare, liqene, kanione</w:t>
      </w:r>
      <w:r w:rsidR="00B65E6C">
        <w:t xml:space="preserve"> etj</w:t>
      </w:r>
      <w:r w:rsidRPr="00551729">
        <w:t>.), jetën autentike rurale, dhe prodhimin tradicional dhe cilësor të ushqimit.</w:t>
      </w:r>
    </w:p>
    <w:p w14:paraId="1BADCDFB" w14:textId="77777777" w:rsidR="00500457" w:rsidRPr="00551729" w:rsidRDefault="00500457" w:rsidP="00481D46">
      <w:pPr>
        <w:pStyle w:val="TEKSTIII"/>
      </w:pPr>
      <w:r w:rsidRPr="00551729">
        <w:t>Bashkitë bregdetare në zonën e programit janë gjithashtu të pasura me monumente arkitekturore dhe kulturore nga kohët antike, të cilat i bëjnë këto zona shumë tërheqëse për turistët. Tivari është një qytet-port i njohur edhe për shumë monumente të rëndësishme historike dhe kulturore.</w:t>
      </w:r>
    </w:p>
    <w:p w14:paraId="1BADCDFC" w14:textId="24DC24A8" w:rsidR="00500457" w:rsidRPr="00551729" w:rsidRDefault="00500457" w:rsidP="00481D46">
      <w:pPr>
        <w:pStyle w:val="TEKSTIII"/>
      </w:pPr>
      <w:r w:rsidRPr="00551729">
        <w:t xml:space="preserve">Sektori i turizmit është më pak i rëndësishëm në pjesën </w:t>
      </w:r>
      <w:r w:rsidRPr="00551729">
        <w:rPr>
          <w:b/>
        </w:rPr>
        <w:t xml:space="preserve">shqiptare </w:t>
      </w:r>
      <w:r w:rsidRPr="00551729">
        <w:t>të zonës së programit, në krahasim me anën malazeze. Zona e programit ka një natyrë të gjerë, me potencial për turizëm kulturor dhe historik, për mbetet e pashfrytëzuar në një masë të madhe. Ajo ka një vijë bregdetare 50 km të gjatë (12 km Velipojë</w:t>
      </w:r>
      <w:r w:rsidR="00A71F17">
        <w:t>–</w:t>
      </w:r>
      <w:r w:rsidRPr="00551729">
        <w:t>Shkodër dhe 38 km Lezha), e përshtatshme për zhvillimin e mëtejshëm të turizmit bregdetar. Përmirësimet e kohëve të fundit në infrastrukturën rrugore e kanë bërë këtë bregdet lehtësisht të arritshëm, veçanërisht nga turistët nga Kosova dhe Maqedonia. Strukturat ekzistuese pritëse, kryesisht në pronësi private, kanë vështirësi për të përballuar numrin në rritje të turistëve, veçanërisht në Shëngjin-Lezhë. Rrethi i Tropojës, edhe pse ka potencial të konsiderueshëm për turizmin malor dhe sportet (ski, ecje, çiklizëm</w:t>
      </w:r>
      <w:r w:rsidR="00B65E6C">
        <w:t xml:space="preserve"> etj</w:t>
      </w:r>
      <w:r w:rsidRPr="00551729">
        <w:t xml:space="preserve">.), natyrë të paprekur dhe biodiversitet të pasur (të parkut kombëtar të Luginës së Valbonës, </w:t>
      </w:r>
      <w:r w:rsidR="00C521D5" w:rsidRPr="00551729">
        <w:t>“</w:t>
      </w:r>
      <w:r w:rsidRPr="00551729">
        <w:t>Bjeshkët e Nemuna</w:t>
      </w:r>
      <w:r w:rsidR="00C521D5" w:rsidRPr="00551729">
        <w:t>”</w:t>
      </w:r>
      <w:r w:rsidRPr="00551729">
        <w:t xml:space="preserve"> dhe </w:t>
      </w:r>
      <w:r w:rsidR="00C521D5" w:rsidRPr="00551729">
        <w:t>“</w:t>
      </w:r>
      <w:r w:rsidRPr="00551729">
        <w:t>Bjeshkët e Doberdolit, të cilat kanë liqene akullnajore</w:t>
      </w:r>
      <w:r w:rsidR="00C521D5" w:rsidRPr="00551729">
        <w:t>”</w:t>
      </w:r>
      <w:r w:rsidRPr="00551729">
        <w:t>), dhe jetë autentike rurale, ofron shumë pak në drejtim të strukturave pritëse. Pavarësisht përmirësimeve gjatë viteve të fundit, infrastruktura e turizmit mbetet e pazhvilluar sa duhet, dhe potenciali ekzistues i pasur me burime natyrore dhe kulturore ende duhet të</w:t>
      </w:r>
      <w:r w:rsidRPr="00551729">
        <w:rPr>
          <w:spacing w:val="-24"/>
        </w:rPr>
        <w:t xml:space="preserve"> </w:t>
      </w:r>
      <w:r w:rsidRPr="00551729">
        <w:t>shpaloset.</w:t>
      </w:r>
    </w:p>
    <w:p w14:paraId="1BADCDFD" w14:textId="3ED19B38" w:rsidR="00500457" w:rsidRPr="00551729" w:rsidRDefault="00500457" w:rsidP="00481D46">
      <w:pPr>
        <w:pStyle w:val="TEKSTIII"/>
      </w:pPr>
      <w:r w:rsidRPr="00551729">
        <w:t>Rajonet e Shkodrës dhe Lezhës, si dhe rrethi i Tropojës kanë potencial të lartë individual për zhvillimin e një turizmi përgjatë gjithë vitit. Natyra atraktive dhe panoramat e natyrës malore dhe kodrinore, si dhe liqeni i Shkodrës, lugina e Valbonës në Tropojë dhe parqet e tjera kombëtare, dhe zonat e mbrojtura; vizitat turistike (peizazhet natyrore, speciet e rralla</w:t>
      </w:r>
      <w:r w:rsidR="00B65E6C">
        <w:t xml:space="preserve"> etj</w:t>
      </w:r>
      <w:r w:rsidR="008B6554">
        <w:t>.); agro</w:t>
      </w:r>
      <w:r w:rsidRPr="00551729">
        <w:t>turizmi, vendet me interes historik dhe kulturor, të tilla si vendbanimet parahistorike, qendrat arkeologjike, objektet e kultit, duhet të promovohen më mirë për një zhvillim më të shpejtë të turizmit në bregdetin e Shkodrës (Velipojë), dhe kryesisht në Lezhë (Shëngjin).</w:t>
      </w:r>
    </w:p>
    <w:p w14:paraId="1BADCDFF" w14:textId="77777777" w:rsidR="00500457" w:rsidRPr="00551729" w:rsidRDefault="007A7983" w:rsidP="00481D46">
      <w:pPr>
        <w:pStyle w:val="TEKSTIII"/>
        <w:rPr>
          <w:b/>
        </w:rPr>
      </w:pPr>
      <w:bookmarkStart w:id="41" w:name="_bookmark39"/>
      <w:bookmarkEnd w:id="41"/>
      <w:r w:rsidRPr="00551729">
        <w:rPr>
          <w:b/>
        </w:rPr>
        <w:t xml:space="preserve">2.3 </w:t>
      </w:r>
      <w:r w:rsidR="00500457" w:rsidRPr="00551729">
        <w:rPr>
          <w:b/>
        </w:rPr>
        <w:t>SOCIALE</w:t>
      </w:r>
    </w:p>
    <w:p w14:paraId="1BADCE00" w14:textId="77777777" w:rsidR="00500457" w:rsidRPr="00551729" w:rsidRDefault="007A7983" w:rsidP="00481D46">
      <w:pPr>
        <w:pStyle w:val="TEKSTIII"/>
        <w:rPr>
          <w:b/>
        </w:rPr>
      </w:pPr>
      <w:bookmarkStart w:id="42" w:name="_bookmark40"/>
      <w:bookmarkEnd w:id="42"/>
      <w:r w:rsidRPr="00551729">
        <w:rPr>
          <w:b/>
        </w:rPr>
        <w:t xml:space="preserve">2.3.1 </w:t>
      </w:r>
      <w:r w:rsidR="00500457" w:rsidRPr="00551729">
        <w:rPr>
          <w:b/>
        </w:rPr>
        <w:t>Demografia</w:t>
      </w:r>
    </w:p>
    <w:p w14:paraId="1BADCE01" w14:textId="438B7961" w:rsidR="00500457" w:rsidRPr="00551729" w:rsidRDefault="00500457" w:rsidP="00481D46">
      <w:pPr>
        <w:pStyle w:val="TEKSTIII"/>
      </w:pPr>
      <w:r w:rsidRPr="00551729">
        <w:t>Si në Shqipëri, ashtu edhe në Malin e Zi, gjatë vitit 2011 u realizua një census. Ndërkohë</w:t>
      </w:r>
      <w:r w:rsidR="0090322E">
        <w:t>,</w:t>
      </w:r>
      <w:r w:rsidRPr="00551729">
        <w:t xml:space="preserve"> që popullsia e regjistruar në Malin e Zi tregoi ndryshime të papërfillshme, popullsia e regjistruar në Shqipëri ka rënë</w:t>
      </w:r>
      <w:r w:rsidR="00C521D5" w:rsidRPr="00551729">
        <w:t xml:space="preserve"> </w:t>
      </w:r>
      <w:r w:rsidRPr="00551729">
        <w:t xml:space="preserve">me 8.8% në vitin 2011 krahasuar me </w:t>
      </w:r>
      <w:r w:rsidR="0090322E" w:rsidRPr="00551729">
        <w:t xml:space="preserve">censusin </w:t>
      </w:r>
      <w:r w:rsidRPr="00551729">
        <w:t>e vitit</w:t>
      </w:r>
      <w:r w:rsidRPr="00551729">
        <w:rPr>
          <w:spacing w:val="-20"/>
        </w:rPr>
        <w:t xml:space="preserve"> </w:t>
      </w:r>
      <w:r w:rsidRPr="00551729">
        <w:t>2001.</w:t>
      </w:r>
    </w:p>
    <w:p w14:paraId="1BADCE02" w14:textId="77777777" w:rsidR="00500457" w:rsidRPr="00551729" w:rsidRDefault="00500457" w:rsidP="00500457">
      <w:pPr>
        <w:widowControl w:val="0"/>
        <w:spacing w:before="122"/>
        <w:ind w:left="140" w:firstLine="284"/>
        <w:jc w:val="both"/>
        <w:rPr>
          <w:rFonts w:ascii="Garamond" w:hAnsi="Garamond"/>
          <w:b/>
          <w:sz w:val="24"/>
          <w:szCs w:val="24"/>
        </w:rPr>
      </w:pPr>
      <w:r w:rsidRPr="00551729">
        <w:rPr>
          <w:rFonts w:ascii="Garamond" w:hAnsi="Garamond"/>
          <w:b/>
          <w:sz w:val="24"/>
          <w:szCs w:val="24"/>
        </w:rPr>
        <w:t>Tabela 2. Popullsia dhe dendësia në zonën e programit</w:t>
      </w:r>
    </w:p>
    <w:tbl>
      <w:tblPr>
        <w:tblW w:w="0" w:type="auto"/>
        <w:jc w:val="center"/>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950"/>
        <w:gridCol w:w="1864"/>
        <w:gridCol w:w="2976"/>
      </w:tblGrid>
      <w:tr w:rsidR="00500457" w:rsidRPr="00551729" w14:paraId="1BADCE07" w14:textId="77777777" w:rsidTr="0090322E">
        <w:trPr>
          <w:trHeight w:hRule="exact" w:val="338"/>
          <w:jc w:val="center"/>
        </w:trPr>
        <w:tc>
          <w:tcPr>
            <w:tcW w:w="3950" w:type="dxa"/>
            <w:tcBorders>
              <w:bottom w:val="single" w:sz="1" w:space="0" w:color="FCE9D9"/>
            </w:tcBorders>
            <w:shd w:val="clear" w:color="auto" w:fill="348DA4"/>
          </w:tcPr>
          <w:p w14:paraId="1BADCE04" w14:textId="77777777" w:rsidR="00500457" w:rsidRPr="00551729" w:rsidRDefault="00500457" w:rsidP="007A7983">
            <w:pPr>
              <w:widowControl w:val="0"/>
              <w:spacing w:after="0" w:line="240" w:lineRule="auto"/>
              <w:rPr>
                <w:rFonts w:ascii="Garamond" w:hAnsi="Garamond"/>
                <w:sz w:val="18"/>
                <w:szCs w:val="24"/>
              </w:rPr>
            </w:pPr>
          </w:p>
        </w:tc>
        <w:tc>
          <w:tcPr>
            <w:tcW w:w="1864" w:type="dxa"/>
            <w:tcBorders>
              <w:bottom w:val="single" w:sz="1" w:space="0" w:color="FCE9D9"/>
            </w:tcBorders>
            <w:shd w:val="clear" w:color="auto" w:fill="348DA4"/>
            <w:vAlign w:val="center"/>
          </w:tcPr>
          <w:p w14:paraId="1BADCE05" w14:textId="77777777" w:rsidR="00500457" w:rsidRPr="00551729" w:rsidRDefault="00500457" w:rsidP="0090322E">
            <w:pPr>
              <w:pStyle w:val="TableParagraph"/>
              <w:jc w:val="center"/>
              <w:rPr>
                <w:rFonts w:ascii="Garamond" w:hAnsi="Garamond"/>
                <w:b/>
                <w:sz w:val="18"/>
                <w:szCs w:val="24"/>
                <w:lang w:val="sq-AL"/>
              </w:rPr>
            </w:pPr>
            <w:r w:rsidRPr="00551729">
              <w:rPr>
                <w:rFonts w:ascii="Garamond" w:hAnsi="Garamond"/>
                <w:b/>
                <w:sz w:val="18"/>
                <w:szCs w:val="24"/>
                <w:lang w:val="sq-AL"/>
              </w:rPr>
              <w:t>Banorë</w:t>
            </w:r>
          </w:p>
        </w:tc>
        <w:tc>
          <w:tcPr>
            <w:tcW w:w="2976" w:type="dxa"/>
            <w:tcBorders>
              <w:bottom w:val="single" w:sz="1" w:space="0" w:color="FCE9D9"/>
            </w:tcBorders>
            <w:shd w:val="clear" w:color="auto" w:fill="348DA4"/>
            <w:vAlign w:val="center"/>
          </w:tcPr>
          <w:p w14:paraId="1BADCE06" w14:textId="77777777" w:rsidR="00500457" w:rsidRPr="00551729" w:rsidRDefault="00500457" w:rsidP="0090322E">
            <w:pPr>
              <w:pStyle w:val="TableParagraph"/>
              <w:jc w:val="center"/>
              <w:rPr>
                <w:rFonts w:ascii="Garamond" w:hAnsi="Garamond"/>
                <w:b/>
                <w:sz w:val="18"/>
                <w:szCs w:val="24"/>
                <w:lang w:val="sq-AL"/>
              </w:rPr>
            </w:pPr>
            <w:r w:rsidRPr="00551729">
              <w:rPr>
                <w:rFonts w:ascii="Garamond" w:hAnsi="Garamond"/>
                <w:b/>
                <w:sz w:val="18"/>
                <w:szCs w:val="24"/>
                <w:lang w:val="sq-AL"/>
              </w:rPr>
              <w:t>Dendësia banorë/km</w:t>
            </w:r>
            <w:r w:rsidRPr="0090322E">
              <w:rPr>
                <w:vertAlign w:val="superscript"/>
              </w:rPr>
              <w:t>2</w:t>
            </w:r>
          </w:p>
        </w:tc>
      </w:tr>
      <w:tr w:rsidR="00500457" w:rsidRPr="00551729" w14:paraId="1BADCE0B" w14:textId="77777777" w:rsidTr="00D0022F">
        <w:trPr>
          <w:trHeight w:hRule="exact" w:val="301"/>
          <w:jc w:val="center"/>
        </w:trPr>
        <w:tc>
          <w:tcPr>
            <w:tcW w:w="3950" w:type="dxa"/>
            <w:tcBorders>
              <w:top w:val="single" w:sz="14" w:space="0" w:color="348DA4"/>
            </w:tcBorders>
            <w:shd w:val="clear" w:color="auto" w:fill="FCE9D9"/>
          </w:tcPr>
          <w:p w14:paraId="1BADCE08" w14:textId="77777777" w:rsidR="00500457" w:rsidRPr="00551729" w:rsidRDefault="00500457" w:rsidP="007A7983">
            <w:pPr>
              <w:pStyle w:val="TableParagraph"/>
              <w:rPr>
                <w:rFonts w:ascii="Garamond" w:hAnsi="Garamond"/>
                <w:b/>
                <w:sz w:val="18"/>
                <w:szCs w:val="24"/>
                <w:lang w:val="sq-AL"/>
              </w:rPr>
            </w:pPr>
            <w:r w:rsidRPr="00551729">
              <w:rPr>
                <w:rFonts w:ascii="Garamond" w:hAnsi="Garamond"/>
                <w:b/>
                <w:sz w:val="18"/>
                <w:szCs w:val="24"/>
                <w:lang w:val="sq-AL"/>
              </w:rPr>
              <w:t>Mali i Zi</w:t>
            </w:r>
          </w:p>
        </w:tc>
        <w:tc>
          <w:tcPr>
            <w:tcW w:w="1864" w:type="dxa"/>
            <w:tcBorders>
              <w:top w:val="single" w:sz="14" w:space="0" w:color="348DA4"/>
            </w:tcBorders>
            <w:shd w:val="clear" w:color="auto" w:fill="FCE9D9"/>
          </w:tcPr>
          <w:p w14:paraId="1BADCE09"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620,029</w:t>
            </w:r>
          </w:p>
        </w:tc>
        <w:tc>
          <w:tcPr>
            <w:tcW w:w="2976" w:type="dxa"/>
            <w:tcBorders>
              <w:top w:val="single" w:sz="14" w:space="0" w:color="348DA4"/>
            </w:tcBorders>
            <w:shd w:val="clear" w:color="auto" w:fill="FCE9D9"/>
          </w:tcPr>
          <w:p w14:paraId="1BADCE0A"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44.89</w:t>
            </w:r>
          </w:p>
        </w:tc>
      </w:tr>
      <w:tr w:rsidR="00500457" w:rsidRPr="00551729" w14:paraId="1BADCE0F" w14:textId="77777777" w:rsidTr="00D0022F">
        <w:trPr>
          <w:trHeight w:hRule="exact" w:val="439"/>
          <w:jc w:val="center"/>
        </w:trPr>
        <w:tc>
          <w:tcPr>
            <w:tcW w:w="3950" w:type="dxa"/>
            <w:shd w:val="clear" w:color="auto" w:fill="FDF4EB"/>
          </w:tcPr>
          <w:p w14:paraId="1BADCE0C" w14:textId="4BD3D137" w:rsidR="00500457" w:rsidRPr="00551729" w:rsidRDefault="00500457" w:rsidP="007A7983">
            <w:pPr>
              <w:pStyle w:val="TableParagraph"/>
              <w:rPr>
                <w:rFonts w:ascii="Garamond" w:hAnsi="Garamond"/>
                <w:b/>
                <w:i/>
                <w:sz w:val="18"/>
                <w:szCs w:val="24"/>
                <w:lang w:val="sq-AL"/>
              </w:rPr>
            </w:pPr>
            <w:r w:rsidRPr="00551729">
              <w:rPr>
                <w:rFonts w:ascii="Garamond" w:hAnsi="Garamond"/>
                <w:b/>
                <w:i/>
                <w:sz w:val="18"/>
                <w:szCs w:val="24"/>
                <w:lang w:val="sq-AL"/>
              </w:rPr>
              <w:t xml:space="preserve">Zona e përgjithshme e </w:t>
            </w:r>
            <w:r w:rsidR="0090322E" w:rsidRPr="00551729">
              <w:rPr>
                <w:rFonts w:ascii="Garamond" w:hAnsi="Garamond"/>
                <w:b/>
                <w:i/>
                <w:sz w:val="18"/>
                <w:szCs w:val="24"/>
                <w:lang w:val="sq-AL"/>
              </w:rPr>
              <w:t>Programit</w:t>
            </w:r>
          </w:p>
        </w:tc>
        <w:tc>
          <w:tcPr>
            <w:tcW w:w="1864" w:type="dxa"/>
            <w:tcBorders>
              <w:top w:val="single" w:sz="30" w:space="0" w:color="FCE9D9"/>
            </w:tcBorders>
            <w:shd w:val="clear" w:color="auto" w:fill="FDF4EB"/>
          </w:tcPr>
          <w:p w14:paraId="1BADCE0D"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379,366</w:t>
            </w:r>
          </w:p>
        </w:tc>
        <w:tc>
          <w:tcPr>
            <w:tcW w:w="2976" w:type="dxa"/>
            <w:tcBorders>
              <w:top w:val="single" w:sz="30" w:space="0" w:color="FCE9D9"/>
            </w:tcBorders>
            <w:shd w:val="clear" w:color="auto" w:fill="FDF4EB"/>
          </w:tcPr>
          <w:p w14:paraId="1BADCE0E"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65.69</w:t>
            </w:r>
          </w:p>
        </w:tc>
      </w:tr>
      <w:tr w:rsidR="00500457" w:rsidRPr="00551729" w14:paraId="1BADCE13" w14:textId="77777777" w:rsidTr="00D0022F">
        <w:trPr>
          <w:trHeight w:hRule="exact" w:val="782"/>
          <w:jc w:val="center"/>
        </w:trPr>
        <w:tc>
          <w:tcPr>
            <w:tcW w:w="3950" w:type="dxa"/>
            <w:shd w:val="clear" w:color="auto" w:fill="FCE9D9"/>
          </w:tcPr>
          <w:p w14:paraId="1BADCE10" w14:textId="77777777" w:rsidR="00500457" w:rsidRPr="00551729" w:rsidRDefault="00500457" w:rsidP="007A7983">
            <w:pPr>
              <w:pStyle w:val="TableParagraph"/>
              <w:jc w:val="both"/>
              <w:rPr>
                <w:rFonts w:ascii="Garamond" w:hAnsi="Garamond"/>
                <w:b/>
                <w:sz w:val="18"/>
                <w:szCs w:val="24"/>
                <w:lang w:val="sq-AL"/>
              </w:rPr>
            </w:pPr>
            <w:r w:rsidRPr="00551729">
              <w:rPr>
                <w:rFonts w:ascii="Garamond" w:hAnsi="Garamond"/>
                <w:b/>
                <w:sz w:val="18"/>
                <w:szCs w:val="24"/>
                <w:lang w:val="sq-AL"/>
              </w:rPr>
              <w:t>Rozaje, Berane, Andrijevica, Plavë, Danilovgrad, Podgoricë, Bar, Ulqin, Cetinje, Budva, Petnjica, Guci</w:t>
            </w:r>
          </w:p>
        </w:tc>
        <w:tc>
          <w:tcPr>
            <w:tcW w:w="1864" w:type="dxa"/>
            <w:shd w:val="clear" w:color="auto" w:fill="FCE9D9"/>
          </w:tcPr>
          <w:p w14:paraId="1BADCE11"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379,366</w:t>
            </w:r>
          </w:p>
        </w:tc>
        <w:tc>
          <w:tcPr>
            <w:tcW w:w="2976" w:type="dxa"/>
            <w:shd w:val="clear" w:color="auto" w:fill="FCE9D9"/>
          </w:tcPr>
          <w:p w14:paraId="1BADCE12"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65.69</w:t>
            </w:r>
          </w:p>
        </w:tc>
      </w:tr>
      <w:tr w:rsidR="00500457" w:rsidRPr="00551729" w14:paraId="1BADCE15" w14:textId="77777777" w:rsidTr="00D0022F">
        <w:trPr>
          <w:trHeight w:hRule="exact" w:val="197"/>
          <w:jc w:val="center"/>
        </w:trPr>
        <w:tc>
          <w:tcPr>
            <w:tcW w:w="8790" w:type="dxa"/>
            <w:gridSpan w:val="3"/>
            <w:shd w:val="clear" w:color="auto" w:fill="FDF4EB"/>
          </w:tcPr>
          <w:p w14:paraId="1BADCE14" w14:textId="77777777" w:rsidR="00500457" w:rsidRPr="00551729" w:rsidRDefault="00500457" w:rsidP="007A7983">
            <w:pPr>
              <w:widowControl w:val="0"/>
              <w:spacing w:after="0" w:line="240" w:lineRule="auto"/>
              <w:rPr>
                <w:rFonts w:ascii="Garamond" w:hAnsi="Garamond"/>
                <w:sz w:val="18"/>
                <w:szCs w:val="24"/>
              </w:rPr>
            </w:pPr>
          </w:p>
        </w:tc>
      </w:tr>
      <w:tr w:rsidR="00500457" w:rsidRPr="00551729" w14:paraId="1BADCE19" w14:textId="77777777" w:rsidTr="00D0022F">
        <w:trPr>
          <w:trHeight w:hRule="exact" w:val="269"/>
          <w:jc w:val="center"/>
        </w:trPr>
        <w:tc>
          <w:tcPr>
            <w:tcW w:w="3950" w:type="dxa"/>
            <w:shd w:val="clear" w:color="auto" w:fill="FCE9D9"/>
          </w:tcPr>
          <w:p w14:paraId="1BADCE16" w14:textId="77777777" w:rsidR="00500457" w:rsidRPr="00551729" w:rsidRDefault="00500457" w:rsidP="007A7983">
            <w:pPr>
              <w:pStyle w:val="TableParagraph"/>
              <w:rPr>
                <w:rFonts w:ascii="Garamond" w:hAnsi="Garamond"/>
                <w:b/>
                <w:sz w:val="18"/>
                <w:szCs w:val="24"/>
                <w:lang w:val="sq-AL"/>
              </w:rPr>
            </w:pPr>
            <w:r w:rsidRPr="00551729">
              <w:rPr>
                <w:rFonts w:ascii="Garamond" w:hAnsi="Garamond"/>
                <w:b/>
                <w:sz w:val="18"/>
                <w:szCs w:val="24"/>
                <w:lang w:val="sq-AL"/>
              </w:rPr>
              <w:t>Shqipëria</w:t>
            </w:r>
          </w:p>
        </w:tc>
        <w:tc>
          <w:tcPr>
            <w:tcW w:w="1864" w:type="dxa"/>
            <w:shd w:val="clear" w:color="auto" w:fill="FCE9D9"/>
          </w:tcPr>
          <w:p w14:paraId="1BADCE17"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2,800,138</w:t>
            </w:r>
          </w:p>
        </w:tc>
        <w:tc>
          <w:tcPr>
            <w:tcW w:w="2976" w:type="dxa"/>
            <w:shd w:val="clear" w:color="auto" w:fill="FCE9D9"/>
          </w:tcPr>
          <w:p w14:paraId="1BADCE18"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97.40</w:t>
            </w:r>
          </w:p>
        </w:tc>
      </w:tr>
      <w:tr w:rsidR="00500457" w:rsidRPr="00551729" w14:paraId="1BADCE1D" w14:textId="77777777" w:rsidTr="00D0022F">
        <w:trPr>
          <w:trHeight w:hRule="exact" w:val="593"/>
          <w:jc w:val="center"/>
        </w:trPr>
        <w:tc>
          <w:tcPr>
            <w:tcW w:w="3950" w:type="dxa"/>
            <w:shd w:val="clear" w:color="auto" w:fill="FDF4EB"/>
          </w:tcPr>
          <w:p w14:paraId="1BADCE1A" w14:textId="77777777" w:rsidR="00500457" w:rsidRPr="00551729" w:rsidRDefault="00500457" w:rsidP="007A7983">
            <w:pPr>
              <w:pStyle w:val="TableParagraph"/>
              <w:rPr>
                <w:rFonts w:ascii="Garamond" w:hAnsi="Garamond"/>
                <w:b/>
                <w:i/>
                <w:sz w:val="18"/>
                <w:szCs w:val="24"/>
                <w:lang w:val="sq-AL"/>
              </w:rPr>
            </w:pPr>
            <w:r w:rsidRPr="00551729">
              <w:rPr>
                <w:rFonts w:ascii="Garamond" w:hAnsi="Garamond"/>
                <w:b/>
                <w:i/>
                <w:sz w:val="18"/>
                <w:szCs w:val="24"/>
                <w:lang w:val="sq-AL"/>
              </w:rPr>
              <w:t>Zona e përgjithshme e programit</w:t>
            </w:r>
          </w:p>
        </w:tc>
        <w:tc>
          <w:tcPr>
            <w:tcW w:w="1864" w:type="dxa"/>
            <w:tcBorders>
              <w:top w:val="single" w:sz="30" w:space="0" w:color="FCE9D9"/>
            </w:tcBorders>
            <w:shd w:val="clear" w:color="auto" w:fill="FDF4EB"/>
          </w:tcPr>
          <w:p w14:paraId="1BADCE1B"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369,891</w:t>
            </w:r>
          </w:p>
        </w:tc>
        <w:tc>
          <w:tcPr>
            <w:tcW w:w="2976" w:type="dxa"/>
            <w:tcBorders>
              <w:top w:val="single" w:sz="30" w:space="0" w:color="FCE9D9"/>
            </w:tcBorders>
            <w:shd w:val="clear" w:color="auto" w:fill="FDF4EB"/>
          </w:tcPr>
          <w:p w14:paraId="1BADCE1C" w14:textId="77777777" w:rsidR="00500457" w:rsidRPr="00551729" w:rsidRDefault="00500457" w:rsidP="0090322E">
            <w:pPr>
              <w:pStyle w:val="TableParagraph"/>
              <w:jc w:val="right"/>
              <w:rPr>
                <w:rFonts w:ascii="Garamond" w:hAnsi="Garamond"/>
                <w:b/>
                <w:sz w:val="18"/>
                <w:szCs w:val="24"/>
                <w:lang w:val="sq-AL"/>
              </w:rPr>
            </w:pPr>
            <w:r w:rsidRPr="00551729">
              <w:rPr>
                <w:rFonts w:ascii="Garamond" w:hAnsi="Garamond"/>
                <w:b/>
                <w:sz w:val="18"/>
                <w:szCs w:val="24"/>
                <w:lang w:val="sq-AL"/>
              </w:rPr>
              <w:t>59.4</w:t>
            </w:r>
          </w:p>
        </w:tc>
      </w:tr>
      <w:tr w:rsidR="00500457" w:rsidRPr="00551729" w14:paraId="1BADCE21" w14:textId="77777777" w:rsidTr="00D0022F">
        <w:trPr>
          <w:trHeight w:hRule="exact" w:val="194"/>
          <w:jc w:val="center"/>
        </w:trPr>
        <w:tc>
          <w:tcPr>
            <w:tcW w:w="3950" w:type="dxa"/>
            <w:shd w:val="clear" w:color="auto" w:fill="FCE9D9"/>
          </w:tcPr>
          <w:p w14:paraId="1BADCE1E" w14:textId="77777777" w:rsidR="00500457" w:rsidRPr="00551729" w:rsidRDefault="00500457" w:rsidP="007A7983">
            <w:pPr>
              <w:pStyle w:val="TableParagraph"/>
              <w:rPr>
                <w:rFonts w:ascii="Garamond" w:hAnsi="Garamond"/>
                <w:b/>
                <w:sz w:val="18"/>
                <w:szCs w:val="24"/>
                <w:lang w:val="sq-AL"/>
              </w:rPr>
            </w:pPr>
            <w:r w:rsidRPr="00551729">
              <w:rPr>
                <w:rFonts w:ascii="Garamond" w:hAnsi="Garamond"/>
                <w:b/>
                <w:sz w:val="18"/>
                <w:szCs w:val="24"/>
                <w:lang w:val="sq-AL"/>
              </w:rPr>
              <w:t>Rajoni Shkodër</w:t>
            </w:r>
          </w:p>
        </w:tc>
        <w:tc>
          <w:tcPr>
            <w:tcW w:w="1864" w:type="dxa"/>
            <w:shd w:val="clear" w:color="auto" w:fill="FCE9D9"/>
          </w:tcPr>
          <w:p w14:paraId="1BADCE1F" w14:textId="77777777" w:rsidR="00500457" w:rsidRPr="00551729" w:rsidRDefault="00500457" w:rsidP="0090322E">
            <w:pPr>
              <w:pStyle w:val="TableParagraph"/>
              <w:jc w:val="right"/>
              <w:rPr>
                <w:rFonts w:ascii="Garamond" w:hAnsi="Garamond"/>
                <w:sz w:val="18"/>
                <w:szCs w:val="24"/>
                <w:lang w:val="sq-AL"/>
              </w:rPr>
            </w:pPr>
            <w:r w:rsidRPr="00551729">
              <w:rPr>
                <w:rFonts w:ascii="Garamond" w:hAnsi="Garamond"/>
                <w:sz w:val="18"/>
                <w:szCs w:val="24"/>
                <w:lang w:val="sq-AL"/>
              </w:rPr>
              <w:t>215,347</w:t>
            </w:r>
          </w:p>
        </w:tc>
        <w:tc>
          <w:tcPr>
            <w:tcW w:w="2976" w:type="dxa"/>
            <w:shd w:val="clear" w:color="auto" w:fill="FCE9D9"/>
          </w:tcPr>
          <w:p w14:paraId="1BADCE20" w14:textId="77777777" w:rsidR="00500457" w:rsidRPr="00551729" w:rsidRDefault="00500457" w:rsidP="0090322E">
            <w:pPr>
              <w:pStyle w:val="TableParagraph"/>
              <w:jc w:val="right"/>
              <w:rPr>
                <w:rFonts w:ascii="Garamond" w:hAnsi="Garamond"/>
                <w:sz w:val="18"/>
                <w:szCs w:val="24"/>
                <w:lang w:val="sq-AL"/>
              </w:rPr>
            </w:pPr>
            <w:r w:rsidRPr="00551729">
              <w:rPr>
                <w:rFonts w:ascii="Garamond" w:hAnsi="Garamond"/>
                <w:sz w:val="18"/>
                <w:szCs w:val="24"/>
                <w:lang w:val="sq-AL"/>
              </w:rPr>
              <w:t>60.46</w:t>
            </w:r>
          </w:p>
        </w:tc>
      </w:tr>
      <w:tr w:rsidR="00500457" w:rsidRPr="00551729" w14:paraId="1BADCE25" w14:textId="77777777" w:rsidTr="00D0022F">
        <w:trPr>
          <w:trHeight w:hRule="exact" w:val="209"/>
          <w:jc w:val="center"/>
        </w:trPr>
        <w:tc>
          <w:tcPr>
            <w:tcW w:w="3950" w:type="dxa"/>
            <w:shd w:val="clear" w:color="auto" w:fill="FDF4EB"/>
          </w:tcPr>
          <w:p w14:paraId="1BADCE22" w14:textId="77777777" w:rsidR="00500457" w:rsidRPr="00551729" w:rsidRDefault="00500457" w:rsidP="007A7983">
            <w:pPr>
              <w:pStyle w:val="TableParagraph"/>
              <w:rPr>
                <w:rFonts w:ascii="Garamond" w:hAnsi="Garamond"/>
                <w:b/>
                <w:sz w:val="18"/>
                <w:szCs w:val="24"/>
                <w:lang w:val="sq-AL"/>
              </w:rPr>
            </w:pPr>
            <w:r w:rsidRPr="00551729">
              <w:rPr>
                <w:rFonts w:ascii="Garamond" w:hAnsi="Garamond"/>
                <w:b/>
                <w:sz w:val="18"/>
                <w:szCs w:val="24"/>
                <w:lang w:val="sq-AL"/>
              </w:rPr>
              <w:t>Rajoni Lezhë</w:t>
            </w:r>
          </w:p>
        </w:tc>
        <w:tc>
          <w:tcPr>
            <w:tcW w:w="1864" w:type="dxa"/>
            <w:shd w:val="clear" w:color="auto" w:fill="FDF4EB"/>
          </w:tcPr>
          <w:p w14:paraId="1BADCE23" w14:textId="77777777" w:rsidR="00500457" w:rsidRPr="00551729" w:rsidRDefault="00500457" w:rsidP="0090322E">
            <w:pPr>
              <w:pStyle w:val="TableParagraph"/>
              <w:jc w:val="right"/>
              <w:rPr>
                <w:rFonts w:ascii="Garamond" w:hAnsi="Garamond"/>
                <w:sz w:val="18"/>
                <w:szCs w:val="24"/>
                <w:lang w:val="sq-AL"/>
              </w:rPr>
            </w:pPr>
            <w:r w:rsidRPr="00551729">
              <w:rPr>
                <w:rFonts w:ascii="Garamond" w:hAnsi="Garamond"/>
                <w:sz w:val="18"/>
                <w:szCs w:val="24"/>
                <w:lang w:val="sq-AL"/>
              </w:rPr>
              <w:t>134,027</w:t>
            </w:r>
          </w:p>
        </w:tc>
        <w:tc>
          <w:tcPr>
            <w:tcW w:w="2976" w:type="dxa"/>
            <w:shd w:val="clear" w:color="auto" w:fill="FDF4EB"/>
          </w:tcPr>
          <w:p w14:paraId="1BADCE24" w14:textId="77777777" w:rsidR="00500457" w:rsidRPr="00551729" w:rsidRDefault="00500457" w:rsidP="0090322E">
            <w:pPr>
              <w:pStyle w:val="TableParagraph"/>
              <w:jc w:val="right"/>
              <w:rPr>
                <w:rFonts w:ascii="Garamond" w:hAnsi="Garamond"/>
                <w:sz w:val="18"/>
                <w:szCs w:val="24"/>
                <w:lang w:val="sq-AL"/>
              </w:rPr>
            </w:pPr>
            <w:r w:rsidRPr="00551729">
              <w:rPr>
                <w:rFonts w:ascii="Garamond" w:hAnsi="Garamond"/>
                <w:sz w:val="18"/>
                <w:szCs w:val="24"/>
                <w:lang w:val="sq-AL"/>
              </w:rPr>
              <w:t>82.70</w:t>
            </w:r>
          </w:p>
        </w:tc>
      </w:tr>
      <w:tr w:rsidR="00500457" w:rsidRPr="00551729" w14:paraId="1BADCE29" w14:textId="77777777" w:rsidTr="00D0022F">
        <w:trPr>
          <w:trHeight w:hRule="exact" w:val="182"/>
          <w:jc w:val="center"/>
        </w:trPr>
        <w:tc>
          <w:tcPr>
            <w:tcW w:w="3950" w:type="dxa"/>
            <w:shd w:val="clear" w:color="auto" w:fill="FDF4EB"/>
          </w:tcPr>
          <w:p w14:paraId="1BADCE26" w14:textId="77777777" w:rsidR="00500457" w:rsidRPr="00551729" w:rsidRDefault="00500457" w:rsidP="007A7983">
            <w:pPr>
              <w:pStyle w:val="TableParagraph"/>
              <w:rPr>
                <w:rFonts w:ascii="Garamond" w:hAnsi="Garamond"/>
                <w:b/>
                <w:sz w:val="18"/>
                <w:szCs w:val="24"/>
                <w:lang w:val="sq-AL"/>
              </w:rPr>
            </w:pPr>
            <w:r w:rsidRPr="00551729">
              <w:rPr>
                <w:rFonts w:ascii="Garamond" w:hAnsi="Garamond"/>
                <w:b/>
                <w:sz w:val="18"/>
                <w:szCs w:val="24"/>
                <w:lang w:val="sq-AL"/>
              </w:rPr>
              <w:t>Qarku Tropojë</w:t>
            </w:r>
          </w:p>
        </w:tc>
        <w:tc>
          <w:tcPr>
            <w:tcW w:w="1864" w:type="dxa"/>
            <w:shd w:val="clear" w:color="auto" w:fill="FDF4EB"/>
          </w:tcPr>
          <w:p w14:paraId="1BADCE27" w14:textId="77777777" w:rsidR="00500457" w:rsidRPr="00551729" w:rsidRDefault="00500457" w:rsidP="0090322E">
            <w:pPr>
              <w:pStyle w:val="TableParagraph"/>
              <w:jc w:val="right"/>
              <w:rPr>
                <w:rFonts w:ascii="Garamond" w:hAnsi="Garamond"/>
                <w:sz w:val="18"/>
                <w:szCs w:val="24"/>
                <w:lang w:val="sq-AL"/>
              </w:rPr>
            </w:pPr>
            <w:r w:rsidRPr="00551729">
              <w:rPr>
                <w:rFonts w:ascii="Garamond" w:hAnsi="Garamond"/>
                <w:sz w:val="18"/>
                <w:szCs w:val="24"/>
                <w:lang w:val="sq-AL"/>
              </w:rPr>
              <w:t>20,517</w:t>
            </w:r>
          </w:p>
        </w:tc>
        <w:tc>
          <w:tcPr>
            <w:tcW w:w="2976" w:type="dxa"/>
            <w:shd w:val="clear" w:color="auto" w:fill="FDF4EB"/>
          </w:tcPr>
          <w:p w14:paraId="1BADCE28" w14:textId="77777777" w:rsidR="00500457" w:rsidRPr="00551729" w:rsidRDefault="00500457" w:rsidP="0090322E">
            <w:pPr>
              <w:pStyle w:val="TableParagraph"/>
              <w:jc w:val="right"/>
              <w:rPr>
                <w:rFonts w:ascii="Garamond" w:hAnsi="Garamond"/>
                <w:sz w:val="18"/>
                <w:szCs w:val="24"/>
                <w:lang w:val="sq-AL"/>
              </w:rPr>
            </w:pPr>
            <w:r w:rsidRPr="00551729">
              <w:rPr>
                <w:rFonts w:ascii="Garamond" w:hAnsi="Garamond"/>
                <w:sz w:val="18"/>
                <w:szCs w:val="24"/>
                <w:lang w:val="sq-AL"/>
              </w:rPr>
              <w:t>19</w:t>
            </w:r>
          </w:p>
        </w:tc>
      </w:tr>
    </w:tbl>
    <w:p w14:paraId="1BADCE2A" w14:textId="77777777" w:rsidR="00500457" w:rsidRPr="00551729" w:rsidRDefault="00500457" w:rsidP="00500457">
      <w:pPr>
        <w:pStyle w:val="BodyText"/>
        <w:ind w:firstLine="284"/>
        <w:rPr>
          <w:rFonts w:ascii="Garamond" w:hAnsi="Garamond"/>
          <w:b/>
          <w:sz w:val="24"/>
          <w:szCs w:val="24"/>
          <w:lang w:val="sq-AL"/>
        </w:rPr>
      </w:pPr>
    </w:p>
    <w:p w14:paraId="1BADCE2B" w14:textId="1C5194E5" w:rsidR="00500457" w:rsidRPr="00551729" w:rsidRDefault="00500457" w:rsidP="007A7983">
      <w:pPr>
        <w:pStyle w:val="TEKSTIII"/>
      </w:pPr>
      <w:r w:rsidRPr="00551729">
        <w:t>Popullsia që jeton në zonën e programit llogaritet të përbëjë rreth 61% të popullsisë së përgjithshme të Malit të Zi, dhe 13.2% të popullsisë së përgjithshme të Shqipërisë. Popullsia në zonën e programit është e balancuar, e përbërë nga popullsi e Malit të Zi prej rreth 379,366 banorësh, duke zënë 50.63% të popullsisë totale në zonën e programit, dhe popullsi shqiptare prej rreth 369,891 banorësh, duke zënë 49.37% të popullsisë totale në zonë. Në pjesën malazeze dendës</w:t>
      </w:r>
      <w:r w:rsidR="00D0022F">
        <w:t>ia e popullsisë me 65.7 banorë/</w:t>
      </w:r>
      <w:r w:rsidRPr="00551729">
        <w:t>km</w:t>
      </w:r>
      <w:r w:rsidRPr="008B6554">
        <w:rPr>
          <w:vertAlign w:val="superscript"/>
        </w:rPr>
        <w:t>2</w:t>
      </w:r>
      <w:r w:rsidRPr="00551729">
        <w:t xml:space="preserve"> është më e lartë se mesatarja ko</w:t>
      </w:r>
      <w:r w:rsidR="0052363E">
        <w:t>mbëtare prej 45 banorë</w:t>
      </w:r>
      <w:r w:rsidR="008127F3">
        <w:t>sh</w:t>
      </w:r>
      <w:r w:rsidR="0052363E">
        <w:t>/</w:t>
      </w:r>
      <w:r w:rsidRPr="00551729">
        <w:t>km</w:t>
      </w:r>
      <w:r w:rsidRPr="008B6554">
        <w:rPr>
          <w:vertAlign w:val="superscript"/>
        </w:rPr>
        <w:t>2</w:t>
      </w:r>
      <w:r w:rsidRPr="00551729">
        <w:t>, ndër</w:t>
      </w:r>
      <w:r w:rsidR="00D0022F">
        <w:t>sa në Shqipëri është 59 banorë/</w:t>
      </w:r>
      <w:r w:rsidRPr="00551729">
        <w:t>km</w:t>
      </w:r>
      <w:r w:rsidRPr="008B6554">
        <w:rPr>
          <w:vertAlign w:val="superscript"/>
        </w:rPr>
        <w:t>2</w:t>
      </w:r>
      <w:r w:rsidRPr="00551729">
        <w:t>, më e ulët në krahasim me mesa</w:t>
      </w:r>
      <w:r w:rsidR="00D0022F">
        <w:t>taren kombëtare prej 97 banorë</w:t>
      </w:r>
      <w:r w:rsidR="00E7058D">
        <w:t>sh</w:t>
      </w:r>
      <w:r w:rsidR="00D0022F">
        <w:t>/</w:t>
      </w:r>
      <w:r w:rsidRPr="00551729">
        <w:t>km</w:t>
      </w:r>
      <w:r w:rsidRPr="008B6554">
        <w:rPr>
          <w:vertAlign w:val="superscript"/>
        </w:rPr>
        <w:t>2</w:t>
      </w:r>
      <w:r w:rsidRPr="00551729">
        <w:t>. Podgorica, Berane, Petnjica Tivari dhe Rozaja janë qytetet kryesore në Mal të Zi, ndërsa Shkodra dhe Lezha janë qendrat më të rëndësishme urbane në zonën e programit në</w:t>
      </w:r>
      <w:r w:rsidRPr="00551729">
        <w:rPr>
          <w:spacing w:val="-13"/>
        </w:rPr>
        <w:t xml:space="preserve"> </w:t>
      </w:r>
      <w:r w:rsidRPr="00551729">
        <w:t>Shqipëri.</w:t>
      </w:r>
    </w:p>
    <w:p w14:paraId="1BADCE2C" w14:textId="73CECEAF" w:rsidR="00500457" w:rsidRPr="00551729" w:rsidRDefault="00500457" w:rsidP="007A7983">
      <w:pPr>
        <w:pStyle w:val="TEKSTIII"/>
      </w:pPr>
      <w:r w:rsidRPr="00551729">
        <w:t xml:space="preserve">Popullsia e përgjithshme në zonën e programit në </w:t>
      </w:r>
      <w:r w:rsidRPr="00551729">
        <w:rPr>
          <w:b/>
          <w:spacing w:val="-2"/>
        </w:rPr>
        <w:t xml:space="preserve">Mal </w:t>
      </w:r>
      <w:r w:rsidRPr="00551729">
        <w:rPr>
          <w:b/>
        </w:rPr>
        <w:t xml:space="preserve">të Zi </w:t>
      </w:r>
      <w:r w:rsidRPr="00551729">
        <w:t>është 379,366</w:t>
      </w:r>
      <w:r w:rsidR="007A7983" w:rsidRPr="00551729">
        <w:rPr>
          <w:rStyle w:val="FootnoteReference"/>
        </w:rPr>
        <w:footnoteReference w:id="63"/>
      </w:r>
      <w:r w:rsidR="00C521D5" w:rsidRPr="00551729">
        <w:rPr>
          <w:position w:val="6"/>
        </w:rPr>
        <w:t xml:space="preserve"> </w:t>
      </w:r>
      <w:r w:rsidRPr="00551729">
        <w:t>banorë. Zona e programit</w:t>
      </w:r>
      <w:r w:rsidR="00C521D5" w:rsidRPr="00551729">
        <w:t xml:space="preserve"> </w:t>
      </w:r>
      <w:r w:rsidRPr="00551729">
        <w:t xml:space="preserve">ka një normë rritje natyrore prej 1.87%, që është nën mesataren kombëtare prej 2.2%; shkalla e vdekshmërisë qëndron në 9.4% e barabartë me mesataren kombëtare. Në </w:t>
      </w:r>
      <w:r w:rsidRPr="00551729">
        <w:rPr>
          <w:b/>
        </w:rPr>
        <w:t>Shqipëri</w:t>
      </w:r>
      <w:r w:rsidRPr="00551729">
        <w:t>, numri i përgjithshëm i popullsisë që jeton në zonën e programit është 369,891</w:t>
      </w:r>
      <w:r w:rsidR="007A7983" w:rsidRPr="00551729">
        <w:rPr>
          <w:rStyle w:val="FootnoteReference"/>
        </w:rPr>
        <w:footnoteReference w:id="64"/>
      </w:r>
      <w:r w:rsidRPr="00551729">
        <w:rPr>
          <w:position w:val="6"/>
        </w:rPr>
        <w:t xml:space="preserve"> </w:t>
      </w:r>
      <w:r w:rsidRPr="00551729">
        <w:t>banorë, ose rreth 13.2% e popullsisë së përgjithshme të vendit. Rajoni i Shkodrës është rajoni i gjashtë më i madh i vendit me një popullsi prej 215,347 banorë</w:t>
      </w:r>
      <w:r w:rsidR="00E7058D">
        <w:t>sh</w:t>
      </w:r>
      <w:r w:rsidRPr="00551729">
        <w:t>, ose rreth 7.6% e popullsisë së përgjithshme, e ndjekur nga Lezha e cila renditet e dhjeta mes rajoneve të vendit, që numëron një total prej 134,027 banorë</w:t>
      </w:r>
      <w:r w:rsidR="00E7058D">
        <w:t>sh</w:t>
      </w:r>
      <w:r w:rsidRPr="00551729">
        <w:t xml:space="preserve"> apo 4.7% të popullsisë së përgjithshme të Shqipërisë. Rrethi i Tropojës regjistron një popullsi totale prej 20,517 banorë</w:t>
      </w:r>
      <w:r w:rsidR="00E7058D">
        <w:t>sh</w:t>
      </w:r>
      <w:r w:rsidRPr="00551729">
        <w:t>, e cila përbën 0.07% të popullsisë së përgjithshme të</w:t>
      </w:r>
      <w:r w:rsidRPr="00551729">
        <w:rPr>
          <w:spacing w:val="-24"/>
        </w:rPr>
        <w:t xml:space="preserve"> </w:t>
      </w:r>
      <w:r w:rsidRPr="00551729">
        <w:t>Shqipërisë.</w:t>
      </w:r>
    </w:p>
    <w:p w14:paraId="1BADCE2D" w14:textId="090D2664" w:rsidR="00500457" w:rsidRPr="00551729" w:rsidRDefault="00500457" w:rsidP="007A7983">
      <w:pPr>
        <w:pStyle w:val="TEKSTIII"/>
      </w:pPr>
      <w:r w:rsidRPr="00551729">
        <w:t xml:space="preserve">Zona e programit në Mal të Zi ka një popullsi kryesisht urbane, duke zënë rreth 52% të popullsisë së saj, e cila është më e ulët, në krahasim me 62% që jetojnë në zonat urbane në nivel kombëtar. Rreth 49% e popullsisë në zonën e programit është e përqendruar në Podgoricë. Nga ana tjetër, Andrijevica ka përqendrimin më të madh të popullsisë rurale, e cila përbëhet nga 79.3%, e pasuar nga Berane dhe Danilovgrad me përkatësisht 67.4% dhe 62%. Gjithashtu, bashkitë Plav dhe Tivar dominohen nga popullsia rurale me 59%, ndërsa të gjitha bashkitë e tjera në zonën e programit janë të dominuara nga popullsi urbane, e cila varion nga 53.7% në Ulqin deri në 84.6% në Cetinjë, e cila shënon përqendrimin më të lartë të popullsisë urbane. Në </w:t>
      </w:r>
      <w:r w:rsidRPr="00551729">
        <w:rPr>
          <w:b/>
        </w:rPr>
        <w:t xml:space="preserve">Shqipëri </w:t>
      </w:r>
      <w:r w:rsidRPr="00551729">
        <w:t>situata është ndryshe, pasi popullsia është kryesisht rurale, me një mesatare prej 53.2%. Këtë mesatare e përcakton rajoni i Shkodrës, pasi popullsia rurale është 55.6% e 119,794 banorëve të tij. Në të kundërt, rajoni i Lezhës ka një dominim të popullsisë urbane,</w:t>
      </w:r>
      <w:r w:rsidR="00C521D5" w:rsidRPr="00551729">
        <w:t xml:space="preserve"> </w:t>
      </w:r>
      <w:r w:rsidRPr="00551729">
        <w:t>me</w:t>
      </w:r>
      <w:r w:rsidR="007A7983" w:rsidRPr="00551729">
        <w:t xml:space="preserve"> </w:t>
      </w:r>
      <w:r w:rsidRPr="00551729">
        <w:t>rreth 53.8% të popullsisë. Ndërsa rrethi i Tropojës ka një popullsi kryesisht rurale, e cila përbën rreth</w:t>
      </w:r>
      <w:r w:rsidR="00C521D5" w:rsidRPr="00551729">
        <w:t xml:space="preserve"> </w:t>
      </w:r>
      <w:r w:rsidRPr="00551729">
        <w:t>74% të popullsisë së</w:t>
      </w:r>
      <w:r w:rsidRPr="00551729">
        <w:rPr>
          <w:spacing w:val="-9"/>
        </w:rPr>
        <w:t xml:space="preserve"> </w:t>
      </w:r>
      <w:r w:rsidRPr="00551729">
        <w:t>tij.</w:t>
      </w:r>
    </w:p>
    <w:p w14:paraId="1BADCE2E" w14:textId="3894CEB5" w:rsidR="00500457" w:rsidRPr="00551729" w:rsidRDefault="00500457" w:rsidP="007A7983">
      <w:pPr>
        <w:pStyle w:val="TEKSTIII"/>
      </w:pPr>
      <w:r w:rsidRPr="00551729">
        <w:t>Përbërja e popullsisë në zonën e programimit të të dyja vendeve tregon se 50% e popullsisë i takon segmentit moshor 15</w:t>
      </w:r>
      <w:r w:rsidR="00104C04">
        <w:t>–</w:t>
      </w:r>
      <w:r w:rsidRPr="00551729">
        <w:t>49 vjeç.</w:t>
      </w:r>
    </w:p>
    <w:p w14:paraId="1BADCE2F" w14:textId="18147464" w:rsidR="00500457" w:rsidRPr="00111054" w:rsidRDefault="00500457" w:rsidP="00500457">
      <w:pPr>
        <w:widowControl w:val="0"/>
        <w:spacing w:before="119"/>
        <w:ind w:left="3" w:firstLine="284"/>
        <w:jc w:val="center"/>
        <w:rPr>
          <w:rFonts w:ascii="Garamond" w:hAnsi="Garamond"/>
          <w:i/>
          <w:sz w:val="24"/>
          <w:szCs w:val="24"/>
        </w:rPr>
      </w:pPr>
      <w:r w:rsidRPr="00111054">
        <w:rPr>
          <w:rFonts w:ascii="Garamond" w:hAnsi="Garamond"/>
          <w:i/>
          <w:sz w:val="24"/>
          <w:szCs w:val="24"/>
        </w:rPr>
        <w:t>Grafiku 4. Përbërja e popullsisë sipas grup</w:t>
      </w:r>
      <w:r w:rsidR="00104C04" w:rsidRPr="00111054">
        <w:rPr>
          <w:rFonts w:ascii="Garamond" w:hAnsi="Garamond"/>
          <w:i/>
          <w:sz w:val="24"/>
          <w:szCs w:val="24"/>
        </w:rPr>
        <w:t>-</w:t>
      </w:r>
      <w:r w:rsidRPr="00111054">
        <w:rPr>
          <w:rFonts w:ascii="Garamond" w:hAnsi="Garamond"/>
          <w:i/>
          <w:sz w:val="24"/>
          <w:szCs w:val="24"/>
        </w:rPr>
        <w:t xml:space="preserve">moshave në zonën e </w:t>
      </w:r>
      <w:r w:rsidR="00111054" w:rsidRPr="00111054">
        <w:rPr>
          <w:rFonts w:ascii="Garamond" w:hAnsi="Garamond"/>
          <w:i/>
          <w:sz w:val="24"/>
          <w:szCs w:val="24"/>
        </w:rPr>
        <w:t>Programit</w:t>
      </w:r>
      <w:r w:rsidRPr="00111054">
        <w:rPr>
          <w:rFonts w:ascii="Garamond" w:hAnsi="Garamond"/>
          <w:i/>
          <w:sz w:val="24"/>
          <w:szCs w:val="24"/>
        </w:rPr>
        <w:t>_Census i vitit 2011</w:t>
      </w:r>
    </w:p>
    <w:p w14:paraId="1BADCE30" w14:textId="77777777" w:rsidR="00500457" w:rsidRPr="00551729" w:rsidRDefault="00500457" w:rsidP="00500457">
      <w:pPr>
        <w:pStyle w:val="BodyText"/>
        <w:ind w:firstLine="284"/>
        <w:rPr>
          <w:rFonts w:ascii="Garamond" w:hAnsi="Garamond"/>
          <w:b/>
          <w:sz w:val="24"/>
          <w:szCs w:val="24"/>
          <w:lang w:val="sq-AL"/>
        </w:rPr>
      </w:pPr>
    </w:p>
    <w:p w14:paraId="1BADCE31" w14:textId="77777777" w:rsidR="00500457" w:rsidRPr="00551729" w:rsidRDefault="00500457" w:rsidP="00500457">
      <w:pPr>
        <w:widowControl w:val="0"/>
        <w:tabs>
          <w:tab w:val="left" w:pos="4787"/>
        </w:tabs>
        <w:ind w:left="56" w:firstLine="284"/>
        <w:jc w:val="center"/>
        <w:rPr>
          <w:rFonts w:ascii="Garamond" w:hAnsi="Garamond"/>
          <w:b/>
          <w:sz w:val="24"/>
          <w:szCs w:val="24"/>
        </w:rPr>
      </w:pPr>
      <w:r w:rsidRPr="00551729">
        <w:rPr>
          <w:rFonts w:ascii="Garamond" w:hAnsi="Garamond"/>
          <w:b/>
          <w:sz w:val="24"/>
          <w:szCs w:val="24"/>
        </w:rPr>
        <w:t>Mali</w:t>
      </w:r>
      <w:r w:rsidRPr="00551729">
        <w:rPr>
          <w:rFonts w:ascii="Garamond" w:hAnsi="Garamond"/>
          <w:b/>
          <w:spacing w:val="-3"/>
          <w:sz w:val="24"/>
          <w:szCs w:val="24"/>
        </w:rPr>
        <w:t xml:space="preserve"> </w:t>
      </w:r>
      <w:r w:rsidRPr="00551729">
        <w:rPr>
          <w:rFonts w:ascii="Garamond" w:hAnsi="Garamond"/>
          <w:b/>
          <w:sz w:val="24"/>
          <w:szCs w:val="24"/>
        </w:rPr>
        <w:t>i</w:t>
      </w:r>
      <w:r w:rsidRPr="00551729">
        <w:rPr>
          <w:rFonts w:ascii="Garamond" w:hAnsi="Garamond"/>
          <w:b/>
          <w:spacing w:val="-2"/>
          <w:sz w:val="24"/>
          <w:szCs w:val="24"/>
        </w:rPr>
        <w:t xml:space="preserve"> </w:t>
      </w:r>
      <w:r w:rsidRPr="00551729">
        <w:rPr>
          <w:rFonts w:ascii="Garamond" w:hAnsi="Garamond"/>
          <w:b/>
          <w:sz w:val="24"/>
          <w:szCs w:val="24"/>
        </w:rPr>
        <w:t>Zi</w:t>
      </w:r>
      <w:r w:rsidR="00124F91" w:rsidRPr="00551729">
        <w:rPr>
          <w:rFonts w:ascii="Garamond" w:hAnsi="Garamond"/>
          <w:b/>
          <w:sz w:val="24"/>
          <w:szCs w:val="24"/>
        </w:rPr>
        <w:t xml:space="preserve"> </w:t>
      </w:r>
      <w:r w:rsidRPr="00551729">
        <w:rPr>
          <w:rFonts w:ascii="Garamond" w:hAnsi="Garamond"/>
          <w:b/>
          <w:sz w:val="24"/>
          <w:szCs w:val="24"/>
        </w:rPr>
        <w:t>Shqipëria</w:t>
      </w:r>
    </w:p>
    <w:p w14:paraId="1BADCE32" w14:textId="77777777" w:rsidR="00500457" w:rsidRPr="00551729" w:rsidRDefault="00500457" w:rsidP="00500457">
      <w:pPr>
        <w:pStyle w:val="BodyText"/>
        <w:spacing w:before="9"/>
        <w:ind w:firstLine="284"/>
        <w:rPr>
          <w:rFonts w:ascii="Garamond" w:hAnsi="Garamond"/>
          <w:b/>
          <w:sz w:val="24"/>
          <w:szCs w:val="24"/>
          <w:lang w:val="sq-AL"/>
        </w:rPr>
      </w:pPr>
      <w:r w:rsidRPr="00551729">
        <w:rPr>
          <w:rFonts w:ascii="Garamond" w:hAnsi="Garamond"/>
          <w:noProof/>
          <w:sz w:val="24"/>
          <w:szCs w:val="24"/>
          <w:lang w:val="sq-AL" w:eastAsia="sq-AL"/>
        </w:rPr>
        <w:drawing>
          <wp:anchor distT="0" distB="0" distL="0" distR="0" simplePos="0" relativeHeight="251658242" behindDoc="0" locked="0" layoutInCell="1" allowOverlap="1" wp14:anchorId="1BADD799" wp14:editId="1BADD79A">
            <wp:simplePos x="0" y="0"/>
            <wp:positionH relativeFrom="page">
              <wp:posOffset>1193165</wp:posOffset>
            </wp:positionH>
            <wp:positionV relativeFrom="paragraph">
              <wp:posOffset>115570</wp:posOffset>
            </wp:positionV>
            <wp:extent cx="2372360" cy="1286510"/>
            <wp:effectExtent l="0" t="0" r="8890" b="8890"/>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2360"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729">
        <w:rPr>
          <w:rFonts w:ascii="Garamond" w:hAnsi="Garamond"/>
          <w:noProof/>
          <w:sz w:val="24"/>
          <w:szCs w:val="24"/>
          <w:lang w:val="sq-AL" w:eastAsia="sq-AL"/>
        </w:rPr>
        <w:drawing>
          <wp:anchor distT="0" distB="0" distL="0" distR="0" simplePos="0" relativeHeight="251658243" behindDoc="0" locked="0" layoutInCell="1" allowOverlap="1" wp14:anchorId="1BADD79B" wp14:editId="1BADD79C">
            <wp:simplePos x="0" y="0"/>
            <wp:positionH relativeFrom="page">
              <wp:posOffset>4137660</wp:posOffset>
            </wp:positionH>
            <wp:positionV relativeFrom="paragraph">
              <wp:posOffset>255905</wp:posOffset>
            </wp:positionV>
            <wp:extent cx="2384425" cy="1231265"/>
            <wp:effectExtent l="0" t="0" r="0" b="6985"/>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4425" cy="1231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DCE33" w14:textId="538CD4AA" w:rsidR="00500457" w:rsidRPr="00551729" w:rsidRDefault="00500457" w:rsidP="007A7983">
      <w:pPr>
        <w:pStyle w:val="TEKSTIII"/>
      </w:pPr>
      <w:r w:rsidRPr="00551729">
        <w:t>Zona e programit në të dy</w:t>
      </w:r>
      <w:r w:rsidR="001E5AF6">
        <w:t>ja</w:t>
      </w:r>
      <w:r w:rsidRPr="00551729">
        <w:t xml:space="preserve"> vendet ka përjetuar flukse të </w:t>
      </w:r>
      <w:r w:rsidRPr="00551729">
        <w:rPr>
          <w:b/>
        </w:rPr>
        <w:t>migrimit të brendshëm</w:t>
      </w:r>
      <w:r w:rsidRPr="00551729">
        <w:t>. Lëvizja e popullsisë</w:t>
      </w:r>
      <w:r w:rsidR="00C521D5" w:rsidRPr="00551729">
        <w:t xml:space="preserve"> </w:t>
      </w:r>
      <w:r w:rsidRPr="00551729">
        <w:t xml:space="preserve">drejt rajoneve qendrore dhe bregdetare, të cilat janë gjerësisht më të zhvilluara dhe ofrojnë më shumë mundësi, është e pranishme në zonën e programit. Në </w:t>
      </w:r>
      <w:r w:rsidRPr="00551729">
        <w:rPr>
          <w:b/>
        </w:rPr>
        <w:t>Mal të Zi</w:t>
      </w:r>
      <w:r w:rsidRPr="00551729">
        <w:t>, këto modele të migrimit të brendshëm, por edhe të jashtëm, kanë ndikuar në disa prej bashkive në zonën e programit, të cilat regjistrojnë një rritje negative të popullsisë, si Andrijevica me -5.5%, e ndjekur nga Danilovgrad me -1.4% dhe Cetinje</w:t>
      </w:r>
      <w:r w:rsidRPr="00551729">
        <w:rPr>
          <w:spacing w:val="-26"/>
        </w:rPr>
        <w:t xml:space="preserve"> </w:t>
      </w:r>
      <w:r w:rsidRPr="00551729">
        <w:t>me</w:t>
      </w:r>
      <w:r w:rsidR="007A7983" w:rsidRPr="00551729">
        <w:t xml:space="preserve"> </w:t>
      </w:r>
      <w:r w:rsidRPr="00551729">
        <w:t>-1.2%</w:t>
      </w:r>
      <w:r w:rsidR="00DD6053" w:rsidRPr="00551729">
        <w:rPr>
          <w:rStyle w:val="FootnoteReference"/>
        </w:rPr>
        <w:footnoteReference w:id="65"/>
      </w:r>
      <w:r w:rsidRPr="00551729">
        <w:t xml:space="preserve">. Në zonën e programit në </w:t>
      </w:r>
      <w:r w:rsidRPr="00551729">
        <w:rPr>
          <w:b/>
        </w:rPr>
        <w:t>Shqipëri</w:t>
      </w:r>
      <w:r w:rsidRPr="00551729">
        <w:t>, edhe pse pjesa më e madhe e popullsisë banon në zonat rurale, përsëri ka ndryshime të dallueshme të popullsisë. Popullsia rurale në Shkodër dhe Lezhë ka rënë respektivisht me 25.3% dhe 42.67%. Nga ana tjetër, popullsia urbane në Shkodër është tkurrur</w:t>
      </w:r>
      <w:r w:rsidR="00C521D5" w:rsidRPr="00551729">
        <w:t xml:space="preserve"> </w:t>
      </w:r>
      <w:r w:rsidRPr="00551729">
        <w:t>me 0.28% në vitin 2011, ndërkohë që popullsia urbane në Lezhë është rritur me një normë mbresëlënëse prej 49.4%</w:t>
      </w:r>
      <w:r w:rsidR="00DD6053" w:rsidRPr="00551729">
        <w:rPr>
          <w:rStyle w:val="FootnoteReference"/>
        </w:rPr>
        <w:footnoteReference w:id="66"/>
      </w:r>
      <w:r w:rsidRPr="00551729">
        <w:t>, ndërsa në rrethin e Tropojës ka ruajtur një profil të thellë rural.</w:t>
      </w:r>
    </w:p>
    <w:p w14:paraId="37D22CFE" w14:textId="77777777" w:rsidR="004D1FE1" w:rsidRDefault="004D1FE1" w:rsidP="007A7983">
      <w:pPr>
        <w:pStyle w:val="TEKSTIII"/>
        <w:rPr>
          <w:b/>
        </w:rPr>
      </w:pPr>
      <w:bookmarkStart w:id="43" w:name="_bookmark41"/>
      <w:bookmarkEnd w:id="43"/>
    </w:p>
    <w:p w14:paraId="1BADCE34" w14:textId="77777777" w:rsidR="00500457" w:rsidRPr="00551729" w:rsidRDefault="00500457" w:rsidP="007A7983">
      <w:pPr>
        <w:pStyle w:val="TEKSTIII"/>
        <w:rPr>
          <w:b/>
        </w:rPr>
      </w:pPr>
      <w:r w:rsidRPr="00551729">
        <w:rPr>
          <w:b/>
        </w:rPr>
        <w:t>Dendësia</w:t>
      </w:r>
    </w:p>
    <w:p w14:paraId="1BADCE35" w14:textId="30712B0F" w:rsidR="00500457" w:rsidRPr="00551729" w:rsidRDefault="00500457" w:rsidP="00DD6053">
      <w:pPr>
        <w:pStyle w:val="TEKSTIII"/>
      </w:pPr>
      <w:r w:rsidRPr="00551729">
        <w:t>Dendësia e popullsisë e regjistruar në zonën e programit në Mal të Zi gjithashtu tregon</w:t>
      </w:r>
      <w:r w:rsidR="00C521D5" w:rsidRPr="00551729">
        <w:t xml:space="preserve"> </w:t>
      </w:r>
      <w:r w:rsidRPr="00551729">
        <w:t>flukset</w:t>
      </w:r>
      <w:r w:rsidR="00C521D5" w:rsidRPr="00551729">
        <w:t xml:space="preserve"> </w:t>
      </w:r>
      <w:r w:rsidRPr="00551729">
        <w:t>e migrimit të brendshëm dhe të jashtëm nga zonat më pak të zhvilluara apo zonat rurale, drejt zonave urbane dhe më tërheqëse ekonomikisht. Dendësia e popullsisë së Andrijevicës dhe Cetinjës është shumë e ulët, me 18 banorë për km</w:t>
      </w:r>
      <w:r w:rsidRPr="00111054">
        <w:rPr>
          <w:vertAlign w:val="superscript"/>
        </w:rPr>
        <w:t>2</w:t>
      </w:r>
      <w:r w:rsidRPr="00551729">
        <w:t>, e ndjekur nga Plava me 27 dhe Danilovgrad me 37 banorë për km</w:t>
      </w:r>
      <w:r w:rsidRPr="00111054">
        <w:rPr>
          <w:vertAlign w:val="superscript"/>
        </w:rPr>
        <w:t>2</w:t>
      </w:r>
      <w:r w:rsidRPr="00551729">
        <w:t>. Nga ana tjetër, bashkia turistike e Budvës ka dendësinë më të lartë të popullsisë me 157 banorë, e ndjekur nga Podgorica me 129 banorë për km</w:t>
      </w:r>
      <w:r w:rsidRPr="0052363E">
        <w:rPr>
          <w:vertAlign w:val="superscript"/>
        </w:rPr>
        <w:t>2</w:t>
      </w:r>
      <w:r w:rsidRPr="00551729">
        <w:t>. Qytetet bregdetare të Ulqinit dhe Tivarit kanë gjithashtu një dendësi të lartë të popullsisë, me përkatësisht 78 dhe 70 banorë për km</w:t>
      </w:r>
      <w:r w:rsidRPr="0052363E">
        <w:rPr>
          <w:vertAlign w:val="superscript"/>
        </w:rPr>
        <w:t>2</w:t>
      </w:r>
      <w:r w:rsidRPr="00551729">
        <w:t>, duke qenë mbi mesataren prej 45 banorë</w:t>
      </w:r>
      <w:r w:rsidR="00495252">
        <w:t>sh</w:t>
      </w:r>
      <w:r w:rsidRPr="00551729">
        <w:t xml:space="preserve"> për km</w:t>
      </w:r>
      <w:r w:rsidRPr="0052363E">
        <w:rPr>
          <w:vertAlign w:val="superscript"/>
        </w:rPr>
        <w:t>2</w:t>
      </w:r>
      <w:r w:rsidRPr="00551729">
        <w:t xml:space="preserve"> në Mal të Zi. Në zonën Shqiptare të programit, dendësia mesatare e popullsisë është 71 banorë për km</w:t>
      </w:r>
      <w:r w:rsidRPr="0052363E">
        <w:rPr>
          <w:vertAlign w:val="superscript"/>
        </w:rPr>
        <w:t>2</w:t>
      </w:r>
      <w:r w:rsidRPr="00551729">
        <w:t>. Dendësia më e lartë e popullsisë vërehet në rajonin e Lezhës, i cili me 83 banorë për km</w:t>
      </w:r>
      <w:r w:rsidRPr="0052363E">
        <w:rPr>
          <w:vertAlign w:val="superscript"/>
        </w:rPr>
        <w:t>2</w:t>
      </w:r>
      <w:r w:rsidRPr="00551729">
        <w:t xml:space="preserve"> është më afër me mesataren kombëtare prej 97 banorë</w:t>
      </w:r>
      <w:r w:rsidR="00495252">
        <w:t>sh</w:t>
      </w:r>
      <w:r w:rsidRPr="00551729">
        <w:t xml:space="preserve"> për km</w:t>
      </w:r>
      <w:r w:rsidRPr="0052363E">
        <w:rPr>
          <w:vertAlign w:val="superscript"/>
        </w:rPr>
        <w:t>2</w:t>
      </w:r>
      <w:r w:rsidRPr="00551729">
        <w:t>, e ndjekur nga Shkodra me një dendësi të popullsisë prej 60 banorë</w:t>
      </w:r>
      <w:r w:rsidR="00495252">
        <w:t>sh</w:t>
      </w:r>
      <w:r w:rsidRPr="00551729">
        <w:t xml:space="preserve"> për km</w:t>
      </w:r>
      <w:r w:rsidRPr="0052363E">
        <w:rPr>
          <w:vertAlign w:val="superscript"/>
        </w:rPr>
        <w:t>2</w:t>
      </w:r>
      <w:r w:rsidRPr="00551729">
        <w:t>, ndërsa rrethi i Tropojës regjistron një dendësi shumë të</w:t>
      </w:r>
      <w:r w:rsidR="00DD6053" w:rsidRPr="00551729">
        <w:t xml:space="preserve"> </w:t>
      </w:r>
      <w:r w:rsidRPr="00551729">
        <w:t>ulët me 19 banorë për km</w:t>
      </w:r>
      <w:r w:rsidRPr="0052363E">
        <w:rPr>
          <w:vertAlign w:val="superscript"/>
        </w:rPr>
        <w:t>2</w:t>
      </w:r>
      <w:r w:rsidRPr="00551729">
        <w:t>. Është njëlloj e rëndësishme si për Malin e Zi ashtu edhe për Shqipërinë që të ndryshojnë ose të frenojnë disi tendencat e migrimit, pasi ato përfaqësojnë një shqetësim dhe një sfidë, veçanërisht kur politikat e zhvillimit mbështeten në turizëm dhe agrobiznes.</w:t>
      </w:r>
    </w:p>
    <w:p w14:paraId="1BADCE36" w14:textId="77777777" w:rsidR="00500457" w:rsidRPr="00551729" w:rsidRDefault="00500457" w:rsidP="00DD6053">
      <w:pPr>
        <w:pStyle w:val="TEKSTIII"/>
        <w:rPr>
          <w:b/>
        </w:rPr>
      </w:pPr>
      <w:bookmarkStart w:id="44" w:name="_bookmark42"/>
      <w:bookmarkEnd w:id="44"/>
      <w:r w:rsidRPr="00551729">
        <w:rPr>
          <w:b/>
        </w:rPr>
        <w:t>Minoritetet</w:t>
      </w:r>
    </w:p>
    <w:p w14:paraId="1BADCE37" w14:textId="66508970" w:rsidR="00500457" w:rsidRPr="00551729" w:rsidRDefault="00500457" w:rsidP="00DD6053">
      <w:pPr>
        <w:pStyle w:val="TEKSTIII"/>
      </w:pPr>
      <w:r w:rsidRPr="00551729">
        <w:t>Struktura etnike e zonës së programit ndryshon shumë. Në Mal të Zi ka diversitet të madh në popullsi, pasi shumica e saj është e përbërë nga malazezët dhe serbët, e ndjekur nga boshnjakët dhe shqiptarët. Grupet më të mëdha etnike në zonën e programit në Mal të Zi</w:t>
      </w:r>
      <w:r w:rsidR="000B3F06" w:rsidRPr="00551729">
        <w:rPr>
          <w:rStyle w:val="FootnoteReference"/>
        </w:rPr>
        <w:footnoteReference w:id="67"/>
      </w:r>
      <w:r w:rsidRPr="00551729">
        <w:rPr>
          <w:position w:val="6"/>
        </w:rPr>
        <w:t xml:space="preserve"> </w:t>
      </w:r>
      <w:r w:rsidRPr="00551729">
        <w:t>janë Serbët, të cilët përbëjnë 24.8% të popullsisë. Grupi i dytë më i madh minoritar përbëhet nga boshnjakët me 16.3%, dhe grupi i tretë me përqindje më të lar</w:t>
      </w:r>
      <w:r w:rsidR="00A52355">
        <w:t>të i përket shqiptarëve me 10.7</w:t>
      </w:r>
      <w:r w:rsidRPr="00551729">
        <w:t xml:space="preserve">%. Në bashkitë bregdetare dhe në </w:t>
      </w:r>
      <w:r w:rsidR="003128C6" w:rsidRPr="00551729">
        <w:t xml:space="preserve">Bashkinë </w:t>
      </w:r>
      <w:r w:rsidRPr="00551729">
        <w:t xml:space="preserve">e Plavës, shqiptarët përbëjnë një minoritet të fortë, ndërsa në </w:t>
      </w:r>
      <w:r w:rsidR="003128C6" w:rsidRPr="00551729">
        <w:t xml:space="preserve">Bashkinë </w:t>
      </w:r>
      <w:r w:rsidRPr="00551729">
        <w:t>e Ulqinit ata përbëjnë një shumicë prej 70%. Në Shqipëri, prania e grupeve etnike në zonën e programit është e</w:t>
      </w:r>
      <w:r w:rsidR="00C521D5" w:rsidRPr="00551729">
        <w:t xml:space="preserve"> </w:t>
      </w:r>
      <w:r w:rsidRPr="00551729">
        <w:t>papërfillshme.</w:t>
      </w:r>
      <w:r w:rsidR="00C521D5" w:rsidRPr="00551729">
        <w:t xml:space="preserve"> </w:t>
      </w:r>
      <w:r w:rsidRPr="00551729">
        <w:t>Shqiptarët etnikë përbëjnë shumicën absolute të popullsisë. Ka vetëm një komunitet shumë të vogël të malazezëve etnikë në Shkodër, duke zënë rreth 0.13%</w:t>
      </w:r>
      <w:r w:rsidR="000B3F06" w:rsidRPr="00551729">
        <w:rPr>
          <w:rStyle w:val="FootnoteReference"/>
        </w:rPr>
        <w:footnoteReference w:id="68"/>
      </w:r>
      <w:r w:rsidRPr="00551729">
        <w:rPr>
          <w:position w:val="6"/>
        </w:rPr>
        <w:t xml:space="preserve"> </w:t>
      </w:r>
      <w:r w:rsidRPr="00551729">
        <w:t>të popullsisë së përgjithshme të rajonit të Shkodrës.</w:t>
      </w:r>
    </w:p>
    <w:p w14:paraId="1BADCE38" w14:textId="77777777" w:rsidR="00500457" w:rsidRPr="00551729" w:rsidRDefault="00500457" w:rsidP="00DD6053">
      <w:pPr>
        <w:pStyle w:val="TEKSTIII"/>
        <w:rPr>
          <w:b/>
        </w:rPr>
      </w:pPr>
      <w:bookmarkStart w:id="45" w:name="_bookmark43"/>
      <w:bookmarkEnd w:id="45"/>
      <w:r w:rsidRPr="00551729">
        <w:rPr>
          <w:b/>
        </w:rPr>
        <w:t>Varfëria</w:t>
      </w:r>
    </w:p>
    <w:p w14:paraId="1BADCE39" w14:textId="7FA44509" w:rsidR="00500457" w:rsidRPr="00551729" w:rsidRDefault="00500457" w:rsidP="00DD6053">
      <w:pPr>
        <w:pStyle w:val="TEKSTIII"/>
      </w:pPr>
      <w:r w:rsidRPr="00551729">
        <w:t xml:space="preserve">Kufiri absolut i varfërisë në Mal të Zi në vitin 2011 ishte 175,25 Euro për të rritur, duke regjistruar një rritje prej 5 </w:t>
      </w:r>
      <w:r w:rsidR="00495252" w:rsidRPr="00551729">
        <w:t>euro</w:t>
      </w:r>
      <w:r w:rsidR="00495252">
        <w:t>sh</w:t>
      </w:r>
      <w:r w:rsidR="00495252" w:rsidRPr="00551729">
        <w:t xml:space="preserve"> </w:t>
      </w:r>
      <w:r w:rsidRPr="00551729">
        <w:t>në krahasim me vitin e kaluar 2010</w:t>
      </w:r>
      <w:r w:rsidR="000B3F06" w:rsidRPr="00551729">
        <w:rPr>
          <w:rStyle w:val="FootnoteReference"/>
        </w:rPr>
        <w:footnoteReference w:id="69"/>
      </w:r>
      <w:r w:rsidRPr="00551729">
        <w:t>. Vulnerabiliteti i popullsisë së Malit të Zi 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Gini u rrit nga 24.3% në vitin 2010, në 25.9% në vitin</w:t>
      </w:r>
      <w:r w:rsidRPr="00551729">
        <w:rPr>
          <w:spacing w:val="-14"/>
        </w:rPr>
        <w:t xml:space="preserve"> </w:t>
      </w:r>
      <w:r w:rsidRPr="00551729">
        <w:t>2011</w:t>
      </w:r>
      <w:r w:rsidR="000B3F06" w:rsidRPr="00551729">
        <w:rPr>
          <w:rStyle w:val="FootnoteReference"/>
        </w:rPr>
        <w:footnoteReference w:id="70"/>
      </w:r>
      <w:r w:rsidRPr="00551729">
        <w:t>.</w:t>
      </w:r>
    </w:p>
    <w:p w14:paraId="1BADCE3A" w14:textId="77777777" w:rsidR="00500457" w:rsidRPr="00551729" w:rsidRDefault="00500457" w:rsidP="00DD6053">
      <w:pPr>
        <w:pStyle w:val="TEKSTIII"/>
      </w:pPr>
      <w:r w:rsidRPr="00551729">
        <w:t>Pabarazitë rajonale janë të dukshme - varfëria është e përhapur në rajonet veriore (mbi 50% e njerëzve të varfër të vendit jetojnë atje) dhe zvogëlohet ndjeshëm në jug, në rajonet qendrore dhe bregdetare.</w:t>
      </w:r>
    </w:p>
    <w:p w14:paraId="1BADCE3B" w14:textId="1827A668" w:rsidR="00500457" w:rsidRPr="00EE59E4" w:rsidRDefault="00500457" w:rsidP="00EE59E4">
      <w:pPr>
        <w:spacing w:after="0"/>
        <w:ind w:firstLine="288"/>
        <w:jc w:val="both"/>
        <w:rPr>
          <w:rFonts w:ascii="Garamond" w:hAnsi="Garamond"/>
          <w:sz w:val="24"/>
          <w:szCs w:val="24"/>
        </w:rPr>
      </w:pPr>
      <w:r w:rsidRPr="00EE59E4">
        <w:rPr>
          <w:rFonts w:ascii="Garamond" w:hAnsi="Garamond"/>
          <w:sz w:val="24"/>
          <w:szCs w:val="24"/>
        </w:rPr>
        <w:t xml:space="preserve">Kufiri absolut i varfërisë në Shqipëri në vitin 2012 ishte 35.2 </w:t>
      </w:r>
      <w:r w:rsidR="00854195" w:rsidRPr="00EE59E4">
        <w:rPr>
          <w:rFonts w:ascii="Garamond" w:hAnsi="Garamond"/>
          <w:sz w:val="24"/>
          <w:szCs w:val="24"/>
        </w:rPr>
        <w:t xml:space="preserve">euro </w:t>
      </w:r>
      <w:r w:rsidRPr="00EE59E4">
        <w:rPr>
          <w:rFonts w:ascii="Garamond" w:hAnsi="Garamond"/>
          <w:sz w:val="24"/>
          <w:szCs w:val="24"/>
        </w:rPr>
        <w:t>për të rritur</w:t>
      </w:r>
      <w:r w:rsidR="000B3F06" w:rsidRPr="00EE59E4">
        <w:rPr>
          <w:rFonts w:ascii="Garamond" w:hAnsi="Garamond"/>
          <w:sz w:val="24"/>
          <w:szCs w:val="24"/>
        </w:rPr>
        <w:footnoteReference w:id="71"/>
      </w:r>
      <w:r w:rsidRPr="00EE59E4">
        <w:rPr>
          <w:rFonts w:ascii="Garamond" w:hAnsi="Garamond"/>
          <w:sz w:val="24"/>
          <w:szCs w:val="24"/>
        </w:rPr>
        <w:t xml:space="preserve"> Varfëria është rritur në Shqipëri, pasi norma e varfërisë në vitin 2012 arriti në 14.3% kundrejt 12.4% të regjistruar në vitin 2008. Vulnerabiliteti i popullsisë së Shqipërisë u rrit në vitin 2012; numri i regjistruar i personave nën vijën e varfërisë u rrit me 8.4%. Varfëria ekstreme ka arritur në 2.2% në vitin 2012, kundrejt 1.2% të regjistruar në vitin 2008.</w:t>
      </w:r>
    </w:p>
    <w:p w14:paraId="1BADCE3C" w14:textId="77777777" w:rsidR="00500457" w:rsidRPr="00EE59E4" w:rsidRDefault="00500457" w:rsidP="00EE59E4">
      <w:pPr>
        <w:spacing w:after="0"/>
        <w:ind w:firstLine="288"/>
        <w:jc w:val="both"/>
        <w:rPr>
          <w:rFonts w:ascii="Garamond" w:hAnsi="Garamond"/>
          <w:sz w:val="24"/>
          <w:szCs w:val="24"/>
        </w:rPr>
      </w:pPr>
      <w:r w:rsidRPr="00EE59E4">
        <w:rPr>
          <w:rFonts w:ascii="Garamond" w:hAnsi="Garamond"/>
          <w:sz w:val="24"/>
          <w:szCs w:val="24"/>
        </w:rPr>
        <w:t>Gjatë vitit 2012, rritjet në normat e varfërisë në zonat urbane kanë qenë më të shpejta në krahasim me normën e varfërisë në zonat rurale. Numri i personave të varfër në zonat rurale ka rënë me 11.8%, ndërsa numri i personave të varfër në zonat urbane është rritur ndjeshëm me 36.8% në vitin 2012 krahasuar me vitin 2008. Kjo tregon se popullsia e zonave rurale dhe rajoneve veriore të Shqipërisë ka lëvizur drejt zonave urbane, kryesisht kryeqytetit - Tiranës, dhe në zonat bregdetare - këto të fundit regjistrojnë normën më të lartë të varfërisë në vitin 2012, me një mesatare prej 17.6%.</w:t>
      </w:r>
    </w:p>
    <w:p w14:paraId="1BADCE3D" w14:textId="3CE3CEF0" w:rsidR="00500457" w:rsidRPr="00EE59E4" w:rsidRDefault="00500457" w:rsidP="00EE59E4">
      <w:pPr>
        <w:spacing w:after="0"/>
        <w:ind w:firstLine="288"/>
        <w:jc w:val="both"/>
        <w:rPr>
          <w:rFonts w:ascii="Garamond" w:hAnsi="Garamond"/>
          <w:sz w:val="24"/>
          <w:szCs w:val="24"/>
        </w:rPr>
      </w:pPr>
      <w:r w:rsidRPr="00EE59E4">
        <w:rPr>
          <w:rFonts w:ascii="Garamond" w:hAnsi="Garamond"/>
          <w:sz w:val="24"/>
          <w:szCs w:val="24"/>
        </w:rPr>
        <w:t>Rajonet në zonën e programit janë më të varfër në krahasim me mesataren kombëtare të shkallës së varfërisë prej 14.3%. Rajoni i Lezhës regjistron një normë varfërie 17.5%, ndërsa rajoni i Shkodrës është pak më mirë, me një normë varfërie 15.7%. Qarku i Tropojës i përket rajonit më të varfër të Shqipërisë, Kukësit, me një normë varfërie 21.8%. Varfëria është bërë një shqetësim urban, duke treguar një ecuri</w:t>
      </w:r>
      <w:r w:rsidR="00C521D5" w:rsidRPr="00EE59E4">
        <w:rPr>
          <w:rFonts w:ascii="Garamond" w:hAnsi="Garamond"/>
          <w:sz w:val="24"/>
          <w:szCs w:val="24"/>
        </w:rPr>
        <w:t xml:space="preserve"> </w:t>
      </w:r>
      <w:r w:rsidRPr="00EE59E4">
        <w:rPr>
          <w:rFonts w:ascii="Garamond" w:hAnsi="Garamond"/>
          <w:sz w:val="24"/>
          <w:szCs w:val="24"/>
        </w:rPr>
        <w:t>të ngadaltë të ekonomisë gjatë viteve të fundit, ndërsa ripërtëritja e potencialit urban tashmë të përdorur, është bërë e domosdoshme për të sjellë rritjen ekonomike.</w:t>
      </w:r>
    </w:p>
    <w:p w14:paraId="1BADCE3E" w14:textId="77777777" w:rsidR="00500457" w:rsidRPr="00551729" w:rsidRDefault="000B3F06" w:rsidP="000B3F06">
      <w:pPr>
        <w:pStyle w:val="TEKSTIII"/>
        <w:rPr>
          <w:b/>
        </w:rPr>
      </w:pPr>
      <w:bookmarkStart w:id="46" w:name="_bookmark44"/>
      <w:bookmarkEnd w:id="46"/>
      <w:r w:rsidRPr="00551729">
        <w:rPr>
          <w:b/>
        </w:rPr>
        <w:t xml:space="preserve">2.3.2 </w:t>
      </w:r>
      <w:r w:rsidR="00500457" w:rsidRPr="00551729">
        <w:rPr>
          <w:b/>
        </w:rPr>
        <w:t>Arsimi</w:t>
      </w:r>
    </w:p>
    <w:p w14:paraId="1BADCE3F" w14:textId="77777777" w:rsidR="00500457" w:rsidRPr="00551729" w:rsidRDefault="00500457" w:rsidP="000B3F06">
      <w:pPr>
        <w:pStyle w:val="TEKSTIII"/>
      </w:pPr>
      <w:r w:rsidRPr="00551729">
        <w:t>Sistemi arsimor në Mal të Zi ka menaxhim të centralizuar, ndërsa në Shqipëri është i decentralizuar me përgjegjësi të përbashkët ndërmjet pushtetit qendror dhe lokal.</w:t>
      </w:r>
    </w:p>
    <w:p w14:paraId="1BADCE40" w14:textId="1F8D6133" w:rsidR="00500457" w:rsidRPr="00551729" w:rsidRDefault="00500457" w:rsidP="000B3F06">
      <w:pPr>
        <w:pStyle w:val="TEKSTIII"/>
      </w:pPr>
      <w:r w:rsidRPr="00551729">
        <w:t>Niveli i pabarabartë arsimor është i pranishëm në zonën e programit, me një rritje të analfabetizmit në zonat e thella. Të rinjtë me arsim të lartë kanë tendencë për t</w:t>
      </w:r>
      <w:r w:rsidR="002F2528">
        <w:t>’</w:t>
      </w:r>
      <w:r w:rsidRPr="00551729">
        <w:t>u larguar drejt rajoneve që ofrojnë më shumë mundësi apo jashtë vendit. Sistemi i arsimit të mesëm është më pak tërheqës dhe i</w:t>
      </w:r>
      <w:r w:rsidR="00C521D5" w:rsidRPr="00551729">
        <w:t xml:space="preserve"> </w:t>
      </w:r>
      <w:r w:rsidRPr="00551729">
        <w:t>aksesueshëm, veçanërisht për popullsinë e re në zonat rurale të programit. Shkollat private dhe Formimi Profesional janë të pranishme, por nuk janë në gjendje që të përputhen me kërkesat e tregut të punës për punonjës të kualifikuar dhe të aftë, duke përbërë kështu një pengesë për zhvillimin ekonomik të 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w:t>
      </w:r>
      <w:r w:rsidRPr="00551729">
        <w:rPr>
          <w:spacing w:val="-5"/>
        </w:rPr>
        <w:t xml:space="preserve"> </w:t>
      </w:r>
      <w:r w:rsidRPr="00551729">
        <w:t>shkollore</w:t>
      </w:r>
      <w:r w:rsidRPr="00551729">
        <w:rPr>
          <w:spacing w:val="-2"/>
        </w:rPr>
        <w:t xml:space="preserve"> </w:t>
      </w:r>
      <w:r w:rsidRPr="00551729">
        <w:t>është</w:t>
      </w:r>
      <w:r w:rsidRPr="00551729">
        <w:rPr>
          <w:spacing w:val="-2"/>
        </w:rPr>
        <w:t xml:space="preserve"> </w:t>
      </w:r>
      <w:r w:rsidRPr="00551729">
        <w:t>një</w:t>
      </w:r>
      <w:r w:rsidRPr="00551729">
        <w:rPr>
          <w:spacing w:val="-2"/>
        </w:rPr>
        <w:t xml:space="preserve"> </w:t>
      </w:r>
      <w:r w:rsidRPr="00551729">
        <w:t>përparësi</w:t>
      </w:r>
      <w:r w:rsidRPr="00551729">
        <w:rPr>
          <w:spacing w:val="-5"/>
        </w:rPr>
        <w:t xml:space="preserve"> </w:t>
      </w:r>
      <w:r w:rsidRPr="00551729">
        <w:t>e</w:t>
      </w:r>
      <w:r w:rsidRPr="00551729">
        <w:rPr>
          <w:spacing w:val="-4"/>
        </w:rPr>
        <w:t xml:space="preserve"> </w:t>
      </w:r>
      <w:r w:rsidRPr="00551729">
        <w:t>madhe</w:t>
      </w:r>
      <w:r w:rsidRPr="00551729">
        <w:rPr>
          <w:spacing w:val="-4"/>
        </w:rPr>
        <w:t xml:space="preserve"> </w:t>
      </w:r>
      <w:r w:rsidRPr="00551729">
        <w:t>për</w:t>
      </w:r>
      <w:r w:rsidRPr="00551729">
        <w:rPr>
          <w:spacing w:val="-2"/>
        </w:rPr>
        <w:t xml:space="preserve"> </w:t>
      </w:r>
      <w:r w:rsidRPr="00551729">
        <w:t>të</w:t>
      </w:r>
      <w:r w:rsidRPr="00551729">
        <w:rPr>
          <w:spacing w:val="-2"/>
        </w:rPr>
        <w:t xml:space="preserve"> </w:t>
      </w:r>
      <w:r w:rsidRPr="00551729">
        <w:t>dyja</w:t>
      </w:r>
      <w:r w:rsidRPr="00551729">
        <w:rPr>
          <w:spacing w:val="-2"/>
        </w:rPr>
        <w:t xml:space="preserve"> </w:t>
      </w:r>
      <w:r w:rsidRPr="00551729">
        <w:t>qeveritë,</w:t>
      </w:r>
      <w:r w:rsidRPr="00551729">
        <w:rPr>
          <w:spacing w:val="-4"/>
        </w:rPr>
        <w:t xml:space="preserve"> </w:t>
      </w:r>
      <w:r w:rsidRPr="00551729">
        <w:t>në</w:t>
      </w:r>
      <w:r w:rsidRPr="00551729">
        <w:rPr>
          <w:spacing w:val="-2"/>
        </w:rPr>
        <w:t xml:space="preserve"> </w:t>
      </w:r>
      <w:r w:rsidRPr="00551729">
        <w:t>nivel</w:t>
      </w:r>
      <w:r w:rsidRPr="00551729">
        <w:rPr>
          <w:spacing w:val="-2"/>
        </w:rPr>
        <w:t xml:space="preserve"> </w:t>
      </w:r>
      <w:r w:rsidRPr="00551729">
        <w:t>qendror</w:t>
      </w:r>
      <w:r w:rsidRPr="00551729">
        <w:rPr>
          <w:spacing w:val="-5"/>
        </w:rPr>
        <w:t xml:space="preserve"> </w:t>
      </w:r>
      <w:r w:rsidRPr="00551729">
        <w:t>dhe</w:t>
      </w:r>
      <w:r w:rsidRPr="00551729">
        <w:rPr>
          <w:spacing w:val="-2"/>
        </w:rPr>
        <w:t xml:space="preserve"> </w:t>
      </w:r>
      <w:r w:rsidRPr="00551729">
        <w:t>lokal.</w:t>
      </w:r>
    </w:p>
    <w:p w14:paraId="1BADCE41" w14:textId="77777777" w:rsidR="00500457" w:rsidRPr="00551729" w:rsidRDefault="00500457" w:rsidP="000B3F06">
      <w:pPr>
        <w:pStyle w:val="TEKSTIII"/>
      </w:pPr>
      <w:r w:rsidRPr="00551729">
        <w:t xml:space="preserve">Nevojat për arsimin 9-vjeçar dhe të mesëm janë gjerësisht të mbuluara në zonën e programit të </w:t>
      </w:r>
      <w:r w:rsidRPr="00551729">
        <w:rPr>
          <w:b/>
        </w:rPr>
        <w:t>Malit të Zi</w:t>
      </w:r>
      <w:r w:rsidRPr="00551729">
        <w:t>. Mali i Zi ka një mbulim të mirë të territorit me shkollat 9-vjeçare dhe të mesme, duke përfshirë zonat rurale. Zona e programit ka 213 shkolla 9-vjeçare</w:t>
      </w:r>
      <w:r w:rsidR="000B3F06" w:rsidRPr="00551729">
        <w:rPr>
          <w:rStyle w:val="FootnoteReference"/>
        </w:rPr>
        <w:footnoteReference w:id="72"/>
      </w:r>
      <w:r w:rsidRPr="00551729">
        <w:rPr>
          <w:position w:val="6"/>
        </w:rPr>
        <w:t xml:space="preserve"> </w:t>
      </w:r>
      <w:r w:rsidRPr="00551729">
        <w:t>për rreth 44,047 nxënës, dhe 29 shkolla të mesme, të cilat ofrojnë arsimim për rreth 19,881 nxënës. Arsimimi ofrohet në gjuhën malazeze dhe gjithashtu në gjuhën shqipe (në komunat e populluara me shqiptarë etnikë). Numri mesatar i nxënësve për klasë në shkollat 9-vjeçare qëndron në 22.4, ndërsa mesatarja e nxënësve për klasë në shkollat e mesme është 27.7, duke treguar një raport të mirë mësues / nxënës, duke lejuar kështu një proces cilësor të mësimdhënies.</w:t>
      </w:r>
    </w:p>
    <w:p w14:paraId="1BADCE42" w14:textId="432CEBE8" w:rsidR="00500457" w:rsidRPr="00551729" w:rsidRDefault="00500457" w:rsidP="000B3F06">
      <w:pPr>
        <w:pStyle w:val="TEKSTIII"/>
      </w:pPr>
      <w:r w:rsidRPr="00551729">
        <w:t>Ekzistojnë 3 Universitete në zonën e programit</w:t>
      </w:r>
      <w:r w:rsidR="000B3F06" w:rsidRPr="00551729">
        <w:rPr>
          <w:rStyle w:val="FootnoteReference"/>
        </w:rPr>
        <w:footnoteReference w:id="73"/>
      </w:r>
      <w:r w:rsidRPr="00551729">
        <w:t xml:space="preserve">: Universiteti publik i Malit të Zi me bazë në Podgoricë, i cili ka 20 fakultete dhe 3 institute kërkimore </w:t>
      </w:r>
      <w:r w:rsidR="000D43F1">
        <w:t>–</w:t>
      </w:r>
      <w:r w:rsidRPr="00551729">
        <w:t xml:space="preserve"> me degë në Budva dhe Cetinjë; Universiteti Mesdhetar me bazë në Podgoricë; dhe Universiteti </w:t>
      </w:r>
      <w:r w:rsidR="00242233">
        <w:t>“</w:t>
      </w:r>
      <w:r w:rsidRPr="00551729">
        <w:t>Donja Gorica</w:t>
      </w:r>
      <w:r w:rsidR="00242233">
        <w:t>”</w:t>
      </w:r>
      <w:r w:rsidRPr="00551729">
        <w:t xml:space="preserve"> (në periferi të Podgoricës). Të tr</w:t>
      </w:r>
      <w:r w:rsidR="00242233">
        <w:t>ia u</w:t>
      </w:r>
      <w:r w:rsidRPr="00551729">
        <w:t>niversitetet kanë pasur një numër të përgjithshëm prej 21,134 stude</w:t>
      </w:r>
      <w:r w:rsidR="00242233">
        <w:t>ntësh gjatë vitit akademik 2012–</w:t>
      </w:r>
      <w:r w:rsidRPr="00551729">
        <w:t xml:space="preserve">2013, ku 86.4% i përkasin </w:t>
      </w:r>
      <w:r w:rsidR="00242233" w:rsidRPr="00551729">
        <w:t xml:space="preserve">universitetit </w:t>
      </w:r>
      <w:r w:rsidRPr="00551729">
        <w:t>publik të Malit të Zi.</w:t>
      </w:r>
    </w:p>
    <w:p w14:paraId="1BADCE43" w14:textId="77777777" w:rsidR="00500457" w:rsidRPr="00551729" w:rsidRDefault="00500457" w:rsidP="000B3F06">
      <w:pPr>
        <w:pStyle w:val="TEKSTIII"/>
      </w:pPr>
      <w:r w:rsidRPr="00551729">
        <w:t>Problemet kryesore të sektorit të arsimit në Mal të Zi përfshijnë: nevojën për të përmirësuar infrastrukturën e shkollave; integrimin e pamjaftueshëm të Romëve dhe grupeve të tjera të margjinalizuara në sistemin arsimor; përfshirjen e pamjaftueshme të fëmijëve me nevoja të veçanta; nevojën për të përputhur më mirë kurrikulat me kërkesat e tregut të punës dhe sipërmarrjes; mungesën e burimeve financiare për kërkime shkencore dhe zhvillim.</w:t>
      </w:r>
    </w:p>
    <w:p w14:paraId="1BADCE44" w14:textId="7ABC74D4" w:rsidR="00500457" w:rsidRPr="00551729" w:rsidRDefault="00500457" w:rsidP="00500457">
      <w:pPr>
        <w:pStyle w:val="BodyText"/>
        <w:spacing w:before="68"/>
        <w:ind w:left="140" w:right="133" w:firstLine="284"/>
        <w:jc w:val="both"/>
        <w:rPr>
          <w:rFonts w:ascii="Garamond" w:hAnsi="Garamond"/>
          <w:sz w:val="24"/>
          <w:szCs w:val="24"/>
          <w:lang w:val="sq-AL"/>
        </w:rPr>
      </w:pPr>
      <w:r w:rsidRPr="00551729">
        <w:rPr>
          <w:rFonts w:ascii="Garamond" w:hAnsi="Garamond"/>
          <w:sz w:val="24"/>
          <w:szCs w:val="24"/>
          <w:lang w:val="sq-AL"/>
        </w:rPr>
        <w:t xml:space="preserve">Mali i Zi shpenzon rreth 0.41% të GDP-së në </w:t>
      </w:r>
      <w:r w:rsidRPr="00551729">
        <w:rPr>
          <w:rFonts w:ascii="Garamond" w:hAnsi="Garamond"/>
          <w:b/>
          <w:sz w:val="24"/>
          <w:szCs w:val="24"/>
          <w:lang w:val="sq-AL"/>
        </w:rPr>
        <w:t>Kërkim shkencor dhe Zhvillim</w:t>
      </w:r>
      <w:r w:rsidR="000B3F06" w:rsidRPr="00551729">
        <w:rPr>
          <w:rStyle w:val="FootnoteReference"/>
          <w:rFonts w:ascii="Garamond" w:hAnsi="Garamond"/>
          <w:b/>
          <w:sz w:val="24"/>
          <w:szCs w:val="24"/>
          <w:lang w:val="sq-AL"/>
        </w:rPr>
        <w:footnoteReference w:id="74"/>
      </w:r>
      <w:r w:rsidRPr="00551729">
        <w:rPr>
          <w:rFonts w:ascii="Garamond" w:hAnsi="Garamond"/>
          <w:sz w:val="24"/>
          <w:szCs w:val="24"/>
          <w:lang w:val="sq-AL"/>
        </w:rPr>
        <w:t>; 58% i përkasin sektorit publik; 27% burojnë nga bizneset private dhe rreth 15% financohen nga projektet e BE dhe organizatave të tjera ndërkombëtare. 59.4% e studiuesve është e punësuar në arsimin e lartë - pasuar nga sektori i Qeverisë me 32% dhe bizneset me 8%. Kërkimi shkenc</w:t>
      </w:r>
      <w:r w:rsidR="00194CF0">
        <w:rPr>
          <w:rFonts w:ascii="Garamond" w:hAnsi="Garamond"/>
          <w:sz w:val="24"/>
          <w:szCs w:val="24"/>
          <w:lang w:val="sq-AL"/>
        </w:rPr>
        <w:t>or dhe Zhvillimi në sektorin jo</w:t>
      </w:r>
      <w:r w:rsidRPr="00551729">
        <w:rPr>
          <w:rFonts w:ascii="Garamond" w:hAnsi="Garamond"/>
          <w:sz w:val="24"/>
          <w:szCs w:val="24"/>
          <w:lang w:val="sq-AL"/>
        </w:rPr>
        <w:t>fitimprurës llogaritet për vetëm 0.6%.</w:t>
      </w:r>
    </w:p>
    <w:p w14:paraId="1BADCE45" w14:textId="4032B602" w:rsidR="00500457" w:rsidRPr="00551729" w:rsidRDefault="00500457" w:rsidP="000B3F06">
      <w:pPr>
        <w:pStyle w:val="TEKSTIII"/>
      </w:pPr>
      <w:r w:rsidRPr="00551729">
        <w:t xml:space="preserve">Zona e programit në </w:t>
      </w:r>
      <w:r w:rsidRPr="00551729">
        <w:rPr>
          <w:b/>
        </w:rPr>
        <w:t xml:space="preserve">Shqipëri </w:t>
      </w:r>
      <w:r w:rsidRPr="00551729">
        <w:t>ka një mbulim të mirë me institucione të arsimit 9-vjeçar dhe të mesëm. Ajo ka një total prej 300 shkolla</w:t>
      </w:r>
      <w:r w:rsidR="00854195">
        <w:t>sh</w:t>
      </w:r>
      <w:r w:rsidRPr="00551729">
        <w:t xml:space="preserve"> 9-vjeçare, nga të cilat 222 ndodhen në zonat rurale, duke i shërbyer 54,274 nxënësve, ose 62% të numrit të përgjithshëm të nxënësve. Gjithashtu ka 72 shkolla të mesme për 16,974 nxënës, nga të cilat rreth 33% ndodhen në zonat rurale.</w:t>
      </w:r>
    </w:p>
    <w:p w14:paraId="1BADCE46" w14:textId="412FA7BE" w:rsidR="00500457" w:rsidRPr="00551729" w:rsidRDefault="00500457" w:rsidP="000B3F06">
      <w:pPr>
        <w:pStyle w:val="TEKSTIII"/>
      </w:pPr>
      <w:r w:rsidRPr="00551729">
        <w:t>Ekzistojnë 3 shkolla profesionale në Lezhë dhe 9 në Shkodër, të cilat i shërbejnë një numri të përgjithshëm prej 3,330 nxënës</w:t>
      </w:r>
      <w:r w:rsidR="00854195">
        <w:t>ish</w:t>
      </w:r>
      <w:r w:rsidRPr="00551729">
        <w:t xml:space="preserve">; vetëm 10.5% e këtyre nxënësve vijnë nga zonat rurale. Ekziston një Universitet në Shkodër, i cili përfaqëson ndoshta qendrën më të rëndësishme të zhvillimit intelektual, social dhe kulturor në zonën e programit - Universiteti </w:t>
      </w:r>
      <w:r w:rsidR="00C521D5" w:rsidRPr="00551729">
        <w:t>“</w:t>
      </w:r>
      <w:r w:rsidRPr="00551729">
        <w:t>Luigj Gurakuqi</w:t>
      </w:r>
      <w:r w:rsidR="00C521D5" w:rsidRPr="00551729">
        <w:t>”</w:t>
      </w:r>
      <w:r w:rsidRPr="00551729">
        <w:t>, i cili ka 6 fakultete. Janë 14,538 studentë</w:t>
      </w:r>
      <w:r w:rsidR="000B3F06" w:rsidRPr="00551729">
        <w:rPr>
          <w:rStyle w:val="FootnoteReference"/>
        </w:rPr>
        <w:footnoteReference w:id="75"/>
      </w:r>
      <w:r w:rsidRPr="00551729">
        <w:rPr>
          <w:position w:val="6"/>
        </w:rPr>
        <w:t xml:space="preserve"> </w:t>
      </w:r>
      <w:r w:rsidRPr="00551729">
        <w:t xml:space="preserve">të regjistruar në Universitetin e Shkodrës për vitin akademik 2011 - 2012. Ai ka një marrëveshje bashkëpunimi me Universitetin e Podgoricës që nga viti 2004. Universiteti ka një Qendër Kërkimore të Ujit </w:t>
      </w:r>
      <w:r w:rsidR="000B3F06" w:rsidRPr="00551729">
        <w:rPr>
          <w:rStyle w:val="FootnoteReference"/>
        </w:rPr>
        <w:footnoteReference w:id="76"/>
      </w:r>
      <w:r w:rsidRPr="00551729">
        <w:t>.</w:t>
      </w:r>
    </w:p>
    <w:p w14:paraId="1BADCE47" w14:textId="77777777" w:rsidR="00500457" w:rsidRPr="00551729" w:rsidRDefault="00500457" w:rsidP="000B3F06">
      <w:pPr>
        <w:pStyle w:val="TEKSTIII"/>
      </w:pPr>
      <w:r w:rsidRPr="00551729">
        <w:t>Shqipëria shpenzon rreth 0.02% të GDP-së së saj</w:t>
      </w:r>
      <w:r w:rsidR="000B3F06" w:rsidRPr="00551729">
        <w:rPr>
          <w:rStyle w:val="FootnoteReference"/>
        </w:rPr>
        <w:footnoteReference w:id="77"/>
      </w:r>
      <w:r w:rsidRPr="00551729">
        <w:rPr>
          <w:position w:val="6"/>
        </w:rPr>
        <w:t xml:space="preserve"> </w:t>
      </w:r>
      <w:r w:rsidRPr="00551729">
        <w:t xml:space="preserve">për </w:t>
      </w:r>
      <w:r w:rsidRPr="00551729">
        <w:rPr>
          <w:b/>
        </w:rPr>
        <w:t>Kërkimin shkencor dhe Zhvillimin</w:t>
      </w:r>
      <w:r w:rsidRPr="00551729">
        <w:t>, një shifër tepër modeste e cila është përdorur tërësisht në sistemin publik. Shqipëria dhe Mali i Zi kanë nënshkruar një marrëveshje në lidhje me lëvizjen e studiuesve dhe ekspertëve teknik midis universiteteve partnere; ngritjen e qendrave të përbashkëta kërkimore për të studiuar burimet hidrike të lumit Buna dhe liqenit të Shkodrës; dhe ngritjen e një qendre të përbashkët për studimet e avancuara për rreziqet sizmike në Ballkanin</w:t>
      </w:r>
      <w:r w:rsidRPr="00551729">
        <w:rPr>
          <w:spacing w:val="-2"/>
        </w:rPr>
        <w:t xml:space="preserve"> </w:t>
      </w:r>
      <w:r w:rsidRPr="00551729">
        <w:t>Perëndimor.</w:t>
      </w:r>
    </w:p>
    <w:p w14:paraId="1BADCE48" w14:textId="77777777" w:rsidR="00500457" w:rsidRPr="00551729" w:rsidRDefault="00500457" w:rsidP="000B3F06">
      <w:pPr>
        <w:pStyle w:val="TEKSTIII"/>
      </w:pPr>
      <w:r w:rsidRPr="00551729">
        <w:t>Si përfundim, përmirësimi i sistemit arsimor dhe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qendrave kërkimore në të dyja anët e zonës së programit është një pasuri për programin BNK dhe një mundësi jo vetëm për rritjen e mëtejshme të bashkëpunimit akademik, por edhe për inicimin e programeve kërkimore në zonën kufitare në sektorë të ndryshëm, të tillë si bujqësia apo</w:t>
      </w:r>
      <w:r w:rsidRPr="00551729">
        <w:rPr>
          <w:spacing w:val="-7"/>
        </w:rPr>
        <w:t xml:space="preserve"> </w:t>
      </w:r>
      <w:r w:rsidRPr="00551729">
        <w:t>turizmi.</w:t>
      </w:r>
    </w:p>
    <w:p w14:paraId="1BADCE49" w14:textId="77777777" w:rsidR="00500457" w:rsidRPr="00551729" w:rsidRDefault="000B3F06" w:rsidP="000B3F06">
      <w:pPr>
        <w:pStyle w:val="TEKSTIII"/>
        <w:rPr>
          <w:b/>
        </w:rPr>
      </w:pPr>
      <w:bookmarkStart w:id="47" w:name="_bookmark45"/>
      <w:bookmarkEnd w:id="47"/>
      <w:r w:rsidRPr="00551729">
        <w:rPr>
          <w:b/>
        </w:rPr>
        <w:t xml:space="preserve">2.3.3 </w:t>
      </w:r>
      <w:r w:rsidR="00500457" w:rsidRPr="00551729">
        <w:rPr>
          <w:b/>
        </w:rPr>
        <w:t>Shëndetësia</w:t>
      </w:r>
    </w:p>
    <w:p w14:paraId="1BADCE4A" w14:textId="5467981F" w:rsidR="00500457" w:rsidRPr="00551729" w:rsidRDefault="00500457" w:rsidP="000B3F06">
      <w:pPr>
        <w:pStyle w:val="TEKSTIII"/>
      </w:pPr>
      <w:r w:rsidRPr="00551729">
        <w:t>Organizimi i sistemit shëndetësor në Mal të Zi dhe Shqipëri është i ngjashëm; ai është kryesisht publik</w:t>
      </w:r>
      <w:r w:rsidR="00C521D5" w:rsidRPr="00551729">
        <w:t xml:space="preserve"> </w:t>
      </w:r>
      <w:r w:rsidRPr="00551729">
        <w:t>me një prani modeste (por në rritje) private, dhe mbulimi territorial është i pajisur siç duhet me shërbimet e kujdesit shëndetësor parësor, dytësor dhe</w:t>
      </w:r>
      <w:r w:rsidRPr="00551729">
        <w:rPr>
          <w:spacing w:val="-26"/>
        </w:rPr>
        <w:t xml:space="preserve"> </w:t>
      </w:r>
      <w:r w:rsidRPr="00551729">
        <w:t>tretësor.</w:t>
      </w:r>
    </w:p>
    <w:p w14:paraId="1BADCE4B" w14:textId="607D232E" w:rsidR="00500457" w:rsidRPr="00551729" w:rsidRDefault="00500457" w:rsidP="000B3F06">
      <w:pPr>
        <w:pStyle w:val="TEKSTIII"/>
      </w:pPr>
      <w:r w:rsidRPr="00551729">
        <w:t xml:space="preserve">Strategjia Kombëtare e Zhvillimit të Qëndrueshëm të </w:t>
      </w:r>
      <w:r w:rsidRPr="00551729">
        <w:rPr>
          <w:b/>
        </w:rPr>
        <w:t xml:space="preserve">Malit të Zi </w:t>
      </w:r>
      <w:r w:rsidRPr="00551729">
        <w:t>shpreh keqardhjen për faktin</w:t>
      </w:r>
      <w:r w:rsidR="00C521D5" w:rsidRPr="00551729">
        <w:t xml:space="preserve"> </w:t>
      </w:r>
      <w:r w:rsidRPr="00551729">
        <w:t xml:space="preserve">se </w:t>
      </w:r>
      <w:r w:rsidR="00C521D5" w:rsidRPr="00551729">
        <w:t>“</w:t>
      </w:r>
      <w:r w:rsidRPr="00551729">
        <w:t>sistemi i kujdesit shëndetësor është përshtatur në një masë të madhe vetëm për ofrimin e</w:t>
      </w:r>
      <w:r w:rsidR="00C521D5" w:rsidRPr="00551729">
        <w:t xml:space="preserve"> </w:t>
      </w:r>
      <w:r w:rsidRPr="00551729">
        <w:t>shërbimeve</w:t>
      </w:r>
      <w:r w:rsidR="000B3F06" w:rsidRPr="00551729">
        <w:t xml:space="preserve"> </w:t>
      </w:r>
      <w:r w:rsidRPr="00551729">
        <w:t>kurative</w:t>
      </w:r>
      <w:r w:rsidR="00C521D5" w:rsidRPr="00551729">
        <w:t>”</w:t>
      </w:r>
      <w:r w:rsidRPr="00551729">
        <w:t xml:space="preserve"> dhe përcakton si prioritet forcimin dhe sistemimin e programeve të parandalimit dhe promovimit të shëndetit. Disa tregues të shëndetit (p.sh. norma e vdekshmërisë foshnjore, shkalla e vdekshmërisë së nënave), tregojnë një përmirësim të rregullt në shëndetin publik në Mal të Zi.</w:t>
      </w:r>
    </w:p>
    <w:p w14:paraId="1BADCE4C" w14:textId="2D6306DD" w:rsidR="00500457" w:rsidRPr="00551729" w:rsidRDefault="00500457" w:rsidP="000B3F06">
      <w:pPr>
        <w:pStyle w:val="TEKSTIII"/>
      </w:pPr>
      <w:r w:rsidRPr="00551729">
        <w:t xml:space="preserve">Kujdesi shëndetësor parësor në Mal të Zi ofrohet në nivel bashkie dhe të gjitha bashkitë kanë nga një qendër shëndetësore për kujdesin primar. Që nga miratimi i </w:t>
      </w:r>
      <w:r w:rsidR="00C521D5" w:rsidRPr="00551729">
        <w:t>“</w:t>
      </w:r>
      <w:r w:rsidRPr="00551729">
        <w:t>modelit të mjekut të zgjedhur</w:t>
      </w:r>
      <w:r w:rsidR="00C521D5" w:rsidRPr="00551729">
        <w:t>”</w:t>
      </w:r>
      <w:r w:rsidRPr="00551729">
        <w:t xml:space="preserve"> numri i personave të siguruar të regjistruar arrin në 83%. Kujdesi shëndetësor dytësor është gjithashtu mjaft i pranishëm në territorin e zonës së programit. Qendra Klinike në Podgoricë shërben si spital i përgjithshëm për Podgoricën, Danilovgradin dhe Kolashinin, duke ofruar edhe kujdesin shëndetësor terciar për të gjithë Malin e Zi. Përveç kësaj, zona e programit ka edhe 3 spitale të tjerë të përgjithshëm (në Tivar, Beranë, dhe Cetinjë)</w:t>
      </w:r>
      <w:r w:rsidR="000D43F1">
        <w:t>,</w:t>
      </w:r>
      <w:r w:rsidRPr="00551729">
        <w:t xml:space="preserve"> si dhe 2 qendra shëndetësore në Plavë dhe Rozhajë.</w:t>
      </w:r>
    </w:p>
    <w:p w14:paraId="1BADCE4D" w14:textId="77777777" w:rsidR="00500457" w:rsidRPr="00551729" w:rsidRDefault="00500457" w:rsidP="000B3F06">
      <w:pPr>
        <w:pStyle w:val="TEKSTIII"/>
      </w:pPr>
      <w:r w:rsidRPr="00551729">
        <w:t>Numri i përgjithshëm i të punësuarve në sektorin e shëndetësisë në zonën e programit arrin në 3,331 persona</w:t>
      </w:r>
      <w:r w:rsidR="000B3F06" w:rsidRPr="00551729">
        <w:rPr>
          <w:rStyle w:val="FootnoteReference"/>
        </w:rPr>
        <w:footnoteReference w:id="78"/>
      </w:r>
      <w:r w:rsidRPr="00551729">
        <w:t>, ose rreth 61.9% të fuqisë punëtore të përgjithshme të punësuar në sektorin e shëndetësisë në Mal të Zi.</w:t>
      </w:r>
    </w:p>
    <w:p w14:paraId="1BADCE4E" w14:textId="77777777" w:rsidR="00500457" w:rsidRPr="00551729" w:rsidRDefault="00500457" w:rsidP="000B673A">
      <w:pPr>
        <w:pStyle w:val="TEKSTIII"/>
      </w:pPr>
      <w:r w:rsidRPr="00551729">
        <w:t xml:space="preserve">Ngjashëm me Malin e Zi, kujdesi shëndetësor parësor në </w:t>
      </w:r>
      <w:r w:rsidRPr="00551729">
        <w:rPr>
          <w:b/>
        </w:rPr>
        <w:t xml:space="preserve">Shqipëri </w:t>
      </w:r>
      <w:r w:rsidRPr="00551729">
        <w:t>ofrohet në nivel komune dhe bashkie, ndërsa kujdesi shëndetësor dytësor është i vendosur kryesisht në qendrat më të mëdha urbane. Zona e programit ka një rrjet prej 421 institucionesh shëndetësore</w:t>
      </w:r>
      <w:r w:rsidR="000B3F06" w:rsidRPr="00551729">
        <w:rPr>
          <w:rStyle w:val="FootnoteReference"/>
        </w:rPr>
        <w:footnoteReference w:id="79"/>
      </w:r>
      <w:r w:rsidRPr="00551729">
        <w:rPr>
          <w:position w:val="6"/>
        </w:rPr>
        <w:t xml:space="preserve"> </w:t>
      </w:r>
      <w:r w:rsidRPr="00551729">
        <w:t>në sektorin e kujdesit shëndetësor parësor</w:t>
      </w:r>
      <w:r w:rsidR="000B673A" w:rsidRPr="00551729">
        <w:t xml:space="preserve"> </w:t>
      </w:r>
      <w:r w:rsidRPr="00551729">
        <w:t>– 46% prej të cilave ofrojnë shërbime në rajonin e Shkodrës, 37% në rajonin e Lezhës dhe 17% në qarkun e Tropojës. Në zonë gjenden 10 spitale; 6 në Shkodër, 3 në rajonin e Lezhës dhe 1 në qarkun e Tropojës.</w:t>
      </w:r>
    </w:p>
    <w:p w14:paraId="1BADCE4F" w14:textId="5F28B6FE" w:rsidR="00500457" w:rsidRPr="00551729" w:rsidRDefault="00500457" w:rsidP="000B3F06">
      <w:pPr>
        <w:pStyle w:val="TEKSTIII"/>
      </w:pPr>
      <w:r w:rsidRPr="00551729">
        <w:t xml:space="preserve">Kujdesi shëndetësor dytësor është mjaft i pranishëm në rajonin e zonës </w:t>
      </w:r>
      <w:r w:rsidRPr="00551729">
        <w:rPr>
          <w:spacing w:val="2"/>
        </w:rPr>
        <w:t xml:space="preserve">së </w:t>
      </w:r>
      <w:r w:rsidR="000B673A" w:rsidRPr="00551729">
        <w:t>programit me një total prej</w:t>
      </w:r>
      <w:r w:rsidRPr="00551729">
        <w:t xml:space="preserve"> 10 spitalesh. Rajoni i Shkodrës ka 6 spitale: 1 në </w:t>
      </w:r>
      <w:r w:rsidR="003128C6" w:rsidRPr="00551729">
        <w:t xml:space="preserve">Bashkinë </w:t>
      </w:r>
      <w:r w:rsidRPr="00551729">
        <w:t>Pukë me 11 mjekë, dhe 5 spitale në Shkodër – duke përfshirë spitalin rajonal të Shkodrës – me 85 mjekë dhe 262 infermierë, ndërsa shërbimet shëndetësore në Malësi të Madhe ofrohen nga 19 mjekë dhe 92</w:t>
      </w:r>
      <w:r w:rsidRPr="00551729">
        <w:rPr>
          <w:spacing w:val="-21"/>
        </w:rPr>
        <w:t xml:space="preserve"> </w:t>
      </w:r>
      <w:r w:rsidRPr="00551729">
        <w:t>infermierë.</w:t>
      </w:r>
    </w:p>
    <w:p w14:paraId="1BADCE50" w14:textId="21261051" w:rsidR="00500457" w:rsidRPr="00551729" w:rsidRDefault="00500457" w:rsidP="000B3F06">
      <w:pPr>
        <w:pStyle w:val="TEKSTIII"/>
      </w:pPr>
      <w:r w:rsidRPr="00551729">
        <w:t xml:space="preserve">Rajoni i Lezhës ka 3 spitale: 1 në </w:t>
      </w:r>
      <w:r w:rsidR="003128C6" w:rsidRPr="00551729">
        <w:t xml:space="preserve">Bashkinë </w:t>
      </w:r>
      <w:r w:rsidRPr="00551729">
        <w:t xml:space="preserve">Lezhë, 1 në </w:t>
      </w:r>
      <w:r w:rsidR="003128C6" w:rsidRPr="00551729">
        <w:t xml:space="preserve">Bashkinë </w:t>
      </w:r>
      <w:r w:rsidRPr="00551729">
        <w:t xml:space="preserve">Rrëshen dhe 1 në </w:t>
      </w:r>
      <w:r w:rsidR="003128C6" w:rsidRPr="00551729">
        <w:t xml:space="preserve">Bashkinë </w:t>
      </w:r>
      <w:r w:rsidRPr="00551729">
        <w:t>Laç. Numri i përgjithshëm i mjekëve në rajonin e Lezhës shkon në 83, të mbështetur nga 341 infermierë.</w:t>
      </w:r>
    </w:p>
    <w:p w14:paraId="1BADCE51" w14:textId="36C519E6" w:rsidR="00500457" w:rsidRPr="00551729" w:rsidRDefault="00500457" w:rsidP="000B3F06">
      <w:pPr>
        <w:pStyle w:val="TEKSTIII"/>
      </w:pPr>
      <w:r w:rsidRPr="00551729">
        <w:t xml:space="preserve">Qarku i Tropojës ka 1 spital në </w:t>
      </w:r>
      <w:r w:rsidR="003128C6" w:rsidRPr="00551729">
        <w:t xml:space="preserve">Bashkinë </w:t>
      </w:r>
      <w:r w:rsidRPr="00551729">
        <w:t>Bajram Curri; spitali ka 13 mjekë të mbështetur nga 134 infermierë.</w:t>
      </w:r>
    </w:p>
    <w:p w14:paraId="1BADCE52" w14:textId="77777777" w:rsidR="00500457" w:rsidRPr="00551729" w:rsidRDefault="00500457" w:rsidP="000B3F06">
      <w:pPr>
        <w:pStyle w:val="TEKSTIII"/>
      </w:pPr>
      <w:r w:rsidRPr="00551729">
        <w:t>Në përgjithësi, shërbimet shëndetësore në Shqipëri janë duke u përmirësuar, por duhet të bëhet akoma më shumë për të siguruar akses universal në shërbime të tilla edhe nga familjet e varfra. Sfida kryesore e radhës për të garantuar që të gjithë qytetarët janë të pajisur me shërbimet e duhura shëndetësore është heqja e pengesës ekonomike për të pasur akses në shërbimet cilësore, e cila është e rënduar nga mungesa totale e sigurimit shëndetësor.</w:t>
      </w:r>
    </w:p>
    <w:p w14:paraId="1BADCE53" w14:textId="77777777" w:rsidR="00500457" w:rsidRPr="00551729" w:rsidRDefault="000B3F06" w:rsidP="000B3F06">
      <w:pPr>
        <w:pStyle w:val="TEKSTIII"/>
        <w:rPr>
          <w:b/>
        </w:rPr>
      </w:pPr>
      <w:bookmarkStart w:id="48" w:name="_bookmark46"/>
      <w:bookmarkEnd w:id="48"/>
      <w:r w:rsidRPr="00551729">
        <w:rPr>
          <w:b/>
        </w:rPr>
        <w:t xml:space="preserve">2.3.4 </w:t>
      </w:r>
      <w:r w:rsidR="00500457" w:rsidRPr="00551729">
        <w:rPr>
          <w:b/>
        </w:rPr>
        <w:t>Kultura</w:t>
      </w:r>
    </w:p>
    <w:p w14:paraId="1BADCE54" w14:textId="77777777" w:rsidR="00500457" w:rsidRPr="00551729" w:rsidRDefault="00500457" w:rsidP="000B3F06">
      <w:pPr>
        <w:pStyle w:val="TEKSTIII"/>
      </w:pPr>
      <w:r w:rsidRPr="00551729">
        <w:t>Në përgjithësi, në zonën e programit kultura karakterizohet nga elemente të ndryshme të traditave individuale dhe të përbashkëta. Qendrat turistike dhe qytetet e mëdha janë të pasura me trashëgimi kulturore që përfshijnë monumente dhe vende fetare (kisha, manastire dhe xhami), qytete të vjetra, vende arkeologjike dhe muzeume të ndryshme. Zona e programit është gjithashtu e pasur në traditën e kuzhinës dhe artizanatit, të cilat mund të luajnë një rol të rëndësishëm në promovimin dhe zhvillimin e</w:t>
      </w:r>
      <w:r w:rsidR="000B3F06" w:rsidRPr="00551729">
        <w:t xml:space="preserve"> </w:t>
      </w:r>
      <w:r w:rsidRPr="00551729">
        <w:t>mëtejshëm të turizmit. Bashkëpunimi ndërkufitar mund të luajë rol të rëndësishëm në mbrojtjen dhe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w:t>
      </w:r>
      <w:r w:rsidRPr="00551729">
        <w:rPr>
          <w:spacing w:val="-6"/>
        </w:rPr>
        <w:t xml:space="preserve"> </w:t>
      </w:r>
      <w:r w:rsidRPr="00551729">
        <w:t>kufitare.</w:t>
      </w:r>
    </w:p>
    <w:p w14:paraId="1BADCE55" w14:textId="019C66C8" w:rsidR="00500457" w:rsidRPr="00551729" w:rsidRDefault="00500457" w:rsidP="000B3F06">
      <w:pPr>
        <w:pStyle w:val="TEKSTIII"/>
      </w:pPr>
      <w:r w:rsidRPr="00551729">
        <w:t xml:space="preserve">Zona e programit në </w:t>
      </w:r>
      <w:r w:rsidRPr="00551729">
        <w:rPr>
          <w:b/>
        </w:rPr>
        <w:t xml:space="preserve">Mal të Zi </w:t>
      </w:r>
      <w:r w:rsidRPr="00551729">
        <w:t>përmban një shumëllojshmëri të besimeve fetare, traditave, dhe kulturave. Zona përmban popullsi me kombësi të përzier (malazezët, serbët, shqiptarët, boshnjakët), me një histori të gjatë të të qen</w:t>
      </w:r>
      <w:r w:rsidR="000A024F">
        <w:t>ë</w:t>
      </w:r>
      <w:r w:rsidR="00104C04">
        <w:t>t</w:t>
      </w:r>
      <w:r w:rsidRPr="00551729">
        <w:t xml:space="preserve"> të lidhur ngushtë me njëri-tjetrin. Një histori dhe traditë e tillë krijon një terren të mirë për iniciativat ndërkufitare, pasi marrëdhëniet ndërkufitare dhe lidhjet kulturore janë të rrënjosura thellë në mendësinë e popullsisë në zonën e programit.</w:t>
      </w:r>
    </w:p>
    <w:p w14:paraId="1BADCE56" w14:textId="45BD5913" w:rsidR="00500457" w:rsidRPr="00551729" w:rsidRDefault="00500457" w:rsidP="000B673A">
      <w:pPr>
        <w:pStyle w:val="TEKSTIII"/>
      </w:pPr>
      <w:r w:rsidRPr="00551729">
        <w:t>Në Shqipëri, zona e programit është e pasur në trashëgimi kulturore. Përveç kalasë së famshme të Rozafës, në Shkodër ka disa muzeume, një numër të konsiderueshëm të vendeve arkeologjike dhe atraksione turistike të lidhura me trashëgiminë kulturore të rajonit dhe qytetit. Lezha, një park arkeologjik që prej vitit 2005, ka gjithashtu rrënojat e kalasë së saj, të cilat dominojnë qytetin, së bashku me atraksione të tjera si muzetë dhe kishat, të cilat mund të gjenden në rajon. Monumenti më i rëndësishëm në rajonin e Lezhës është memoriali i heroit kombëtar shqiptar Gjergj Kastriot</w:t>
      </w:r>
      <w:r w:rsidR="00C521D5" w:rsidRPr="00551729">
        <w:t xml:space="preserve"> </w:t>
      </w:r>
      <w:r w:rsidRPr="00551729">
        <w:t>Skënderbeu, i vendosur mbi rrënojat e kishës së lashtë ku u themelua Lidhja Shqiptare për të luftuar otomanët në vitin 1444 në qytetin e Lezhës.</w:t>
      </w:r>
    </w:p>
    <w:p w14:paraId="1BADCE58" w14:textId="0C3196DF" w:rsidR="00500457" w:rsidRPr="00551729" w:rsidRDefault="000B673A" w:rsidP="000B673A">
      <w:pPr>
        <w:pStyle w:val="TEKSTIII"/>
        <w:rPr>
          <w:b/>
        </w:rPr>
      </w:pPr>
      <w:bookmarkStart w:id="49" w:name="_bookmark47"/>
      <w:bookmarkEnd w:id="49"/>
      <w:r w:rsidRPr="00551729">
        <w:rPr>
          <w:b/>
        </w:rPr>
        <w:t xml:space="preserve">2.3.5 </w:t>
      </w:r>
      <w:r w:rsidR="00500457" w:rsidRPr="00551729">
        <w:rPr>
          <w:b/>
        </w:rPr>
        <w:t>Shoqëria</w:t>
      </w:r>
      <w:r w:rsidR="00500457" w:rsidRPr="00551729">
        <w:rPr>
          <w:b/>
          <w:spacing w:val="-5"/>
        </w:rPr>
        <w:t xml:space="preserve"> </w:t>
      </w:r>
      <w:r w:rsidR="00104C04" w:rsidRPr="00551729">
        <w:rPr>
          <w:b/>
        </w:rPr>
        <w:t>civile</w:t>
      </w:r>
    </w:p>
    <w:p w14:paraId="1BADCE59" w14:textId="4FB938FB" w:rsidR="00500457" w:rsidRPr="00551729" w:rsidRDefault="00500457" w:rsidP="000B673A">
      <w:pPr>
        <w:pStyle w:val="TEKSTIII"/>
      </w:pPr>
      <w:r w:rsidRPr="00551729">
        <w:t xml:space="preserve">Në </w:t>
      </w:r>
      <w:r w:rsidRPr="00551729">
        <w:rPr>
          <w:b/>
        </w:rPr>
        <w:t xml:space="preserve">Mal të Zi </w:t>
      </w:r>
      <w:r w:rsidRPr="00551729">
        <w:t>janë 5,843</w:t>
      </w:r>
      <w:r w:rsidR="000B673A" w:rsidRPr="00551729">
        <w:rPr>
          <w:rStyle w:val="FootnoteReference"/>
        </w:rPr>
        <w:footnoteReference w:id="80"/>
      </w:r>
      <w:r w:rsidRPr="00551729">
        <w:rPr>
          <w:position w:val="6"/>
        </w:rPr>
        <w:t xml:space="preserve"> </w:t>
      </w:r>
      <w:r w:rsidRPr="00551729">
        <w:t>Organizata të Shoqërisë Civile (OSHC) të regjistruara. Pjesa më e madhe e tyre janë shoqata qytetare (5665), dhe 175 janë fondacione. OSHC-të me më shumë ndikim dhe përvojë janë të vendosura në Podgoricë, aktive në sektorë të ndryshëm (të drejtat e njeriut, politikat publike, mjedisi dhe zhvillimi rural, ngritja e kapaciteteve, aftësitë e kufizuara</w:t>
      </w:r>
      <w:r w:rsidR="00B65E6C">
        <w:t xml:space="preserve"> etj</w:t>
      </w:r>
      <w:r w:rsidRPr="00551729">
        <w:t>.). Shumica e tyre kanë një përvojë në përcaktimin e projekteve BNK. Në rajone të tjera dhe veçanërisht në rajonin verior, situata e OSHC-ve është më e pasigurt. Kapacitetet njerëzore dhe kapacitetet e financimit janë përgjithësisht të pamjaftueshme; partneriteti me autoritetet lokale, si dhe krijimi i rrjeteve rajonale të</w:t>
      </w:r>
      <w:r w:rsidR="00C521D5" w:rsidRPr="00551729">
        <w:t xml:space="preserve"> </w:t>
      </w:r>
      <w:r w:rsidRPr="00551729">
        <w:t>OSHC-ve</w:t>
      </w:r>
      <w:r w:rsidR="00C521D5" w:rsidRPr="00551729">
        <w:t xml:space="preserve"> </w:t>
      </w:r>
      <w:r w:rsidRPr="00551729">
        <w:t>janë ende të dobëta. Megjithatë, rrjeti lokal i organizatave komunitare është i shumëllojshëm dhe i pasur. Disa prej tyre, të tilla si shoqatat e malësorëve, mund të luajnë një rol të rëndësishëm në zbatimin e nismave BNK.</w:t>
      </w:r>
    </w:p>
    <w:p w14:paraId="1BADCE5A" w14:textId="52AFE65D" w:rsidR="00500457" w:rsidRPr="00551729" w:rsidRDefault="00500457" w:rsidP="000B673A">
      <w:pPr>
        <w:pStyle w:val="TEKSTIII"/>
      </w:pPr>
      <w:r w:rsidRPr="00551729">
        <w:t xml:space="preserve">Sektori i OSHC-ve në </w:t>
      </w:r>
      <w:r w:rsidRPr="00551729">
        <w:rPr>
          <w:b/>
        </w:rPr>
        <w:t xml:space="preserve">Shqipëri </w:t>
      </w:r>
      <w:r w:rsidRPr="00551729">
        <w:t>është i vogël dhe relativisht i pazhvilluar. Zyrtarisht ekzistojnë 2,231 shoqata, 311 fondacione dhe 552 qendra të regjistruara</w:t>
      </w:r>
      <w:r w:rsidR="000B673A" w:rsidRPr="00551729">
        <w:rPr>
          <w:rStyle w:val="FootnoteReference"/>
        </w:rPr>
        <w:footnoteReference w:id="81"/>
      </w:r>
      <w:r w:rsidRPr="00551729">
        <w:t>. Pjesa më e madhe e OSHC-ve janë të përqendruara në kryeqytet (Tiranë), ose në rajonin qendror (i cili përfshin Tiranën dhe qytetet e mëdha të tilla si Shkodra, Durrësi, Elbasani, Korça). Shoqëria civile është e përfaqësuar dobët në të gjitha zonat rurale. Aktivitetet kryesore të OSHC-ve bazohen tek advokimi dhe kërkimi në fushat e promovimit të të drejtave</w:t>
      </w:r>
      <w:r w:rsidR="00C521D5" w:rsidRPr="00551729">
        <w:t xml:space="preserve"> </w:t>
      </w:r>
      <w:r w:rsidRPr="00551729">
        <w:t>të</w:t>
      </w:r>
      <w:r w:rsidR="00C521D5" w:rsidRPr="00551729">
        <w:t xml:space="preserve"> </w:t>
      </w:r>
      <w:r w:rsidRPr="00551729">
        <w:t>njeriut, mbrojtjes</w:t>
      </w:r>
      <w:r w:rsidR="00C521D5" w:rsidRPr="00551729">
        <w:t xml:space="preserve"> </w:t>
      </w:r>
      <w:r w:rsidRPr="00551729">
        <w:t>dhe të drejtave të</w:t>
      </w:r>
      <w:r w:rsidR="00C521D5" w:rsidRPr="00551729">
        <w:t xml:space="preserve"> </w:t>
      </w:r>
      <w:r w:rsidRPr="00551729">
        <w:t>fëmijëve,</w:t>
      </w:r>
      <w:r w:rsidR="00C521D5" w:rsidRPr="00551729">
        <w:t xml:space="preserve"> </w:t>
      </w:r>
      <w:r w:rsidRPr="00551729">
        <w:t>demokracisë</w:t>
      </w:r>
      <w:r w:rsidR="00C521D5" w:rsidRPr="00551729">
        <w:t xml:space="preserve"> </w:t>
      </w:r>
      <w:r w:rsidRPr="00551729">
        <w:t>dhe qeverisjes</w:t>
      </w:r>
      <w:r w:rsidR="00C521D5" w:rsidRPr="00551729">
        <w:t xml:space="preserve"> </w:t>
      </w:r>
      <w:r w:rsidRPr="00551729">
        <w:t>së mirë, si dhe</w:t>
      </w:r>
      <w:r w:rsidR="000B673A" w:rsidRPr="00551729">
        <w:t xml:space="preserve"> </w:t>
      </w:r>
      <w:r w:rsidRPr="00551729">
        <w:t>kërkimeve dhe advokimit mbi politikat, dhe zhvillimit ekonomik. Aksesi në financimet qeveritare dhe private është i kufizuar. Sektori i Shoqërisë Civile në Shqipëri, si një i tërë, është pak i integruar dhe përfaqësuar. Nuk ka asnjë forum të sektorëve të gjerë ose rrjet që i dedikohet koordinimit të</w:t>
      </w:r>
      <w:r w:rsidR="00C521D5" w:rsidRPr="00551729">
        <w:t xml:space="preserve"> </w:t>
      </w:r>
      <w:r w:rsidRPr="00551729">
        <w:t>përpjekjeve të</w:t>
      </w:r>
      <w:r w:rsidRPr="00551729">
        <w:rPr>
          <w:spacing w:val="-7"/>
        </w:rPr>
        <w:t xml:space="preserve"> </w:t>
      </w:r>
      <w:r w:rsidR="006637C8" w:rsidRPr="00551729">
        <w:t>OSHC</w:t>
      </w:r>
      <w:r w:rsidRPr="00551729">
        <w:t>-ve.</w:t>
      </w:r>
    </w:p>
    <w:p w14:paraId="1514F03B" w14:textId="77777777" w:rsidR="004D1FE1" w:rsidRDefault="004D1FE1" w:rsidP="00E2347D">
      <w:pPr>
        <w:pStyle w:val="TEKSTIII"/>
      </w:pPr>
      <w:bookmarkStart w:id="50" w:name="_bookmark48"/>
      <w:bookmarkEnd w:id="50"/>
    </w:p>
    <w:p w14:paraId="1BADCE5B" w14:textId="77777777" w:rsidR="00500457" w:rsidRPr="00104C04" w:rsidRDefault="00E2347D" w:rsidP="00E2347D">
      <w:pPr>
        <w:pStyle w:val="TEKSTIII"/>
      </w:pPr>
      <w:r w:rsidRPr="00104C04">
        <w:t xml:space="preserve">2.4 </w:t>
      </w:r>
      <w:r w:rsidR="00500457" w:rsidRPr="00104C04">
        <w:t>INFRASTRUKTURA</w:t>
      </w:r>
    </w:p>
    <w:p w14:paraId="1BADCE5C" w14:textId="77777777" w:rsidR="00500457" w:rsidRPr="00551729" w:rsidRDefault="00500457" w:rsidP="00E2347D">
      <w:pPr>
        <w:pStyle w:val="TEKSTIII"/>
      </w:pPr>
      <w:r w:rsidRPr="00551729">
        <w:t>Mali i Zi dhe Shqipëria janë pjesë e SEETO</w:t>
      </w:r>
      <w:r w:rsidR="00E2347D" w:rsidRPr="00551729">
        <w:rPr>
          <w:rStyle w:val="FootnoteReference"/>
        </w:rPr>
        <w:footnoteReference w:id="82"/>
      </w:r>
      <w:r w:rsidRPr="00551729">
        <w:rPr>
          <w:position w:val="6"/>
        </w:rPr>
        <w:t xml:space="preserve"> </w:t>
      </w:r>
      <w:r w:rsidRPr="00551729">
        <w:t>– Rrjeti kryesor. Linja më e rëndësishme në këtë zonë është rruga që lidh Podgoricën me Shkodrën nëpërmjet Bozaj -Hani Hotit, e cila është pjesë e Rrjetit Evropian të Rrugëve thelbësore.</w:t>
      </w:r>
    </w:p>
    <w:p w14:paraId="1BADCE5D" w14:textId="20DCC232" w:rsidR="00500457" w:rsidRPr="00551729" w:rsidRDefault="00500457" w:rsidP="00E2347D">
      <w:pPr>
        <w:pStyle w:val="TEKSTIII"/>
      </w:pPr>
      <w:r w:rsidRPr="00551729">
        <w:t>Pozicioni i zonës së programit thekson rëndësinë e një infrastrukture të mirë transporti në zhvillimin e ardhshëm të turizmit, tregtisë, shkëmbimeve kulturore dhe në rritjen e konkurrencës. Infrastruktura rrugore që lidh Malin e Zi dhe Shqipërinë, në veçanti përmes akseve Sukobinë</w:t>
      </w:r>
      <w:r w:rsidR="00FE1429">
        <w:t>–</w:t>
      </w:r>
      <w:r w:rsidRPr="00551729">
        <w:t>M</w:t>
      </w:r>
      <w:r w:rsidR="00FE1429">
        <w:t>uriqan dhe Bozaj–</w:t>
      </w:r>
      <w:r w:rsidRPr="00551729">
        <w:t>Hani i Hotit është përmirësuar në mënyrë të konsiderueshme. Edhe infrastruktura e shërbimeve nga këto pika të kalimit kufitar është përmirësuar, duke lejuar komunikimin më të shpejtë midis dy zonave, duke lehtësuar kështu transportin, tregtinë dhe turizmin. P</w:t>
      </w:r>
      <w:r w:rsidR="00FE1429">
        <w:t>ika e tretë kufitare në Gjercan–</w:t>
      </w:r>
      <w:r w:rsidRPr="00551729">
        <w:t>Plavë është më pak e zhvilluar. Një pikë e katërt e kalimit kufitar në Cijevna Zatrijebačka</w:t>
      </w:r>
      <w:r w:rsidR="00FE1429">
        <w:t>–</w:t>
      </w:r>
      <w:r w:rsidRPr="00551729">
        <w:t>Triesh, do të krijohet pas përfundimit të ndërtimit të rreth 23 km rrugë brenda territorit shqiptar, e cila është në ndërtim e sipër me financim të BERZH. Ajo do të shkurtojë ndjeshëm kohën e udhëtimit nga Plava në Podgoricë (koha e udhëtimit e pritur nëpër territorin shqiptar do të jetë rreth gjysmë</w:t>
      </w:r>
      <w:r w:rsidRPr="00551729">
        <w:rPr>
          <w:spacing w:val="-22"/>
        </w:rPr>
        <w:t xml:space="preserve"> </w:t>
      </w:r>
      <w:r w:rsidRPr="00551729">
        <w:t>ore).</w:t>
      </w:r>
    </w:p>
    <w:p w14:paraId="5F50C6BF" w14:textId="77777777" w:rsidR="004D1FE1" w:rsidRDefault="004D1FE1" w:rsidP="00E2347D">
      <w:pPr>
        <w:pStyle w:val="TEKSTIII"/>
        <w:rPr>
          <w:b/>
        </w:rPr>
      </w:pPr>
    </w:p>
    <w:p w14:paraId="38E579E2" w14:textId="77777777" w:rsidR="004D1FE1" w:rsidRDefault="004D1FE1" w:rsidP="00E2347D">
      <w:pPr>
        <w:pStyle w:val="TEKSTIII"/>
        <w:rPr>
          <w:b/>
        </w:rPr>
      </w:pPr>
    </w:p>
    <w:p w14:paraId="1BADCE5E" w14:textId="77777777" w:rsidR="00500457" w:rsidRPr="00551729" w:rsidRDefault="00500457" w:rsidP="00E2347D">
      <w:pPr>
        <w:pStyle w:val="TEKSTIII"/>
        <w:rPr>
          <w:b/>
        </w:rPr>
      </w:pPr>
      <w:r w:rsidRPr="00551729">
        <w:rPr>
          <w:b/>
        </w:rPr>
        <w:t>Rrugët</w:t>
      </w:r>
    </w:p>
    <w:p w14:paraId="1BADCE5F" w14:textId="77777777" w:rsidR="00500457" w:rsidRPr="00551729" w:rsidRDefault="00500457" w:rsidP="00E2347D">
      <w:pPr>
        <w:pStyle w:val="TEKSTIII"/>
      </w:pPr>
      <w:r w:rsidRPr="00551729">
        <w:t xml:space="preserve">Në </w:t>
      </w:r>
      <w:r w:rsidRPr="00551729">
        <w:rPr>
          <w:b/>
        </w:rPr>
        <w:t xml:space="preserve">Mal të Zi </w:t>
      </w:r>
      <w:r w:rsidRPr="00551729">
        <w:t>nuk ka autostrada; rrugët kryesore të vendit janë rrugë të tipit me një karrexhatë. Lidhjet midis Podgoricës dhe qyteteve bregdetare janë përmirësuar ndjeshëm, kohët e udhëtimit janë bërë më të shkurtra dhe rrugët janë bërë më të sigurta me përfundimin e tunelit Sozina (koha e udhëtimit nga Podgorica në Tivar, gjysmë ore) dhe përmirësimet e shumta të rrugëve në drejtim të Cetinjës dhe Tivarit. Megjithatë, rrjeti i rrugëve sekondare dhe rurale, i menaxhuar nga bashkitë, kërkon përmirësime pasi shpesh është në gjendje të keqe.</w:t>
      </w:r>
    </w:p>
    <w:p w14:paraId="1BADCE60" w14:textId="1DA1176D" w:rsidR="00500457" w:rsidRPr="00551729" w:rsidRDefault="00500457" w:rsidP="00E2347D">
      <w:pPr>
        <w:pStyle w:val="TEKSTIII"/>
      </w:pPr>
      <w:r w:rsidRPr="00551729">
        <w:t xml:space="preserve">Në zonën </w:t>
      </w:r>
      <w:r w:rsidRPr="00551729">
        <w:rPr>
          <w:b/>
        </w:rPr>
        <w:t xml:space="preserve">shqiptare </w:t>
      </w:r>
      <w:r w:rsidRPr="00551729">
        <w:t>të programit, infrastruktura e rrugëve është përmirësuar ndjeshëm në 5 vitet e fundit, edhe pse Tropoja ka ende nevojë për përmirësime në rrjetin e saj rrugor. Transporti i mallrave dhe i njerëzve tani është më i lehtë dhe më i shpejtë. Të udhëtosh nga Tirana për në Lezhë dhe Shkodër nuk merr më shumë se 120 minuta; një pjesë e kësaj rruge i përket autostradës Durrës</w:t>
      </w:r>
      <w:r w:rsidR="00C02529">
        <w:t>–</w:t>
      </w:r>
      <w:r w:rsidRPr="00551729">
        <w:t xml:space="preserve">Kukës </w:t>
      </w:r>
      <w:r w:rsidR="00C02529">
        <w:t xml:space="preserve">– </w:t>
      </w:r>
      <w:r w:rsidR="00C521D5" w:rsidRPr="00551729">
        <w:t>“</w:t>
      </w:r>
      <w:r w:rsidRPr="00551729">
        <w:t>Rruga e Kombit</w:t>
      </w:r>
      <w:r w:rsidR="00C521D5" w:rsidRPr="00551729">
        <w:t>”</w:t>
      </w:r>
      <w:r w:rsidRPr="00551729">
        <w:t>, e cila lidh Shqipërinë me Kosovën.</w:t>
      </w:r>
    </w:p>
    <w:p w14:paraId="1BADCE61" w14:textId="329484EE" w:rsidR="00500457" w:rsidRPr="00551729" w:rsidRDefault="00500457" w:rsidP="00E2347D">
      <w:pPr>
        <w:pStyle w:val="TEKSTIII"/>
        <w:rPr>
          <w:b/>
        </w:rPr>
      </w:pPr>
      <w:r w:rsidRPr="00551729">
        <w:rPr>
          <w:b/>
        </w:rPr>
        <w:t xml:space="preserve">Transporti </w:t>
      </w:r>
      <w:r w:rsidR="00E64B72" w:rsidRPr="00551729">
        <w:rPr>
          <w:b/>
        </w:rPr>
        <w:t>hekurudhor</w:t>
      </w:r>
    </w:p>
    <w:p w14:paraId="1BADCE62" w14:textId="62442506" w:rsidR="00500457" w:rsidRPr="00551729" w:rsidRDefault="00500457" w:rsidP="00E2347D">
      <w:pPr>
        <w:pStyle w:val="TEKSTIII"/>
      </w:pPr>
      <w:r w:rsidRPr="00551729">
        <w:t xml:space="preserve">Mali i Zi dhe Shqipëria kanë rënë dakord për të integruar procedurat e organizimit të </w:t>
      </w:r>
      <w:r w:rsidRPr="00551729">
        <w:rPr>
          <w:b/>
        </w:rPr>
        <w:t>transportit hekurudhor</w:t>
      </w:r>
      <w:r w:rsidRPr="00551729">
        <w:t xml:space="preserve"> midis dy vendeve. Një hekurudhë kalon përmes zonës së programit nga Podgorica në Shkodër, me një gjatësi prej rreth 63.5 km; ajo është përdorur vetëm për transportin e mallrave, pasi linja nuk është e elektrizuar. E njëjta hekurudhë lidh Tiranën me Shkodrën, nëpërmjet Lezhës. Duke</w:t>
      </w:r>
      <w:r w:rsidR="00C521D5" w:rsidRPr="00551729">
        <w:t xml:space="preserve"> </w:t>
      </w:r>
      <w:r w:rsidRPr="00551729">
        <w:t>qenë se zhvillimi i infrastrukturës është fokusuar kryesisht në rrjetin rrugor, rrjeti hekurudhor ka marrë pak vëmendje nga qeveritë përkatëse, duke çuar në përkeqësimin e kushteve fizike të kësaj hekurudhe</w:t>
      </w:r>
      <w:r w:rsidR="00E2347D" w:rsidRPr="00551729">
        <w:t xml:space="preserve"> </w:t>
      </w:r>
      <w:r w:rsidRPr="00551729">
        <w:t>ndër vite. Planet e ardhshme përfshijnë elektrifikimin e saj, të paktën në anën e Malit të Zi, si dhe përdorimin e kësaj hekurudhe edhe për transportin e udhëtarëve, duke miratuar komunën urbane të Tuzit, një nënndarje të Komunës së Podgoricës, si stacion të përbashkët kufitar.</w:t>
      </w:r>
    </w:p>
    <w:p w14:paraId="1BADCE63" w14:textId="7D976CF5" w:rsidR="00500457" w:rsidRPr="00551729" w:rsidRDefault="00500457" w:rsidP="001A5C18">
      <w:pPr>
        <w:pStyle w:val="TEKSTIII"/>
        <w:rPr>
          <w:b/>
        </w:rPr>
      </w:pPr>
      <w:r w:rsidRPr="00551729">
        <w:rPr>
          <w:b/>
        </w:rPr>
        <w:t xml:space="preserve">Transporti </w:t>
      </w:r>
      <w:r w:rsidR="00E64B72" w:rsidRPr="00551729">
        <w:rPr>
          <w:b/>
        </w:rPr>
        <w:t>ajror dhe detar</w:t>
      </w:r>
    </w:p>
    <w:p w14:paraId="1BADCE64" w14:textId="77777777" w:rsidR="00500457" w:rsidRPr="00551729" w:rsidRDefault="00500457" w:rsidP="001A5C18">
      <w:pPr>
        <w:pStyle w:val="TEKSTIII"/>
      </w:pPr>
      <w:r w:rsidRPr="00551729">
        <w:rPr>
          <w:b/>
          <w:i/>
        </w:rPr>
        <w:t xml:space="preserve">Aeroporti </w:t>
      </w:r>
      <w:r w:rsidRPr="00551729">
        <w:t xml:space="preserve">i Podgoricës në Mal të Zi është i vetmi aeroport në zonën e programit. Në zonën e programit në </w:t>
      </w:r>
      <w:r w:rsidRPr="00551729">
        <w:rPr>
          <w:b/>
        </w:rPr>
        <w:t xml:space="preserve">Mal të Zi </w:t>
      </w:r>
      <w:r w:rsidRPr="00551729">
        <w:t xml:space="preserve">gjendet </w:t>
      </w:r>
      <w:r w:rsidRPr="00551729">
        <w:rPr>
          <w:b/>
        </w:rPr>
        <w:t xml:space="preserve">porti </w:t>
      </w:r>
      <w:r w:rsidRPr="00551729">
        <w:t>i Tivarit, më i madhi në Mal të Zi, si dhe molet në Budva dhe porti i vogël i Ulqinit.</w:t>
      </w:r>
    </w:p>
    <w:p w14:paraId="1BADCE65" w14:textId="77777777" w:rsidR="00500457" w:rsidRPr="00551729" w:rsidRDefault="00500457" w:rsidP="001A5C18">
      <w:pPr>
        <w:pStyle w:val="TEKSTIII"/>
      </w:pPr>
      <w:r w:rsidRPr="00551729">
        <w:t xml:space="preserve">Në zonën e programit në </w:t>
      </w:r>
      <w:r w:rsidRPr="00551729">
        <w:rPr>
          <w:b/>
        </w:rPr>
        <w:t xml:space="preserve">Shqipëri </w:t>
      </w:r>
      <w:r w:rsidRPr="00551729">
        <w:t>është porti i Shëngjinit (qarku i Lezhës), i cili i shërben nevojave të pjesës veriore të Shqipërisë për transportin detar.</w:t>
      </w:r>
    </w:p>
    <w:p w14:paraId="1BADCE66" w14:textId="77777777" w:rsidR="00500457" w:rsidRPr="00551729" w:rsidRDefault="00500457" w:rsidP="001A5C18">
      <w:pPr>
        <w:pStyle w:val="TEKSTIII"/>
        <w:rPr>
          <w:b/>
        </w:rPr>
      </w:pPr>
      <w:r w:rsidRPr="00551729">
        <w:rPr>
          <w:b/>
        </w:rPr>
        <w:t>Telekomunikacioni</w:t>
      </w:r>
    </w:p>
    <w:p w14:paraId="1BADCE67" w14:textId="6AFD407F" w:rsidR="00500457" w:rsidRPr="00551729" w:rsidRDefault="00500457" w:rsidP="001A5C18">
      <w:pPr>
        <w:pStyle w:val="TEKSTIII"/>
      </w:pPr>
      <w:r w:rsidRPr="00551729">
        <w:t xml:space="preserve">Telekomunikacioni në zonën e programit përfiton si nga telefonia fikse, ashtu edhe nga ajo celulare. Telefonia fikse në </w:t>
      </w:r>
      <w:r w:rsidRPr="00551729">
        <w:rPr>
          <w:b/>
        </w:rPr>
        <w:t xml:space="preserve">Mal të Zi </w:t>
      </w:r>
      <w:r w:rsidRPr="00551729">
        <w:t>është plotësisht e di</w:t>
      </w:r>
      <w:r w:rsidR="00104C04">
        <w:t>gj</w:t>
      </w:r>
      <w:r w:rsidRPr="00551729">
        <w:t>italizuar. Numri i abonentëve është rreth 1.700.856</w:t>
      </w:r>
      <w:r w:rsidR="001A5C18" w:rsidRPr="00551729">
        <w:rPr>
          <w:rStyle w:val="FootnoteReference"/>
        </w:rPr>
        <w:footnoteReference w:id="83"/>
      </w:r>
      <w:r w:rsidR="00A202C2">
        <w:t>,</w:t>
      </w:r>
      <w:r w:rsidRPr="00551729">
        <w:rPr>
          <w:position w:val="6"/>
        </w:rPr>
        <w:t xml:space="preserve"> </w:t>
      </w:r>
      <w:r w:rsidRPr="00551729">
        <w:t>duke korresponduar me një normë prej 27,55%. Tregu i telefonisë celulare ka tre operatorë telekomunikacioni. Në vitin 2012, tr</w:t>
      </w:r>
      <w:r w:rsidR="00242233">
        <w:t>i</w:t>
      </w:r>
      <w:r w:rsidRPr="00551729">
        <w:t xml:space="preserve"> kompanitë celulare raportuan një total prej 990,868 përdoruesish, që korrespondon me një normë prej 159%.</w:t>
      </w:r>
    </w:p>
    <w:p w14:paraId="1BADCE68" w14:textId="77777777" w:rsidR="00500457" w:rsidRPr="00551729" w:rsidRDefault="00500457" w:rsidP="001A5C18">
      <w:pPr>
        <w:pStyle w:val="TEKSTIII"/>
      </w:pPr>
      <w:r w:rsidRPr="00551729">
        <w:t xml:space="preserve">Në </w:t>
      </w:r>
      <w:r w:rsidRPr="00551729">
        <w:rPr>
          <w:b/>
        </w:rPr>
        <w:t>Shqipëri</w:t>
      </w:r>
      <w:r w:rsidRPr="00551729">
        <w:t>, niveli i depërtimit të telefonisë fikse dhe celulare në zonën e programit qëndron në 88.15%</w:t>
      </w:r>
      <w:r w:rsidR="001A5C18" w:rsidRPr="00551729">
        <w:rPr>
          <w:rStyle w:val="FootnoteReference"/>
        </w:rPr>
        <w:footnoteReference w:id="84"/>
      </w:r>
      <w:r w:rsidRPr="00551729">
        <w:t>, pak nën mesataren kombëtare prej 89.47%. Megjithatë, me përjashtim të qyteteve kryesore, depërtimi i telefonisë fikse në zonat rurale është i ulët; komunikimi është i bazuar kryesisht në telefonat celularë. Ekziston një ofrues kombëtar i telefonisë fikse, ndërkohë që ka 4 operatorë celularë. Niveli i depërtimit të telefonisë celulare në Shqipëri është mbi 130%.</w:t>
      </w:r>
    </w:p>
    <w:p w14:paraId="1BADCE69" w14:textId="77777777" w:rsidR="00500457" w:rsidRPr="00551729" w:rsidRDefault="00500457" w:rsidP="001A5C18">
      <w:pPr>
        <w:pStyle w:val="TEKSTIII"/>
        <w:rPr>
          <w:b/>
        </w:rPr>
      </w:pPr>
      <w:r w:rsidRPr="00551729">
        <w:rPr>
          <w:b/>
        </w:rPr>
        <w:t>Teknologjitë e Informacionit</w:t>
      </w:r>
    </w:p>
    <w:p w14:paraId="1BADCE6A" w14:textId="77777777" w:rsidR="00500457" w:rsidRPr="00551729" w:rsidRDefault="00500457" w:rsidP="001A5C18">
      <w:pPr>
        <w:pStyle w:val="TEKSTIII"/>
      </w:pPr>
      <w:r w:rsidRPr="00551729">
        <w:t xml:space="preserve">Njohuritë kompjuterike në </w:t>
      </w:r>
      <w:r w:rsidRPr="00551729">
        <w:rPr>
          <w:b/>
        </w:rPr>
        <w:t>Mal të Zi</w:t>
      </w:r>
      <w:r w:rsidR="001A5C18" w:rsidRPr="00551729">
        <w:rPr>
          <w:rStyle w:val="FootnoteReference"/>
          <w:b/>
        </w:rPr>
        <w:footnoteReference w:id="85"/>
      </w:r>
      <w:r w:rsidRPr="00551729">
        <w:rPr>
          <w:position w:val="6"/>
        </w:rPr>
        <w:t xml:space="preserve"> </w:t>
      </w:r>
      <w:r w:rsidRPr="00551729">
        <w:t>i përkasin mesatarisht 35% të popullsisë nga 15 vjeç e lart. Rreth 16% e popullsisë ka njohuri të pjesshme mbi kompjuterin. Përqindja më e madhe e njohjes së kompjuterit në zonën e programit është hasur në Budva me 46%, në Podgoricë 41%, ndërsa më e ulëta është në Andrijevica me rreth 18%. Njohuritë kompjuterike janë më të larta midis popullsisë më të re, dhe ato bien me rritjen e moshës.</w:t>
      </w:r>
    </w:p>
    <w:p w14:paraId="1BADCE6B" w14:textId="77777777" w:rsidR="00500457" w:rsidRPr="00551729" w:rsidRDefault="00500457" w:rsidP="001A5C18">
      <w:pPr>
        <w:pStyle w:val="TEKSTIII"/>
      </w:pPr>
      <w:r w:rsidRPr="00551729">
        <w:t xml:space="preserve">Në </w:t>
      </w:r>
      <w:r w:rsidRPr="00551729">
        <w:rPr>
          <w:b/>
        </w:rPr>
        <w:t>Shqipëri</w:t>
      </w:r>
      <w:r w:rsidRPr="00551729">
        <w:t>, niveli i përdorimit të internetit (që do të thotë se ka një kompjuter që përdoret për të hyrë në internet) në familjet në zonën e programit qëndron në 9.97%, i cili është nën mesataren kombëtare prej 12.35%.</w:t>
      </w:r>
    </w:p>
    <w:p w14:paraId="1BADCE6C" w14:textId="77777777" w:rsidR="00500457" w:rsidRPr="00551729" w:rsidRDefault="00500457" w:rsidP="001A5C18">
      <w:pPr>
        <w:pStyle w:val="TEKSTIII"/>
        <w:rPr>
          <w:b/>
        </w:rPr>
      </w:pPr>
      <w:r w:rsidRPr="00551729">
        <w:rPr>
          <w:b/>
        </w:rPr>
        <w:t>Energjia</w:t>
      </w:r>
    </w:p>
    <w:p w14:paraId="1BADCE6D" w14:textId="54414543" w:rsidR="00500457" w:rsidRPr="00551729" w:rsidRDefault="00500457" w:rsidP="00C040ED">
      <w:pPr>
        <w:pStyle w:val="TEKSTIII"/>
      </w:pPr>
      <w:r w:rsidRPr="00551729">
        <w:t xml:space="preserve">Energjia është e disponueshme në të gjitha bashkitë në zonën e programit në </w:t>
      </w:r>
      <w:r w:rsidRPr="00551729">
        <w:rPr>
          <w:b/>
        </w:rPr>
        <w:t>Mal të Zi</w:t>
      </w:r>
      <w:r w:rsidRPr="00551729">
        <w:t>. Shumica e nevojave energjetike plotësohen nëpërmjet importeve – e gjithë nafta dhe derivatet importohen, ashtu si dhe një e treta e konsumimit të elektricitetit. Madhësia e tregut të energjisë elektrike është rreth 3.720</w:t>
      </w:r>
      <w:r w:rsidR="00FE1429">
        <w:t xml:space="preserve"> </w:t>
      </w:r>
      <w:r w:rsidRPr="00551729">
        <w:t>G</w:t>
      </w:r>
      <w:r w:rsidR="00104C04" w:rsidRPr="00551729">
        <w:t>w</w:t>
      </w:r>
      <w:r w:rsidRPr="00551729">
        <w:t>h/ vit, nga të cilat 28.2% janë të importuara, duke treguar një nivel të moderuar të shfrytëzimit të potencialit të vet hidroenergjetik.</w:t>
      </w:r>
    </w:p>
    <w:p w14:paraId="1BADCE6E" w14:textId="10A0323E" w:rsidR="00500457" w:rsidRPr="00551729" w:rsidRDefault="00500457" w:rsidP="00C040ED">
      <w:pPr>
        <w:pStyle w:val="TEKSTIII"/>
      </w:pPr>
      <w:r w:rsidRPr="00551729">
        <w:t xml:space="preserve">Kapaciteti aktual i instaluar në </w:t>
      </w:r>
      <w:r w:rsidRPr="00551729">
        <w:rPr>
          <w:b/>
        </w:rPr>
        <w:t xml:space="preserve">Shqipëri </w:t>
      </w:r>
      <w:r w:rsidRPr="00551729">
        <w:t xml:space="preserve">është 1,726 </w:t>
      </w:r>
      <w:r w:rsidR="00104C04" w:rsidRPr="00551729">
        <w:t>mw</w:t>
      </w:r>
      <w:r w:rsidR="00C040ED" w:rsidRPr="00551729">
        <w:rPr>
          <w:rStyle w:val="FootnoteReference"/>
        </w:rPr>
        <w:footnoteReference w:id="86"/>
      </w:r>
      <w:r w:rsidRPr="00551729">
        <w:t>, një normë shfrytëzimi e vetëm 35% të potencialit të saj hidroenergjetik. Pjesa më e madhe e energjisë hidrike të vendit, rreth 52.3%, gjenerohet në zonën e programit, i cili ka tr</w:t>
      </w:r>
      <w:r w:rsidR="00242233">
        <w:t>i</w:t>
      </w:r>
      <w:r w:rsidRPr="00551729">
        <w:t xml:space="preserve"> hidrocentralet më të mëdha të Shqipërisë: Fierzës, Komanit dhe Vaut të Dejës me kapacitet prej 1,350 </w:t>
      </w:r>
      <w:r w:rsidR="00104C04" w:rsidRPr="00551729">
        <w:t>mw</w:t>
      </w:r>
      <w:r w:rsidRPr="00551729">
        <w:t xml:space="preserve"> në total. Impianti i Hidrocentralit të Ashtës me kapacitet të instaluar prej 53 </w:t>
      </w:r>
      <w:r w:rsidR="00104C04" w:rsidRPr="00551729">
        <w:t>mw</w:t>
      </w:r>
      <w:r w:rsidRPr="00551729">
        <w:t xml:space="preserve"> u vu në punë në shtator 2012. Prodhimi i përgjithshëm i energjisë elektrike në vitin 2012 në Shqipëri arriti në 4,288</w:t>
      </w:r>
      <w:r w:rsidR="00A202C2">
        <w:t xml:space="preserve"> </w:t>
      </w:r>
      <w:r w:rsidR="00104C04" w:rsidRPr="00551729">
        <w:t>gwh</w:t>
      </w:r>
      <w:r w:rsidRPr="00551729">
        <w:t>, duke mbuluar vetëm 57% të konsumit të saj vjetor, dhe duke e bërë kështu Shqipërinë një rrjet importues të energjisë. Përfundimi i linjës ndërlidhëse 400 k</w:t>
      </w:r>
      <w:r w:rsidR="00104C04" w:rsidRPr="00551729">
        <w:t>V</w:t>
      </w:r>
      <w:r w:rsidRPr="00551729">
        <w:t xml:space="preserve"> midis Shqipërisë dhe Malit të Zi (Elbasan-Podgoricë), rrit kapacitetet e shkëmbimeve të energjisë midis dy vendeve dhe lidh Shqipërinë me rrjetet rajonale dhe Evropiane, duke rritur sigurinë e furnizimit me energji elektrike në vend. Edhe pse ka burime të mëdha, por ende të pashfrytëzuara hidrocentrale, Shqipëria karakterizohet nga një efikasitet i ulët në përdorimin e energjisë elektrike. Përdorimi i</w:t>
      </w:r>
      <w:r w:rsidR="00C521D5" w:rsidRPr="00551729">
        <w:t xml:space="preserve"> </w:t>
      </w:r>
      <w:r w:rsidRPr="00551729">
        <w:t>energjisë për qëllime ngrohje është i përhapur në shkallë të</w:t>
      </w:r>
      <w:r w:rsidRPr="00551729">
        <w:rPr>
          <w:spacing w:val="-19"/>
        </w:rPr>
        <w:t xml:space="preserve"> </w:t>
      </w:r>
      <w:r w:rsidRPr="00551729">
        <w:t>gjerë.</w:t>
      </w:r>
    </w:p>
    <w:p w14:paraId="1BADCE6F" w14:textId="09AD2EC3" w:rsidR="00500457" w:rsidRPr="00551729" w:rsidRDefault="00500457" w:rsidP="00C040ED">
      <w:pPr>
        <w:pStyle w:val="TEKSTIII"/>
        <w:rPr>
          <w:b/>
        </w:rPr>
      </w:pPr>
      <w:r w:rsidRPr="00551729">
        <w:rPr>
          <w:b/>
        </w:rPr>
        <w:t xml:space="preserve">Furnizimi me </w:t>
      </w:r>
      <w:r w:rsidR="00104C04" w:rsidRPr="00551729">
        <w:rPr>
          <w:b/>
        </w:rPr>
        <w:t>ujë dhe kanalizimet</w:t>
      </w:r>
    </w:p>
    <w:p w14:paraId="1BADCE70" w14:textId="77777777" w:rsidR="00500457" w:rsidRPr="00551729" w:rsidRDefault="00500457" w:rsidP="00C040ED">
      <w:pPr>
        <w:pStyle w:val="TEKSTIII"/>
      </w:pPr>
      <w:r w:rsidRPr="00551729">
        <w:t xml:space="preserve">Shumica e familjeve (247,354) në </w:t>
      </w:r>
      <w:r w:rsidRPr="00551729">
        <w:rPr>
          <w:b/>
        </w:rPr>
        <w:t xml:space="preserve">Mal të Zi </w:t>
      </w:r>
      <w:r w:rsidRPr="00551729">
        <w:t>përdorin ujin nga sistemi publik i ujit, edhe pse sistemi publik i ujit mund të jetë i pamjaftueshëm në zonat rurale dhe gjatë kohës së verës. Nga numri i përgjithshëm i banesave</w:t>
      </w:r>
      <w:r w:rsidR="00C040ED" w:rsidRPr="00551729">
        <w:rPr>
          <w:rStyle w:val="FootnoteReference"/>
        </w:rPr>
        <w:footnoteReference w:id="87"/>
      </w:r>
      <w:r w:rsidRPr="00551729">
        <w:t>, 92% prej tyre kanë akses në sistemet e furnizimit me ujë brenda shtëpive të tyre, dhe po i njëjti numër banesash është i lidhur me sistemin e kanalizimit brenda shtëpisë. Në zonën e programit, Budva ka shkallën më të lartë të aksesit në sistemet e furnizimit me ujë dhe të kanalizimeve, me një mesatare prej 99%, ndërsa Andrijevica ka normën më të ulët të aksesit në këto dy shërbime, mesatarisht 76%.</w:t>
      </w:r>
    </w:p>
    <w:p w14:paraId="1BADCE71" w14:textId="70417CC7" w:rsidR="00500457" w:rsidRPr="00551729" w:rsidRDefault="00500457" w:rsidP="00C040ED">
      <w:pPr>
        <w:pStyle w:val="TEKSTIII"/>
      </w:pPr>
      <w:r w:rsidRPr="00551729">
        <w:t xml:space="preserve">Në zonën e programit në </w:t>
      </w:r>
      <w:r w:rsidRPr="00551729">
        <w:rPr>
          <w:b/>
        </w:rPr>
        <w:t>Shqipëri</w:t>
      </w:r>
      <w:r w:rsidRPr="00551729">
        <w:t>, furnizimi me ujë dhe sistemet e kanalizimit dhe ujitjes mbeten problematike. Aksesi në ujë brenda banesave për rreth 106,094 familje</w:t>
      </w:r>
      <w:r w:rsidR="00C040ED" w:rsidRPr="00551729">
        <w:rPr>
          <w:rStyle w:val="FootnoteReference"/>
        </w:rPr>
        <w:footnoteReference w:id="88"/>
      </w:r>
      <w:r w:rsidRPr="00551729">
        <w:rPr>
          <w:position w:val="6"/>
        </w:rPr>
        <w:t xml:space="preserve"> </w:t>
      </w:r>
      <w:r w:rsidRPr="00551729">
        <w:t xml:space="preserve">në zonën e programit është i siguruar për vetëm rreth 55.4% të tyre; rreth 39.5% e banesave kanë akses </w:t>
      </w:r>
      <w:r w:rsidRPr="00551729">
        <w:rPr>
          <w:spacing w:val="3"/>
        </w:rPr>
        <w:t xml:space="preserve">të </w:t>
      </w:r>
      <w:r w:rsidRPr="00551729">
        <w:t xml:space="preserve">pjesshëm në sistemet e furnizimit me ujë, ndërsa 5.1% e familjeve në zonën e programit nuk kanë akses në sistemin e ujësjellësit. Numri i familjeve pa akses në sistemet e ujësjellësit dhe të kanalizimeve është më i lartë në Shkodër me 1.13%, e pasuar nga Lezha me vetëm 0.98%, ndërsa rrethi i Tropojës regjistron 0.75% </w:t>
      </w:r>
      <w:r w:rsidR="00B33ED3">
        <w:t>–</w:t>
      </w:r>
      <w:r w:rsidRPr="00551729">
        <w:t xml:space="preserve"> duke qenë më mirë se mesatarja kombëtare me 1.12%. Përmirësime të mëtejshme në infrastrukturë janë të nevojshme për të ruajtur dhe për të nxitur nivele të qëndrueshme të turizmit, si dhe për të zvogëluar pabarazitë</w:t>
      </w:r>
      <w:r w:rsidRPr="00551729">
        <w:rPr>
          <w:spacing w:val="-1"/>
        </w:rPr>
        <w:t xml:space="preserve"> </w:t>
      </w:r>
      <w:r w:rsidRPr="00551729">
        <w:t>rajonale.</w:t>
      </w:r>
    </w:p>
    <w:p w14:paraId="7E5933A9" w14:textId="77777777" w:rsidR="00EC5B9E" w:rsidRDefault="00EC5B9E" w:rsidP="00C040ED">
      <w:pPr>
        <w:pStyle w:val="TEKSTIII"/>
      </w:pPr>
      <w:bookmarkStart w:id="51" w:name="_bookmark49"/>
      <w:bookmarkEnd w:id="51"/>
    </w:p>
    <w:p w14:paraId="1BADCE72" w14:textId="77777777" w:rsidR="00500457" w:rsidRPr="00341E1C" w:rsidRDefault="004925B7" w:rsidP="00C040ED">
      <w:pPr>
        <w:pStyle w:val="TEKSTIII"/>
      </w:pPr>
      <w:r w:rsidRPr="00341E1C">
        <w:t xml:space="preserve">2.5 </w:t>
      </w:r>
      <w:r w:rsidR="00500457" w:rsidRPr="00341E1C">
        <w:t>MJEDISI</w:t>
      </w:r>
    </w:p>
    <w:p w14:paraId="1BADCE73" w14:textId="34BE030A" w:rsidR="00500457" w:rsidRPr="00551729" w:rsidRDefault="00500457" w:rsidP="004925B7">
      <w:pPr>
        <w:pStyle w:val="TEKSTIII"/>
      </w:pPr>
      <w:r w:rsidRPr="00551729">
        <w:t>Mbrojtja dhe ruajtja e mjedisit janë të rëndësishme për një zhvillim të qëndrueshëm të zonës së programit, e cila është mjaft e pasur në burime mjedisore dhe biodiversitet në të dyja anët e kufirit. Zona e programit është shumë e pasur në burime natyrore dhe biodiversitet.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w:t>
      </w:r>
      <w:r w:rsidR="00C521D5" w:rsidRPr="00551729">
        <w:t xml:space="preserve"> </w:t>
      </w:r>
      <w:r w:rsidRPr="00551729">
        <w:t xml:space="preserve">rrezikojnë </w:t>
      </w:r>
      <w:r w:rsidR="004925B7" w:rsidRPr="00551729">
        <w:t>ndotjen</w:t>
      </w:r>
      <w:r w:rsidR="00C521D5" w:rsidRPr="00551729">
        <w:t xml:space="preserve"> </w:t>
      </w:r>
      <w:r w:rsidR="004925B7" w:rsidRPr="00551729">
        <w:t xml:space="preserve">e lumenjve dhe </w:t>
      </w:r>
      <w:r w:rsidRPr="00551729">
        <w:t>liq</w:t>
      </w:r>
      <w:r w:rsidR="004925B7" w:rsidRPr="00551729">
        <w:t>eneve;</w:t>
      </w:r>
      <w:r w:rsidR="00C521D5" w:rsidRPr="00551729">
        <w:t xml:space="preserve"> </w:t>
      </w:r>
      <w:r w:rsidR="004925B7" w:rsidRPr="00551729">
        <w:t>përdorimi</w:t>
      </w:r>
      <w:r w:rsidR="00C521D5" w:rsidRPr="00551729">
        <w:t xml:space="preserve"> </w:t>
      </w:r>
      <w:r w:rsidR="004925B7" w:rsidRPr="00551729">
        <w:t>intensiv</w:t>
      </w:r>
      <w:r w:rsidR="00C521D5" w:rsidRPr="00551729">
        <w:t xml:space="preserve"> </w:t>
      </w:r>
      <w:r w:rsidR="004925B7" w:rsidRPr="00551729">
        <w:t>i pesticideve,</w:t>
      </w:r>
      <w:r w:rsidR="00C521D5" w:rsidRPr="00551729">
        <w:t xml:space="preserve"> </w:t>
      </w:r>
      <w:r w:rsidR="004925B7" w:rsidRPr="00551729">
        <w:t>i cili</w:t>
      </w:r>
      <w:r w:rsidRPr="00551729">
        <w:t xml:space="preserve"> po</w:t>
      </w:r>
      <w:r w:rsidRPr="00551729">
        <w:rPr>
          <w:spacing w:val="-12"/>
        </w:rPr>
        <w:t xml:space="preserve"> </w:t>
      </w:r>
      <w:r w:rsidRPr="00551729">
        <w:t>dëmton</w:t>
      </w:r>
      <w:r w:rsidR="004925B7" w:rsidRPr="00551729">
        <w:t xml:space="preserve"> </w:t>
      </w:r>
      <w:r w:rsidRPr="00551729">
        <w:t>bujqësinë; peshkimi i tepruar dhe gjuetia e jashtëligjshme, të cilat kërcënojnë faunën në liqene dhe lumenj. Degradimi i tokës është i pranishëm në të dyja anët e kufirit.</w:t>
      </w:r>
    </w:p>
    <w:p w14:paraId="1BADCE74" w14:textId="77777777" w:rsidR="00500457" w:rsidRPr="00551729" w:rsidRDefault="00500457" w:rsidP="004925B7">
      <w:pPr>
        <w:pStyle w:val="TEKSTIII"/>
      </w:pPr>
      <w:r w:rsidRPr="00551729">
        <w:rPr>
          <w:b/>
        </w:rPr>
        <w:t xml:space="preserve">Mali i Zi </w:t>
      </w:r>
      <w:r w:rsidRPr="00551729">
        <w:t>ka një diversitet të lartë biologjik, për shkak të sfondit të tij gjeologjik, klimës dhe pozicionit në afërsi të detit dhe maleve. Mali i Zi ka dy vende të Trashëgimisë Botërore, një rezervë të biosferës dhe pesë parqet kombëtare. Mbrojtja dhe ruajtja e mjedisit është një shtyllë e të gjitha strategjive të zhvillimit të vendit. Rrjeti kombëtar i zonave të mbrojtura të Malit të Zi mbulon 108,866 ha</w:t>
      </w:r>
      <w:r w:rsidR="004925B7" w:rsidRPr="00551729">
        <w:rPr>
          <w:rStyle w:val="FootnoteReference"/>
        </w:rPr>
        <w:footnoteReference w:id="89"/>
      </w:r>
      <w:r w:rsidRPr="00551729">
        <w:rPr>
          <w:position w:val="6"/>
        </w:rPr>
        <w:t xml:space="preserve"> </w:t>
      </w:r>
      <w:r w:rsidRPr="00551729">
        <w:t>ose 7.88% të territorit të përgjithshëm. Ajo përbëhet nga 5 parqe kombëtare - Liqeni i Shkodrës, Durmitor, Lovćen, Biogradska Gora, dhe Prokletije. Zona e programit është e pasur në burime natyrore dhe përmban katër parqe kombëtare në zonën e programit të Malit të Zi:</w:t>
      </w:r>
    </w:p>
    <w:p w14:paraId="1BADCE75" w14:textId="48CFB1C8" w:rsidR="00500457" w:rsidRPr="00551729" w:rsidRDefault="00500457" w:rsidP="00EC5B9E">
      <w:pPr>
        <w:pStyle w:val="TEKSTIII"/>
        <w:numPr>
          <w:ilvl w:val="0"/>
          <w:numId w:val="1"/>
        </w:numPr>
      </w:pPr>
      <w:r w:rsidRPr="00551729">
        <w:rPr>
          <w:i/>
        </w:rPr>
        <w:t xml:space="preserve">Liqeni i Shkodrës </w:t>
      </w:r>
      <w:r w:rsidRPr="00551729">
        <w:t>ndodhet në bashkitë e Podgoricës dhe Tivarit. Një e treta e liqenit i përket Shqipërisë. Pjesa e Malit të Zi (rreth 40.000 hektarë) është renditur si një Park Kombëtar në vitin 1983. Si liqeni më i madh në Ballkan, ai është jashtëzakonisht i pasur me zogj dhe peshq, si dhe me bimësi kënete. Liqeni i Shkodrës është në listën e zonave lagunore të rëndësishme në nivel ndërkombëtar, si habitat ujor dhe i zogjve migratorë (Konventa e</w:t>
      </w:r>
      <w:r w:rsidRPr="00551729">
        <w:rPr>
          <w:spacing w:val="-25"/>
        </w:rPr>
        <w:t xml:space="preserve"> </w:t>
      </w:r>
      <w:r w:rsidRPr="00551729">
        <w:t>Ramsarit).</w:t>
      </w:r>
    </w:p>
    <w:p w14:paraId="1BADCE76" w14:textId="626B75E5" w:rsidR="00500457" w:rsidRPr="00551729" w:rsidRDefault="00500457" w:rsidP="00EC5B9E">
      <w:pPr>
        <w:pStyle w:val="TEKSTIII"/>
        <w:numPr>
          <w:ilvl w:val="0"/>
          <w:numId w:val="1"/>
        </w:numPr>
      </w:pPr>
      <w:r w:rsidRPr="00551729">
        <w:rPr>
          <w:i/>
        </w:rPr>
        <w:t xml:space="preserve">Biogradska Gora </w:t>
      </w:r>
      <w:r w:rsidRPr="00551729">
        <w:t>është i rrethuar nga bashkitë Andrijevice, Berane, Kolashin, dhe Mojkovac. Parku Kombëtar u shpall në vitin 1952 dhe mbulon 54 km</w:t>
      </w:r>
      <w:r w:rsidRPr="00A35310">
        <w:rPr>
          <w:vertAlign w:val="superscript"/>
        </w:rPr>
        <w:t>2</w:t>
      </w:r>
      <w:r w:rsidRPr="00551729">
        <w:t>. Ai është i njohur për pyjet e tij të paprekur (midis pyjeve të fundit primarë në Evropë), diversitetin e madh të florës dhe faunës dhe për gjashtë liqenet e tij akullnajore, duke përfshirë Liqenin e famshëm</w:t>
      </w:r>
      <w:r w:rsidRPr="00551729">
        <w:rPr>
          <w:spacing w:val="-25"/>
        </w:rPr>
        <w:t xml:space="preserve"> </w:t>
      </w:r>
      <w:r w:rsidRPr="00551729">
        <w:t>Biogradsko.</w:t>
      </w:r>
    </w:p>
    <w:p w14:paraId="1BADCE77" w14:textId="671549BE" w:rsidR="00500457" w:rsidRPr="00551729" w:rsidRDefault="00500457" w:rsidP="00EC5B9E">
      <w:pPr>
        <w:pStyle w:val="TEKSTIII"/>
        <w:numPr>
          <w:ilvl w:val="0"/>
          <w:numId w:val="1"/>
        </w:numPr>
      </w:pPr>
      <w:r w:rsidRPr="00551729">
        <w:rPr>
          <w:i/>
        </w:rPr>
        <w:t xml:space="preserve">Lovćen </w:t>
      </w:r>
      <w:r w:rsidRPr="00551729">
        <w:t>është një park kombëtar në zonë malore që gjendet në bashkitë Budva dhe Cetinje, dhe mbulon një sipërfaqe prej 6220</w:t>
      </w:r>
      <w:r w:rsidRPr="00551729">
        <w:rPr>
          <w:spacing w:val="-16"/>
        </w:rPr>
        <w:t xml:space="preserve"> </w:t>
      </w:r>
      <w:r w:rsidRPr="00551729">
        <w:t>hektarësh.</w:t>
      </w:r>
    </w:p>
    <w:p w14:paraId="1BADCE78" w14:textId="3B81ADBB" w:rsidR="00500457" w:rsidRPr="00551729" w:rsidRDefault="00500457" w:rsidP="00EC5B9E">
      <w:pPr>
        <w:pStyle w:val="TEKSTIII"/>
        <w:numPr>
          <w:ilvl w:val="0"/>
          <w:numId w:val="1"/>
        </w:numPr>
      </w:pPr>
      <w:r w:rsidRPr="00551729">
        <w:rPr>
          <w:i/>
        </w:rPr>
        <w:t xml:space="preserve">Prokletije </w:t>
      </w:r>
      <w:r w:rsidRPr="00551729">
        <w:t>është një varg malor që shtrihet nga Shqipëria veriore, në Kosovën jug-perëndimore dhe në zonën lindore të Malit të Zi. Si një vend natyror i paprekur dhe i jashtëzakonshëm, ai u shpall</w:t>
      </w:r>
      <w:r w:rsidR="00C521D5" w:rsidRPr="00551729">
        <w:t xml:space="preserve"> </w:t>
      </w:r>
      <w:r w:rsidRPr="00551729">
        <w:t>një Park Kombëtar në Mal të Zi në vitin 2009 (Parku mbulon rreth 210 km</w:t>
      </w:r>
      <w:r w:rsidRPr="00A35310">
        <w:rPr>
          <w:rStyle w:val="FootnoteReference"/>
        </w:rPr>
        <w:t>2</w:t>
      </w:r>
      <w:r w:rsidRPr="00551729">
        <w:t>, kryesisht në bashkitë Plavë dhe Guci). Ai është Parku i fundit Kombëtar i listuar në Mal të Zi. Për këtë arsye, njësia e menaxhimit të parkut nuk është themeluar</w:t>
      </w:r>
      <w:r w:rsidRPr="00551729">
        <w:rPr>
          <w:spacing w:val="-11"/>
        </w:rPr>
        <w:t xml:space="preserve"> </w:t>
      </w:r>
      <w:r w:rsidRPr="00551729">
        <w:t>ende.</w:t>
      </w:r>
    </w:p>
    <w:p w14:paraId="1BADCE79" w14:textId="47B52A83" w:rsidR="00500457" w:rsidRPr="00551729" w:rsidRDefault="00500457" w:rsidP="004925B7">
      <w:pPr>
        <w:pStyle w:val="TEKSTIII"/>
      </w:pPr>
      <w:r w:rsidRPr="00551729">
        <w:t>Industria dhe bujqësia nuk janë ndotës të mëdhenj në zonën e programit, edhe pse nivelet e fluorit në Podgoricë tejkalojnë kufijtë e lejuar 3</w:t>
      </w:r>
      <w:r w:rsidR="00A35310">
        <w:t>–</w:t>
      </w:r>
      <w:r w:rsidRPr="00551729">
        <w:t>6 herë gjatë vitit. Ndërkohë ekziston një nevojë e përgjithshme</w:t>
      </w:r>
      <w:r w:rsidR="00C521D5" w:rsidRPr="00551729">
        <w:t xml:space="preserve"> </w:t>
      </w:r>
      <w:r w:rsidRPr="00551729">
        <w:t xml:space="preserve">për rinovimin teknologjik. Kërcënimet kryesore për mjedisin janë të lidhura me mungesën e sistemeve të trajtimit të ujërave të ndotura (Podgorica është pjesërisht e pajisur me impiante të trajtimit të ujërave të zeza) dhe vendgroposjeve të përshtatshme për mbetjet e ngurta. Disa projekte investimi të </w:t>
      </w:r>
      <w:r w:rsidR="001B762F">
        <w:t>bashkë</w:t>
      </w:r>
      <w:r w:rsidRPr="00551729">
        <w:t xml:space="preserve"> financuar nga BE-ja ose të mbështetur nga bankat evropiane janë planifikuar dhe duhet </w:t>
      </w:r>
      <w:r w:rsidRPr="00551729">
        <w:rPr>
          <w:spacing w:val="2"/>
        </w:rPr>
        <w:t xml:space="preserve">të </w:t>
      </w:r>
      <w:r w:rsidRPr="00551729">
        <w:t>përmirësojnë këtë</w:t>
      </w:r>
      <w:r w:rsidRPr="00551729">
        <w:rPr>
          <w:spacing w:val="-7"/>
        </w:rPr>
        <w:t xml:space="preserve"> </w:t>
      </w:r>
      <w:r w:rsidRPr="00551729">
        <w:t>situatë.</w:t>
      </w:r>
    </w:p>
    <w:p w14:paraId="1BADCE7A" w14:textId="49E01D44" w:rsidR="00500457" w:rsidRPr="00551729" w:rsidRDefault="00500457" w:rsidP="004925B7">
      <w:pPr>
        <w:pStyle w:val="TEKSTIII"/>
      </w:pPr>
      <w:r w:rsidRPr="00551729">
        <w:t xml:space="preserve">Në </w:t>
      </w:r>
      <w:r w:rsidRPr="00551729">
        <w:rPr>
          <w:b/>
        </w:rPr>
        <w:t>Shqipëri</w:t>
      </w:r>
      <w:r w:rsidRPr="00551729">
        <w:t>, zona e programit ofron një biodiversitet dhe klimë të pasur, pasi ajo përfshin malet, kodrat, fushat, liqenin, lumenjtë dhe bregdetin. Ajo ka 8 parqe kombëtare</w:t>
      </w:r>
      <w:r w:rsidR="004925B7" w:rsidRPr="00551729">
        <w:rPr>
          <w:rStyle w:val="FootnoteReference"/>
        </w:rPr>
        <w:footnoteReference w:id="90"/>
      </w:r>
      <w:r w:rsidRPr="00551729">
        <w:t>, rezerva natyrore dhe peizazhe të mbrojtura, të cilat mbulojnë mbi 13% të territorit të përgjithshëm. Agjencitë Rajonale të Mjedisit janë të pranishme në të dy</w:t>
      </w:r>
      <w:r w:rsidR="001E5AF6">
        <w:t>ja</w:t>
      </w:r>
      <w:r w:rsidRPr="00551729">
        <w:t xml:space="preserve"> rajonet e zonës shqiptare të programimit. Qarku Tropojë mbulohet nga Agjencia Rajonale e Mjedisit e Rajonit të Kukësit.</w:t>
      </w:r>
    </w:p>
    <w:p w14:paraId="1BADCE7B" w14:textId="7B5A4010" w:rsidR="00500457" w:rsidRPr="00551729" w:rsidRDefault="00500457" w:rsidP="005A1277">
      <w:pPr>
        <w:pStyle w:val="TEKSTIII"/>
      </w:pPr>
      <w:r w:rsidRPr="00551729">
        <w:t>Në qarkun e Shkodrës ndodhen tr</w:t>
      </w:r>
      <w:r w:rsidR="00242233">
        <w:t>i</w:t>
      </w:r>
      <w:r w:rsidRPr="00551729">
        <w:t xml:space="preserve"> parqe kombëtare </w:t>
      </w:r>
      <w:r w:rsidR="00242233">
        <w:t>–</w:t>
      </w:r>
      <w:r w:rsidRPr="00551729">
        <w:t xml:space="preserve"> Parku </w:t>
      </w:r>
      <w:r w:rsidR="00242233" w:rsidRPr="00551729">
        <w:t xml:space="preserve">Kombëtar </w:t>
      </w:r>
      <w:r w:rsidRPr="00551729">
        <w:t>i Thethit, i cili ndodhet në zonën malore në kufi me Malin e Zi; Liqeni i Shkodrës dhe Lumi Buna, të cilat janë cilësuar si vende Ramsar. Parku më i rëndësishëm natyror në zonën e programit është Liqeni i Shkodrës. Bashkëpunimi midis dy vendeve në lidhje me mbrojtjen dhe rehabilitimin e liqenit të Shkodrës është rritur në dekadën e fundit. Zonat e mbrojtura në qarkun e Lezhës përfshijnë Berzanën, Kune-Vain-Tale, dhe Patok-Fushëkuqe-Ishëm, të cilat janë të gjitha Burime Natyrore të Menaxhuara. Qarku i Lezhës gjithashtu përfshin 4.745</w:t>
      </w:r>
      <w:r w:rsidR="00C521D5" w:rsidRPr="00551729">
        <w:t xml:space="preserve"> </w:t>
      </w:r>
      <w:r w:rsidRPr="00551729">
        <w:t>ha peizazhe të mbrojtura. Zona e mbrojtur më e rëndësishme në qarkun e Lezhës është Kune-Vain-Tale, një kompleks lagunash me ishullin e rërës së Kunes prej 125 ha në të djathtë të deltës së lumit Drin. Kjo zonë ka një florë të pasur dhe përmban rreth 70 lloje shpendësh, 22 lloje zvarranikësh (nga 33 që janë</w:t>
      </w:r>
      <w:r w:rsidR="00C521D5" w:rsidRPr="00551729">
        <w:t xml:space="preserve"> </w:t>
      </w:r>
      <w:r w:rsidRPr="00551729">
        <w:t>në nivel kombëtar) dhe gjithashtu 6 lloje amfibësh nga një total prej 15 në nivel</w:t>
      </w:r>
      <w:r w:rsidRPr="00551729">
        <w:rPr>
          <w:spacing w:val="-27"/>
        </w:rPr>
        <w:t xml:space="preserve"> </w:t>
      </w:r>
      <w:r w:rsidRPr="00551729">
        <w:t>kombëtar.</w:t>
      </w:r>
    </w:p>
    <w:p w14:paraId="1BADCE7C" w14:textId="77777777" w:rsidR="00500457" w:rsidRPr="00551729" w:rsidRDefault="00500457" w:rsidP="005A1277">
      <w:pPr>
        <w:pStyle w:val="TEKSTIII"/>
      </w:pPr>
      <w:r w:rsidRPr="00551729">
        <w:t>Qarkut i Tropojës ka një Park Kombëtar që nga viti 1996, dhe 29 zona të mbrojtura që nga viti 2002. Parku Natyror i Luginës së Valbonës është zona më e rëndësishme e qarkut, pasi ajo përfshin një sipërfaqe prej 8000 ha.</w:t>
      </w:r>
    </w:p>
    <w:p w14:paraId="1BADCE7D" w14:textId="572F637C" w:rsidR="00500457" w:rsidRPr="00551729" w:rsidRDefault="00500457" w:rsidP="005A1277">
      <w:pPr>
        <w:pStyle w:val="TEKSTIII"/>
      </w:pPr>
      <w:r w:rsidRPr="00551729">
        <w:t>Ndryshimet sociale dhe ekonomike të viteve të fundit si dhe ndryshimet demografike në Shqipëri dhe Mal të Zi, kanë ushtruar presion mbi mbrojtjen dhe ruajtjen e mjedisit dhe biodiversitetit në zonën e programit. Dëmet e dekadës së kaluar janë të dukshme në zonën e pyjeve, për shkak të ndërhyrjeve të popullsisë lokale. Shumica e dëmit ka ardhur për shkak të prerjeve abuzive dhe mbi-kullotjes. Mbrojtja e burimeve natyrore me fokus tek pyjet, zonat e mbrojtura dhe shfrytëzimi i burimeve ujore përfaqësojnë vlerat ekonomike dhe mjedisore për këtë zonë. Megjithëse ndërgjegjësimi për mbrojtjen e mjedisit 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dhe garantimit të një mjedisi të pastër, i lidhur me masat për të mbrojtur tokën nga shkatërrimi natyror dhe artificial si dhe zbatimi i një procesi strategjik të planifikimit urban, janë sfidat kryesore për t</w:t>
      </w:r>
      <w:r w:rsidR="002F2528">
        <w:t>’</w:t>
      </w:r>
      <w:r w:rsidRPr="00551729">
        <w:t>u përballuar në zonën e</w:t>
      </w:r>
      <w:r w:rsidRPr="00551729">
        <w:rPr>
          <w:spacing w:val="-4"/>
        </w:rPr>
        <w:t xml:space="preserve"> </w:t>
      </w:r>
      <w:r w:rsidRPr="00551729">
        <w:t>programit.</w:t>
      </w:r>
    </w:p>
    <w:p w14:paraId="34DD9BEF" w14:textId="77777777" w:rsidR="00756B9D" w:rsidRDefault="00756B9D" w:rsidP="005A1277">
      <w:pPr>
        <w:pStyle w:val="TEKSTIII"/>
      </w:pPr>
      <w:bookmarkStart w:id="52" w:name="_bookmark50"/>
      <w:bookmarkEnd w:id="52"/>
    </w:p>
    <w:p w14:paraId="1BADCE7F" w14:textId="77777777" w:rsidR="00500457" w:rsidRPr="007B68D7" w:rsidRDefault="005A1277" w:rsidP="005A1277">
      <w:pPr>
        <w:pStyle w:val="TEKSTIII"/>
      </w:pPr>
      <w:r w:rsidRPr="007B68D7">
        <w:t xml:space="preserve">2.6 </w:t>
      </w:r>
      <w:r w:rsidR="00500457" w:rsidRPr="007B68D7">
        <w:t>MARRËVESHJET LIGJORE DHE</w:t>
      </w:r>
      <w:r w:rsidR="00500457" w:rsidRPr="007B68D7">
        <w:rPr>
          <w:spacing w:val="-16"/>
        </w:rPr>
        <w:t xml:space="preserve"> </w:t>
      </w:r>
      <w:r w:rsidR="00500457" w:rsidRPr="007B68D7">
        <w:t>INSTITUCIONALE</w:t>
      </w:r>
    </w:p>
    <w:p w14:paraId="1BADCE80" w14:textId="77777777" w:rsidR="00500457" w:rsidRPr="00551729" w:rsidRDefault="00500457" w:rsidP="005A1277">
      <w:pPr>
        <w:pStyle w:val="TEKSTIII"/>
      </w:pPr>
      <w:r w:rsidRPr="00551729">
        <w:rPr>
          <w:b/>
        </w:rPr>
        <w:t xml:space="preserve">Mali i Zi </w:t>
      </w:r>
      <w:r w:rsidRPr="00551729">
        <w:t>është i ndarë në 23 bashki, si njësi bazë të qeverisjes vendore.</w:t>
      </w:r>
    </w:p>
    <w:p w14:paraId="1BADCE81" w14:textId="77777777" w:rsidR="00500457" w:rsidRPr="00551729" w:rsidRDefault="00500457" w:rsidP="005A1277">
      <w:pPr>
        <w:pStyle w:val="TEKSTIII"/>
      </w:pPr>
      <w:r w:rsidRPr="00551729">
        <w:t>Objektivat e vendit përfshihen në një numër të strategjive, të cilat vënë në dukje prioritetet zhvillimore që mund të shërbejnë si fushat e ndërhyrjes për Programin e Bashkëpunimit Ndërkufitar. Strategjitë më të lidhura me qëllimet e Programit të Bashkëpunimit Ndërkufitar janë:</w:t>
      </w:r>
    </w:p>
    <w:p w14:paraId="1BADCE82" w14:textId="14DCBA69" w:rsidR="00500457" w:rsidRPr="00551729" w:rsidRDefault="005A1277" w:rsidP="005A1277">
      <w:pPr>
        <w:pStyle w:val="TEKSTIII"/>
      </w:pPr>
      <w:r w:rsidRPr="00551729">
        <w:t>-</w:t>
      </w:r>
      <w:r w:rsidR="0096601B">
        <w:t xml:space="preserve"> </w:t>
      </w:r>
      <w:r w:rsidR="00500457" w:rsidRPr="00551729">
        <w:t>Drejtimet e zhvillimit të Malit të Zi 2013–2016;</w:t>
      </w:r>
    </w:p>
    <w:p w14:paraId="1BADCE83" w14:textId="77F87FC3" w:rsidR="00500457" w:rsidRPr="00551729" w:rsidRDefault="005A1277" w:rsidP="005A1277">
      <w:pPr>
        <w:pStyle w:val="TEKSTIII"/>
      </w:pPr>
      <w:r w:rsidRPr="00551729">
        <w:t>-</w:t>
      </w:r>
      <w:r w:rsidR="0096601B">
        <w:t xml:space="preserve"> </w:t>
      </w:r>
      <w:r w:rsidR="00500457" w:rsidRPr="00551729">
        <w:t>Strategjia Kombëtare e Zhvillimit të Qëndrueshëm të Malit të Zi</w:t>
      </w:r>
      <w:r w:rsidR="00500457" w:rsidRPr="00551729">
        <w:rPr>
          <w:spacing w:val="-23"/>
        </w:rPr>
        <w:t xml:space="preserve"> </w:t>
      </w:r>
      <w:r w:rsidR="00500457" w:rsidRPr="00551729">
        <w:t>(2007);</w:t>
      </w:r>
    </w:p>
    <w:p w14:paraId="1BADCE84" w14:textId="67A606A0" w:rsidR="00500457" w:rsidRPr="00551729" w:rsidRDefault="005A1277" w:rsidP="005A1277">
      <w:pPr>
        <w:pStyle w:val="TEKSTIII"/>
      </w:pPr>
      <w:r w:rsidRPr="00551729">
        <w:t>-</w:t>
      </w:r>
      <w:r w:rsidR="00033A2C">
        <w:t xml:space="preserve"> </w:t>
      </w:r>
      <w:r w:rsidR="00500457" w:rsidRPr="00551729">
        <w:t>Strategjia e Zhvillimit Raj</w:t>
      </w:r>
      <w:r w:rsidR="002A4833">
        <w:t>onal 2010</w:t>
      </w:r>
      <w:r w:rsidR="00500457" w:rsidRPr="00551729">
        <w:t>–2014;</w:t>
      </w:r>
    </w:p>
    <w:p w14:paraId="1BADCE85" w14:textId="6759190A" w:rsidR="00500457" w:rsidRPr="00551729" w:rsidRDefault="005A1277" w:rsidP="005A1277">
      <w:pPr>
        <w:pStyle w:val="TEKSTIII"/>
      </w:pPr>
      <w:r w:rsidRPr="00551729">
        <w:t>-</w:t>
      </w:r>
      <w:r w:rsidR="00033A2C">
        <w:t xml:space="preserve"> </w:t>
      </w:r>
      <w:r w:rsidR="00500457" w:rsidRPr="00551729">
        <w:t>Strategjia për Zhvillimin e Ndërmarrjeve të Vogla dhe të</w:t>
      </w:r>
      <w:r w:rsidR="00500457" w:rsidRPr="00551729">
        <w:rPr>
          <w:spacing w:val="-31"/>
        </w:rPr>
        <w:t xml:space="preserve"> </w:t>
      </w:r>
      <w:r w:rsidR="00500457" w:rsidRPr="00551729">
        <w:t>Mesme 2011</w:t>
      </w:r>
      <w:r w:rsidR="00CC6FF4" w:rsidRPr="00551729">
        <w:t>–</w:t>
      </w:r>
      <w:r w:rsidR="00500457" w:rsidRPr="00551729">
        <w:t>2015;</w:t>
      </w:r>
    </w:p>
    <w:p w14:paraId="1BADCE86" w14:textId="60228A91" w:rsidR="00500457" w:rsidRPr="00551729" w:rsidRDefault="005A1277" w:rsidP="005A1277">
      <w:pPr>
        <w:pStyle w:val="TEKSTIII"/>
      </w:pPr>
      <w:r w:rsidRPr="00551729">
        <w:t>-</w:t>
      </w:r>
      <w:r w:rsidR="00033A2C">
        <w:t xml:space="preserve"> </w:t>
      </w:r>
      <w:r w:rsidR="00500457" w:rsidRPr="00551729">
        <w:t>Strategjia për Bujqësinë</w:t>
      </w:r>
      <w:r w:rsidR="00500457" w:rsidRPr="00551729">
        <w:rPr>
          <w:spacing w:val="-13"/>
        </w:rPr>
        <w:t xml:space="preserve"> </w:t>
      </w:r>
      <w:r w:rsidR="00500457" w:rsidRPr="00551729">
        <w:t>(2014</w:t>
      </w:r>
      <w:r w:rsidR="00CC6FF4" w:rsidRPr="00551729">
        <w:t>–</w:t>
      </w:r>
      <w:r w:rsidR="00500457" w:rsidRPr="00551729">
        <w:t>2020);</w:t>
      </w:r>
    </w:p>
    <w:p w14:paraId="1BADCE87" w14:textId="282AD922" w:rsidR="00500457" w:rsidRPr="00551729" w:rsidRDefault="005A1277" w:rsidP="005A1277">
      <w:pPr>
        <w:pStyle w:val="TEKSTIII"/>
      </w:pPr>
      <w:r w:rsidRPr="00551729">
        <w:t>-</w:t>
      </w:r>
      <w:r w:rsidR="00033A2C">
        <w:t xml:space="preserve"> </w:t>
      </w:r>
      <w:r w:rsidR="00500457" w:rsidRPr="00551729">
        <w:t>Strategjia Kombëtare për Punësimin dhe Zhvillimin e Burimeve Njerëzore</w:t>
      </w:r>
      <w:r w:rsidR="00500457" w:rsidRPr="00551729">
        <w:rPr>
          <w:spacing w:val="-25"/>
        </w:rPr>
        <w:t xml:space="preserve"> </w:t>
      </w:r>
      <w:r w:rsidR="00500457" w:rsidRPr="00551729">
        <w:t>2012</w:t>
      </w:r>
      <w:r w:rsidR="00CC6FF4" w:rsidRPr="00551729">
        <w:t>–</w:t>
      </w:r>
      <w:r w:rsidR="00500457" w:rsidRPr="00551729">
        <w:t>2015;</w:t>
      </w:r>
    </w:p>
    <w:p w14:paraId="1BADCE88" w14:textId="0ED8BBE1" w:rsidR="00500457" w:rsidRPr="00551729" w:rsidRDefault="005A1277" w:rsidP="005A1277">
      <w:pPr>
        <w:pStyle w:val="TEKSTIII"/>
      </w:pPr>
      <w:r w:rsidRPr="00551729">
        <w:t>-</w:t>
      </w:r>
      <w:r w:rsidR="00033A2C">
        <w:t xml:space="preserve"> </w:t>
      </w:r>
      <w:r w:rsidR="00500457" w:rsidRPr="00551729">
        <w:t>Strategjia për Zhvillimin e Arsimit Profesional në Mal të Zi</w:t>
      </w:r>
      <w:r w:rsidR="00500457" w:rsidRPr="00551729">
        <w:rPr>
          <w:spacing w:val="-24"/>
        </w:rPr>
        <w:t xml:space="preserve"> </w:t>
      </w:r>
      <w:r w:rsidR="00500457" w:rsidRPr="00551729">
        <w:t>2010</w:t>
      </w:r>
      <w:r w:rsidR="00CC6FF4" w:rsidRPr="00551729">
        <w:t>–</w:t>
      </w:r>
      <w:r w:rsidR="00500457" w:rsidRPr="00551729">
        <w:t>2014.</w:t>
      </w:r>
    </w:p>
    <w:p w14:paraId="1BADCE89" w14:textId="77777777" w:rsidR="00500457" w:rsidRPr="00551729" w:rsidRDefault="00500457" w:rsidP="005A1277">
      <w:pPr>
        <w:pStyle w:val="TEKSTIII"/>
      </w:pPr>
      <w:r w:rsidRPr="00551729">
        <w:t xml:space="preserve">Pushteti lokal në </w:t>
      </w:r>
      <w:r w:rsidRPr="00551729">
        <w:rPr>
          <w:b/>
        </w:rPr>
        <w:t xml:space="preserve">Shqipëri </w:t>
      </w:r>
      <w:r w:rsidRPr="00551729">
        <w:t>përbëhet nga dy nivele: niveli i parë përbëhet nga 374 njësi të qeverisjes vendore (NjQV) të ndara në 65 bashki në zonat urbane dhe 309 komuna në zonat rurale, të cilat mund të ndahen më tej në fshatra (3020); niveli i dytë përbëhet nga 12 rajone (</w:t>
      </w:r>
      <w:r w:rsidRPr="00551729">
        <w:rPr>
          <w:i/>
        </w:rPr>
        <w:t>qarku</w:t>
      </w:r>
      <w:r w:rsidRPr="00551729">
        <w:t>). Strategjitë më të lidhura me qëllimet e Programit të Bashkëpunimit Ndërkufitar janë:</w:t>
      </w:r>
    </w:p>
    <w:p w14:paraId="1BADCE8A" w14:textId="538B538F" w:rsidR="00500457" w:rsidRPr="00551729" w:rsidRDefault="005A1277" w:rsidP="005A1277">
      <w:pPr>
        <w:pStyle w:val="TEKSTIII"/>
      </w:pPr>
      <w:r w:rsidRPr="00551729">
        <w:t>-</w:t>
      </w:r>
      <w:r w:rsidR="00CC6FF4">
        <w:t xml:space="preserve"> </w:t>
      </w:r>
      <w:r w:rsidR="00500457" w:rsidRPr="00551729">
        <w:t>Strategjia Kombëtare për Zhvillim dhe</w:t>
      </w:r>
      <w:r w:rsidR="00500457" w:rsidRPr="00551729">
        <w:rPr>
          <w:spacing w:val="-13"/>
        </w:rPr>
        <w:t xml:space="preserve"> </w:t>
      </w:r>
      <w:r w:rsidR="00500457" w:rsidRPr="00551729">
        <w:t>Integrim;</w:t>
      </w:r>
    </w:p>
    <w:p w14:paraId="1BADCE8B" w14:textId="6AEA667F" w:rsidR="00500457" w:rsidRPr="00551729" w:rsidRDefault="005A1277" w:rsidP="005A1277">
      <w:pPr>
        <w:pStyle w:val="TEKSTIII"/>
      </w:pPr>
      <w:r w:rsidRPr="00551729">
        <w:t>-</w:t>
      </w:r>
      <w:r w:rsidR="00CC6FF4">
        <w:t xml:space="preserve"> </w:t>
      </w:r>
      <w:r w:rsidR="00194CF0">
        <w:t>Strategjia Kombëtare ndër</w:t>
      </w:r>
      <w:r w:rsidR="00500457" w:rsidRPr="00551729">
        <w:t>sektoriale për Zhvillimin Rajonal</w:t>
      </w:r>
      <w:r w:rsidR="00500457" w:rsidRPr="00551729">
        <w:rPr>
          <w:spacing w:val="-23"/>
        </w:rPr>
        <w:t xml:space="preserve"> </w:t>
      </w:r>
      <w:r w:rsidR="00500457" w:rsidRPr="00551729">
        <w:t>2007;</w:t>
      </w:r>
    </w:p>
    <w:p w14:paraId="1BADCE8C" w14:textId="028C3D2B" w:rsidR="00500457" w:rsidRPr="00551729" w:rsidRDefault="005A1277" w:rsidP="005A1277">
      <w:pPr>
        <w:pStyle w:val="TEKSTIII"/>
      </w:pPr>
      <w:r w:rsidRPr="00551729">
        <w:t>-</w:t>
      </w:r>
      <w:r w:rsidR="00CC6FF4">
        <w:t xml:space="preserve"> </w:t>
      </w:r>
      <w:r w:rsidR="00500457" w:rsidRPr="00551729">
        <w:t>Kuadri Strategjik i Zhvi</w:t>
      </w:r>
      <w:r w:rsidR="00CC6FF4">
        <w:t>llimit Rajonal të Shkodrës 2010</w:t>
      </w:r>
      <w:r w:rsidR="00500457" w:rsidRPr="00551729">
        <w:t>–2016;</w:t>
      </w:r>
    </w:p>
    <w:p w14:paraId="1BADCE8D" w14:textId="1A3F1EC5" w:rsidR="00500457" w:rsidRPr="00551729" w:rsidRDefault="005A1277" w:rsidP="005A1277">
      <w:pPr>
        <w:pStyle w:val="TEKSTIII"/>
      </w:pPr>
      <w:r w:rsidRPr="00551729">
        <w:t>-</w:t>
      </w:r>
      <w:r w:rsidR="00CC6FF4">
        <w:t xml:space="preserve"> </w:t>
      </w:r>
      <w:r w:rsidR="00500457" w:rsidRPr="00551729">
        <w:t>Kuadri Strategjik i Zh</w:t>
      </w:r>
      <w:r w:rsidR="00CC6FF4">
        <w:t>villimit Rajonal të Lezhës 2010</w:t>
      </w:r>
      <w:r w:rsidR="00500457" w:rsidRPr="00551729">
        <w:t>–2016.</w:t>
      </w:r>
    </w:p>
    <w:p w14:paraId="1BADCE8E" w14:textId="77777777" w:rsidR="00500457" w:rsidRPr="00551729" w:rsidRDefault="00500457" w:rsidP="00500457">
      <w:pPr>
        <w:pStyle w:val="BodyText"/>
        <w:spacing w:before="4"/>
        <w:ind w:firstLine="284"/>
        <w:rPr>
          <w:rFonts w:ascii="Garamond" w:hAnsi="Garamond"/>
          <w:sz w:val="24"/>
          <w:szCs w:val="24"/>
          <w:lang w:val="sq-AL"/>
        </w:rPr>
      </w:pPr>
    </w:p>
    <w:tbl>
      <w:tblPr>
        <w:tblW w:w="0" w:type="auto"/>
        <w:jc w:val="center"/>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34"/>
        <w:gridCol w:w="2117"/>
        <w:gridCol w:w="6228"/>
      </w:tblGrid>
      <w:tr w:rsidR="00500457" w:rsidRPr="00551729" w14:paraId="1BADCE92" w14:textId="77777777" w:rsidTr="005A1277">
        <w:trPr>
          <w:trHeight w:hRule="exact" w:val="227"/>
          <w:jc w:val="center"/>
        </w:trPr>
        <w:tc>
          <w:tcPr>
            <w:tcW w:w="534" w:type="dxa"/>
            <w:tcBorders>
              <w:bottom w:val="single" w:sz="24" w:space="0" w:color="FFFFFF"/>
            </w:tcBorders>
            <w:shd w:val="clear" w:color="auto" w:fill="4AACC5"/>
          </w:tcPr>
          <w:p w14:paraId="1BADCE8F" w14:textId="77777777" w:rsidR="00500457" w:rsidRPr="00551729" w:rsidRDefault="00500457" w:rsidP="005A1277">
            <w:pPr>
              <w:widowControl w:val="0"/>
              <w:spacing w:after="0" w:line="240" w:lineRule="auto"/>
              <w:rPr>
                <w:rFonts w:ascii="Garamond" w:hAnsi="Garamond"/>
                <w:sz w:val="18"/>
                <w:szCs w:val="24"/>
              </w:rPr>
            </w:pPr>
          </w:p>
        </w:tc>
        <w:tc>
          <w:tcPr>
            <w:tcW w:w="2117" w:type="dxa"/>
            <w:tcBorders>
              <w:bottom w:val="single" w:sz="24" w:space="0" w:color="FFFFFF"/>
              <w:right w:val="single" w:sz="9" w:space="0" w:color="FFFFFF"/>
            </w:tcBorders>
            <w:shd w:val="clear" w:color="auto" w:fill="4AACC5"/>
          </w:tcPr>
          <w:p w14:paraId="1BADCE90" w14:textId="77777777" w:rsidR="00500457" w:rsidRPr="00551729" w:rsidRDefault="00500457" w:rsidP="005A1277">
            <w:pPr>
              <w:widowControl w:val="0"/>
              <w:spacing w:after="0" w:line="240" w:lineRule="auto"/>
              <w:rPr>
                <w:rFonts w:ascii="Garamond" w:hAnsi="Garamond"/>
                <w:sz w:val="18"/>
                <w:szCs w:val="24"/>
              </w:rPr>
            </w:pPr>
          </w:p>
        </w:tc>
        <w:tc>
          <w:tcPr>
            <w:tcW w:w="6228" w:type="dxa"/>
            <w:tcBorders>
              <w:left w:val="single" w:sz="9" w:space="0" w:color="FFFFFF"/>
              <w:bottom w:val="single" w:sz="24" w:space="0" w:color="FFFFFF"/>
            </w:tcBorders>
            <w:shd w:val="clear" w:color="auto" w:fill="4AACC5"/>
          </w:tcPr>
          <w:p w14:paraId="1BADCE91" w14:textId="77777777" w:rsidR="00500457" w:rsidRPr="00551729" w:rsidRDefault="00500457" w:rsidP="005A1277">
            <w:pPr>
              <w:widowControl w:val="0"/>
              <w:spacing w:after="0" w:line="240" w:lineRule="auto"/>
              <w:rPr>
                <w:rFonts w:ascii="Garamond" w:hAnsi="Garamond"/>
                <w:sz w:val="18"/>
                <w:szCs w:val="24"/>
              </w:rPr>
            </w:pPr>
          </w:p>
        </w:tc>
      </w:tr>
      <w:tr w:rsidR="00500457" w:rsidRPr="00551729" w14:paraId="1BADCE96" w14:textId="77777777" w:rsidTr="005A1277">
        <w:trPr>
          <w:trHeight w:hRule="exact" w:val="862"/>
          <w:jc w:val="center"/>
        </w:trPr>
        <w:tc>
          <w:tcPr>
            <w:tcW w:w="534" w:type="dxa"/>
            <w:tcBorders>
              <w:top w:val="single" w:sz="24" w:space="0" w:color="FFFFFF"/>
              <w:bottom w:val="single" w:sz="8" w:space="0" w:color="FFFFFF"/>
              <w:right w:val="single" w:sz="24" w:space="0" w:color="FFFFFF"/>
            </w:tcBorders>
            <w:shd w:val="clear" w:color="auto" w:fill="4AACC5"/>
          </w:tcPr>
          <w:p w14:paraId="1BADCE93"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1</w:t>
            </w:r>
          </w:p>
        </w:tc>
        <w:tc>
          <w:tcPr>
            <w:tcW w:w="2117" w:type="dxa"/>
            <w:tcBorders>
              <w:top w:val="single" w:sz="24" w:space="0" w:color="FFFFFF"/>
              <w:left w:val="single" w:sz="24" w:space="0" w:color="FFFFFF"/>
              <w:bottom w:val="single" w:sz="8" w:space="0" w:color="FFFFFF"/>
              <w:right w:val="single" w:sz="9" w:space="0" w:color="FFFFFF"/>
            </w:tcBorders>
            <w:shd w:val="clear" w:color="auto" w:fill="A4D4E1"/>
          </w:tcPr>
          <w:p w14:paraId="1BADCE94"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Konkurrenca, zhvillimi i biznesit dhe NVM- ve, tregtia dhe investimet</w:t>
            </w:r>
          </w:p>
        </w:tc>
        <w:tc>
          <w:tcPr>
            <w:tcW w:w="6228" w:type="dxa"/>
            <w:tcBorders>
              <w:top w:val="single" w:sz="24" w:space="0" w:color="FFFFFF"/>
              <w:left w:val="single" w:sz="9" w:space="0" w:color="FFFFFF"/>
              <w:bottom w:val="single" w:sz="8" w:space="0" w:color="FFFFFF"/>
            </w:tcBorders>
            <w:shd w:val="clear" w:color="auto" w:fill="A4D4E1"/>
          </w:tcPr>
          <w:p w14:paraId="1BADCE95"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w:t>
            </w:r>
          </w:p>
        </w:tc>
      </w:tr>
      <w:tr w:rsidR="00500457" w:rsidRPr="00551729" w14:paraId="1BADCE9A" w14:textId="77777777" w:rsidTr="005A1277">
        <w:trPr>
          <w:trHeight w:hRule="exact" w:val="793"/>
          <w:jc w:val="center"/>
        </w:trPr>
        <w:tc>
          <w:tcPr>
            <w:tcW w:w="534" w:type="dxa"/>
            <w:tcBorders>
              <w:top w:val="single" w:sz="8" w:space="0" w:color="FFFFFF"/>
              <w:bottom w:val="single" w:sz="9" w:space="0" w:color="FFFFFF"/>
              <w:right w:val="single" w:sz="24" w:space="0" w:color="FFFFFF"/>
            </w:tcBorders>
            <w:shd w:val="clear" w:color="auto" w:fill="4AACC5"/>
          </w:tcPr>
          <w:p w14:paraId="1BADCE97"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2</w:t>
            </w:r>
          </w:p>
        </w:tc>
        <w:tc>
          <w:tcPr>
            <w:tcW w:w="2117" w:type="dxa"/>
            <w:tcBorders>
              <w:top w:val="single" w:sz="8" w:space="0" w:color="FFFFFF"/>
              <w:left w:val="single" w:sz="24" w:space="0" w:color="FFFFFF"/>
              <w:bottom w:val="single" w:sz="9" w:space="0" w:color="FFFFFF"/>
              <w:right w:val="single" w:sz="9" w:space="0" w:color="FFFFFF"/>
            </w:tcBorders>
            <w:shd w:val="clear" w:color="auto" w:fill="A4D4E1"/>
          </w:tcPr>
          <w:p w14:paraId="1BADCE98"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Punësimi, Lëvizja gjeografike e punonjësve, dhe Përfshirja sociale</w:t>
            </w:r>
          </w:p>
        </w:tc>
        <w:tc>
          <w:tcPr>
            <w:tcW w:w="6228" w:type="dxa"/>
            <w:tcBorders>
              <w:top w:val="single" w:sz="8" w:space="0" w:color="FFFFFF"/>
              <w:left w:val="single" w:sz="9" w:space="0" w:color="FFFFFF"/>
              <w:bottom w:val="single" w:sz="9" w:space="0" w:color="FFFFFF"/>
            </w:tcBorders>
            <w:shd w:val="clear" w:color="auto" w:fill="D2EAF0"/>
          </w:tcPr>
          <w:p w14:paraId="1BADCE99" w14:textId="185191B8"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 xml:space="preserve">- </w:t>
            </w:r>
            <w:r w:rsidR="00C521D5" w:rsidRPr="00551729">
              <w:rPr>
                <w:rFonts w:ascii="Garamond" w:hAnsi="Garamond"/>
                <w:sz w:val="18"/>
                <w:szCs w:val="24"/>
                <w:lang w:val="sq-AL"/>
              </w:rPr>
              <w:t>“</w:t>
            </w:r>
            <w:r w:rsidRPr="00551729">
              <w:rPr>
                <w:rFonts w:ascii="Garamond" w:hAnsi="Garamond"/>
                <w:sz w:val="18"/>
                <w:szCs w:val="24"/>
                <w:lang w:val="sq-AL"/>
              </w:rPr>
              <w:t xml:space="preserve">Konkluzionet e Malit të Zi </w:t>
            </w:r>
            <w:r w:rsidR="00C521D5" w:rsidRPr="00551729">
              <w:rPr>
                <w:rFonts w:ascii="Garamond" w:hAnsi="Garamond"/>
                <w:sz w:val="18"/>
                <w:szCs w:val="24"/>
                <w:lang w:val="sq-AL"/>
              </w:rPr>
              <w:t>“</w:t>
            </w:r>
            <w:r w:rsidRPr="00551729">
              <w:rPr>
                <w:rFonts w:ascii="Garamond" w:hAnsi="Garamond"/>
                <w:sz w:val="18"/>
                <w:szCs w:val="24"/>
                <w:lang w:val="sq-AL"/>
              </w:rPr>
              <w:t xml:space="preserve"> dokument i nënshkruar gjatë Forumeve të Konferencës së tretë Ministrore mbi Punësimin dhe Politikat Sociale në Evropën Juglindore, në 26.10.2007.</w:t>
            </w:r>
          </w:p>
        </w:tc>
      </w:tr>
      <w:tr w:rsidR="00500457" w:rsidRPr="00551729" w14:paraId="1BADCE9E" w14:textId="77777777" w:rsidTr="005A1277">
        <w:trPr>
          <w:trHeight w:hRule="exact" w:val="606"/>
          <w:jc w:val="center"/>
        </w:trPr>
        <w:tc>
          <w:tcPr>
            <w:tcW w:w="534" w:type="dxa"/>
            <w:tcBorders>
              <w:top w:val="single" w:sz="9" w:space="0" w:color="FFFFFF"/>
              <w:bottom w:val="single" w:sz="8" w:space="0" w:color="FFFFFF"/>
              <w:right w:val="single" w:sz="24" w:space="0" w:color="FFFFFF"/>
            </w:tcBorders>
            <w:shd w:val="clear" w:color="auto" w:fill="4AACC5"/>
          </w:tcPr>
          <w:p w14:paraId="1BADCE9B"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3</w:t>
            </w:r>
          </w:p>
        </w:tc>
        <w:tc>
          <w:tcPr>
            <w:tcW w:w="2117" w:type="dxa"/>
            <w:tcBorders>
              <w:top w:val="single" w:sz="9" w:space="0" w:color="FFFFFF"/>
              <w:left w:val="single" w:sz="24" w:space="0" w:color="FFFFFF"/>
              <w:bottom w:val="single" w:sz="8" w:space="0" w:color="FFFFFF"/>
              <w:right w:val="single" w:sz="9" w:space="0" w:color="FFFFFF"/>
            </w:tcBorders>
            <w:shd w:val="clear" w:color="auto" w:fill="A4D4E1"/>
          </w:tcPr>
          <w:p w14:paraId="1BADCE9C"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Kërkimi shkencor, Zhvillimi dhe Inovacioni Teknologjik dhe TIK</w:t>
            </w:r>
          </w:p>
        </w:tc>
        <w:tc>
          <w:tcPr>
            <w:tcW w:w="6228" w:type="dxa"/>
            <w:tcBorders>
              <w:top w:val="single" w:sz="9" w:space="0" w:color="FFFFFF"/>
              <w:left w:val="single" w:sz="9" w:space="0" w:color="FFFFFF"/>
              <w:bottom w:val="single" w:sz="8" w:space="0" w:color="FFFFFF"/>
            </w:tcBorders>
            <w:shd w:val="clear" w:color="auto" w:fill="A4D4E1"/>
          </w:tcPr>
          <w:p w14:paraId="1BADCE9D"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 Marrëveshja midis Shqipërisë dhe Malit të Zi për bashkëpunimin shkencor dhe teknologjik, nënshkruar më 16.12.2008.</w:t>
            </w:r>
          </w:p>
        </w:tc>
      </w:tr>
      <w:tr w:rsidR="00500457" w:rsidRPr="00551729" w14:paraId="1BADCEA5" w14:textId="77777777" w:rsidTr="005A1277">
        <w:trPr>
          <w:trHeight w:hRule="exact" w:val="2559"/>
          <w:jc w:val="center"/>
        </w:trPr>
        <w:tc>
          <w:tcPr>
            <w:tcW w:w="534" w:type="dxa"/>
            <w:tcBorders>
              <w:top w:val="single" w:sz="8" w:space="0" w:color="FFFFFF"/>
              <w:bottom w:val="single" w:sz="8" w:space="0" w:color="FFFFFF"/>
              <w:right w:val="single" w:sz="24" w:space="0" w:color="FFFFFF"/>
            </w:tcBorders>
            <w:shd w:val="clear" w:color="auto" w:fill="4AACC5"/>
          </w:tcPr>
          <w:p w14:paraId="1BADCE9F"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4</w:t>
            </w:r>
          </w:p>
        </w:tc>
        <w:tc>
          <w:tcPr>
            <w:tcW w:w="2117" w:type="dxa"/>
            <w:tcBorders>
              <w:top w:val="single" w:sz="8" w:space="0" w:color="FFFFFF"/>
              <w:left w:val="single" w:sz="24" w:space="0" w:color="FFFFFF"/>
              <w:bottom w:val="single" w:sz="8" w:space="0" w:color="FFFFFF"/>
              <w:right w:val="single" w:sz="9" w:space="0" w:color="FFFFFF"/>
            </w:tcBorders>
            <w:shd w:val="clear" w:color="auto" w:fill="A4D4E1"/>
          </w:tcPr>
          <w:p w14:paraId="1BADCEA0"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Mbrojtja e Mjedisit, Ndryshimet Klimatike dhe Parandalimi i rrezikut</w:t>
            </w:r>
          </w:p>
        </w:tc>
        <w:tc>
          <w:tcPr>
            <w:tcW w:w="6228" w:type="dxa"/>
            <w:tcBorders>
              <w:top w:val="single" w:sz="8" w:space="0" w:color="FFFFFF"/>
              <w:left w:val="single" w:sz="9" w:space="0" w:color="FFFFFF"/>
              <w:bottom w:val="single" w:sz="8" w:space="0" w:color="FFFFFF"/>
            </w:tcBorders>
            <w:shd w:val="clear" w:color="auto" w:fill="D2EAF0"/>
          </w:tcPr>
          <w:p w14:paraId="1BADCEA1" w14:textId="4CF1FFA2" w:rsidR="00500457" w:rsidRPr="00551729" w:rsidRDefault="00500457" w:rsidP="007D1FAB">
            <w:pPr>
              <w:pStyle w:val="TableParagraph"/>
              <w:numPr>
                <w:ilvl w:val="0"/>
                <w:numId w:val="46"/>
              </w:numPr>
              <w:tabs>
                <w:tab w:val="left" w:pos="183"/>
              </w:tabs>
              <w:ind w:left="0" w:firstLine="0"/>
              <w:rPr>
                <w:rFonts w:ascii="Garamond" w:hAnsi="Garamond"/>
                <w:sz w:val="18"/>
                <w:szCs w:val="24"/>
                <w:lang w:val="sq-AL"/>
              </w:rPr>
            </w:pPr>
            <w:r w:rsidRPr="00551729">
              <w:rPr>
                <w:rFonts w:ascii="Garamond" w:hAnsi="Garamond"/>
                <w:sz w:val="18"/>
                <w:szCs w:val="24"/>
                <w:lang w:val="sq-AL"/>
              </w:rPr>
              <w:t xml:space="preserve">Marrëveshja ndërmjet Qeverisë së Shqipërisë dhe Malit të Zi mbi problemet e ujit. Statuti i Komisionit të </w:t>
            </w:r>
            <w:r w:rsidR="00194CF0">
              <w:rPr>
                <w:rFonts w:ascii="Garamond" w:hAnsi="Garamond"/>
                <w:sz w:val="18"/>
                <w:szCs w:val="24"/>
                <w:lang w:val="sq-AL"/>
              </w:rPr>
              <w:t>përbashkët ndër</w:t>
            </w:r>
            <w:r w:rsidRPr="00551729">
              <w:rPr>
                <w:rFonts w:ascii="Garamond" w:hAnsi="Garamond"/>
                <w:sz w:val="18"/>
                <w:szCs w:val="24"/>
                <w:lang w:val="sq-AL"/>
              </w:rPr>
              <w:t>qeveritar Shqiptaro-Malazez në trajtimin e kufijve ujor dhe Protokolli i mbledhjes së këtij Komisioni nënshkruar më 31.10.2001, hyrë në fuqi më 13 Shkurt</w:t>
            </w:r>
            <w:r w:rsidRPr="00551729">
              <w:rPr>
                <w:rFonts w:ascii="Garamond" w:hAnsi="Garamond"/>
                <w:spacing w:val="-4"/>
                <w:sz w:val="18"/>
                <w:szCs w:val="24"/>
                <w:lang w:val="sq-AL"/>
              </w:rPr>
              <w:t xml:space="preserve"> </w:t>
            </w:r>
            <w:r w:rsidRPr="00551729">
              <w:rPr>
                <w:rFonts w:ascii="Garamond" w:hAnsi="Garamond"/>
                <w:sz w:val="18"/>
                <w:szCs w:val="24"/>
                <w:lang w:val="sq-AL"/>
              </w:rPr>
              <w:t>2003.</w:t>
            </w:r>
          </w:p>
          <w:p w14:paraId="1BADCEA2" w14:textId="701BBE4F" w:rsidR="00500457" w:rsidRPr="00551729" w:rsidRDefault="00500457" w:rsidP="007D1FAB">
            <w:pPr>
              <w:pStyle w:val="TableParagraph"/>
              <w:numPr>
                <w:ilvl w:val="0"/>
                <w:numId w:val="46"/>
              </w:numPr>
              <w:tabs>
                <w:tab w:val="left" w:pos="183"/>
              </w:tabs>
              <w:ind w:left="0" w:firstLine="0"/>
              <w:rPr>
                <w:rFonts w:ascii="Garamond" w:hAnsi="Garamond"/>
                <w:sz w:val="18"/>
                <w:szCs w:val="24"/>
                <w:lang w:val="sq-AL"/>
              </w:rPr>
            </w:pPr>
            <w:r w:rsidRPr="00551729">
              <w:rPr>
                <w:rFonts w:ascii="Garamond" w:hAnsi="Garamond"/>
                <w:sz w:val="18"/>
                <w:szCs w:val="24"/>
                <w:lang w:val="sq-AL"/>
              </w:rPr>
              <w:t>Memorandumi</w:t>
            </w:r>
            <w:r w:rsidRPr="00551729">
              <w:rPr>
                <w:rFonts w:ascii="Garamond" w:hAnsi="Garamond"/>
                <w:spacing w:val="-3"/>
                <w:sz w:val="18"/>
                <w:szCs w:val="24"/>
                <w:lang w:val="sq-AL"/>
              </w:rPr>
              <w:t xml:space="preserve"> </w:t>
            </w:r>
            <w:r w:rsidRPr="00551729">
              <w:rPr>
                <w:rFonts w:ascii="Garamond" w:hAnsi="Garamond"/>
                <w:sz w:val="18"/>
                <w:szCs w:val="24"/>
                <w:lang w:val="sq-AL"/>
              </w:rPr>
              <w:t>i</w:t>
            </w:r>
            <w:r w:rsidRPr="00551729">
              <w:rPr>
                <w:rFonts w:ascii="Garamond" w:hAnsi="Garamond"/>
                <w:spacing w:val="-4"/>
                <w:sz w:val="18"/>
                <w:szCs w:val="24"/>
                <w:lang w:val="sq-AL"/>
              </w:rPr>
              <w:t xml:space="preserve"> </w:t>
            </w:r>
            <w:r w:rsidRPr="00551729">
              <w:rPr>
                <w:rFonts w:ascii="Garamond" w:hAnsi="Garamond"/>
                <w:sz w:val="18"/>
                <w:szCs w:val="24"/>
                <w:lang w:val="sq-AL"/>
              </w:rPr>
              <w:t>Mirëkuptimit</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2"/>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1"/>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 xml:space="preserve">Shqipërisë dhe Qeverisë së Republikës së Malit të Zi për shfrytëzimin e LTL 400 </w:t>
            </w:r>
            <w:r w:rsidR="00CC6FF4" w:rsidRPr="00551729">
              <w:rPr>
                <w:rFonts w:ascii="Garamond" w:hAnsi="Garamond"/>
                <w:sz w:val="18"/>
                <w:szCs w:val="24"/>
                <w:lang w:val="sq-AL"/>
              </w:rPr>
              <w:t>k</w:t>
            </w:r>
            <w:r w:rsidRPr="00551729">
              <w:rPr>
                <w:rFonts w:ascii="Garamond" w:hAnsi="Garamond"/>
                <w:sz w:val="18"/>
                <w:szCs w:val="24"/>
                <w:lang w:val="sq-AL"/>
              </w:rPr>
              <w:t>V, nënshkruar më 02.07.2004.</w:t>
            </w:r>
          </w:p>
          <w:p w14:paraId="1BADCEA3" w14:textId="77777777" w:rsidR="00500457" w:rsidRPr="00551729" w:rsidRDefault="00500457" w:rsidP="007D1FAB">
            <w:pPr>
              <w:pStyle w:val="TableParagraph"/>
              <w:numPr>
                <w:ilvl w:val="0"/>
                <w:numId w:val="46"/>
              </w:numPr>
              <w:tabs>
                <w:tab w:val="left" w:pos="183"/>
              </w:tabs>
              <w:ind w:left="0" w:firstLine="0"/>
              <w:jc w:val="both"/>
              <w:rPr>
                <w:rFonts w:ascii="Garamond" w:hAnsi="Garamond"/>
                <w:sz w:val="18"/>
                <w:szCs w:val="24"/>
                <w:lang w:val="sq-AL"/>
              </w:rPr>
            </w:pPr>
            <w:r w:rsidRPr="00551729">
              <w:rPr>
                <w:rFonts w:ascii="Garamond" w:hAnsi="Garamond"/>
                <w:sz w:val="18"/>
                <w:szCs w:val="24"/>
                <w:lang w:val="sq-AL"/>
              </w:rPr>
              <w:t>Memorandumi</w:t>
            </w:r>
            <w:r w:rsidRPr="00551729">
              <w:rPr>
                <w:rFonts w:ascii="Garamond" w:hAnsi="Garamond"/>
                <w:spacing w:val="-3"/>
                <w:sz w:val="18"/>
                <w:szCs w:val="24"/>
                <w:lang w:val="sq-AL"/>
              </w:rPr>
              <w:t xml:space="preserve"> </w:t>
            </w:r>
            <w:r w:rsidRPr="00551729">
              <w:rPr>
                <w:rFonts w:ascii="Garamond" w:hAnsi="Garamond"/>
                <w:sz w:val="18"/>
                <w:szCs w:val="24"/>
                <w:lang w:val="sq-AL"/>
              </w:rPr>
              <w:t>i</w:t>
            </w:r>
            <w:r w:rsidRPr="00551729">
              <w:rPr>
                <w:rFonts w:ascii="Garamond" w:hAnsi="Garamond"/>
                <w:spacing w:val="-4"/>
                <w:sz w:val="18"/>
                <w:szCs w:val="24"/>
                <w:lang w:val="sq-AL"/>
              </w:rPr>
              <w:t xml:space="preserve"> </w:t>
            </w:r>
            <w:r w:rsidRPr="00551729">
              <w:rPr>
                <w:rFonts w:ascii="Garamond" w:hAnsi="Garamond"/>
                <w:sz w:val="18"/>
                <w:szCs w:val="24"/>
                <w:lang w:val="sq-AL"/>
              </w:rPr>
              <w:t>Mirëkuptimit</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2"/>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 dhe Qeverisë së Malit të Zi mbi zhvillimin ndërkufitar të liqenit të Shkodrës, nënshkruar më 26.05.2006.</w:t>
            </w:r>
          </w:p>
          <w:p w14:paraId="1BADCEA4" w14:textId="77777777" w:rsidR="00500457" w:rsidRPr="00551729" w:rsidRDefault="00500457" w:rsidP="007D1FAB">
            <w:pPr>
              <w:pStyle w:val="TableParagraph"/>
              <w:numPr>
                <w:ilvl w:val="0"/>
                <w:numId w:val="46"/>
              </w:numPr>
              <w:tabs>
                <w:tab w:val="left" w:pos="219"/>
              </w:tabs>
              <w:ind w:left="0" w:firstLine="0"/>
              <w:jc w:val="both"/>
              <w:rPr>
                <w:rFonts w:ascii="Garamond" w:hAnsi="Garamond"/>
                <w:sz w:val="18"/>
                <w:szCs w:val="24"/>
                <w:lang w:val="sq-AL"/>
              </w:rPr>
            </w:pPr>
            <w:r w:rsidRPr="00551729">
              <w:rPr>
                <w:rFonts w:ascii="Garamond" w:hAnsi="Garamond"/>
                <w:sz w:val="18"/>
                <w:szCs w:val="24"/>
                <w:lang w:val="sq-AL"/>
              </w:rPr>
              <w:t>Memorandumi</w:t>
            </w:r>
            <w:r w:rsidRPr="00551729">
              <w:rPr>
                <w:rFonts w:ascii="Garamond" w:hAnsi="Garamond"/>
                <w:spacing w:val="-3"/>
                <w:sz w:val="18"/>
                <w:szCs w:val="24"/>
                <w:lang w:val="sq-AL"/>
              </w:rPr>
              <w:t xml:space="preserve"> </w:t>
            </w:r>
            <w:r w:rsidRPr="00551729">
              <w:rPr>
                <w:rFonts w:ascii="Garamond" w:hAnsi="Garamond"/>
                <w:sz w:val="18"/>
                <w:szCs w:val="24"/>
                <w:lang w:val="sq-AL"/>
              </w:rPr>
              <w:t>i</w:t>
            </w:r>
            <w:r w:rsidRPr="00551729">
              <w:rPr>
                <w:rFonts w:ascii="Garamond" w:hAnsi="Garamond"/>
                <w:spacing w:val="-4"/>
                <w:sz w:val="18"/>
                <w:szCs w:val="24"/>
                <w:lang w:val="sq-AL"/>
              </w:rPr>
              <w:t xml:space="preserve"> </w:t>
            </w:r>
            <w:r w:rsidRPr="00551729">
              <w:rPr>
                <w:rFonts w:ascii="Garamond" w:hAnsi="Garamond"/>
                <w:sz w:val="18"/>
                <w:szCs w:val="24"/>
                <w:lang w:val="sq-AL"/>
              </w:rPr>
              <w:t>Mirëkuptimit</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Ministrisë</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3"/>
                <w:sz w:val="18"/>
                <w:szCs w:val="24"/>
                <w:lang w:val="sq-AL"/>
              </w:rPr>
              <w:t xml:space="preserve"> </w:t>
            </w:r>
            <w:r w:rsidRPr="00551729">
              <w:rPr>
                <w:rFonts w:ascii="Garamond" w:hAnsi="Garamond"/>
                <w:sz w:val="18"/>
                <w:szCs w:val="24"/>
                <w:lang w:val="sq-AL"/>
              </w:rPr>
              <w:t>Mjedisit,</w:t>
            </w:r>
            <w:r w:rsidRPr="00551729">
              <w:rPr>
                <w:rFonts w:ascii="Garamond" w:hAnsi="Garamond"/>
                <w:spacing w:val="-2"/>
                <w:sz w:val="18"/>
                <w:szCs w:val="24"/>
                <w:lang w:val="sq-AL"/>
              </w:rPr>
              <w:t xml:space="preserve"> </w:t>
            </w:r>
            <w:r w:rsidRPr="00551729">
              <w:rPr>
                <w:rFonts w:ascii="Garamond" w:hAnsi="Garamond"/>
                <w:sz w:val="18"/>
                <w:szCs w:val="24"/>
                <w:lang w:val="sq-AL"/>
              </w:rPr>
              <w:t>Pyjeve</w:t>
            </w:r>
            <w:r w:rsidRPr="00551729">
              <w:rPr>
                <w:rFonts w:ascii="Garamond" w:hAnsi="Garamond"/>
                <w:spacing w:val="-3"/>
                <w:sz w:val="18"/>
                <w:szCs w:val="24"/>
                <w:lang w:val="sq-AL"/>
              </w:rPr>
              <w:t xml:space="preserve"> </w:t>
            </w:r>
            <w:r w:rsidRPr="00551729">
              <w:rPr>
                <w:rFonts w:ascii="Garamond" w:hAnsi="Garamond"/>
                <w:sz w:val="18"/>
                <w:szCs w:val="24"/>
                <w:lang w:val="sq-AL"/>
              </w:rPr>
              <w:t>dhe</w:t>
            </w:r>
            <w:r w:rsidRPr="00551729">
              <w:rPr>
                <w:rFonts w:ascii="Garamond" w:hAnsi="Garamond"/>
                <w:spacing w:val="-3"/>
                <w:sz w:val="18"/>
                <w:szCs w:val="24"/>
                <w:lang w:val="sq-AL"/>
              </w:rPr>
              <w:t xml:space="preserve"> </w:t>
            </w:r>
            <w:r w:rsidRPr="00551729">
              <w:rPr>
                <w:rFonts w:ascii="Garamond" w:hAnsi="Garamond"/>
                <w:sz w:val="18"/>
                <w:szCs w:val="24"/>
                <w:lang w:val="sq-AL"/>
              </w:rPr>
              <w:t>Administrimit</w:t>
            </w:r>
            <w:r w:rsidRPr="00551729">
              <w:rPr>
                <w:rFonts w:ascii="Garamond" w:hAnsi="Garamond"/>
                <w:spacing w:val="-3"/>
                <w:sz w:val="18"/>
                <w:szCs w:val="24"/>
                <w:lang w:val="sq-AL"/>
              </w:rPr>
              <w:t xml:space="preserve"> </w:t>
            </w:r>
            <w:r w:rsidRPr="00551729">
              <w:rPr>
                <w:rFonts w:ascii="Garamond" w:hAnsi="Garamond"/>
                <w:sz w:val="18"/>
                <w:szCs w:val="24"/>
                <w:lang w:val="sq-AL"/>
              </w:rPr>
              <w:t>të Ujërave të Republikës së Shqipërisë dhe Ministrisë së Bujqësisë, Pyjeve dhe Administrimit të Ujërave</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Malit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1"/>
                <w:sz w:val="18"/>
                <w:szCs w:val="24"/>
                <w:lang w:val="sq-AL"/>
              </w:rPr>
              <w:t xml:space="preserve"> </w:t>
            </w:r>
            <w:r w:rsidRPr="00551729">
              <w:rPr>
                <w:rFonts w:ascii="Garamond" w:hAnsi="Garamond"/>
                <w:sz w:val="18"/>
                <w:szCs w:val="24"/>
                <w:lang w:val="sq-AL"/>
              </w:rPr>
              <w:t>Zi,</w:t>
            </w:r>
            <w:r w:rsidRPr="00551729">
              <w:rPr>
                <w:rFonts w:ascii="Garamond" w:hAnsi="Garamond"/>
                <w:spacing w:val="-2"/>
                <w:sz w:val="18"/>
                <w:szCs w:val="24"/>
                <w:lang w:val="sq-AL"/>
              </w:rPr>
              <w:t xml:space="preserve"> </w:t>
            </w:r>
            <w:r w:rsidRPr="00551729">
              <w:rPr>
                <w:rFonts w:ascii="Garamond" w:hAnsi="Garamond"/>
                <w:sz w:val="18"/>
                <w:szCs w:val="24"/>
                <w:lang w:val="sq-AL"/>
              </w:rPr>
              <w:t>nënshkruar</w:t>
            </w:r>
            <w:r w:rsidRPr="00551729">
              <w:rPr>
                <w:rFonts w:ascii="Garamond" w:hAnsi="Garamond"/>
                <w:spacing w:val="-3"/>
                <w:sz w:val="18"/>
                <w:szCs w:val="24"/>
                <w:lang w:val="sq-AL"/>
              </w:rPr>
              <w:t xml:space="preserve"> </w:t>
            </w:r>
            <w:r w:rsidRPr="00551729">
              <w:rPr>
                <w:rFonts w:ascii="Garamond" w:hAnsi="Garamond"/>
                <w:sz w:val="18"/>
                <w:szCs w:val="24"/>
                <w:lang w:val="sq-AL"/>
              </w:rPr>
              <w:t>më</w:t>
            </w:r>
            <w:r w:rsidRPr="00551729">
              <w:rPr>
                <w:rFonts w:ascii="Garamond" w:hAnsi="Garamond"/>
                <w:spacing w:val="-3"/>
                <w:sz w:val="18"/>
                <w:szCs w:val="24"/>
                <w:lang w:val="sq-AL"/>
              </w:rPr>
              <w:t xml:space="preserve"> </w:t>
            </w:r>
            <w:r w:rsidRPr="00551729">
              <w:rPr>
                <w:rFonts w:ascii="Garamond" w:hAnsi="Garamond"/>
                <w:sz w:val="18"/>
                <w:szCs w:val="24"/>
                <w:lang w:val="sq-AL"/>
              </w:rPr>
              <w:t>14.12.2010,</w:t>
            </w:r>
            <w:r w:rsidRPr="00551729">
              <w:rPr>
                <w:rFonts w:ascii="Garamond" w:hAnsi="Garamond"/>
                <w:spacing w:val="-2"/>
                <w:sz w:val="18"/>
                <w:szCs w:val="24"/>
                <w:lang w:val="sq-AL"/>
              </w:rPr>
              <w:t xml:space="preserve"> </w:t>
            </w:r>
            <w:r w:rsidRPr="00551729">
              <w:rPr>
                <w:rFonts w:ascii="Garamond" w:hAnsi="Garamond"/>
                <w:sz w:val="18"/>
                <w:szCs w:val="24"/>
                <w:lang w:val="sq-AL"/>
              </w:rPr>
              <w:t>hyrë</w:t>
            </w:r>
            <w:r w:rsidRPr="00551729">
              <w:rPr>
                <w:rFonts w:ascii="Garamond" w:hAnsi="Garamond"/>
                <w:spacing w:val="-3"/>
                <w:sz w:val="18"/>
                <w:szCs w:val="24"/>
                <w:lang w:val="sq-AL"/>
              </w:rPr>
              <w:t xml:space="preserve"> </w:t>
            </w:r>
            <w:r w:rsidRPr="00551729">
              <w:rPr>
                <w:rFonts w:ascii="Garamond" w:hAnsi="Garamond"/>
                <w:sz w:val="18"/>
                <w:szCs w:val="24"/>
                <w:lang w:val="sq-AL"/>
              </w:rPr>
              <w:t>në</w:t>
            </w:r>
            <w:r w:rsidRPr="00551729">
              <w:rPr>
                <w:rFonts w:ascii="Garamond" w:hAnsi="Garamond"/>
                <w:spacing w:val="-3"/>
                <w:sz w:val="18"/>
                <w:szCs w:val="24"/>
                <w:lang w:val="sq-AL"/>
              </w:rPr>
              <w:t xml:space="preserve"> </w:t>
            </w:r>
            <w:r w:rsidRPr="00551729">
              <w:rPr>
                <w:rFonts w:ascii="Garamond" w:hAnsi="Garamond"/>
                <w:sz w:val="18"/>
                <w:szCs w:val="24"/>
                <w:lang w:val="sq-AL"/>
              </w:rPr>
              <w:t>fuqi</w:t>
            </w:r>
            <w:r w:rsidRPr="00551729">
              <w:rPr>
                <w:rFonts w:ascii="Garamond" w:hAnsi="Garamond"/>
                <w:spacing w:val="-3"/>
                <w:sz w:val="18"/>
                <w:szCs w:val="24"/>
                <w:lang w:val="sq-AL"/>
              </w:rPr>
              <w:t xml:space="preserve"> </w:t>
            </w:r>
            <w:r w:rsidRPr="00551729">
              <w:rPr>
                <w:rFonts w:ascii="Garamond" w:hAnsi="Garamond"/>
                <w:sz w:val="18"/>
                <w:szCs w:val="24"/>
                <w:lang w:val="sq-AL"/>
              </w:rPr>
              <w:t>në</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njëjtën</w:t>
            </w:r>
            <w:r w:rsidRPr="00551729">
              <w:rPr>
                <w:rFonts w:ascii="Garamond" w:hAnsi="Garamond"/>
                <w:spacing w:val="-3"/>
                <w:sz w:val="18"/>
                <w:szCs w:val="24"/>
                <w:lang w:val="sq-AL"/>
              </w:rPr>
              <w:t xml:space="preserve"> </w:t>
            </w:r>
            <w:r w:rsidRPr="00551729">
              <w:rPr>
                <w:rFonts w:ascii="Garamond" w:hAnsi="Garamond"/>
                <w:sz w:val="18"/>
                <w:szCs w:val="24"/>
                <w:lang w:val="sq-AL"/>
              </w:rPr>
              <w:t>ditë.</w:t>
            </w:r>
          </w:p>
        </w:tc>
      </w:tr>
      <w:tr w:rsidR="00500457" w:rsidRPr="00551729" w14:paraId="1BADCEAF" w14:textId="77777777" w:rsidTr="005A1277">
        <w:trPr>
          <w:trHeight w:hRule="exact" w:val="4319"/>
          <w:jc w:val="center"/>
        </w:trPr>
        <w:tc>
          <w:tcPr>
            <w:tcW w:w="534" w:type="dxa"/>
            <w:tcBorders>
              <w:top w:val="single" w:sz="8" w:space="0" w:color="FFFFFF"/>
              <w:bottom w:val="single" w:sz="8" w:space="0" w:color="FFFFFF"/>
              <w:right w:val="single" w:sz="24" w:space="0" w:color="FFFFFF"/>
            </w:tcBorders>
            <w:shd w:val="clear" w:color="auto" w:fill="4AACC5"/>
          </w:tcPr>
          <w:p w14:paraId="1BADCEA6"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5</w:t>
            </w:r>
          </w:p>
        </w:tc>
        <w:tc>
          <w:tcPr>
            <w:tcW w:w="2117" w:type="dxa"/>
            <w:tcBorders>
              <w:top w:val="single" w:sz="8" w:space="0" w:color="FFFFFF"/>
              <w:left w:val="single" w:sz="24" w:space="0" w:color="FFFFFF"/>
              <w:bottom w:val="single" w:sz="8" w:space="0" w:color="FFFFFF"/>
              <w:right w:val="single" w:sz="9" w:space="0" w:color="FFFFFF"/>
            </w:tcBorders>
            <w:shd w:val="clear" w:color="auto" w:fill="A4D4E1"/>
          </w:tcPr>
          <w:p w14:paraId="1BADCEA7"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Transporti dhe Infrastrukturat publike</w:t>
            </w:r>
          </w:p>
        </w:tc>
        <w:tc>
          <w:tcPr>
            <w:tcW w:w="6228" w:type="dxa"/>
            <w:tcBorders>
              <w:top w:val="single" w:sz="8" w:space="0" w:color="FFFFFF"/>
              <w:left w:val="single" w:sz="9" w:space="0" w:color="FFFFFF"/>
              <w:bottom w:val="single" w:sz="8" w:space="0" w:color="FFFFFF"/>
            </w:tcBorders>
            <w:shd w:val="clear" w:color="auto" w:fill="A4D4E1"/>
          </w:tcPr>
          <w:p w14:paraId="1BADCEA8" w14:textId="7CB49682" w:rsidR="00500457" w:rsidRPr="00551729" w:rsidRDefault="00500457" w:rsidP="007D1FAB">
            <w:pPr>
              <w:pStyle w:val="TableParagraph"/>
              <w:numPr>
                <w:ilvl w:val="0"/>
                <w:numId w:val="45"/>
              </w:numPr>
              <w:tabs>
                <w:tab w:val="left" w:pos="216"/>
              </w:tabs>
              <w:ind w:left="0" w:firstLine="0"/>
              <w:rPr>
                <w:rFonts w:ascii="Garamond" w:hAnsi="Garamond"/>
                <w:sz w:val="18"/>
                <w:szCs w:val="24"/>
                <w:lang w:val="sq-AL"/>
              </w:rPr>
            </w:pPr>
            <w:r w:rsidRPr="00551729">
              <w:rPr>
                <w:rFonts w:ascii="Garamond" w:hAnsi="Garamond"/>
                <w:sz w:val="18"/>
                <w:szCs w:val="24"/>
                <w:lang w:val="sq-AL"/>
              </w:rPr>
              <w:t>Marrëveshja</w:t>
            </w:r>
            <w:r w:rsidRPr="00551729">
              <w:rPr>
                <w:rFonts w:ascii="Garamond" w:hAnsi="Garamond"/>
                <w:spacing w:val="-4"/>
                <w:sz w:val="18"/>
                <w:szCs w:val="24"/>
                <w:lang w:val="sq-AL"/>
              </w:rPr>
              <w:t xml:space="preserve"> </w:t>
            </w:r>
            <w:r w:rsidRPr="00551729">
              <w:rPr>
                <w:rFonts w:ascii="Garamond" w:hAnsi="Garamond"/>
                <w:sz w:val="18"/>
                <w:szCs w:val="24"/>
                <w:lang w:val="sq-AL"/>
              </w:rPr>
              <w:t>ndërmjet</w:t>
            </w:r>
            <w:r w:rsidRPr="00551729">
              <w:rPr>
                <w:rFonts w:ascii="Garamond" w:hAnsi="Garamond"/>
                <w:spacing w:val="-4"/>
                <w:sz w:val="18"/>
                <w:szCs w:val="24"/>
                <w:lang w:val="sq-AL"/>
              </w:rPr>
              <w:t xml:space="preserve"> </w:t>
            </w:r>
            <w:r w:rsidRPr="00551729">
              <w:rPr>
                <w:rFonts w:ascii="Garamond" w:hAnsi="Garamond"/>
                <w:sz w:val="18"/>
                <w:szCs w:val="24"/>
                <w:lang w:val="sq-AL"/>
              </w:rPr>
              <w:t>Ministrisë</w:t>
            </w:r>
            <w:r w:rsidRPr="00551729">
              <w:rPr>
                <w:rFonts w:ascii="Garamond" w:hAnsi="Garamond"/>
                <w:spacing w:val="-4"/>
                <w:sz w:val="18"/>
                <w:szCs w:val="24"/>
                <w:lang w:val="sq-AL"/>
              </w:rPr>
              <w:t xml:space="preserve"> </w:t>
            </w:r>
            <w:r w:rsidRPr="00551729">
              <w:rPr>
                <w:rFonts w:ascii="Garamond" w:hAnsi="Garamond"/>
                <w:sz w:val="18"/>
                <w:szCs w:val="24"/>
                <w:lang w:val="sq-AL"/>
              </w:rPr>
              <w:t>së</w:t>
            </w:r>
            <w:r w:rsidRPr="00551729">
              <w:rPr>
                <w:rFonts w:ascii="Garamond" w:hAnsi="Garamond"/>
                <w:spacing w:val="-2"/>
                <w:sz w:val="18"/>
                <w:szCs w:val="24"/>
                <w:lang w:val="sq-AL"/>
              </w:rPr>
              <w:t xml:space="preserve"> </w:t>
            </w:r>
            <w:r w:rsidRPr="00551729">
              <w:rPr>
                <w:rFonts w:ascii="Garamond" w:hAnsi="Garamond"/>
                <w:sz w:val="18"/>
                <w:szCs w:val="24"/>
                <w:lang w:val="sq-AL"/>
              </w:rPr>
              <w:t>Punëve</w:t>
            </w:r>
            <w:r w:rsidRPr="00551729">
              <w:rPr>
                <w:rFonts w:ascii="Garamond" w:hAnsi="Garamond"/>
                <w:spacing w:val="-4"/>
                <w:sz w:val="18"/>
                <w:szCs w:val="24"/>
                <w:lang w:val="sq-AL"/>
              </w:rPr>
              <w:t xml:space="preserve"> </w:t>
            </w:r>
            <w:r w:rsidRPr="00551729">
              <w:rPr>
                <w:rFonts w:ascii="Garamond" w:hAnsi="Garamond"/>
                <w:sz w:val="18"/>
                <w:szCs w:val="24"/>
                <w:lang w:val="sq-AL"/>
              </w:rPr>
              <w:t>të</w:t>
            </w:r>
            <w:r w:rsidRPr="00551729">
              <w:rPr>
                <w:rFonts w:ascii="Garamond" w:hAnsi="Garamond"/>
                <w:spacing w:val="-4"/>
                <w:sz w:val="18"/>
                <w:szCs w:val="24"/>
                <w:lang w:val="sq-AL"/>
              </w:rPr>
              <w:t xml:space="preserve"> </w:t>
            </w:r>
            <w:r w:rsidRPr="00551729">
              <w:rPr>
                <w:rFonts w:ascii="Garamond" w:hAnsi="Garamond"/>
                <w:sz w:val="18"/>
                <w:szCs w:val="24"/>
                <w:lang w:val="sq-AL"/>
              </w:rPr>
              <w:t>Brendshme</w:t>
            </w:r>
            <w:r w:rsidRPr="00551729">
              <w:rPr>
                <w:rFonts w:ascii="Garamond" w:hAnsi="Garamond"/>
                <w:spacing w:val="-4"/>
                <w:sz w:val="18"/>
                <w:szCs w:val="24"/>
                <w:lang w:val="sq-AL"/>
              </w:rPr>
              <w:t xml:space="preserve"> </w:t>
            </w:r>
            <w:r w:rsidRPr="00551729">
              <w:rPr>
                <w:rFonts w:ascii="Garamond" w:hAnsi="Garamond"/>
                <w:sz w:val="18"/>
                <w:szCs w:val="24"/>
                <w:lang w:val="sq-AL"/>
              </w:rPr>
              <w:t>të</w:t>
            </w:r>
            <w:r w:rsidRPr="00551729">
              <w:rPr>
                <w:rFonts w:ascii="Garamond" w:hAnsi="Garamond"/>
                <w:spacing w:val="-2"/>
                <w:sz w:val="18"/>
                <w:szCs w:val="24"/>
                <w:lang w:val="sq-AL"/>
              </w:rPr>
              <w:t xml:space="preserve"> </w:t>
            </w:r>
            <w:r w:rsidRPr="00551729">
              <w:rPr>
                <w:rFonts w:ascii="Garamond" w:hAnsi="Garamond"/>
                <w:sz w:val="18"/>
                <w:szCs w:val="24"/>
                <w:lang w:val="sq-AL"/>
              </w:rPr>
              <w:t>Republikës</w:t>
            </w:r>
            <w:r w:rsidRPr="00551729">
              <w:rPr>
                <w:rFonts w:ascii="Garamond" w:hAnsi="Garamond"/>
                <w:spacing w:val="-4"/>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5"/>
                <w:sz w:val="18"/>
                <w:szCs w:val="24"/>
                <w:lang w:val="sq-AL"/>
              </w:rPr>
              <w:t xml:space="preserve"> </w:t>
            </w:r>
            <w:r w:rsidRPr="00551729">
              <w:rPr>
                <w:rFonts w:ascii="Garamond" w:hAnsi="Garamond"/>
                <w:sz w:val="18"/>
                <w:szCs w:val="24"/>
                <w:lang w:val="sq-AL"/>
              </w:rPr>
              <w:t>dhe Ministrisë së Punëve të Brendshme të Malit të Zi mbi vendosjen e qarkullimit të përhershme ndërkombëtar nëpërmjet pikës kufitare Han i Hotit</w:t>
            </w:r>
            <w:r w:rsidR="00033A2C">
              <w:rPr>
                <w:rFonts w:ascii="Garamond" w:hAnsi="Garamond"/>
                <w:sz w:val="18"/>
                <w:szCs w:val="24"/>
                <w:lang w:val="sq-AL"/>
              </w:rPr>
              <w:t>–</w:t>
            </w:r>
            <w:r w:rsidRPr="00551729">
              <w:rPr>
                <w:rFonts w:ascii="Garamond" w:hAnsi="Garamond"/>
                <w:sz w:val="18"/>
                <w:szCs w:val="24"/>
                <w:lang w:val="sq-AL"/>
              </w:rPr>
              <w:t>Bozhaj, nënshkruar më 24.01.2000.</w:t>
            </w:r>
          </w:p>
          <w:p w14:paraId="1BADCEA9" w14:textId="77777777" w:rsidR="00500457" w:rsidRPr="00551729" w:rsidRDefault="00500457" w:rsidP="007D1FAB">
            <w:pPr>
              <w:pStyle w:val="TableParagraph"/>
              <w:numPr>
                <w:ilvl w:val="0"/>
                <w:numId w:val="45"/>
              </w:numPr>
              <w:tabs>
                <w:tab w:val="left" w:pos="216"/>
              </w:tabs>
              <w:ind w:left="0" w:firstLine="0"/>
              <w:rPr>
                <w:rFonts w:ascii="Garamond" w:hAnsi="Garamond"/>
                <w:sz w:val="18"/>
                <w:szCs w:val="24"/>
                <w:lang w:val="sq-AL"/>
              </w:rPr>
            </w:pPr>
            <w:r w:rsidRPr="00551729">
              <w:rPr>
                <w:rFonts w:ascii="Garamond" w:hAnsi="Garamond"/>
                <w:sz w:val="18"/>
                <w:szCs w:val="24"/>
                <w:lang w:val="sq-AL"/>
              </w:rPr>
              <w:t>Marrëveshja</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3"/>
                <w:sz w:val="18"/>
                <w:szCs w:val="24"/>
                <w:lang w:val="sq-AL"/>
              </w:rPr>
              <w:t xml:space="preserve"> </w:t>
            </w:r>
            <w:r w:rsidRPr="00551729">
              <w:rPr>
                <w:rFonts w:ascii="Garamond" w:hAnsi="Garamond"/>
                <w:sz w:val="18"/>
                <w:szCs w:val="24"/>
                <w:lang w:val="sq-AL"/>
              </w:rPr>
              <w:t>dhe</w:t>
            </w:r>
            <w:r w:rsidRPr="00551729">
              <w:rPr>
                <w:rFonts w:ascii="Garamond" w:hAnsi="Garamond"/>
                <w:spacing w:val="-3"/>
                <w:sz w:val="18"/>
                <w:szCs w:val="24"/>
                <w:lang w:val="sq-AL"/>
              </w:rPr>
              <w:t xml:space="preserve"> </w:t>
            </w:r>
            <w:r w:rsidRPr="00551729">
              <w:rPr>
                <w:rFonts w:ascii="Garamond" w:hAnsi="Garamond"/>
                <w:sz w:val="18"/>
                <w:szCs w:val="24"/>
                <w:lang w:val="sq-AL"/>
              </w:rPr>
              <w:t>Qeverisë</w:t>
            </w:r>
            <w:r w:rsidRPr="00551729">
              <w:rPr>
                <w:rFonts w:ascii="Garamond" w:hAnsi="Garamond"/>
                <w:spacing w:val="-3"/>
                <w:sz w:val="18"/>
                <w:szCs w:val="24"/>
                <w:lang w:val="sq-AL"/>
              </w:rPr>
              <w:t xml:space="preserve"> </w:t>
            </w:r>
            <w:r w:rsidRPr="00551729">
              <w:rPr>
                <w:rFonts w:ascii="Garamond" w:hAnsi="Garamond"/>
                <w:sz w:val="18"/>
                <w:szCs w:val="24"/>
                <w:lang w:val="sq-AL"/>
              </w:rPr>
              <w:t>së Malit të Zi mbi transportin rrugor ndërkombëtar të udhëtarëve dhe mallrave, nënshkruar më 02.07.2000 dhe hyrë në fuqi më</w:t>
            </w:r>
            <w:r w:rsidRPr="00551729">
              <w:rPr>
                <w:rFonts w:ascii="Garamond" w:hAnsi="Garamond"/>
                <w:spacing w:val="-11"/>
                <w:sz w:val="18"/>
                <w:szCs w:val="24"/>
                <w:lang w:val="sq-AL"/>
              </w:rPr>
              <w:t xml:space="preserve"> </w:t>
            </w:r>
            <w:r w:rsidRPr="00551729">
              <w:rPr>
                <w:rFonts w:ascii="Garamond" w:hAnsi="Garamond"/>
                <w:sz w:val="18"/>
                <w:szCs w:val="24"/>
                <w:lang w:val="sq-AL"/>
              </w:rPr>
              <w:t>11.11.2004.</w:t>
            </w:r>
          </w:p>
          <w:p w14:paraId="1BADCEAA" w14:textId="77777777" w:rsidR="00500457" w:rsidRPr="00551729" w:rsidRDefault="00500457" w:rsidP="007D1FAB">
            <w:pPr>
              <w:pStyle w:val="TableParagraph"/>
              <w:numPr>
                <w:ilvl w:val="0"/>
                <w:numId w:val="45"/>
              </w:numPr>
              <w:tabs>
                <w:tab w:val="left" w:pos="216"/>
              </w:tabs>
              <w:ind w:left="0" w:firstLine="0"/>
              <w:rPr>
                <w:rFonts w:ascii="Garamond" w:hAnsi="Garamond"/>
                <w:sz w:val="18"/>
                <w:szCs w:val="24"/>
                <w:lang w:val="sq-AL"/>
              </w:rPr>
            </w:pPr>
            <w:r w:rsidRPr="00551729">
              <w:rPr>
                <w:rFonts w:ascii="Garamond" w:hAnsi="Garamond"/>
                <w:sz w:val="18"/>
                <w:szCs w:val="24"/>
                <w:lang w:val="sq-AL"/>
              </w:rPr>
              <w:t>Marrëveshja</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3"/>
                <w:sz w:val="18"/>
                <w:szCs w:val="24"/>
                <w:lang w:val="sq-AL"/>
              </w:rPr>
              <w:t xml:space="preserve"> </w:t>
            </w:r>
            <w:r w:rsidRPr="00551729">
              <w:rPr>
                <w:rFonts w:ascii="Garamond" w:hAnsi="Garamond"/>
                <w:sz w:val="18"/>
                <w:szCs w:val="24"/>
                <w:lang w:val="sq-AL"/>
              </w:rPr>
              <w:t>dhe</w:t>
            </w:r>
            <w:r w:rsidRPr="00551729">
              <w:rPr>
                <w:rFonts w:ascii="Garamond" w:hAnsi="Garamond"/>
                <w:spacing w:val="-3"/>
                <w:sz w:val="18"/>
                <w:szCs w:val="24"/>
                <w:lang w:val="sq-AL"/>
              </w:rPr>
              <w:t xml:space="preserve"> </w:t>
            </w:r>
            <w:r w:rsidRPr="00551729">
              <w:rPr>
                <w:rFonts w:ascii="Garamond" w:hAnsi="Garamond"/>
                <w:sz w:val="18"/>
                <w:szCs w:val="24"/>
                <w:lang w:val="sq-AL"/>
              </w:rPr>
              <w:t>Qeverisë</w:t>
            </w:r>
            <w:r w:rsidRPr="00551729">
              <w:rPr>
                <w:rFonts w:ascii="Garamond" w:hAnsi="Garamond"/>
                <w:spacing w:val="-3"/>
                <w:sz w:val="18"/>
                <w:szCs w:val="24"/>
                <w:lang w:val="sq-AL"/>
              </w:rPr>
              <w:t xml:space="preserve"> </w:t>
            </w:r>
            <w:r w:rsidRPr="00551729">
              <w:rPr>
                <w:rFonts w:ascii="Garamond" w:hAnsi="Garamond"/>
                <w:sz w:val="18"/>
                <w:szCs w:val="24"/>
                <w:lang w:val="sq-AL"/>
              </w:rPr>
              <w:t>së Malit të Zi për krijimin e linjës ndërkombëtare të liqenit për udhëtarët, Shkodër-Virpazar, nënshkruar në Podgoricë më</w:t>
            </w:r>
            <w:r w:rsidRPr="00551729">
              <w:rPr>
                <w:rFonts w:ascii="Garamond" w:hAnsi="Garamond"/>
                <w:spacing w:val="-10"/>
                <w:sz w:val="18"/>
                <w:szCs w:val="24"/>
                <w:lang w:val="sq-AL"/>
              </w:rPr>
              <w:t xml:space="preserve"> </w:t>
            </w:r>
            <w:r w:rsidRPr="00551729">
              <w:rPr>
                <w:rFonts w:ascii="Garamond" w:hAnsi="Garamond"/>
                <w:sz w:val="18"/>
                <w:szCs w:val="24"/>
                <w:lang w:val="sq-AL"/>
              </w:rPr>
              <w:t>02.07.2004.</w:t>
            </w:r>
          </w:p>
          <w:p w14:paraId="1BADCEAB" w14:textId="77777777" w:rsidR="00500457" w:rsidRPr="00551729" w:rsidRDefault="00500457" w:rsidP="007D1FAB">
            <w:pPr>
              <w:pStyle w:val="TableParagraph"/>
              <w:numPr>
                <w:ilvl w:val="0"/>
                <w:numId w:val="45"/>
              </w:numPr>
              <w:tabs>
                <w:tab w:val="left" w:pos="216"/>
              </w:tabs>
              <w:ind w:left="0" w:firstLine="0"/>
              <w:jc w:val="both"/>
              <w:rPr>
                <w:rFonts w:ascii="Garamond" w:hAnsi="Garamond"/>
                <w:sz w:val="18"/>
                <w:szCs w:val="24"/>
                <w:lang w:val="sq-AL"/>
              </w:rPr>
            </w:pPr>
            <w:r w:rsidRPr="00551729">
              <w:rPr>
                <w:rFonts w:ascii="Garamond" w:hAnsi="Garamond"/>
                <w:sz w:val="18"/>
                <w:szCs w:val="24"/>
                <w:lang w:val="sq-AL"/>
              </w:rPr>
              <w:t>Marrëveshja</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3"/>
                <w:sz w:val="18"/>
                <w:szCs w:val="24"/>
                <w:lang w:val="sq-AL"/>
              </w:rPr>
              <w:t xml:space="preserve"> </w:t>
            </w:r>
            <w:r w:rsidRPr="00551729">
              <w:rPr>
                <w:rFonts w:ascii="Garamond" w:hAnsi="Garamond"/>
                <w:sz w:val="18"/>
                <w:szCs w:val="24"/>
                <w:lang w:val="sq-AL"/>
              </w:rPr>
              <w:t>dhe</w:t>
            </w:r>
            <w:r w:rsidRPr="00551729">
              <w:rPr>
                <w:rFonts w:ascii="Garamond" w:hAnsi="Garamond"/>
                <w:spacing w:val="-3"/>
                <w:sz w:val="18"/>
                <w:szCs w:val="24"/>
                <w:lang w:val="sq-AL"/>
              </w:rPr>
              <w:t xml:space="preserve"> </w:t>
            </w:r>
            <w:r w:rsidRPr="00551729">
              <w:rPr>
                <w:rFonts w:ascii="Garamond" w:hAnsi="Garamond"/>
                <w:sz w:val="18"/>
                <w:szCs w:val="24"/>
                <w:lang w:val="sq-AL"/>
              </w:rPr>
              <w:t>Qeverisë</w:t>
            </w:r>
            <w:r w:rsidRPr="00551729">
              <w:rPr>
                <w:rFonts w:ascii="Garamond" w:hAnsi="Garamond"/>
                <w:spacing w:val="-3"/>
                <w:sz w:val="18"/>
                <w:szCs w:val="24"/>
                <w:lang w:val="sq-AL"/>
              </w:rPr>
              <w:t xml:space="preserve"> </w:t>
            </w:r>
            <w:r w:rsidRPr="00551729">
              <w:rPr>
                <w:rFonts w:ascii="Garamond" w:hAnsi="Garamond"/>
                <w:sz w:val="18"/>
                <w:szCs w:val="24"/>
                <w:lang w:val="sq-AL"/>
              </w:rPr>
              <w:t>së Malit të Zi për marrëdhëniet reciproke për çështjet doganore, nënshkruar më 23.12.2005, hyrë në fuqi më 1 dhjetor</w:t>
            </w:r>
            <w:r w:rsidRPr="00551729">
              <w:rPr>
                <w:rFonts w:ascii="Garamond" w:hAnsi="Garamond"/>
                <w:spacing w:val="-11"/>
                <w:sz w:val="18"/>
                <w:szCs w:val="24"/>
                <w:lang w:val="sq-AL"/>
              </w:rPr>
              <w:t xml:space="preserve"> </w:t>
            </w:r>
            <w:r w:rsidRPr="00551729">
              <w:rPr>
                <w:rFonts w:ascii="Garamond" w:hAnsi="Garamond"/>
                <w:sz w:val="18"/>
                <w:szCs w:val="24"/>
                <w:lang w:val="sq-AL"/>
              </w:rPr>
              <w:t>2007.</w:t>
            </w:r>
          </w:p>
          <w:p w14:paraId="1BADCEAC" w14:textId="77777777" w:rsidR="00500457" w:rsidRPr="00551729" w:rsidRDefault="00500457" w:rsidP="007D1FAB">
            <w:pPr>
              <w:pStyle w:val="TableParagraph"/>
              <w:numPr>
                <w:ilvl w:val="0"/>
                <w:numId w:val="45"/>
              </w:numPr>
              <w:tabs>
                <w:tab w:val="left" w:pos="216"/>
              </w:tabs>
              <w:ind w:left="0" w:firstLine="0"/>
              <w:rPr>
                <w:rFonts w:ascii="Garamond" w:hAnsi="Garamond"/>
                <w:sz w:val="18"/>
                <w:szCs w:val="24"/>
                <w:lang w:val="sq-AL"/>
              </w:rPr>
            </w:pPr>
            <w:r w:rsidRPr="00551729">
              <w:rPr>
                <w:rFonts w:ascii="Garamond" w:hAnsi="Garamond"/>
                <w:sz w:val="18"/>
                <w:szCs w:val="24"/>
                <w:lang w:val="sq-AL"/>
              </w:rPr>
              <w:t>Marrëveshja</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3"/>
                <w:sz w:val="18"/>
                <w:szCs w:val="24"/>
                <w:lang w:val="sq-AL"/>
              </w:rPr>
              <w:t xml:space="preserve"> </w:t>
            </w:r>
            <w:r w:rsidRPr="00551729">
              <w:rPr>
                <w:rFonts w:ascii="Garamond" w:hAnsi="Garamond"/>
                <w:sz w:val="18"/>
                <w:szCs w:val="24"/>
                <w:lang w:val="sq-AL"/>
              </w:rPr>
              <w:t>dhe</w:t>
            </w:r>
            <w:r w:rsidRPr="00551729">
              <w:rPr>
                <w:rFonts w:ascii="Garamond" w:hAnsi="Garamond"/>
                <w:spacing w:val="-3"/>
                <w:sz w:val="18"/>
                <w:szCs w:val="24"/>
                <w:lang w:val="sq-AL"/>
              </w:rPr>
              <w:t xml:space="preserve"> </w:t>
            </w:r>
            <w:r w:rsidRPr="00551729">
              <w:rPr>
                <w:rFonts w:ascii="Garamond" w:hAnsi="Garamond"/>
                <w:sz w:val="18"/>
                <w:szCs w:val="24"/>
                <w:lang w:val="sq-AL"/>
              </w:rPr>
              <w:t>Qeverisë</w:t>
            </w:r>
            <w:r w:rsidRPr="00551729">
              <w:rPr>
                <w:rFonts w:ascii="Garamond" w:hAnsi="Garamond"/>
                <w:spacing w:val="-3"/>
                <w:sz w:val="18"/>
                <w:szCs w:val="24"/>
                <w:lang w:val="sq-AL"/>
              </w:rPr>
              <w:t xml:space="preserve"> </w:t>
            </w:r>
            <w:r w:rsidRPr="00551729">
              <w:rPr>
                <w:rFonts w:ascii="Garamond" w:hAnsi="Garamond"/>
                <w:sz w:val="18"/>
                <w:szCs w:val="24"/>
                <w:lang w:val="sq-AL"/>
              </w:rPr>
              <w:t>së Malit të Zi mbi organizimin e trafikut hekurudhor ndërmjet dy vendeve, nënshkruar më 16.05.2006.</w:t>
            </w:r>
          </w:p>
          <w:p w14:paraId="1BADCEAD" w14:textId="77777777" w:rsidR="00500457" w:rsidRPr="00551729" w:rsidRDefault="00500457" w:rsidP="007D1FAB">
            <w:pPr>
              <w:pStyle w:val="TableParagraph"/>
              <w:numPr>
                <w:ilvl w:val="0"/>
                <w:numId w:val="45"/>
              </w:numPr>
              <w:tabs>
                <w:tab w:val="left" w:pos="216"/>
              </w:tabs>
              <w:ind w:left="0" w:firstLine="0"/>
              <w:jc w:val="both"/>
              <w:rPr>
                <w:rFonts w:ascii="Garamond" w:hAnsi="Garamond"/>
                <w:sz w:val="18"/>
                <w:szCs w:val="24"/>
                <w:lang w:val="sq-AL"/>
              </w:rPr>
            </w:pPr>
            <w:r w:rsidRPr="00551729">
              <w:rPr>
                <w:rFonts w:ascii="Garamond" w:hAnsi="Garamond"/>
                <w:sz w:val="18"/>
                <w:szCs w:val="24"/>
                <w:lang w:val="sq-AL"/>
              </w:rPr>
              <w:t>Marrëveshja</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3"/>
                <w:sz w:val="18"/>
                <w:szCs w:val="24"/>
                <w:lang w:val="sq-AL"/>
              </w:rPr>
              <w:t xml:space="preserve"> </w:t>
            </w:r>
            <w:r w:rsidRPr="00551729">
              <w:rPr>
                <w:rFonts w:ascii="Garamond" w:hAnsi="Garamond"/>
                <w:sz w:val="18"/>
                <w:szCs w:val="24"/>
                <w:lang w:val="sq-AL"/>
              </w:rPr>
              <w:t>dhe</w:t>
            </w:r>
            <w:r w:rsidRPr="00551729">
              <w:rPr>
                <w:rFonts w:ascii="Garamond" w:hAnsi="Garamond"/>
                <w:spacing w:val="-3"/>
                <w:sz w:val="18"/>
                <w:szCs w:val="24"/>
                <w:lang w:val="sq-AL"/>
              </w:rPr>
              <w:t xml:space="preserve"> </w:t>
            </w:r>
            <w:r w:rsidRPr="00551729">
              <w:rPr>
                <w:rFonts w:ascii="Garamond" w:hAnsi="Garamond"/>
                <w:sz w:val="18"/>
                <w:szCs w:val="24"/>
                <w:lang w:val="sq-AL"/>
              </w:rPr>
              <w:t>Qeverisë</w:t>
            </w:r>
            <w:r w:rsidRPr="00551729">
              <w:rPr>
                <w:rFonts w:ascii="Garamond" w:hAnsi="Garamond"/>
                <w:spacing w:val="-3"/>
                <w:sz w:val="18"/>
                <w:szCs w:val="24"/>
                <w:lang w:val="sq-AL"/>
              </w:rPr>
              <w:t xml:space="preserve"> </w:t>
            </w:r>
            <w:r w:rsidRPr="00551729">
              <w:rPr>
                <w:rFonts w:ascii="Garamond" w:hAnsi="Garamond"/>
                <w:sz w:val="18"/>
                <w:szCs w:val="24"/>
                <w:lang w:val="sq-AL"/>
              </w:rPr>
              <w:t>së Malit të Zi për hapjen e pikës së përbashkët kufitare Murriqan-Sukobinë, e nënshkruar më 17 janar 2007.</w:t>
            </w:r>
          </w:p>
          <w:p w14:paraId="1BADCEAE" w14:textId="77777777" w:rsidR="00500457" w:rsidRPr="00551729" w:rsidRDefault="00500457" w:rsidP="007D1FAB">
            <w:pPr>
              <w:pStyle w:val="TableParagraph"/>
              <w:numPr>
                <w:ilvl w:val="0"/>
                <w:numId w:val="45"/>
              </w:numPr>
              <w:tabs>
                <w:tab w:val="left" w:pos="216"/>
              </w:tabs>
              <w:ind w:left="0" w:firstLine="0"/>
              <w:rPr>
                <w:rFonts w:ascii="Garamond" w:hAnsi="Garamond"/>
                <w:sz w:val="18"/>
                <w:szCs w:val="24"/>
                <w:lang w:val="sq-AL"/>
              </w:rPr>
            </w:pPr>
            <w:r w:rsidRPr="00551729">
              <w:rPr>
                <w:rFonts w:ascii="Garamond" w:hAnsi="Garamond"/>
                <w:sz w:val="18"/>
                <w:szCs w:val="24"/>
                <w:lang w:val="sq-AL"/>
              </w:rPr>
              <w:t>Marrëveshja</w:t>
            </w:r>
            <w:r w:rsidRPr="00551729">
              <w:rPr>
                <w:rFonts w:ascii="Garamond" w:hAnsi="Garamond"/>
                <w:spacing w:val="-3"/>
                <w:sz w:val="18"/>
                <w:szCs w:val="24"/>
                <w:lang w:val="sq-AL"/>
              </w:rPr>
              <w:t xml:space="preserve"> </w:t>
            </w:r>
            <w:r w:rsidRPr="00551729">
              <w:rPr>
                <w:rFonts w:ascii="Garamond" w:hAnsi="Garamond"/>
                <w:sz w:val="18"/>
                <w:szCs w:val="24"/>
                <w:lang w:val="sq-AL"/>
              </w:rPr>
              <w:t>ndërmjet</w:t>
            </w:r>
            <w:r w:rsidRPr="00551729">
              <w:rPr>
                <w:rFonts w:ascii="Garamond" w:hAnsi="Garamond"/>
                <w:spacing w:val="-3"/>
                <w:sz w:val="18"/>
                <w:szCs w:val="24"/>
                <w:lang w:val="sq-AL"/>
              </w:rPr>
              <w:t xml:space="preserve"> </w:t>
            </w:r>
            <w:r w:rsidRPr="00551729">
              <w:rPr>
                <w:rFonts w:ascii="Garamond" w:hAnsi="Garamond"/>
                <w:sz w:val="18"/>
                <w:szCs w:val="24"/>
                <w:lang w:val="sq-AL"/>
              </w:rPr>
              <w:t>Këshillit</w:t>
            </w:r>
            <w:r w:rsidRPr="00551729">
              <w:rPr>
                <w:rFonts w:ascii="Garamond" w:hAnsi="Garamond"/>
                <w:spacing w:val="-2"/>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Ministrave</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3"/>
                <w:sz w:val="18"/>
                <w:szCs w:val="24"/>
                <w:lang w:val="sq-AL"/>
              </w:rPr>
              <w:t xml:space="preserve"> </w:t>
            </w:r>
            <w:r w:rsidRPr="00551729">
              <w:rPr>
                <w:rFonts w:ascii="Garamond" w:hAnsi="Garamond"/>
                <w:sz w:val="18"/>
                <w:szCs w:val="24"/>
                <w:lang w:val="sq-AL"/>
              </w:rPr>
              <w:t>Republikës</w:t>
            </w:r>
            <w:r w:rsidRPr="00551729">
              <w:rPr>
                <w:rFonts w:ascii="Garamond" w:hAnsi="Garamond"/>
                <w:spacing w:val="-3"/>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2"/>
                <w:sz w:val="18"/>
                <w:szCs w:val="24"/>
                <w:lang w:val="sq-AL"/>
              </w:rPr>
              <w:t xml:space="preserve"> </w:t>
            </w:r>
            <w:r w:rsidRPr="00551729">
              <w:rPr>
                <w:rFonts w:ascii="Garamond" w:hAnsi="Garamond"/>
                <w:sz w:val="18"/>
                <w:szCs w:val="24"/>
                <w:lang w:val="sq-AL"/>
              </w:rPr>
              <w:t>dhe</w:t>
            </w:r>
            <w:r w:rsidRPr="00551729">
              <w:rPr>
                <w:rFonts w:ascii="Garamond" w:hAnsi="Garamond"/>
                <w:spacing w:val="-3"/>
                <w:sz w:val="18"/>
                <w:szCs w:val="24"/>
                <w:lang w:val="sq-AL"/>
              </w:rPr>
              <w:t xml:space="preserve"> </w:t>
            </w:r>
            <w:r w:rsidRPr="00551729">
              <w:rPr>
                <w:rFonts w:ascii="Garamond" w:hAnsi="Garamond"/>
                <w:sz w:val="18"/>
                <w:szCs w:val="24"/>
                <w:lang w:val="sq-AL"/>
              </w:rPr>
              <w:t>Qeverisë</w:t>
            </w:r>
            <w:r w:rsidRPr="00551729">
              <w:rPr>
                <w:rFonts w:ascii="Garamond" w:hAnsi="Garamond"/>
                <w:spacing w:val="-2"/>
                <w:sz w:val="18"/>
                <w:szCs w:val="24"/>
                <w:lang w:val="sq-AL"/>
              </w:rPr>
              <w:t xml:space="preserve"> </w:t>
            </w:r>
            <w:r w:rsidRPr="00551729">
              <w:rPr>
                <w:rFonts w:ascii="Garamond" w:hAnsi="Garamond"/>
                <w:sz w:val="18"/>
                <w:szCs w:val="24"/>
                <w:lang w:val="sq-AL"/>
              </w:rPr>
              <w:t>së Malit të Zi për kryerjen e transportit kufitar hekurudhor ndërmjet dy vendeve, të nënshkruar në Podgoricë, më</w:t>
            </w:r>
            <w:r w:rsidRPr="00551729">
              <w:rPr>
                <w:rFonts w:ascii="Garamond" w:hAnsi="Garamond"/>
                <w:spacing w:val="-13"/>
                <w:sz w:val="18"/>
                <w:szCs w:val="24"/>
                <w:lang w:val="sq-AL"/>
              </w:rPr>
              <w:t xml:space="preserve"> </w:t>
            </w:r>
            <w:r w:rsidRPr="00551729">
              <w:rPr>
                <w:rFonts w:ascii="Garamond" w:hAnsi="Garamond"/>
                <w:sz w:val="18"/>
                <w:szCs w:val="24"/>
                <w:lang w:val="sq-AL"/>
              </w:rPr>
              <w:t>03.08.2012.</w:t>
            </w:r>
          </w:p>
        </w:tc>
      </w:tr>
      <w:tr w:rsidR="00500457" w:rsidRPr="00551729" w14:paraId="1BADCEB4" w14:textId="77777777" w:rsidTr="005A1277">
        <w:trPr>
          <w:trHeight w:hRule="exact" w:val="1192"/>
          <w:jc w:val="center"/>
        </w:trPr>
        <w:tc>
          <w:tcPr>
            <w:tcW w:w="534" w:type="dxa"/>
            <w:tcBorders>
              <w:top w:val="single" w:sz="8" w:space="0" w:color="FFFFFF"/>
              <w:bottom w:val="single" w:sz="9" w:space="0" w:color="FFFFFF"/>
              <w:right w:val="single" w:sz="24" w:space="0" w:color="FFFFFF"/>
            </w:tcBorders>
            <w:shd w:val="clear" w:color="auto" w:fill="4AACC5"/>
          </w:tcPr>
          <w:p w14:paraId="1BADCEB0"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6</w:t>
            </w:r>
          </w:p>
        </w:tc>
        <w:tc>
          <w:tcPr>
            <w:tcW w:w="2117" w:type="dxa"/>
            <w:tcBorders>
              <w:top w:val="single" w:sz="8" w:space="0" w:color="FFFFFF"/>
              <w:left w:val="single" w:sz="24" w:space="0" w:color="FFFFFF"/>
              <w:bottom w:val="single" w:sz="9" w:space="0" w:color="FFFFFF"/>
              <w:right w:val="single" w:sz="9" w:space="0" w:color="FFFFFF"/>
            </w:tcBorders>
            <w:shd w:val="clear" w:color="auto" w:fill="A4D4E1"/>
          </w:tcPr>
          <w:p w14:paraId="1BADCEB1"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Turizmi dhe Trashëgimia Kulturore</w:t>
            </w:r>
          </w:p>
        </w:tc>
        <w:tc>
          <w:tcPr>
            <w:tcW w:w="6228" w:type="dxa"/>
            <w:tcBorders>
              <w:top w:val="single" w:sz="8" w:space="0" w:color="FFFFFF"/>
              <w:left w:val="single" w:sz="9" w:space="0" w:color="FFFFFF"/>
              <w:bottom w:val="single" w:sz="9" w:space="0" w:color="FFFFFF"/>
            </w:tcBorders>
            <w:shd w:val="clear" w:color="auto" w:fill="D2EAF0"/>
          </w:tcPr>
          <w:p w14:paraId="1BADCEB2" w14:textId="77777777" w:rsidR="00500457" w:rsidRPr="00551729" w:rsidRDefault="00500457" w:rsidP="007D1FAB">
            <w:pPr>
              <w:pStyle w:val="TableParagraph"/>
              <w:numPr>
                <w:ilvl w:val="0"/>
                <w:numId w:val="44"/>
              </w:numPr>
              <w:tabs>
                <w:tab w:val="left" w:pos="183"/>
              </w:tabs>
              <w:ind w:left="0" w:firstLine="0"/>
              <w:rPr>
                <w:rFonts w:ascii="Garamond" w:hAnsi="Garamond"/>
                <w:sz w:val="18"/>
                <w:szCs w:val="24"/>
                <w:lang w:val="sq-AL"/>
              </w:rPr>
            </w:pPr>
            <w:r w:rsidRPr="00551729">
              <w:rPr>
                <w:rFonts w:ascii="Garamond" w:hAnsi="Garamond"/>
                <w:sz w:val="18"/>
                <w:szCs w:val="24"/>
                <w:lang w:val="sq-AL"/>
              </w:rPr>
              <w:t>Marrëveshja mbi bashkëpunimin kulturor ndërmjet Ministrisë së Turizmit, Kulturës, Rinisë dhe</w:t>
            </w:r>
            <w:r w:rsidRPr="00551729">
              <w:rPr>
                <w:rFonts w:ascii="Garamond" w:hAnsi="Garamond"/>
                <w:spacing w:val="-4"/>
                <w:sz w:val="18"/>
                <w:szCs w:val="24"/>
                <w:lang w:val="sq-AL"/>
              </w:rPr>
              <w:t xml:space="preserve"> </w:t>
            </w:r>
            <w:r w:rsidRPr="00551729">
              <w:rPr>
                <w:rFonts w:ascii="Garamond" w:hAnsi="Garamond"/>
                <w:sz w:val="18"/>
                <w:szCs w:val="24"/>
                <w:lang w:val="sq-AL"/>
              </w:rPr>
              <w:t>Sporteve</w:t>
            </w:r>
            <w:r w:rsidRPr="00551729">
              <w:rPr>
                <w:rFonts w:ascii="Garamond" w:hAnsi="Garamond"/>
                <w:spacing w:val="-2"/>
                <w:sz w:val="18"/>
                <w:szCs w:val="24"/>
                <w:lang w:val="sq-AL"/>
              </w:rPr>
              <w:t xml:space="preserve"> </w:t>
            </w:r>
            <w:r w:rsidRPr="00551729">
              <w:rPr>
                <w:rFonts w:ascii="Garamond" w:hAnsi="Garamond"/>
                <w:sz w:val="18"/>
                <w:szCs w:val="24"/>
                <w:lang w:val="sq-AL"/>
              </w:rPr>
              <w:t>të</w:t>
            </w:r>
            <w:r w:rsidRPr="00551729">
              <w:rPr>
                <w:rFonts w:ascii="Garamond" w:hAnsi="Garamond"/>
                <w:spacing w:val="-4"/>
                <w:sz w:val="18"/>
                <w:szCs w:val="24"/>
                <w:lang w:val="sq-AL"/>
              </w:rPr>
              <w:t xml:space="preserve"> </w:t>
            </w:r>
            <w:r w:rsidRPr="00551729">
              <w:rPr>
                <w:rFonts w:ascii="Garamond" w:hAnsi="Garamond"/>
                <w:sz w:val="18"/>
                <w:szCs w:val="24"/>
                <w:lang w:val="sq-AL"/>
              </w:rPr>
              <w:t>Republikës</w:t>
            </w:r>
            <w:r w:rsidRPr="00551729">
              <w:rPr>
                <w:rFonts w:ascii="Garamond" w:hAnsi="Garamond"/>
                <w:spacing w:val="-2"/>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4"/>
                <w:sz w:val="18"/>
                <w:szCs w:val="24"/>
                <w:lang w:val="sq-AL"/>
              </w:rPr>
              <w:t xml:space="preserve"> </w:t>
            </w:r>
            <w:r w:rsidRPr="00551729">
              <w:rPr>
                <w:rFonts w:ascii="Garamond" w:hAnsi="Garamond"/>
                <w:sz w:val="18"/>
                <w:szCs w:val="24"/>
                <w:lang w:val="sq-AL"/>
              </w:rPr>
              <w:t>dhe</w:t>
            </w:r>
            <w:r w:rsidRPr="00551729">
              <w:rPr>
                <w:rFonts w:ascii="Garamond" w:hAnsi="Garamond"/>
                <w:spacing w:val="-4"/>
                <w:sz w:val="18"/>
                <w:szCs w:val="24"/>
                <w:lang w:val="sq-AL"/>
              </w:rPr>
              <w:t xml:space="preserve"> </w:t>
            </w:r>
            <w:r w:rsidRPr="00551729">
              <w:rPr>
                <w:rFonts w:ascii="Garamond" w:hAnsi="Garamond"/>
                <w:sz w:val="18"/>
                <w:szCs w:val="24"/>
                <w:lang w:val="sq-AL"/>
              </w:rPr>
              <w:t>Ministrisë</w:t>
            </w:r>
            <w:r w:rsidRPr="00551729">
              <w:rPr>
                <w:rFonts w:ascii="Garamond" w:hAnsi="Garamond"/>
                <w:spacing w:val="-4"/>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Kulturës,</w:t>
            </w:r>
            <w:r w:rsidRPr="00551729">
              <w:rPr>
                <w:rFonts w:ascii="Garamond" w:hAnsi="Garamond"/>
                <w:spacing w:val="-3"/>
                <w:sz w:val="18"/>
                <w:szCs w:val="24"/>
                <w:lang w:val="sq-AL"/>
              </w:rPr>
              <w:t xml:space="preserve"> </w:t>
            </w:r>
            <w:r w:rsidRPr="00551729">
              <w:rPr>
                <w:rFonts w:ascii="Garamond" w:hAnsi="Garamond"/>
                <w:sz w:val="18"/>
                <w:szCs w:val="24"/>
                <w:lang w:val="sq-AL"/>
              </w:rPr>
              <w:t>Sporteve</w:t>
            </w:r>
            <w:r w:rsidRPr="00551729">
              <w:rPr>
                <w:rFonts w:ascii="Garamond" w:hAnsi="Garamond"/>
                <w:spacing w:val="-4"/>
                <w:sz w:val="18"/>
                <w:szCs w:val="24"/>
                <w:lang w:val="sq-AL"/>
              </w:rPr>
              <w:t xml:space="preserve"> </w:t>
            </w:r>
            <w:r w:rsidRPr="00551729">
              <w:rPr>
                <w:rFonts w:ascii="Garamond" w:hAnsi="Garamond"/>
                <w:sz w:val="18"/>
                <w:szCs w:val="24"/>
                <w:lang w:val="sq-AL"/>
              </w:rPr>
              <w:t>dhe</w:t>
            </w:r>
            <w:r w:rsidRPr="00551729">
              <w:rPr>
                <w:rFonts w:ascii="Garamond" w:hAnsi="Garamond"/>
                <w:spacing w:val="-4"/>
                <w:sz w:val="18"/>
                <w:szCs w:val="24"/>
                <w:lang w:val="sq-AL"/>
              </w:rPr>
              <w:t xml:space="preserve"> </w:t>
            </w:r>
            <w:r w:rsidRPr="00551729">
              <w:rPr>
                <w:rFonts w:ascii="Garamond" w:hAnsi="Garamond"/>
                <w:sz w:val="18"/>
                <w:szCs w:val="24"/>
                <w:lang w:val="sq-AL"/>
              </w:rPr>
              <w:t>Medias</w:t>
            </w:r>
            <w:r w:rsidRPr="00551729">
              <w:rPr>
                <w:rFonts w:ascii="Garamond" w:hAnsi="Garamond"/>
                <w:spacing w:val="-2"/>
                <w:sz w:val="18"/>
                <w:szCs w:val="24"/>
                <w:lang w:val="sq-AL"/>
              </w:rPr>
              <w:t xml:space="preserve"> </w:t>
            </w:r>
            <w:r w:rsidRPr="00551729">
              <w:rPr>
                <w:rFonts w:ascii="Garamond" w:hAnsi="Garamond"/>
                <w:sz w:val="18"/>
                <w:szCs w:val="24"/>
                <w:lang w:val="sq-AL"/>
              </w:rPr>
              <w:t>të Malit</w:t>
            </w:r>
            <w:r w:rsidRPr="00551729">
              <w:rPr>
                <w:rFonts w:ascii="Garamond" w:hAnsi="Garamond"/>
                <w:spacing w:val="-3"/>
                <w:sz w:val="18"/>
                <w:szCs w:val="24"/>
                <w:lang w:val="sq-AL"/>
              </w:rPr>
              <w:t xml:space="preserve"> </w:t>
            </w:r>
            <w:r w:rsidRPr="00551729">
              <w:rPr>
                <w:rFonts w:ascii="Garamond" w:hAnsi="Garamond"/>
                <w:sz w:val="18"/>
                <w:szCs w:val="24"/>
                <w:lang w:val="sq-AL"/>
              </w:rPr>
              <w:t>të</w:t>
            </w:r>
            <w:r w:rsidRPr="00551729">
              <w:rPr>
                <w:rFonts w:ascii="Garamond" w:hAnsi="Garamond"/>
                <w:spacing w:val="-1"/>
                <w:sz w:val="18"/>
                <w:szCs w:val="24"/>
                <w:lang w:val="sq-AL"/>
              </w:rPr>
              <w:t xml:space="preserve"> </w:t>
            </w:r>
            <w:r w:rsidRPr="00551729">
              <w:rPr>
                <w:rFonts w:ascii="Garamond" w:hAnsi="Garamond"/>
                <w:sz w:val="18"/>
                <w:szCs w:val="24"/>
                <w:lang w:val="sq-AL"/>
              </w:rPr>
              <w:t>Zi,</w:t>
            </w:r>
            <w:r w:rsidRPr="00551729">
              <w:rPr>
                <w:rFonts w:ascii="Garamond" w:hAnsi="Garamond"/>
                <w:spacing w:val="-2"/>
                <w:sz w:val="18"/>
                <w:szCs w:val="24"/>
                <w:lang w:val="sq-AL"/>
              </w:rPr>
              <w:t xml:space="preserve"> </w:t>
            </w:r>
            <w:r w:rsidRPr="00551729">
              <w:rPr>
                <w:rFonts w:ascii="Garamond" w:hAnsi="Garamond"/>
                <w:sz w:val="18"/>
                <w:szCs w:val="24"/>
                <w:lang w:val="sq-AL"/>
              </w:rPr>
              <w:t>nënshkruar</w:t>
            </w:r>
            <w:r w:rsidRPr="00551729">
              <w:rPr>
                <w:rFonts w:ascii="Garamond" w:hAnsi="Garamond"/>
                <w:spacing w:val="-3"/>
                <w:sz w:val="18"/>
                <w:szCs w:val="24"/>
                <w:lang w:val="sq-AL"/>
              </w:rPr>
              <w:t xml:space="preserve"> </w:t>
            </w:r>
            <w:r w:rsidRPr="00551729">
              <w:rPr>
                <w:rFonts w:ascii="Garamond" w:hAnsi="Garamond"/>
                <w:sz w:val="18"/>
                <w:szCs w:val="24"/>
                <w:lang w:val="sq-AL"/>
              </w:rPr>
              <w:t>më</w:t>
            </w:r>
            <w:r w:rsidRPr="00551729">
              <w:rPr>
                <w:rFonts w:ascii="Garamond" w:hAnsi="Garamond"/>
                <w:spacing w:val="-3"/>
                <w:sz w:val="18"/>
                <w:szCs w:val="24"/>
                <w:lang w:val="sq-AL"/>
              </w:rPr>
              <w:t xml:space="preserve"> </w:t>
            </w:r>
            <w:r w:rsidRPr="00551729">
              <w:rPr>
                <w:rFonts w:ascii="Garamond" w:hAnsi="Garamond"/>
                <w:sz w:val="18"/>
                <w:szCs w:val="24"/>
                <w:lang w:val="sq-AL"/>
              </w:rPr>
              <w:t>28.02.2001,</w:t>
            </w:r>
            <w:r w:rsidRPr="00551729">
              <w:rPr>
                <w:rFonts w:ascii="Garamond" w:hAnsi="Garamond"/>
                <w:spacing w:val="-2"/>
                <w:sz w:val="18"/>
                <w:szCs w:val="24"/>
                <w:lang w:val="sq-AL"/>
              </w:rPr>
              <w:t xml:space="preserve"> </w:t>
            </w:r>
            <w:r w:rsidRPr="00551729">
              <w:rPr>
                <w:rFonts w:ascii="Garamond" w:hAnsi="Garamond"/>
                <w:sz w:val="18"/>
                <w:szCs w:val="24"/>
                <w:lang w:val="sq-AL"/>
              </w:rPr>
              <w:t>dhe</w:t>
            </w:r>
            <w:r w:rsidRPr="00551729">
              <w:rPr>
                <w:rFonts w:ascii="Garamond" w:hAnsi="Garamond"/>
                <w:spacing w:val="-4"/>
                <w:sz w:val="18"/>
                <w:szCs w:val="24"/>
                <w:lang w:val="sq-AL"/>
              </w:rPr>
              <w:t xml:space="preserve"> </w:t>
            </w:r>
            <w:r w:rsidRPr="00551729">
              <w:rPr>
                <w:rFonts w:ascii="Garamond" w:hAnsi="Garamond"/>
                <w:sz w:val="18"/>
                <w:szCs w:val="24"/>
                <w:lang w:val="sq-AL"/>
              </w:rPr>
              <w:t>hyrë</w:t>
            </w:r>
            <w:r w:rsidRPr="00551729">
              <w:rPr>
                <w:rFonts w:ascii="Garamond" w:hAnsi="Garamond"/>
                <w:spacing w:val="-3"/>
                <w:sz w:val="18"/>
                <w:szCs w:val="24"/>
                <w:lang w:val="sq-AL"/>
              </w:rPr>
              <w:t xml:space="preserve"> </w:t>
            </w:r>
            <w:r w:rsidRPr="00551729">
              <w:rPr>
                <w:rFonts w:ascii="Garamond" w:hAnsi="Garamond"/>
                <w:sz w:val="18"/>
                <w:szCs w:val="24"/>
                <w:lang w:val="sq-AL"/>
              </w:rPr>
              <w:t>në</w:t>
            </w:r>
            <w:r w:rsidRPr="00551729">
              <w:rPr>
                <w:rFonts w:ascii="Garamond" w:hAnsi="Garamond"/>
                <w:spacing w:val="-3"/>
                <w:sz w:val="18"/>
                <w:szCs w:val="24"/>
                <w:lang w:val="sq-AL"/>
              </w:rPr>
              <w:t xml:space="preserve"> </w:t>
            </w:r>
            <w:r w:rsidRPr="00551729">
              <w:rPr>
                <w:rFonts w:ascii="Garamond" w:hAnsi="Garamond"/>
                <w:sz w:val="18"/>
                <w:szCs w:val="24"/>
                <w:lang w:val="sq-AL"/>
              </w:rPr>
              <w:t>fuqi</w:t>
            </w:r>
            <w:r w:rsidRPr="00551729">
              <w:rPr>
                <w:rFonts w:ascii="Garamond" w:hAnsi="Garamond"/>
                <w:spacing w:val="-1"/>
                <w:sz w:val="18"/>
                <w:szCs w:val="24"/>
                <w:lang w:val="sq-AL"/>
              </w:rPr>
              <w:t xml:space="preserve"> </w:t>
            </w:r>
            <w:r w:rsidRPr="00551729">
              <w:rPr>
                <w:rFonts w:ascii="Garamond" w:hAnsi="Garamond"/>
                <w:sz w:val="18"/>
                <w:szCs w:val="24"/>
                <w:lang w:val="sq-AL"/>
              </w:rPr>
              <w:t>në</w:t>
            </w:r>
            <w:r w:rsidRPr="00551729">
              <w:rPr>
                <w:rFonts w:ascii="Garamond" w:hAnsi="Garamond"/>
                <w:spacing w:val="-3"/>
                <w:sz w:val="18"/>
                <w:szCs w:val="24"/>
                <w:lang w:val="sq-AL"/>
              </w:rPr>
              <w:t xml:space="preserve"> </w:t>
            </w:r>
            <w:r w:rsidRPr="00551729">
              <w:rPr>
                <w:rFonts w:ascii="Garamond" w:hAnsi="Garamond"/>
                <w:sz w:val="18"/>
                <w:szCs w:val="24"/>
                <w:lang w:val="sq-AL"/>
              </w:rPr>
              <w:t>datën</w:t>
            </w:r>
            <w:r w:rsidRPr="00551729">
              <w:rPr>
                <w:rFonts w:ascii="Garamond" w:hAnsi="Garamond"/>
                <w:spacing w:val="-1"/>
                <w:sz w:val="18"/>
                <w:szCs w:val="24"/>
                <w:lang w:val="sq-AL"/>
              </w:rPr>
              <w:t xml:space="preserve"> </w:t>
            </w:r>
            <w:r w:rsidRPr="00551729">
              <w:rPr>
                <w:rFonts w:ascii="Garamond" w:hAnsi="Garamond"/>
                <w:sz w:val="18"/>
                <w:szCs w:val="24"/>
                <w:lang w:val="sq-AL"/>
              </w:rPr>
              <w:t>e</w:t>
            </w:r>
            <w:r w:rsidRPr="00551729">
              <w:rPr>
                <w:rFonts w:ascii="Garamond" w:hAnsi="Garamond"/>
                <w:spacing w:val="-3"/>
                <w:sz w:val="18"/>
                <w:szCs w:val="24"/>
                <w:lang w:val="sq-AL"/>
              </w:rPr>
              <w:t xml:space="preserve"> </w:t>
            </w:r>
            <w:r w:rsidRPr="00551729">
              <w:rPr>
                <w:rFonts w:ascii="Garamond" w:hAnsi="Garamond"/>
                <w:sz w:val="18"/>
                <w:szCs w:val="24"/>
                <w:lang w:val="sq-AL"/>
              </w:rPr>
              <w:t>nënshkrimit.</w:t>
            </w:r>
          </w:p>
          <w:p w14:paraId="1BADCEB3" w14:textId="77777777" w:rsidR="00500457" w:rsidRPr="00551729" w:rsidRDefault="00500457" w:rsidP="007D1FAB">
            <w:pPr>
              <w:pStyle w:val="TableParagraph"/>
              <w:numPr>
                <w:ilvl w:val="0"/>
                <w:numId w:val="44"/>
              </w:numPr>
              <w:tabs>
                <w:tab w:val="left" w:pos="183"/>
              </w:tabs>
              <w:ind w:left="0" w:firstLine="0"/>
              <w:rPr>
                <w:rFonts w:ascii="Garamond" w:hAnsi="Garamond"/>
                <w:sz w:val="18"/>
                <w:szCs w:val="24"/>
                <w:lang w:val="sq-AL"/>
              </w:rPr>
            </w:pPr>
            <w:r w:rsidRPr="00551729">
              <w:rPr>
                <w:rFonts w:ascii="Garamond" w:hAnsi="Garamond"/>
                <w:sz w:val="18"/>
                <w:szCs w:val="24"/>
                <w:lang w:val="sq-AL"/>
              </w:rPr>
              <w:t>Marrëveshja për bashkëpunimin kulturor ndërmjet Ministrisë së Turizmit, Kulturës, Rinisë dhe</w:t>
            </w:r>
            <w:r w:rsidRPr="00551729">
              <w:rPr>
                <w:rFonts w:ascii="Garamond" w:hAnsi="Garamond"/>
                <w:spacing w:val="-4"/>
                <w:sz w:val="18"/>
                <w:szCs w:val="24"/>
                <w:lang w:val="sq-AL"/>
              </w:rPr>
              <w:t xml:space="preserve"> </w:t>
            </w:r>
            <w:r w:rsidRPr="00551729">
              <w:rPr>
                <w:rFonts w:ascii="Garamond" w:hAnsi="Garamond"/>
                <w:sz w:val="18"/>
                <w:szCs w:val="24"/>
                <w:lang w:val="sq-AL"/>
              </w:rPr>
              <w:t>Sporteve</w:t>
            </w:r>
            <w:r w:rsidRPr="00551729">
              <w:rPr>
                <w:rFonts w:ascii="Garamond" w:hAnsi="Garamond"/>
                <w:spacing w:val="-2"/>
                <w:sz w:val="18"/>
                <w:szCs w:val="24"/>
                <w:lang w:val="sq-AL"/>
              </w:rPr>
              <w:t xml:space="preserve"> </w:t>
            </w:r>
            <w:r w:rsidRPr="00551729">
              <w:rPr>
                <w:rFonts w:ascii="Garamond" w:hAnsi="Garamond"/>
                <w:sz w:val="18"/>
                <w:szCs w:val="24"/>
                <w:lang w:val="sq-AL"/>
              </w:rPr>
              <w:t>të</w:t>
            </w:r>
            <w:r w:rsidRPr="00551729">
              <w:rPr>
                <w:rFonts w:ascii="Garamond" w:hAnsi="Garamond"/>
                <w:spacing w:val="-4"/>
                <w:sz w:val="18"/>
                <w:szCs w:val="24"/>
                <w:lang w:val="sq-AL"/>
              </w:rPr>
              <w:t xml:space="preserve"> </w:t>
            </w:r>
            <w:r w:rsidRPr="00551729">
              <w:rPr>
                <w:rFonts w:ascii="Garamond" w:hAnsi="Garamond"/>
                <w:sz w:val="18"/>
                <w:szCs w:val="24"/>
                <w:lang w:val="sq-AL"/>
              </w:rPr>
              <w:t>Republikës</w:t>
            </w:r>
            <w:r w:rsidRPr="00551729">
              <w:rPr>
                <w:rFonts w:ascii="Garamond" w:hAnsi="Garamond"/>
                <w:spacing w:val="-2"/>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Shqipërisë</w:t>
            </w:r>
            <w:r w:rsidRPr="00551729">
              <w:rPr>
                <w:rFonts w:ascii="Garamond" w:hAnsi="Garamond"/>
                <w:spacing w:val="-4"/>
                <w:sz w:val="18"/>
                <w:szCs w:val="24"/>
                <w:lang w:val="sq-AL"/>
              </w:rPr>
              <w:t xml:space="preserve"> </w:t>
            </w:r>
            <w:r w:rsidRPr="00551729">
              <w:rPr>
                <w:rFonts w:ascii="Garamond" w:hAnsi="Garamond"/>
                <w:sz w:val="18"/>
                <w:szCs w:val="24"/>
                <w:lang w:val="sq-AL"/>
              </w:rPr>
              <w:t>dhe</w:t>
            </w:r>
            <w:r w:rsidRPr="00551729">
              <w:rPr>
                <w:rFonts w:ascii="Garamond" w:hAnsi="Garamond"/>
                <w:spacing w:val="-4"/>
                <w:sz w:val="18"/>
                <w:szCs w:val="24"/>
                <w:lang w:val="sq-AL"/>
              </w:rPr>
              <w:t xml:space="preserve"> </w:t>
            </w:r>
            <w:r w:rsidRPr="00551729">
              <w:rPr>
                <w:rFonts w:ascii="Garamond" w:hAnsi="Garamond"/>
                <w:sz w:val="18"/>
                <w:szCs w:val="24"/>
                <w:lang w:val="sq-AL"/>
              </w:rPr>
              <w:t>Ministrisë</w:t>
            </w:r>
            <w:r w:rsidRPr="00551729">
              <w:rPr>
                <w:rFonts w:ascii="Garamond" w:hAnsi="Garamond"/>
                <w:spacing w:val="-4"/>
                <w:sz w:val="18"/>
                <w:szCs w:val="24"/>
                <w:lang w:val="sq-AL"/>
              </w:rPr>
              <w:t xml:space="preserve"> </w:t>
            </w:r>
            <w:r w:rsidRPr="00551729">
              <w:rPr>
                <w:rFonts w:ascii="Garamond" w:hAnsi="Garamond"/>
                <w:sz w:val="18"/>
                <w:szCs w:val="24"/>
                <w:lang w:val="sq-AL"/>
              </w:rPr>
              <w:t>së</w:t>
            </w:r>
            <w:r w:rsidRPr="00551729">
              <w:rPr>
                <w:rFonts w:ascii="Garamond" w:hAnsi="Garamond"/>
                <w:spacing w:val="-4"/>
                <w:sz w:val="18"/>
                <w:szCs w:val="24"/>
                <w:lang w:val="sq-AL"/>
              </w:rPr>
              <w:t xml:space="preserve"> </w:t>
            </w:r>
            <w:r w:rsidRPr="00551729">
              <w:rPr>
                <w:rFonts w:ascii="Garamond" w:hAnsi="Garamond"/>
                <w:sz w:val="18"/>
                <w:szCs w:val="24"/>
                <w:lang w:val="sq-AL"/>
              </w:rPr>
              <w:t>Kulturës,</w:t>
            </w:r>
            <w:r w:rsidRPr="00551729">
              <w:rPr>
                <w:rFonts w:ascii="Garamond" w:hAnsi="Garamond"/>
                <w:spacing w:val="-3"/>
                <w:sz w:val="18"/>
                <w:szCs w:val="24"/>
                <w:lang w:val="sq-AL"/>
              </w:rPr>
              <w:t xml:space="preserve"> </w:t>
            </w:r>
            <w:r w:rsidRPr="00551729">
              <w:rPr>
                <w:rFonts w:ascii="Garamond" w:hAnsi="Garamond"/>
                <w:sz w:val="18"/>
                <w:szCs w:val="24"/>
                <w:lang w:val="sq-AL"/>
              </w:rPr>
              <w:t>Sporteve</w:t>
            </w:r>
            <w:r w:rsidRPr="00551729">
              <w:rPr>
                <w:rFonts w:ascii="Garamond" w:hAnsi="Garamond"/>
                <w:spacing w:val="-4"/>
                <w:sz w:val="18"/>
                <w:szCs w:val="24"/>
                <w:lang w:val="sq-AL"/>
              </w:rPr>
              <w:t xml:space="preserve"> </w:t>
            </w:r>
            <w:r w:rsidRPr="00551729">
              <w:rPr>
                <w:rFonts w:ascii="Garamond" w:hAnsi="Garamond"/>
                <w:sz w:val="18"/>
                <w:szCs w:val="24"/>
                <w:lang w:val="sq-AL"/>
              </w:rPr>
              <w:t>dhe</w:t>
            </w:r>
            <w:r w:rsidRPr="00551729">
              <w:rPr>
                <w:rFonts w:ascii="Garamond" w:hAnsi="Garamond"/>
                <w:spacing w:val="-4"/>
                <w:sz w:val="18"/>
                <w:szCs w:val="24"/>
                <w:lang w:val="sq-AL"/>
              </w:rPr>
              <w:t xml:space="preserve"> </w:t>
            </w:r>
            <w:r w:rsidRPr="00551729">
              <w:rPr>
                <w:rFonts w:ascii="Garamond" w:hAnsi="Garamond"/>
                <w:sz w:val="18"/>
                <w:szCs w:val="24"/>
                <w:lang w:val="sq-AL"/>
              </w:rPr>
              <w:t>Medias</w:t>
            </w:r>
            <w:r w:rsidRPr="00551729">
              <w:rPr>
                <w:rFonts w:ascii="Garamond" w:hAnsi="Garamond"/>
                <w:spacing w:val="-2"/>
                <w:sz w:val="18"/>
                <w:szCs w:val="24"/>
                <w:lang w:val="sq-AL"/>
              </w:rPr>
              <w:t xml:space="preserve"> </w:t>
            </w:r>
            <w:r w:rsidRPr="00551729">
              <w:rPr>
                <w:rFonts w:ascii="Garamond" w:hAnsi="Garamond"/>
                <w:sz w:val="18"/>
                <w:szCs w:val="24"/>
                <w:lang w:val="sq-AL"/>
              </w:rPr>
              <w:t>të Malit të Zi, nënshkruar më 10.11.2009, dhe hyrë në fuqi në datën e</w:t>
            </w:r>
            <w:r w:rsidRPr="00551729">
              <w:rPr>
                <w:rFonts w:ascii="Garamond" w:hAnsi="Garamond"/>
                <w:spacing w:val="-25"/>
                <w:sz w:val="18"/>
                <w:szCs w:val="24"/>
                <w:lang w:val="sq-AL"/>
              </w:rPr>
              <w:t xml:space="preserve"> </w:t>
            </w:r>
            <w:r w:rsidRPr="00551729">
              <w:rPr>
                <w:rFonts w:ascii="Garamond" w:hAnsi="Garamond"/>
                <w:sz w:val="18"/>
                <w:szCs w:val="24"/>
                <w:lang w:val="sq-AL"/>
              </w:rPr>
              <w:t>nënshkrimit.</w:t>
            </w:r>
          </w:p>
        </w:tc>
      </w:tr>
      <w:tr w:rsidR="00500457" w:rsidRPr="00551729" w14:paraId="1BADCEB8" w14:textId="77777777" w:rsidTr="005A1277">
        <w:trPr>
          <w:trHeight w:hRule="exact" w:val="215"/>
          <w:jc w:val="center"/>
        </w:trPr>
        <w:tc>
          <w:tcPr>
            <w:tcW w:w="534" w:type="dxa"/>
            <w:tcBorders>
              <w:top w:val="single" w:sz="9" w:space="0" w:color="FFFFFF"/>
              <w:bottom w:val="single" w:sz="8" w:space="0" w:color="FFFFFF"/>
              <w:right w:val="single" w:sz="24" w:space="0" w:color="FFFFFF"/>
            </w:tcBorders>
            <w:shd w:val="clear" w:color="auto" w:fill="4AACC5"/>
          </w:tcPr>
          <w:p w14:paraId="1BADCEB5"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7</w:t>
            </w:r>
          </w:p>
        </w:tc>
        <w:tc>
          <w:tcPr>
            <w:tcW w:w="2117" w:type="dxa"/>
            <w:tcBorders>
              <w:top w:val="single" w:sz="9" w:space="0" w:color="FFFFFF"/>
              <w:left w:val="single" w:sz="24" w:space="0" w:color="FFFFFF"/>
              <w:bottom w:val="single" w:sz="8" w:space="0" w:color="FFFFFF"/>
              <w:right w:val="single" w:sz="9" w:space="0" w:color="FFFFFF"/>
            </w:tcBorders>
            <w:shd w:val="clear" w:color="auto" w:fill="A4D4E1"/>
          </w:tcPr>
          <w:p w14:paraId="1BADCEB6"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Rinia dhe arsimi</w:t>
            </w:r>
          </w:p>
        </w:tc>
        <w:tc>
          <w:tcPr>
            <w:tcW w:w="6228" w:type="dxa"/>
            <w:tcBorders>
              <w:top w:val="single" w:sz="9" w:space="0" w:color="FFFFFF"/>
              <w:left w:val="single" w:sz="9" w:space="0" w:color="FFFFFF"/>
              <w:bottom w:val="single" w:sz="8" w:space="0" w:color="FFFFFF"/>
            </w:tcBorders>
            <w:shd w:val="clear" w:color="auto" w:fill="A4D4E1"/>
          </w:tcPr>
          <w:p w14:paraId="1BADCEB7"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w:t>
            </w:r>
          </w:p>
        </w:tc>
      </w:tr>
      <w:tr w:rsidR="00500457" w:rsidRPr="00551729" w14:paraId="1BADCEBC" w14:textId="77777777" w:rsidTr="005A1277">
        <w:trPr>
          <w:trHeight w:hRule="exact" w:val="792"/>
          <w:jc w:val="center"/>
        </w:trPr>
        <w:tc>
          <w:tcPr>
            <w:tcW w:w="534" w:type="dxa"/>
            <w:tcBorders>
              <w:top w:val="single" w:sz="8" w:space="0" w:color="FFFFFF"/>
              <w:right w:val="single" w:sz="24" w:space="0" w:color="FFFFFF"/>
            </w:tcBorders>
            <w:shd w:val="clear" w:color="auto" w:fill="4AACC5"/>
          </w:tcPr>
          <w:p w14:paraId="1BADCEB9" w14:textId="77777777" w:rsidR="00500457" w:rsidRPr="00551729" w:rsidRDefault="00500457" w:rsidP="005A1277">
            <w:pPr>
              <w:pStyle w:val="TableParagraph"/>
              <w:jc w:val="right"/>
              <w:rPr>
                <w:rFonts w:ascii="Garamond" w:hAnsi="Garamond"/>
                <w:b/>
                <w:sz w:val="18"/>
                <w:szCs w:val="24"/>
                <w:lang w:val="sq-AL"/>
              </w:rPr>
            </w:pPr>
            <w:r w:rsidRPr="00551729">
              <w:rPr>
                <w:rFonts w:ascii="Garamond" w:hAnsi="Garamond"/>
                <w:b/>
                <w:sz w:val="18"/>
                <w:szCs w:val="24"/>
                <w:lang w:val="sq-AL"/>
              </w:rPr>
              <w:t>8</w:t>
            </w:r>
          </w:p>
        </w:tc>
        <w:tc>
          <w:tcPr>
            <w:tcW w:w="2117" w:type="dxa"/>
            <w:tcBorders>
              <w:top w:val="single" w:sz="8" w:space="0" w:color="FFFFFF"/>
              <w:left w:val="single" w:sz="24" w:space="0" w:color="FFFFFF"/>
              <w:right w:val="single" w:sz="9" w:space="0" w:color="FFFFFF"/>
            </w:tcBorders>
            <w:shd w:val="clear" w:color="auto" w:fill="A4D4E1"/>
          </w:tcPr>
          <w:p w14:paraId="1BADCEBA"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Qeverisja Lokale dhe Rajonale, Planifikimi dhe Administrimi i Ngritjes së Kapaciteteve</w:t>
            </w:r>
          </w:p>
        </w:tc>
        <w:tc>
          <w:tcPr>
            <w:tcW w:w="6228" w:type="dxa"/>
            <w:tcBorders>
              <w:top w:val="single" w:sz="8" w:space="0" w:color="FFFFFF"/>
              <w:left w:val="single" w:sz="9" w:space="0" w:color="FFFFFF"/>
            </w:tcBorders>
            <w:shd w:val="clear" w:color="auto" w:fill="D2EAF0"/>
          </w:tcPr>
          <w:p w14:paraId="1BADCEBB" w14:textId="77777777" w:rsidR="00500457" w:rsidRPr="00551729" w:rsidRDefault="00500457" w:rsidP="005A1277">
            <w:pPr>
              <w:pStyle w:val="TableParagraph"/>
              <w:rPr>
                <w:rFonts w:ascii="Garamond" w:hAnsi="Garamond"/>
                <w:sz w:val="18"/>
                <w:szCs w:val="24"/>
                <w:lang w:val="sq-AL"/>
              </w:rPr>
            </w:pPr>
            <w:r w:rsidRPr="00551729">
              <w:rPr>
                <w:rFonts w:ascii="Garamond" w:hAnsi="Garamond"/>
                <w:sz w:val="18"/>
                <w:szCs w:val="24"/>
                <w:lang w:val="sq-AL"/>
              </w:rPr>
              <w:t>-</w:t>
            </w:r>
          </w:p>
        </w:tc>
      </w:tr>
    </w:tbl>
    <w:p w14:paraId="1BADCEBD" w14:textId="77777777" w:rsidR="00500457" w:rsidRPr="00551729" w:rsidRDefault="00500457" w:rsidP="00500457">
      <w:pPr>
        <w:pStyle w:val="BodyText"/>
        <w:ind w:firstLine="284"/>
        <w:rPr>
          <w:rFonts w:ascii="Garamond" w:hAnsi="Garamond"/>
          <w:sz w:val="24"/>
          <w:szCs w:val="24"/>
          <w:lang w:val="sq-AL"/>
        </w:rPr>
      </w:pPr>
    </w:p>
    <w:p w14:paraId="1BADCEBE" w14:textId="77EEE937" w:rsidR="00500457" w:rsidRPr="00551729" w:rsidRDefault="00D96D32" w:rsidP="00786614">
      <w:pPr>
        <w:pStyle w:val="TEKSTIII"/>
      </w:pPr>
      <w:bookmarkStart w:id="53" w:name="_bookmark51"/>
      <w:bookmarkEnd w:id="53"/>
      <w:r>
        <w:t>3.7</w:t>
      </w:r>
      <w:r w:rsidR="00C521D5" w:rsidRPr="00551729">
        <w:t xml:space="preserve"> </w:t>
      </w:r>
      <w:r w:rsidR="00500457" w:rsidRPr="00551729">
        <w:t>KONKLUZIONE</w:t>
      </w:r>
    </w:p>
    <w:p w14:paraId="1BADCEC0" w14:textId="77777777" w:rsidR="00500457" w:rsidRPr="00551729" w:rsidRDefault="00500457" w:rsidP="00786614">
      <w:pPr>
        <w:pStyle w:val="TEKSTIII"/>
      </w:pPr>
      <w:r w:rsidRPr="00551729">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p>
    <w:p w14:paraId="1BADCEC1" w14:textId="5EE93086" w:rsidR="00500457" w:rsidRPr="00551729" w:rsidRDefault="00786614" w:rsidP="00786614">
      <w:pPr>
        <w:pStyle w:val="TEKSTIII"/>
      </w:pPr>
      <w:r w:rsidRPr="00551729">
        <w:t>-</w:t>
      </w:r>
      <w:r w:rsidR="00D96D32">
        <w:t xml:space="preserve"> </w:t>
      </w:r>
      <w:r w:rsidR="00500457" w:rsidRPr="00551729">
        <w:rPr>
          <w:b/>
        </w:rPr>
        <w:t xml:space="preserve">Karakteristikat ekonomike </w:t>
      </w:r>
      <w:r w:rsidR="00500457" w:rsidRPr="00551729">
        <w:t>të të dy</w:t>
      </w:r>
      <w:r w:rsidR="001E5AF6">
        <w:t>ja</w:t>
      </w:r>
      <w:r w:rsidR="00500457" w:rsidRPr="00551729">
        <w:t xml:space="preserve"> vendeve tregojnë tendenca të ngjashme. Të dy</w:t>
      </w:r>
      <w:r w:rsidR="001E5AF6">
        <w:t>ja</w:t>
      </w:r>
      <w:r w:rsidR="00500457" w:rsidRPr="00551729">
        <w:t xml:space="preserve"> vendet janë klasifikuar si ekonomi me të ardhura mbi mesatare nga Banka Botërore. Struktura e ekonomisë është e ndryshme në të dyja anët e kufirit. Ndërsa rajonet shqiptare mbështeten në bujqësi, shërbime, tregje shumice dhe pakice, rajonet malazeze shfaqin industri më të zhvilluar, dhe një niveli shumë më të zhvilluar të turizmit. Përgjithësisht, bujqësia është e rëndësishme për të dyja palët.</w:t>
      </w:r>
    </w:p>
    <w:p w14:paraId="1BADCEC2" w14:textId="7971983C" w:rsidR="00500457" w:rsidRPr="00551729" w:rsidRDefault="00786614" w:rsidP="00786614">
      <w:pPr>
        <w:pStyle w:val="TEKSTIII"/>
      </w:pPr>
      <w:r w:rsidRPr="00551729">
        <w:t>-</w:t>
      </w:r>
      <w:r w:rsidR="00D96D32">
        <w:t xml:space="preserve"> </w:t>
      </w:r>
      <w:r w:rsidR="00500457" w:rsidRPr="00551729">
        <w:rPr>
          <w:b/>
        </w:rPr>
        <w:t xml:space="preserve">Konkurrenca është e ulët në të dyja anët e kufirit. </w:t>
      </w:r>
      <w:r w:rsidR="00500457" w:rsidRPr="00551729">
        <w:t>Produktivitet më i lartë dhe investime të mëtejshme në njohuritë mbi përdorimin e teknologjive të inovacionit është një parakusht për t'u bërë më konkurrues si në nivel kombëtar, ashtu edhe në nivel ndërkombëtar. Zakonisht, bizneset në zonat kufitare shfrytëzojnë mundësitë për tregti përtej kufirit dhe në arenën ndërkombëtare, por tregtia ndërmjet dy vendeve dhe palëve të treta është ende e kufizuar nga barrierat e shumta administrative.</w:t>
      </w:r>
    </w:p>
    <w:p w14:paraId="1BADCEC3" w14:textId="3703E462" w:rsidR="00500457" w:rsidRPr="00551729" w:rsidRDefault="00786614" w:rsidP="00786614">
      <w:pPr>
        <w:pStyle w:val="TEKSTIII"/>
      </w:pPr>
      <w:r w:rsidRPr="00551729">
        <w:t>-</w:t>
      </w:r>
      <w:r w:rsidR="00D96D32">
        <w:t xml:space="preserve"> </w:t>
      </w:r>
      <w:r w:rsidR="00500457" w:rsidRPr="00551729">
        <w:rPr>
          <w:b/>
        </w:rPr>
        <w:t xml:space="preserve">Forcimi i rrjeteve të NVM-ve dhe lidhjet e shërbimeve ekzistuese në zonat kufitare janë një potencial që përdoret shumë pak. </w:t>
      </w:r>
      <w:r w:rsidR="00500457" w:rsidRPr="00551729">
        <w:t>Mbi 97% e NVM-ve të regjistruara punësojnë më pak se 4 persona. Niveli i bashkëpunimit përtej kufirit është minimal. Promovimi i biznesit virtual do të jetë i rëndësishëm. Me pak fjalë, në aspektin e zhvillimit të sektorit privat ka sinergji të qarta për t</w:t>
      </w:r>
      <w:r w:rsidR="00033A2C">
        <w:t>’</w:t>
      </w:r>
      <w:r w:rsidR="00500457" w:rsidRPr="00551729">
        <w:t>u zhvilluar brenda zonës së programit, të cilat duhen mbështetur nga programi i bashkëpunimit ndërkufitar.</w:t>
      </w:r>
    </w:p>
    <w:p w14:paraId="1BADCEC4" w14:textId="16A1E217" w:rsidR="00500457" w:rsidRPr="00551729" w:rsidRDefault="00786614" w:rsidP="00786614">
      <w:pPr>
        <w:pStyle w:val="TEKSTIII"/>
      </w:pPr>
      <w:r w:rsidRPr="00551729">
        <w:t>-</w:t>
      </w:r>
      <w:r w:rsidR="00D96D32">
        <w:t xml:space="preserve"> </w:t>
      </w:r>
      <w:r w:rsidR="00500457" w:rsidRPr="00551729">
        <w:rPr>
          <w:b/>
        </w:rPr>
        <w:t xml:space="preserve">Të dyja anët e zonës së programit janë duke u bërë gjithnjë e më tërheqëse për investitorët e huaj, </w:t>
      </w:r>
      <w:r w:rsidR="00500457" w:rsidRPr="00551729">
        <w:t>por tek të dyja anët ka nevojë për përmirësimin e kushteve, veçanërisht të infrastrukturës, për të bërë biznes. Investimet në turizëm, në energjinë e rinovueshme dhe në bujqësi mund t</w:t>
      </w:r>
      <w:r w:rsidR="007F4192">
        <w:t>’</w:t>
      </w:r>
      <w:r w:rsidR="00500457" w:rsidRPr="00551729">
        <w:t xml:space="preserve">i bëjnë këto të fundit sektorët potencialë për tërheqjen e më shumë IHD-ve (Investime të </w:t>
      </w:r>
      <w:r w:rsidR="00033A2C" w:rsidRPr="00551729">
        <w:t>huaja direkte</w:t>
      </w:r>
      <w:r w:rsidR="00500457" w:rsidRPr="00551729">
        <w:t>). Industritë e përpunimit të dritës dhe ushqimit janë konsideruar gjithashtu si një potencial për rritjen e përshpejtuar ekonomike të zonës së</w:t>
      </w:r>
      <w:r w:rsidR="00500457" w:rsidRPr="00551729">
        <w:rPr>
          <w:spacing w:val="-19"/>
        </w:rPr>
        <w:t xml:space="preserve"> </w:t>
      </w:r>
      <w:r w:rsidR="00500457" w:rsidRPr="00551729">
        <w:t>programit.</w:t>
      </w:r>
    </w:p>
    <w:p w14:paraId="1BADCEC6" w14:textId="3A173740" w:rsidR="00500457" w:rsidRPr="00551729" w:rsidRDefault="00786614" w:rsidP="00786614">
      <w:pPr>
        <w:pStyle w:val="TEKSTIII"/>
      </w:pPr>
      <w:r w:rsidRPr="00551729">
        <w:t>-</w:t>
      </w:r>
      <w:r w:rsidR="00854256">
        <w:t xml:space="preserve"> </w:t>
      </w:r>
      <w:r w:rsidR="00500457" w:rsidRPr="00551729">
        <w:rPr>
          <w:b/>
        </w:rPr>
        <w:t xml:space="preserve">Bujqësia është një potencial i madh ekonomik në zonën e programit, por përdoret pak. </w:t>
      </w:r>
      <w:r w:rsidR="00500457" w:rsidRPr="00551729">
        <w:t>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sesa konkurruese. Përmirësimi i aksesit në treg dhe forcimi i sistemit të sigurisë ushqimore dhe organeve inspektues do të jenë të rëndësishme për rritjen e</w:t>
      </w:r>
      <w:r w:rsidR="00500457" w:rsidRPr="00551729">
        <w:rPr>
          <w:spacing w:val="47"/>
        </w:rPr>
        <w:t xml:space="preserve"> </w:t>
      </w:r>
      <w:r w:rsidR="00500457" w:rsidRPr="00551729">
        <w:t>konkurrencës</w:t>
      </w:r>
      <w:r w:rsidR="00CD5A51">
        <w:t xml:space="preserve"> </w:t>
      </w:r>
      <w:r w:rsidR="00500457" w:rsidRPr="00551729">
        <w:t>në sektorin e bujqësisë. Ndërhyrja e ardhshme duhet të synojë përmirësimin e efikasitetit në bujqësi dhe pylltari, si dhe të zhvillojë burime shtesë të të ardhurave nga ruajtja e pasurive natyrore dhe turizmit.</w:t>
      </w:r>
    </w:p>
    <w:p w14:paraId="1BADCEC7" w14:textId="268BEDD2" w:rsidR="00500457" w:rsidRPr="00551729" w:rsidRDefault="00786614" w:rsidP="00786614">
      <w:pPr>
        <w:pStyle w:val="TEKSTIII"/>
      </w:pPr>
      <w:r w:rsidRPr="00551729">
        <w:t>-</w:t>
      </w:r>
      <w:r w:rsidR="00854256">
        <w:t xml:space="preserve"> </w:t>
      </w:r>
      <w:r w:rsidR="00500457" w:rsidRPr="00551729">
        <w:rPr>
          <w:b/>
        </w:rPr>
        <w:t xml:space="preserve">Papunësia mbetet një problem i mprehtë </w:t>
      </w:r>
      <w:r w:rsidR="00500457" w:rsidRPr="00551729">
        <w:t>për popullsinë e zonës së programit, veçanërisht për grupet e ndjeshme sociale siç j</w:t>
      </w:r>
      <w:r w:rsidR="00E75482">
        <w:t>anë të rinjtë, popullsia rurale</w:t>
      </w:r>
      <w:r w:rsidR="00500457" w:rsidRPr="00551729">
        <w:t xml:space="preserve"> dhe gratë. Pasiguria e punësimit konsiderohet si arsyeja kryesore për shkallën e lartë të migracionit, veçanërisht</w:t>
      </w:r>
      <w:r w:rsidR="0012310B">
        <w:t>,</w:t>
      </w:r>
      <w:r w:rsidR="00500457" w:rsidRPr="00551729">
        <w:t xml:space="preserve"> në zonat</w:t>
      </w:r>
      <w:r w:rsidR="00C521D5" w:rsidRPr="00551729">
        <w:t xml:space="preserve"> </w:t>
      </w:r>
      <w:r w:rsidR="00500457" w:rsidRPr="00551729">
        <w:t>rurale ose më pak të zhvilluara, ku niveli i papunësisë është i lartë si rezultat i mjeteve të jetesës dhe prodhimeve bujqësore të një niveli të ulët që ofrojnë një formë të sigurimit shoqëror për pjesën më të madhe të popullsisë rurale dhe të punës, si një amortizator kundër normave të larta të papunësisë së</w:t>
      </w:r>
      <w:r w:rsidR="00500457" w:rsidRPr="00551729">
        <w:rPr>
          <w:spacing w:val="-6"/>
        </w:rPr>
        <w:t xml:space="preserve"> </w:t>
      </w:r>
      <w:r w:rsidR="00500457" w:rsidRPr="00551729">
        <w:t>regjistruar.</w:t>
      </w:r>
    </w:p>
    <w:p w14:paraId="1BADCEC8" w14:textId="702CA5ED" w:rsidR="00500457" w:rsidRPr="00551729" w:rsidRDefault="00786614" w:rsidP="00786614">
      <w:pPr>
        <w:pStyle w:val="TEKSTIII"/>
      </w:pPr>
      <w:r w:rsidRPr="00551729">
        <w:t>-</w:t>
      </w:r>
      <w:r w:rsidR="00854256">
        <w:t xml:space="preserve"> </w:t>
      </w:r>
      <w:r w:rsidR="00500457" w:rsidRPr="00551729">
        <w:rPr>
          <w:b/>
        </w:rPr>
        <w:t xml:space="preserve">Mbrojtja e mjedisit ka nevojë për vëmendje serioze në planet e ardhshëm të zhvillimit të zonës së programit. </w:t>
      </w:r>
      <w:r w:rsidR="00500457" w:rsidRPr="00551729">
        <w:t>Me zhvillimin e përgjithshëm të zonës së programit mbështetur kryesisht në</w:t>
      </w:r>
      <w:r w:rsidR="00C521D5" w:rsidRPr="00551729">
        <w:t xml:space="preserve"> </w:t>
      </w:r>
      <w:r w:rsidR="00500457" w:rsidRPr="00551729">
        <w:t>burimet natyrore, mbrojtja e mjedisit dhe ruajtja e këtyre burimeve është vendimtare për zhvillimin e qëndrueshëm të zonës. Përmirësimi i menaxhimit të mbeturinave, kontrolli i ndotjes, dhe përmirësimi i menaxhimit të tokave janë ndër prioritetet kryesore për t'u adresuar nga planet zhvillimore qeveritare dhe lokale. Vleftësimi i mëtejshëm i burimeve natyrore në funksion të zhvillimit ekonomik është një çështje kyçe për zhvillimin e zonës, veçanërisht në anën shqiptare të kufirit.</w:t>
      </w:r>
    </w:p>
    <w:p w14:paraId="1BADCEC9" w14:textId="7BE660C4" w:rsidR="00500457" w:rsidRPr="00551729" w:rsidRDefault="00786614" w:rsidP="00786614">
      <w:pPr>
        <w:pStyle w:val="TEKSTIII"/>
      </w:pPr>
      <w:r w:rsidRPr="00551729">
        <w:t>-</w:t>
      </w:r>
      <w:r w:rsidR="00854256">
        <w:t xml:space="preserve"> </w:t>
      </w:r>
      <w:r w:rsidR="00500457" w:rsidRPr="00551729">
        <w:rPr>
          <w:b/>
        </w:rPr>
        <w:t xml:space="preserve">Infrastruktura e varfër është një sfidë kryesore për zhvillimin ekonomik dhe social </w:t>
      </w:r>
      <w:r w:rsidR="00500457" w:rsidRPr="00551729">
        <w:t>të zonës së programit. Zhvillimi i qëndrueshëm 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shërbimeve për të mbështetur zhvillimin dhe inovacionin e biznesit, mund të kontribuojë në një rritje të përgjithshme të pasurisë dhe ekonomisë në</w:t>
      </w:r>
      <w:r w:rsidR="00500457" w:rsidRPr="00551729">
        <w:rPr>
          <w:spacing w:val="-24"/>
        </w:rPr>
        <w:t xml:space="preserve"> </w:t>
      </w:r>
      <w:r w:rsidR="00500457" w:rsidRPr="00551729">
        <w:t>zonë.</w:t>
      </w:r>
    </w:p>
    <w:p w14:paraId="1BADCECA" w14:textId="10FC91EC" w:rsidR="00500457" w:rsidRPr="00551729" w:rsidRDefault="00786614" w:rsidP="00786614">
      <w:pPr>
        <w:pStyle w:val="TEKSTIII"/>
      </w:pPr>
      <w:r w:rsidRPr="00551729">
        <w:t>-</w:t>
      </w:r>
      <w:r w:rsidR="00854256">
        <w:t xml:space="preserve"> </w:t>
      </w:r>
      <w:r w:rsidR="00500457" w:rsidRPr="00551729">
        <w:rPr>
          <w:b/>
        </w:rPr>
        <w:t>Zona e programit ka potencial të lartë turistik, por këto mundësi janë përdorur kryesisht në</w:t>
      </w:r>
      <w:r w:rsidR="00C521D5" w:rsidRPr="00551729">
        <w:rPr>
          <w:b/>
        </w:rPr>
        <w:t xml:space="preserve"> </w:t>
      </w:r>
      <w:r w:rsidR="00500457" w:rsidRPr="00551729">
        <w:rPr>
          <w:b/>
        </w:rPr>
        <w:t>anën e Malit të Zi</w:t>
      </w:r>
      <w:r w:rsidR="00500457" w:rsidRPr="00551729">
        <w:t>, ndërsa turizmi në anën e Shqipërisë është zhvilluar pak, pavarësisht potencialit të madh që ka. Iniciativa BNK me qëllim për të prodhuar një ofertë të përbashkët turistike, duhet të konsiderohet. Sinergji të dukshme, me mundësi që të mbështeten nga bashkëpunimi ndërkufitar (programi BNK), mund të ndërtohen midis rajoneve në Shqipëri dhe zonave</w:t>
      </w:r>
      <w:r w:rsidR="00C521D5" w:rsidRPr="00551729">
        <w:t xml:space="preserve"> </w:t>
      </w:r>
      <w:r w:rsidR="00500457" w:rsidRPr="00551729">
        <w:t xml:space="preserve">bregdetare në Mal të Zi, por edhe me </w:t>
      </w:r>
      <w:r w:rsidR="00C521D5" w:rsidRPr="00551729">
        <w:t>“</w:t>
      </w:r>
      <w:r w:rsidR="00500457" w:rsidRPr="00551729">
        <w:t>zonat më pak turistike</w:t>
      </w:r>
      <w:r w:rsidR="00C521D5" w:rsidRPr="00551729">
        <w:t>”</w:t>
      </w:r>
      <w:r w:rsidR="00D40334">
        <w:t xml:space="preserve"> në veri</w:t>
      </w:r>
      <w:r w:rsidR="00500457" w:rsidRPr="00551729">
        <w:t>lindje të Malit të Zi, të cilat kanë karakteristika të ngjashme me veriun e Shqipërisë, në aspektin e mjedisit, natyrës së egër dhe</w:t>
      </w:r>
      <w:r w:rsidR="00500457" w:rsidRPr="00551729">
        <w:rPr>
          <w:spacing w:val="-3"/>
        </w:rPr>
        <w:t xml:space="preserve"> </w:t>
      </w:r>
      <w:r w:rsidR="00500457" w:rsidRPr="00551729">
        <w:t>maleve.</w:t>
      </w:r>
    </w:p>
    <w:p w14:paraId="1BADCECC" w14:textId="6E5C7A23" w:rsidR="00500457" w:rsidRPr="00551729" w:rsidRDefault="00786614" w:rsidP="00786614">
      <w:pPr>
        <w:pStyle w:val="TEKSTIII"/>
      </w:pPr>
      <w:r w:rsidRPr="00551729">
        <w:t>-</w:t>
      </w:r>
      <w:r w:rsidR="00854256">
        <w:t xml:space="preserve"> </w:t>
      </w:r>
      <w:r w:rsidR="00500457" w:rsidRPr="00551729">
        <w:rPr>
          <w:b/>
        </w:rPr>
        <w:t xml:space="preserve">Ekziston një trashëgimi e pasur historike-kulturore-artistike në zonën në kufi, e cila duhet të ruhet. </w:t>
      </w:r>
      <w:r w:rsidR="00500457" w:rsidRPr="00551729">
        <w:t>Vleftësimi i mëtejshëm i trashëgimisë historike dhe kulturore mund të kontribuojë në forcimin</w:t>
      </w:r>
      <w:r w:rsidR="00500457" w:rsidRPr="00551729">
        <w:rPr>
          <w:spacing w:val="13"/>
        </w:rPr>
        <w:t xml:space="preserve"> </w:t>
      </w:r>
      <w:r w:rsidR="00500457" w:rsidRPr="00551729">
        <w:t>e</w:t>
      </w:r>
      <w:r w:rsidR="00500457" w:rsidRPr="00551729">
        <w:rPr>
          <w:spacing w:val="13"/>
        </w:rPr>
        <w:t xml:space="preserve"> </w:t>
      </w:r>
      <w:r w:rsidR="00500457" w:rsidRPr="00551729">
        <w:t>identitetit</w:t>
      </w:r>
      <w:r w:rsidR="00500457" w:rsidRPr="00551729">
        <w:rPr>
          <w:spacing w:val="15"/>
        </w:rPr>
        <w:t xml:space="preserve"> </w:t>
      </w:r>
      <w:r w:rsidR="00500457" w:rsidRPr="00551729">
        <w:t>të</w:t>
      </w:r>
      <w:r w:rsidR="00500457" w:rsidRPr="00551729">
        <w:rPr>
          <w:spacing w:val="13"/>
        </w:rPr>
        <w:t xml:space="preserve"> </w:t>
      </w:r>
      <w:r w:rsidR="00500457" w:rsidRPr="00551729">
        <w:t>zonës.</w:t>
      </w:r>
      <w:r w:rsidR="00500457" w:rsidRPr="00551729">
        <w:rPr>
          <w:spacing w:val="15"/>
        </w:rPr>
        <w:t xml:space="preserve"> </w:t>
      </w:r>
      <w:r w:rsidR="00500457" w:rsidRPr="00551729">
        <w:t>Trashëgimia</w:t>
      </w:r>
      <w:r w:rsidR="00500457" w:rsidRPr="00551729">
        <w:rPr>
          <w:spacing w:val="12"/>
        </w:rPr>
        <w:t xml:space="preserve"> </w:t>
      </w:r>
      <w:r w:rsidR="00500457" w:rsidRPr="00551729">
        <w:t>kulturore</w:t>
      </w:r>
      <w:r w:rsidR="00500457" w:rsidRPr="00551729">
        <w:rPr>
          <w:spacing w:val="13"/>
        </w:rPr>
        <w:t xml:space="preserve"> </w:t>
      </w:r>
      <w:r w:rsidR="00500457" w:rsidRPr="00551729">
        <w:t>është</w:t>
      </w:r>
      <w:r w:rsidR="00500457" w:rsidRPr="00551729">
        <w:rPr>
          <w:spacing w:val="13"/>
        </w:rPr>
        <w:t xml:space="preserve"> </w:t>
      </w:r>
      <w:r w:rsidR="00500457" w:rsidRPr="00551729">
        <w:t>një</w:t>
      </w:r>
      <w:r w:rsidR="00500457" w:rsidRPr="00551729">
        <w:rPr>
          <w:spacing w:val="13"/>
        </w:rPr>
        <w:t xml:space="preserve"> </w:t>
      </w:r>
      <w:r w:rsidR="00500457" w:rsidRPr="00551729">
        <w:t>pasuri</w:t>
      </w:r>
      <w:r w:rsidR="00500457" w:rsidRPr="00551729">
        <w:rPr>
          <w:spacing w:val="14"/>
        </w:rPr>
        <w:t xml:space="preserve"> </w:t>
      </w:r>
      <w:r w:rsidR="00500457" w:rsidRPr="00551729">
        <w:t>për</w:t>
      </w:r>
      <w:r w:rsidR="00500457" w:rsidRPr="00551729">
        <w:rPr>
          <w:spacing w:val="13"/>
        </w:rPr>
        <w:t xml:space="preserve"> </w:t>
      </w:r>
      <w:r w:rsidR="00500457" w:rsidRPr="00551729">
        <w:t>zhvillimin</w:t>
      </w:r>
      <w:r w:rsidR="00500457" w:rsidRPr="00551729">
        <w:rPr>
          <w:spacing w:val="13"/>
        </w:rPr>
        <w:t xml:space="preserve"> </w:t>
      </w:r>
      <w:r w:rsidR="00500457" w:rsidRPr="00551729">
        <w:t>ekonomik</w:t>
      </w:r>
      <w:r w:rsidR="00500457" w:rsidRPr="00551729">
        <w:rPr>
          <w:spacing w:val="12"/>
        </w:rPr>
        <w:t xml:space="preserve"> </w:t>
      </w:r>
      <w:r w:rsidR="00500457" w:rsidRPr="00551729">
        <w:t>të</w:t>
      </w:r>
      <w:r w:rsidR="0012310B">
        <w:t xml:space="preserve"> </w:t>
      </w:r>
      <w:r w:rsidR="00500457" w:rsidRPr="00551729">
        <w:t>zonës së programit. Bashkëpunimi midis institucioneve kulturore është i pranishëm, por ai mund të intensifikohet akoma më</w:t>
      </w:r>
      <w:r w:rsidR="00500457" w:rsidRPr="00551729">
        <w:rPr>
          <w:spacing w:val="-7"/>
        </w:rPr>
        <w:t xml:space="preserve"> </w:t>
      </w:r>
      <w:r w:rsidR="00500457" w:rsidRPr="00551729">
        <w:t>tej.</w:t>
      </w:r>
    </w:p>
    <w:p w14:paraId="1BADCECD" w14:textId="77777777" w:rsidR="00500457" w:rsidRPr="00551729" w:rsidRDefault="00786614" w:rsidP="00786614">
      <w:pPr>
        <w:pStyle w:val="TEKSTIII"/>
      </w:pPr>
      <w:r w:rsidRPr="00551729">
        <w:t>-</w:t>
      </w:r>
      <w:r w:rsidR="00500457" w:rsidRPr="00551729">
        <w:rPr>
          <w:spacing w:val="-20"/>
        </w:rPr>
        <w:t xml:space="preserve"> </w:t>
      </w:r>
      <w:r w:rsidR="00500457" w:rsidRPr="00551729">
        <w:rPr>
          <w:b/>
        </w:rPr>
        <w:t xml:space="preserve">Përmirësimi i cilësisë së sistemit arsimor dhe infrastrukturës shkollore është një sfidë dhe prioritet </w:t>
      </w:r>
      <w:r w:rsidR="00500457" w:rsidRPr="00551729">
        <w:t>për zonën e programit, veçanërisht në zonat rurale. Prezenca e universiteteve të rëndësishme private dhe publike si dhe e qendrave kërkimore të biznesit në zonën e programit është një pasuri për programin BNK. Veprime të mëtejshme të përbashkëta do të mund të ndërmerren për të krijuar rrjetin e qendrave të formimit profesional si dhe të institucioneve të larta, agjencive dhe organizatave</w:t>
      </w:r>
      <w:r w:rsidR="00500457" w:rsidRPr="00551729">
        <w:rPr>
          <w:spacing w:val="-16"/>
        </w:rPr>
        <w:t xml:space="preserve"> </w:t>
      </w:r>
      <w:r w:rsidR="00500457" w:rsidRPr="00551729">
        <w:t>kërkimore.</w:t>
      </w:r>
    </w:p>
    <w:p w14:paraId="1BADCECE" w14:textId="7E64204E" w:rsidR="00500457" w:rsidRPr="00551729" w:rsidRDefault="00786614" w:rsidP="00786614">
      <w:pPr>
        <w:pStyle w:val="TEKSTIII"/>
      </w:pPr>
      <w:r w:rsidRPr="00551729">
        <w:t>-</w:t>
      </w:r>
      <w:r w:rsidR="00854256">
        <w:t xml:space="preserve"> </w:t>
      </w:r>
      <w:r w:rsidR="00500457" w:rsidRPr="00551729">
        <w:t xml:space="preserve">Në përgjithësi, </w:t>
      </w:r>
      <w:r w:rsidR="00500457" w:rsidRPr="00551729">
        <w:rPr>
          <w:b/>
        </w:rPr>
        <w:t xml:space="preserve">sektori i shëndetësisë </w:t>
      </w:r>
      <w:r w:rsidR="00500457" w:rsidRPr="00551729">
        <w:t>është i dobët dhe i zhvilluar në mënyrë të pabarabartë. Mungesa e një kuadri të duhur ligjor për sigurimin shëndetësor në zonat rurale (në anën shqiptare të kufirit), vazhdon të pengojë zhvillimin e këtij sektori. Duke pasur parasysh se sektori i shëndetësisë menaxhohet në nivel qendror, ndoshta nuk mund të bëhet shumë në kuadrin e programeve BNK, por sigurisht që ka vend për aktivitete të mundshme të përbashkëta që lidhen me fushatat parandaluese dhe edukimin</w:t>
      </w:r>
      <w:r w:rsidR="00500457" w:rsidRPr="00551729">
        <w:rPr>
          <w:spacing w:val="-19"/>
        </w:rPr>
        <w:t xml:space="preserve"> </w:t>
      </w:r>
      <w:r w:rsidR="00500457" w:rsidRPr="00551729">
        <w:t>shëndetësor.</w:t>
      </w:r>
    </w:p>
    <w:p w14:paraId="1BADCECF" w14:textId="2E774545" w:rsidR="00500457" w:rsidRPr="00551729" w:rsidRDefault="00786614" w:rsidP="00786614">
      <w:pPr>
        <w:pStyle w:val="TEKSTIII"/>
      </w:pPr>
      <w:r w:rsidRPr="00551729">
        <w:t>-</w:t>
      </w:r>
      <w:r w:rsidR="00854256">
        <w:t xml:space="preserve"> </w:t>
      </w:r>
      <w:r w:rsidR="00500457" w:rsidRPr="00551729">
        <w:rPr>
          <w:b/>
        </w:rPr>
        <w:t xml:space="preserve">Inkurajimi i rrjeteve rajonale të </w:t>
      </w:r>
      <w:r w:rsidR="000749C5" w:rsidRPr="00551729">
        <w:rPr>
          <w:b/>
        </w:rPr>
        <w:t>OSHC</w:t>
      </w:r>
      <w:r w:rsidR="00500457" w:rsidRPr="00551729">
        <w:rPr>
          <w:b/>
        </w:rPr>
        <w:t xml:space="preserve">-ve </w:t>
      </w:r>
      <w:r w:rsidR="00500457" w:rsidRPr="00551729">
        <w:t>(duke përfshirë organizatat e sportit, rinisë dhe ato kulturore) mund të kontribuojë në ruajtjen dhe forcimin e lidhjeve ndërmjet komuniteteve në të dyja anët e kufirit në këtë zonë të programit</w:t>
      </w:r>
      <w:r w:rsidR="00500457" w:rsidRPr="00551729">
        <w:rPr>
          <w:spacing w:val="-16"/>
        </w:rPr>
        <w:t xml:space="preserve"> </w:t>
      </w:r>
      <w:r w:rsidR="0000304F">
        <w:t>shum</w:t>
      </w:r>
      <w:r w:rsidR="00500457" w:rsidRPr="00551729">
        <w:t>etnik.</w:t>
      </w:r>
    </w:p>
    <w:p w14:paraId="1BADCED0" w14:textId="2AAFBA58" w:rsidR="00500457" w:rsidRPr="00551729" w:rsidRDefault="00786614" w:rsidP="00786614">
      <w:pPr>
        <w:pStyle w:val="TEKSTIII"/>
      </w:pPr>
      <w:r w:rsidRPr="00551729">
        <w:t>-</w:t>
      </w:r>
      <w:r w:rsidR="00854256">
        <w:t xml:space="preserve"> </w:t>
      </w:r>
      <w:r w:rsidR="00500457" w:rsidRPr="00551729">
        <w:rPr>
          <w:b/>
        </w:rPr>
        <w:t xml:space="preserve">Depërtimi i kërkimit shkencor </w:t>
      </w:r>
      <w:r w:rsidR="0000304F">
        <w:rPr>
          <w:b/>
        </w:rPr>
        <w:t>dhe</w:t>
      </w:r>
      <w:r w:rsidR="00500457" w:rsidRPr="00551729">
        <w:rPr>
          <w:b/>
        </w:rPr>
        <w:t xml:space="preserve"> </w:t>
      </w:r>
      <w:r w:rsidR="00810E0F">
        <w:rPr>
          <w:b/>
        </w:rPr>
        <w:t xml:space="preserve">zhvillimit dhe </w:t>
      </w:r>
      <w:r w:rsidR="00500457" w:rsidRPr="00551729">
        <w:rPr>
          <w:b/>
        </w:rPr>
        <w:t xml:space="preserve">teknologjisë së informacionit dhe komunikimit (TIK) është në disproporcion të dukshëm midis vendeve të programit, dhe mbetet në nivel të ulët. </w:t>
      </w:r>
      <w:r w:rsidR="00500457" w:rsidRPr="00551729">
        <w:t>Investimet e pamjaftueshme, mungesa e aktiviteteve mbështetëse në nivel qendror, rajonal ose lokal për kërkimin shkencor dhe zhvillimin, janë të pranishme, pavarësisht faktit që në zonën e programit ka 4 Universitete. Nuk ka të dhëna specifike mbi kërkimin shkencor, zhvillimin dhe inovacionin, por praktikisht mungon bashkëpunimi midis institucioneve edukuese në të dy</w:t>
      </w:r>
      <w:r w:rsidR="001E5AF6">
        <w:t>ja</w:t>
      </w:r>
      <w:r w:rsidR="00500457" w:rsidRPr="00551729">
        <w:t xml:space="preserve"> vendet, dhe kjo fushë është e pa</w:t>
      </w:r>
      <w:r w:rsidR="00500457" w:rsidRPr="00551729">
        <w:rPr>
          <w:spacing w:val="-11"/>
        </w:rPr>
        <w:t xml:space="preserve"> </w:t>
      </w:r>
      <w:r w:rsidR="00500457" w:rsidRPr="00551729">
        <w:t>eksploruar.</w:t>
      </w:r>
    </w:p>
    <w:p w14:paraId="1BADCED1" w14:textId="41019EB0" w:rsidR="00500457" w:rsidRPr="00551729" w:rsidRDefault="00786614" w:rsidP="00786614">
      <w:pPr>
        <w:pStyle w:val="TEKSTIII"/>
      </w:pPr>
      <w:r w:rsidRPr="00551729">
        <w:t>-</w:t>
      </w:r>
      <w:r w:rsidR="00500457" w:rsidRPr="00551729">
        <w:rPr>
          <w:spacing w:val="-20"/>
        </w:rPr>
        <w:t xml:space="preserve"> </w:t>
      </w:r>
      <w:r w:rsidR="00500457" w:rsidRPr="00551729">
        <w:rPr>
          <w:b/>
        </w:rPr>
        <w:t xml:space="preserve">Në përgjithësi, qeveritë lokale dhe rajonale janë të dobëta financiarisht dhe nuk mund të nxisin zhvillimin lokal. </w:t>
      </w:r>
      <w:r w:rsidR="00500457" w:rsidRPr="00551729">
        <w:t>Ndryshe nga Shqipëria, Mali i Zi nuk ka qeverisje lokale. Atyre iu mungojnë</w:t>
      </w:r>
      <w:r w:rsidR="00C521D5" w:rsidRPr="00551729">
        <w:t xml:space="preserve"> </w:t>
      </w:r>
      <w:r w:rsidR="00500457" w:rsidRPr="00551729">
        <w:t>aftësitë menaxhuese, të kontrollit financiar dhe buxhetimit, si dhe qasjet demokratike në proceset ve</w:t>
      </w:r>
      <w:r w:rsidR="00E93565">
        <w:t>ndim</w:t>
      </w:r>
      <w:r w:rsidR="00500457" w:rsidRPr="00551729">
        <w:t>marrëse. Absorbimi i fondeve të BE-së është i ulët. Bashkëpunimi midis qeverive lokale ndërmjet dy vendeve mund të përmirësohet. Procesi i decentralizimit është duke vazhduar në të dy</w:t>
      </w:r>
      <w:r w:rsidR="001E5AF6">
        <w:t>ja</w:t>
      </w:r>
      <w:r w:rsidR="00500457" w:rsidRPr="00551729">
        <w:rPr>
          <w:spacing w:val="-1"/>
        </w:rPr>
        <w:t xml:space="preserve"> </w:t>
      </w:r>
      <w:r w:rsidR="00500457" w:rsidRPr="00551729">
        <w:t>vendet.</w:t>
      </w:r>
    </w:p>
    <w:p w14:paraId="1BADCED2" w14:textId="77777777" w:rsidR="00786614" w:rsidRDefault="00786614" w:rsidP="00500457">
      <w:pPr>
        <w:pStyle w:val="Heading3"/>
        <w:keepNext w:val="0"/>
        <w:keepLines w:val="0"/>
        <w:widowControl w:val="0"/>
        <w:spacing w:before="52"/>
        <w:ind w:left="960" w:firstLine="284"/>
        <w:rPr>
          <w:rFonts w:ascii="Garamond" w:hAnsi="Garamond"/>
          <w:sz w:val="24"/>
          <w:szCs w:val="24"/>
        </w:rPr>
      </w:pPr>
      <w:bookmarkStart w:id="54" w:name="_bookmark52"/>
      <w:bookmarkEnd w:id="54"/>
    </w:p>
    <w:p w14:paraId="34B3FE76" w14:textId="77777777" w:rsidR="00756B9D" w:rsidRDefault="00756B9D" w:rsidP="00756B9D"/>
    <w:p w14:paraId="7835B826" w14:textId="77777777" w:rsidR="00756B9D" w:rsidRDefault="00756B9D" w:rsidP="00756B9D"/>
    <w:p w14:paraId="3FE68E5A" w14:textId="77777777" w:rsidR="00756B9D" w:rsidRDefault="00756B9D" w:rsidP="00756B9D"/>
    <w:p w14:paraId="0AEFF8FA" w14:textId="77777777" w:rsidR="00756B9D" w:rsidRDefault="00756B9D" w:rsidP="00756B9D"/>
    <w:p w14:paraId="332F3FF9" w14:textId="77777777" w:rsidR="00756B9D" w:rsidRDefault="00756B9D" w:rsidP="00756B9D"/>
    <w:p w14:paraId="36B6134B" w14:textId="77777777" w:rsidR="00756B9D" w:rsidRDefault="00756B9D" w:rsidP="00756B9D"/>
    <w:p w14:paraId="020EE3F0" w14:textId="77777777" w:rsidR="00756B9D" w:rsidRDefault="00756B9D" w:rsidP="00756B9D"/>
    <w:p w14:paraId="104B30CD" w14:textId="77777777" w:rsidR="00756B9D" w:rsidRDefault="00756B9D" w:rsidP="00756B9D"/>
    <w:p w14:paraId="2F9BEE4F" w14:textId="77777777" w:rsidR="00756B9D" w:rsidRPr="00756B9D" w:rsidRDefault="00756B9D" w:rsidP="00756B9D"/>
    <w:p w14:paraId="1BADCED3" w14:textId="77777777" w:rsidR="00500457" w:rsidRPr="00854256" w:rsidRDefault="00500457" w:rsidP="00786614">
      <w:pPr>
        <w:pStyle w:val="TEKSTIII"/>
      </w:pPr>
      <w:r w:rsidRPr="00854256">
        <w:t>4. ANALIZA SWOT</w:t>
      </w:r>
    </w:p>
    <w:p w14:paraId="1BADCED4" w14:textId="77777777" w:rsidR="00500457" w:rsidRPr="00551729" w:rsidRDefault="00500457" w:rsidP="00786614">
      <w:pPr>
        <w:pStyle w:val="TEKSTIII"/>
        <w:rPr>
          <w:b/>
        </w:rPr>
      </w:pPr>
    </w:p>
    <w:tbl>
      <w:tblPr>
        <w:tblW w:w="0" w:type="auto"/>
        <w:tblInd w:w="11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648"/>
        <w:gridCol w:w="2110"/>
        <w:gridCol w:w="2302"/>
        <w:gridCol w:w="2302"/>
        <w:gridCol w:w="2216"/>
      </w:tblGrid>
      <w:tr w:rsidR="00500457" w:rsidRPr="00551729" w14:paraId="1BADCEDA" w14:textId="77777777" w:rsidTr="0012310B">
        <w:trPr>
          <w:trHeight w:hRule="exact" w:val="560"/>
        </w:trPr>
        <w:tc>
          <w:tcPr>
            <w:tcW w:w="648" w:type="dxa"/>
            <w:tcBorders>
              <w:bottom w:val="thinThickMediumGap" w:sz="12" w:space="0" w:color="000000"/>
              <w:right w:val="single" w:sz="6" w:space="0" w:color="000000"/>
            </w:tcBorders>
            <w:shd w:val="clear" w:color="auto" w:fill="6F2F9F"/>
            <w:vAlign w:val="center"/>
          </w:tcPr>
          <w:p w14:paraId="1BADCED5" w14:textId="77777777" w:rsidR="00500457" w:rsidRPr="00551729" w:rsidRDefault="00500457" w:rsidP="0012310B">
            <w:pPr>
              <w:widowControl w:val="0"/>
              <w:spacing w:after="0" w:line="240" w:lineRule="auto"/>
              <w:jc w:val="center"/>
              <w:rPr>
                <w:rFonts w:ascii="Garamond" w:hAnsi="Garamond"/>
                <w:sz w:val="18"/>
                <w:szCs w:val="18"/>
              </w:rPr>
            </w:pPr>
          </w:p>
        </w:tc>
        <w:tc>
          <w:tcPr>
            <w:tcW w:w="2110" w:type="dxa"/>
            <w:tcBorders>
              <w:left w:val="single" w:sz="6" w:space="0" w:color="000000"/>
              <w:bottom w:val="thinThickMediumGap" w:sz="12" w:space="0" w:color="000000"/>
              <w:right w:val="single" w:sz="6" w:space="0" w:color="000000"/>
            </w:tcBorders>
            <w:shd w:val="clear" w:color="auto" w:fill="6F2F9F"/>
            <w:vAlign w:val="center"/>
          </w:tcPr>
          <w:p w14:paraId="1BADCED6"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FORTA</w:t>
            </w:r>
          </w:p>
        </w:tc>
        <w:tc>
          <w:tcPr>
            <w:tcW w:w="2302" w:type="dxa"/>
            <w:tcBorders>
              <w:left w:val="single" w:sz="6" w:space="0" w:color="000000"/>
              <w:bottom w:val="thinThickMediumGap" w:sz="12" w:space="0" w:color="000000"/>
              <w:right w:val="single" w:sz="6" w:space="0" w:color="000000"/>
            </w:tcBorders>
            <w:shd w:val="clear" w:color="auto" w:fill="6F2F9F"/>
            <w:vAlign w:val="center"/>
          </w:tcPr>
          <w:p w14:paraId="1BADCED7"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DOBËTA</w:t>
            </w:r>
          </w:p>
        </w:tc>
        <w:tc>
          <w:tcPr>
            <w:tcW w:w="2302" w:type="dxa"/>
            <w:tcBorders>
              <w:left w:val="single" w:sz="6" w:space="0" w:color="000000"/>
              <w:bottom w:val="thinThickMediumGap" w:sz="12" w:space="0" w:color="000000"/>
              <w:right w:val="single" w:sz="6" w:space="0" w:color="000000"/>
            </w:tcBorders>
            <w:shd w:val="clear" w:color="auto" w:fill="6F2F9F"/>
            <w:vAlign w:val="center"/>
          </w:tcPr>
          <w:p w14:paraId="1BADCED8"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MUNDËSITË</w:t>
            </w:r>
          </w:p>
        </w:tc>
        <w:tc>
          <w:tcPr>
            <w:tcW w:w="2216" w:type="dxa"/>
            <w:tcBorders>
              <w:left w:val="single" w:sz="6" w:space="0" w:color="000000"/>
              <w:bottom w:val="thinThickMediumGap" w:sz="12" w:space="0" w:color="000000"/>
            </w:tcBorders>
            <w:shd w:val="clear" w:color="auto" w:fill="6F2F9F"/>
            <w:vAlign w:val="center"/>
          </w:tcPr>
          <w:p w14:paraId="1BADCED9"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KËRCËNIMET</w:t>
            </w:r>
          </w:p>
        </w:tc>
      </w:tr>
      <w:tr w:rsidR="00500457" w:rsidRPr="00551729" w14:paraId="1BADCEFA" w14:textId="77777777" w:rsidTr="0012310B">
        <w:trPr>
          <w:trHeight w:hRule="exact" w:val="9618"/>
        </w:trPr>
        <w:tc>
          <w:tcPr>
            <w:tcW w:w="648" w:type="dxa"/>
            <w:tcBorders>
              <w:top w:val="thickThinMediumGap" w:sz="12" w:space="0" w:color="000000"/>
              <w:right w:val="single" w:sz="6" w:space="0" w:color="000000"/>
            </w:tcBorders>
            <w:textDirection w:val="btLr"/>
            <w:vAlign w:val="center"/>
          </w:tcPr>
          <w:p w14:paraId="1BADCEDB" w14:textId="72F8F478"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RR</w:t>
            </w:r>
            <w:r w:rsidRPr="00551729">
              <w:rPr>
                <w:rFonts w:ascii="Garamond" w:hAnsi="Garamond"/>
                <w:b/>
                <w:spacing w:val="-2"/>
                <w:sz w:val="18"/>
                <w:szCs w:val="18"/>
                <w:lang w:val="sq-AL"/>
              </w:rPr>
              <w:t>I</w:t>
            </w:r>
            <w:r w:rsidRPr="00551729">
              <w:rPr>
                <w:rFonts w:ascii="Garamond" w:hAnsi="Garamond"/>
                <w:b/>
                <w:sz w:val="18"/>
                <w:szCs w:val="18"/>
                <w:lang w:val="sq-AL"/>
              </w:rPr>
              <w:t>T</w:t>
            </w:r>
            <w:r w:rsidRPr="00551729">
              <w:rPr>
                <w:rFonts w:ascii="Garamond" w:hAnsi="Garamond"/>
                <w:b/>
                <w:spacing w:val="-2"/>
                <w:sz w:val="18"/>
                <w:szCs w:val="18"/>
                <w:lang w:val="sq-AL"/>
              </w:rPr>
              <w:t>J</w:t>
            </w:r>
            <w:r w:rsidRPr="00551729">
              <w:rPr>
                <w:rFonts w:ascii="Garamond" w:hAnsi="Garamond"/>
                <w:b/>
                <w:sz w:val="18"/>
                <w:szCs w:val="18"/>
                <w:lang w:val="sq-AL"/>
              </w:rPr>
              <w:t>A</w:t>
            </w:r>
            <w:r w:rsidRPr="00551729">
              <w:rPr>
                <w:rFonts w:ascii="Garamond" w:hAnsi="Garamond"/>
                <w:b/>
                <w:spacing w:val="-2"/>
                <w:sz w:val="18"/>
                <w:szCs w:val="18"/>
                <w:lang w:val="sq-AL"/>
              </w:rPr>
              <w:t xml:space="preserve"> </w:t>
            </w:r>
            <w:r w:rsidRPr="00551729">
              <w:rPr>
                <w:rFonts w:ascii="Garamond" w:hAnsi="Garamond"/>
                <w:b/>
                <w:sz w:val="18"/>
                <w:szCs w:val="18"/>
                <w:lang w:val="sq-AL"/>
              </w:rPr>
              <w:t xml:space="preserve">E </w:t>
            </w:r>
            <w:r w:rsidRPr="00551729">
              <w:rPr>
                <w:rFonts w:ascii="Garamond" w:hAnsi="Garamond"/>
                <w:b/>
                <w:spacing w:val="-1"/>
                <w:sz w:val="18"/>
                <w:szCs w:val="18"/>
                <w:lang w:val="sq-AL"/>
              </w:rPr>
              <w:t>KONK</w:t>
            </w:r>
            <w:r w:rsidRPr="00551729">
              <w:rPr>
                <w:rFonts w:ascii="Garamond" w:hAnsi="Garamond"/>
                <w:b/>
                <w:spacing w:val="-3"/>
                <w:sz w:val="18"/>
                <w:szCs w:val="18"/>
                <w:lang w:val="sq-AL"/>
              </w:rPr>
              <w:t>U</w:t>
            </w:r>
            <w:r w:rsidRPr="00551729">
              <w:rPr>
                <w:rFonts w:ascii="Garamond" w:hAnsi="Garamond"/>
                <w:b/>
                <w:sz w:val="18"/>
                <w:szCs w:val="18"/>
                <w:lang w:val="sq-AL"/>
              </w:rPr>
              <w:t>RR</w:t>
            </w:r>
            <w:r w:rsidRPr="00551729">
              <w:rPr>
                <w:rFonts w:ascii="Garamond" w:hAnsi="Garamond"/>
                <w:b/>
                <w:spacing w:val="-3"/>
                <w:sz w:val="18"/>
                <w:szCs w:val="18"/>
                <w:lang w:val="sq-AL"/>
              </w:rPr>
              <w:t>E</w:t>
            </w:r>
            <w:r w:rsidRPr="00551729">
              <w:rPr>
                <w:rFonts w:ascii="Garamond" w:hAnsi="Garamond"/>
                <w:b/>
                <w:spacing w:val="-2"/>
                <w:sz w:val="18"/>
                <w:szCs w:val="18"/>
                <w:lang w:val="sq-AL"/>
              </w:rPr>
              <w:t>N</w:t>
            </w:r>
            <w:r w:rsidRPr="00551729">
              <w:rPr>
                <w:rFonts w:ascii="Garamond" w:hAnsi="Garamond"/>
                <w:b/>
                <w:sz w:val="18"/>
                <w:szCs w:val="18"/>
                <w:lang w:val="sq-AL"/>
              </w:rPr>
              <w:t>CË</w:t>
            </w:r>
            <w:r w:rsidRPr="00551729">
              <w:rPr>
                <w:rFonts w:ascii="Garamond" w:hAnsi="Garamond"/>
                <w:b/>
                <w:spacing w:val="-1"/>
                <w:sz w:val="18"/>
                <w:szCs w:val="18"/>
                <w:lang w:val="sq-AL"/>
              </w:rPr>
              <w:t>S</w:t>
            </w:r>
            <w:r w:rsidRPr="00551729">
              <w:rPr>
                <w:rFonts w:ascii="Garamond" w:hAnsi="Garamond"/>
                <w:b/>
                <w:sz w:val="18"/>
                <w:szCs w:val="18"/>
                <w:lang w:val="sq-AL"/>
              </w:rPr>
              <w:t>,</w:t>
            </w:r>
            <w:r w:rsidRPr="00551729">
              <w:rPr>
                <w:rFonts w:ascii="Garamond" w:hAnsi="Garamond"/>
                <w:b/>
                <w:spacing w:val="-2"/>
                <w:sz w:val="18"/>
                <w:szCs w:val="18"/>
                <w:lang w:val="sq-AL"/>
              </w:rPr>
              <w:t xml:space="preserve"> </w:t>
            </w:r>
            <w:r w:rsidRPr="00551729">
              <w:rPr>
                <w:rFonts w:ascii="Garamond" w:hAnsi="Garamond"/>
                <w:b/>
                <w:sz w:val="18"/>
                <w:szCs w:val="18"/>
                <w:lang w:val="sq-AL"/>
              </w:rPr>
              <w:t>ZH</w:t>
            </w:r>
            <w:r w:rsidRPr="00551729">
              <w:rPr>
                <w:rFonts w:ascii="Garamond" w:hAnsi="Garamond"/>
                <w:b/>
                <w:spacing w:val="-1"/>
                <w:sz w:val="18"/>
                <w:szCs w:val="18"/>
                <w:lang w:val="sq-AL"/>
              </w:rPr>
              <w:t>V</w:t>
            </w:r>
            <w:r w:rsidRPr="00551729">
              <w:rPr>
                <w:rFonts w:ascii="Garamond" w:hAnsi="Garamond"/>
                <w:b/>
                <w:sz w:val="18"/>
                <w:szCs w:val="18"/>
                <w:lang w:val="sq-AL"/>
              </w:rPr>
              <w:t>IL</w:t>
            </w:r>
            <w:r w:rsidRPr="00551729">
              <w:rPr>
                <w:rFonts w:ascii="Garamond" w:hAnsi="Garamond"/>
                <w:b/>
                <w:spacing w:val="-2"/>
                <w:sz w:val="18"/>
                <w:szCs w:val="18"/>
                <w:lang w:val="sq-AL"/>
              </w:rPr>
              <w:t>L</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B</w:t>
            </w:r>
            <w:r w:rsidRPr="00551729">
              <w:rPr>
                <w:rFonts w:ascii="Garamond" w:hAnsi="Garamond"/>
                <w:b/>
                <w:spacing w:val="-2"/>
                <w:sz w:val="18"/>
                <w:szCs w:val="18"/>
                <w:lang w:val="sq-AL"/>
              </w:rPr>
              <w:t>I</w:t>
            </w:r>
            <w:r w:rsidRPr="00551729">
              <w:rPr>
                <w:rFonts w:ascii="Garamond" w:hAnsi="Garamond"/>
                <w:b/>
                <w:sz w:val="18"/>
                <w:szCs w:val="18"/>
                <w:lang w:val="sq-AL"/>
              </w:rPr>
              <w:t>Z</w:t>
            </w:r>
            <w:r w:rsidRPr="00551729">
              <w:rPr>
                <w:rFonts w:ascii="Garamond" w:hAnsi="Garamond"/>
                <w:b/>
                <w:spacing w:val="-2"/>
                <w:sz w:val="18"/>
                <w:szCs w:val="18"/>
                <w:lang w:val="sq-AL"/>
              </w:rPr>
              <w:t>N</w:t>
            </w:r>
            <w:r w:rsidRPr="00551729">
              <w:rPr>
                <w:rFonts w:ascii="Garamond" w:hAnsi="Garamond"/>
                <w:b/>
                <w:sz w:val="18"/>
                <w:szCs w:val="18"/>
                <w:lang w:val="sq-AL"/>
              </w:rPr>
              <w:t>E</w:t>
            </w:r>
            <w:r w:rsidRPr="00551729">
              <w:rPr>
                <w:rFonts w:ascii="Garamond" w:hAnsi="Garamond"/>
                <w:b/>
                <w:spacing w:val="-1"/>
                <w:sz w:val="18"/>
                <w:szCs w:val="18"/>
                <w:lang w:val="sq-AL"/>
              </w:rPr>
              <w:t>S</w:t>
            </w:r>
            <w:r w:rsidRPr="00551729">
              <w:rPr>
                <w:rFonts w:ascii="Garamond" w:hAnsi="Garamond"/>
                <w:b/>
                <w:sz w:val="18"/>
                <w:szCs w:val="18"/>
                <w:lang w:val="sq-AL"/>
              </w:rPr>
              <w:t>IT</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DH</w:t>
            </w:r>
            <w:r w:rsidRPr="00551729">
              <w:rPr>
                <w:rFonts w:ascii="Garamond" w:hAnsi="Garamond"/>
                <w:b/>
                <w:sz w:val="18"/>
                <w:szCs w:val="18"/>
                <w:lang w:val="sq-AL"/>
              </w:rPr>
              <w:t>E</w:t>
            </w:r>
            <w:r w:rsidRPr="00551729">
              <w:rPr>
                <w:rFonts w:ascii="Garamond" w:hAnsi="Garamond"/>
                <w:b/>
                <w:spacing w:val="-4"/>
                <w:sz w:val="18"/>
                <w:szCs w:val="18"/>
                <w:lang w:val="sq-AL"/>
              </w:rPr>
              <w:t xml:space="preserve"> </w:t>
            </w:r>
            <w:r w:rsidRPr="00551729">
              <w:rPr>
                <w:rFonts w:ascii="Garamond" w:hAnsi="Garamond"/>
                <w:b/>
                <w:sz w:val="18"/>
                <w:szCs w:val="18"/>
                <w:lang w:val="sq-AL"/>
              </w:rPr>
              <w:t>N</w:t>
            </w:r>
            <w:r w:rsidRPr="00551729">
              <w:rPr>
                <w:rFonts w:ascii="Garamond" w:hAnsi="Garamond"/>
                <w:b/>
                <w:spacing w:val="-1"/>
                <w:sz w:val="18"/>
                <w:szCs w:val="18"/>
                <w:lang w:val="sq-AL"/>
              </w:rPr>
              <w:t>V</w:t>
            </w:r>
            <w:r w:rsidRPr="00551729">
              <w:rPr>
                <w:rFonts w:ascii="Garamond" w:hAnsi="Garamond"/>
                <w:b/>
                <w:spacing w:val="2"/>
                <w:sz w:val="18"/>
                <w:szCs w:val="18"/>
                <w:lang w:val="sq-AL"/>
              </w:rPr>
              <w:t>M</w:t>
            </w:r>
            <w:r w:rsidRPr="00551729">
              <w:rPr>
                <w:rFonts w:ascii="Garamond" w:hAnsi="Garamond"/>
                <w:b/>
                <w:spacing w:val="-1"/>
                <w:sz w:val="18"/>
                <w:szCs w:val="18"/>
                <w:lang w:val="sq-AL"/>
              </w:rPr>
              <w:t>-</w:t>
            </w:r>
            <w:r w:rsidRPr="00551729">
              <w:rPr>
                <w:rFonts w:ascii="Garamond" w:hAnsi="Garamond"/>
                <w:b/>
                <w:sz w:val="18"/>
                <w:szCs w:val="18"/>
                <w:lang w:val="sq-AL"/>
              </w:rPr>
              <w:t>v</w:t>
            </w:r>
            <w:r w:rsidRPr="00551729">
              <w:rPr>
                <w:rFonts w:ascii="Garamond" w:hAnsi="Garamond"/>
                <w:b/>
                <w:spacing w:val="-1"/>
                <w:sz w:val="18"/>
                <w:szCs w:val="18"/>
                <w:lang w:val="sq-AL"/>
              </w:rPr>
              <w:t>e</w:t>
            </w:r>
            <w:r w:rsidRPr="00551729">
              <w:rPr>
                <w:rFonts w:ascii="Garamond" w:hAnsi="Garamond"/>
                <w:b/>
                <w:sz w:val="18"/>
                <w:szCs w:val="18"/>
                <w:lang w:val="sq-AL"/>
              </w:rPr>
              <w:t>,</w:t>
            </w:r>
            <w:r w:rsidRPr="00551729">
              <w:rPr>
                <w:rFonts w:ascii="Garamond" w:hAnsi="Garamond"/>
                <w:b/>
                <w:spacing w:val="-2"/>
                <w:sz w:val="18"/>
                <w:szCs w:val="18"/>
                <w:lang w:val="sq-AL"/>
              </w:rPr>
              <w:t xml:space="preserve"> </w:t>
            </w:r>
            <w:r w:rsidRPr="00551729">
              <w:rPr>
                <w:rFonts w:ascii="Garamond" w:hAnsi="Garamond"/>
                <w:b/>
                <w:sz w:val="18"/>
                <w:szCs w:val="18"/>
                <w:lang w:val="sq-AL"/>
              </w:rPr>
              <w:t>T</w:t>
            </w:r>
            <w:r w:rsidRPr="00551729">
              <w:rPr>
                <w:rFonts w:ascii="Garamond" w:hAnsi="Garamond"/>
                <w:b/>
                <w:spacing w:val="-2"/>
                <w:sz w:val="18"/>
                <w:szCs w:val="18"/>
                <w:lang w:val="sq-AL"/>
              </w:rPr>
              <w:t>R</w:t>
            </w:r>
            <w:r w:rsidRPr="00551729">
              <w:rPr>
                <w:rFonts w:ascii="Garamond" w:hAnsi="Garamond"/>
                <w:b/>
                <w:sz w:val="18"/>
                <w:szCs w:val="18"/>
                <w:lang w:val="sq-AL"/>
              </w:rPr>
              <w:t>EG</w:t>
            </w:r>
            <w:r w:rsidRPr="00551729">
              <w:rPr>
                <w:rFonts w:ascii="Garamond" w:hAnsi="Garamond"/>
                <w:b/>
                <w:spacing w:val="-2"/>
                <w:sz w:val="18"/>
                <w:szCs w:val="18"/>
                <w:lang w:val="sq-AL"/>
              </w:rPr>
              <w:t>T</w:t>
            </w:r>
            <w:r w:rsidRPr="00551729">
              <w:rPr>
                <w:rFonts w:ascii="Garamond" w:hAnsi="Garamond"/>
                <w:b/>
                <w:sz w:val="18"/>
                <w:szCs w:val="18"/>
                <w:lang w:val="sq-AL"/>
              </w:rPr>
              <w:t>IA</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DH</w:t>
            </w:r>
            <w:r w:rsidRPr="00551729">
              <w:rPr>
                <w:rFonts w:ascii="Garamond" w:hAnsi="Garamond"/>
                <w:b/>
                <w:sz w:val="18"/>
                <w:szCs w:val="18"/>
                <w:lang w:val="sq-AL"/>
              </w:rPr>
              <w:t>E</w:t>
            </w:r>
            <w:r w:rsidRPr="00551729">
              <w:rPr>
                <w:rFonts w:ascii="Garamond" w:hAnsi="Garamond"/>
                <w:b/>
                <w:spacing w:val="-2"/>
                <w:sz w:val="18"/>
                <w:szCs w:val="18"/>
                <w:lang w:val="sq-AL"/>
              </w:rPr>
              <w:t xml:space="preserve"> </w:t>
            </w:r>
            <w:r w:rsidRPr="00551729">
              <w:rPr>
                <w:rFonts w:ascii="Garamond" w:hAnsi="Garamond"/>
                <w:b/>
                <w:sz w:val="18"/>
                <w:szCs w:val="18"/>
                <w:lang w:val="sq-AL"/>
              </w:rPr>
              <w:t>I</w:t>
            </w:r>
            <w:r w:rsidRPr="00551729">
              <w:rPr>
                <w:rFonts w:ascii="Garamond" w:hAnsi="Garamond"/>
                <w:b/>
                <w:spacing w:val="-2"/>
                <w:sz w:val="18"/>
                <w:szCs w:val="18"/>
                <w:lang w:val="sq-AL"/>
              </w:rPr>
              <w:t>N</w:t>
            </w:r>
            <w:r w:rsidRPr="00551729">
              <w:rPr>
                <w:rFonts w:ascii="Garamond" w:hAnsi="Garamond"/>
                <w:b/>
                <w:spacing w:val="-1"/>
                <w:sz w:val="18"/>
                <w:szCs w:val="18"/>
                <w:lang w:val="sq-AL"/>
              </w:rPr>
              <w:t>V</w:t>
            </w:r>
            <w:r w:rsidRPr="00551729">
              <w:rPr>
                <w:rFonts w:ascii="Garamond" w:hAnsi="Garamond"/>
                <w:b/>
                <w:sz w:val="18"/>
                <w:szCs w:val="18"/>
                <w:lang w:val="sq-AL"/>
              </w:rPr>
              <w:t>E</w:t>
            </w:r>
            <w:r w:rsidRPr="00551729">
              <w:rPr>
                <w:rFonts w:ascii="Garamond" w:hAnsi="Garamond"/>
                <w:b/>
                <w:spacing w:val="1"/>
                <w:sz w:val="18"/>
                <w:szCs w:val="18"/>
                <w:lang w:val="sq-AL"/>
              </w:rPr>
              <w:t>S</w:t>
            </w:r>
            <w:r w:rsidRPr="00551729">
              <w:rPr>
                <w:rFonts w:ascii="Garamond" w:hAnsi="Garamond"/>
                <w:b/>
                <w:spacing w:val="-2"/>
                <w:sz w:val="18"/>
                <w:szCs w:val="18"/>
                <w:lang w:val="sq-AL"/>
              </w:rPr>
              <w:t>T</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pacing w:val="-3"/>
                <w:sz w:val="18"/>
                <w:szCs w:val="18"/>
                <w:lang w:val="sq-AL"/>
              </w:rPr>
              <w:t>E</w:t>
            </w:r>
            <w:r w:rsidRPr="00551729">
              <w:rPr>
                <w:rFonts w:ascii="Garamond" w:hAnsi="Garamond"/>
                <w:b/>
                <w:sz w:val="18"/>
                <w:szCs w:val="18"/>
                <w:lang w:val="sq-AL"/>
              </w:rPr>
              <w:t>T</w:t>
            </w:r>
          </w:p>
        </w:tc>
        <w:tc>
          <w:tcPr>
            <w:tcW w:w="2110" w:type="dxa"/>
            <w:tcBorders>
              <w:top w:val="thickThinMediumGap" w:sz="12" w:space="0" w:color="000000"/>
              <w:left w:val="single" w:sz="6" w:space="0" w:color="000000"/>
              <w:right w:val="single" w:sz="6" w:space="0" w:color="000000"/>
            </w:tcBorders>
          </w:tcPr>
          <w:p w14:paraId="798AAD50" w14:textId="77777777" w:rsidR="001E5AF6"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 xml:space="preserve">Marrëveshja e tregtisë së lirë midis dy vendeve </w:t>
            </w:r>
          </w:p>
          <w:p w14:paraId="1BADCEDC" w14:textId="44C95C2A" w:rsidR="00500457" w:rsidRPr="00551729" w:rsidRDefault="00500457" w:rsidP="00786614">
            <w:pPr>
              <w:pStyle w:val="TableParagraph"/>
              <w:rPr>
                <w:rFonts w:ascii="Garamond" w:hAnsi="Garamond"/>
                <w:sz w:val="18"/>
                <w:szCs w:val="18"/>
                <w:lang w:val="sq-AL"/>
              </w:rPr>
            </w:pPr>
            <w:r w:rsidRPr="00551729">
              <w:rPr>
                <w:rFonts w:ascii="Garamond" w:hAnsi="Garamond"/>
                <w:sz w:val="18"/>
                <w:szCs w:val="18"/>
                <w:lang w:val="sq-AL"/>
              </w:rPr>
              <w:t>. Të dy</w:t>
            </w:r>
            <w:r w:rsidR="001E5AF6">
              <w:rPr>
                <w:rFonts w:ascii="Garamond" w:hAnsi="Garamond"/>
                <w:sz w:val="18"/>
                <w:szCs w:val="18"/>
                <w:lang w:val="sq-AL"/>
              </w:rPr>
              <w:t>ja</w:t>
            </w:r>
            <w:r w:rsidRPr="00551729">
              <w:rPr>
                <w:rFonts w:ascii="Garamond" w:hAnsi="Garamond"/>
                <w:sz w:val="18"/>
                <w:szCs w:val="18"/>
                <w:lang w:val="sq-AL"/>
              </w:rPr>
              <w:t xml:space="preserve"> vendet marrin pjesë në CEFTA;</w:t>
            </w:r>
          </w:p>
          <w:p w14:paraId="1BADCEDD" w14:textId="26132FD4"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Klima e favorshme e biznesit dhe taksat e korporatave. Kuadri i përgjithshëm ligjor dhe institucional, i cili favorizon tërheqjen e investimeve të Huaja Direkte;</w:t>
            </w:r>
          </w:p>
          <w:p w14:paraId="1BADCEDE" w14:textId="370F98C7"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Protokolli ekzistues i bashkëpunimit ekonomik ndërmjet Shqipërisë dhe Malit të Zi . Ekzistenca e Forumit Ekonomik Rajonal ndërmjet Rajonit të Shkodrës dhe Malit të Zi</w:t>
            </w:r>
          </w:p>
          <w:p w14:paraId="1BADCEDF" w14:textId="74406D27"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Një numër i madhe</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dhe në rritje i NVM-ve në të gjithë rajonin me aktivitete të shumëllojshme;</w:t>
            </w:r>
          </w:p>
          <w:p w14:paraId="1BADCEE0" w14:textId="23651545" w:rsidR="00500457" w:rsidRPr="00551729" w:rsidRDefault="00854256" w:rsidP="00786614">
            <w:pPr>
              <w:pStyle w:val="TableParagraph"/>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Burimet natyrore, Liqeni i Shkodrës, si dhe trashëgimia kulturore si potencial për zhvillimin e turizmit;</w:t>
            </w:r>
          </w:p>
          <w:p w14:paraId="1BADCEE1" w14:textId="77DA1720"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Mbulimi relativisht i mirë i zonës së programit me universitete dhe qendra</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të formimit</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profesional;</w:t>
            </w:r>
          </w:p>
          <w:p w14:paraId="1BADCEE2" w14:textId="35ADCCE3"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Ekzistenca e</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inkubatorëve të biznesit (Mal i Zi) dhe agjencive rajonale të zhvillimit</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(Shqipëri);</w:t>
            </w:r>
          </w:p>
          <w:p w14:paraId="1BADCEE3" w14:textId="19B6ED6A"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Rritja e investimeve në infrastrukturë me qëllim për të mbështetur zhvillimin e industrisë së turizmit në zonat përreth Liqenit të</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Shkodrës.</w:t>
            </w:r>
          </w:p>
        </w:tc>
        <w:tc>
          <w:tcPr>
            <w:tcW w:w="2302" w:type="dxa"/>
            <w:tcBorders>
              <w:top w:val="thickThinMediumGap" w:sz="12" w:space="0" w:color="000000"/>
              <w:left w:val="single" w:sz="6" w:space="0" w:color="000000"/>
              <w:right w:val="single" w:sz="6" w:space="0" w:color="000000"/>
            </w:tcBorders>
          </w:tcPr>
          <w:p w14:paraId="1BADCEE4" w14:textId="5C068DD7"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Konkurrenca e ulët e bizneseve , produktivitet i ulët dhe njohuri të pamjaftueshme;</w:t>
            </w:r>
          </w:p>
          <w:p w14:paraId="1BADCEE5" w14:textId="656BFF8E"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Migrimi dhe largimi i vazhdueshëm i fuqisë punëtore të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kualifikuar;</w:t>
            </w:r>
          </w:p>
          <w:p w14:paraId="1BADCEE6" w14:textId="3D94742F"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Ekspozimi i kufizuar në tregjet</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ndërkombëtare;</w:t>
            </w:r>
          </w:p>
          <w:p w14:paraId="1BADCEE7" w14:textId="4FAF54A6"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Organizimi në shkallë të</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ulët i bujqësisë dhe produktivitet i ulët i aktiviteteve të agrobiznesit;</w:t>
            </w:r>
          </w:p>
          <w:p w14:paraId="1BADCEE8" w14:textId="4275E851"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Kultura e kufizuar e sipërmarrjes, e dominuar nga tregtia afatshkurtër dhe aktivitetet e shërbimit më shumë sesa nga investimet kapitale</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afatgjata;</w:t>
            </w:r>
          </w:p>
          <w:p w14:paraId="1BADCEE9" w14:textId="4197B196" w:rsidR="00500457" w:rsidRPr="00551729" w:rsidRDefault="00500457" w:rsidP="00854256">
            <w:pPr>
              <w:pStyle w:val="TableParagraph"/>
              <w:numPr>
                <w:ilvl w:val="0"/>
                <w:numId w:val="44"/>
              </w:numPr>
              <w:tabs>
                <w:tab w:val="left" w:pos="212"/>
              </w:tabs>
              <w:rPr>
                <w:rFonts w:ascii="Garamond" w:hAnsi="Garamond"/>
                <w:sz w:val="18"/>
                <w:szCs w:val="18"/>
                <w:lang w:val="sq-AL"/>
              </w:rPr>
            </w:pPr>
            <w:r w:rsidRPr="00551729">
              <w:rPr>
                <w:rFonts w:ascii="Garamond" w:hAnsi="Garamond"/>
                <w:sz w:val="18"/>
                <w:szCs w:val="18"/>
                <w:lang w:val="sq-AL"/>
              </w:rPr>
              <w:t>Pabarazia e lartë në zhvillimin urban dhe</w:t>
            </w:r>
            <w:r w:rsidRPr="00551729">
              <w:rPr>
                <w:rFonts w:ascii="Garamond" w:hAnsi="Garamond"/>
                <w:spacing w:val="-8"/>
                <w:sz w:val="18"/>
                <w:szCs w:val="18"/>
                <w:lang w:val="sq-AL"/>
              </w:rPr>
              <w:t xml:space="preserve"> </w:t>
            </w:r>
            <w:r w:rsidRPr="00551729">
              <w:rPr>
                <w:rFonts w:ascii="Garamond" w:hAnsi="Garamond"/>
                <w:sz w:val="18"/>
                <w:szCs w:val="18"/>
                <w:lang w:val="sq-AL"/>
              </w:rPr>
              <w:t>rural;</w:t>
            </w:r>
          </w:p>
          <w:p w14:paraId="1BADCEEA" w14:textId="52B2C72B" w:rsidR="00500457" w:rsidRPr="00551729" w:rsidRDefault="00500457" w:rsidP="00854256">
            <w:pPr>
              <w:pStyle w:val="TableParagraph"/>
              <w:numPr>
                <w:ilvl w:val="0"/>
                <w:numId w:val="44"/>
              </w:numPr>
              <w:tabs>
                <w:tab w:val="left" w:pos="212"/>
              </w:tabs>
              <w:rPr>
                <w:rFonts w:ascii="Garamond" w:hAnsi="Garamond"/>
                <w:sz w:val="18"/>
                <w:szCs w:val="18"/>
                <w:lang w:val="sq-AL"/>
              </w:rPr>
            </w:pPr>
            <w:r w:rsidRPr="00551729">
              <w:rPr>
                <w:rFonts w:ascii="Garamond" w:hAnsi="Garamond"/>
                <w:sz w:val="18"/>
                <w:szCs w:val="18"/>
                <w:lang w:val="sq-AL"/>
              </w:rPr>
              <w:t>Niveli i ulët i</w:t>
            </w:r>
            <w:r w:rsidRPr="00551729">
              <w:rPr>
                <w:rFonts w:ascii="Garamond" w:hAnsi="Garamond"/>
                <w:spacing w:val="-11"/>
                <w:sz w:val="18"/>
                <w:szCs w:val="18"/>
                <w:lang w:val="sq-AL"/>
              </w:rPr>
              <w:t xml:space="preserve"> </w:t>
            </w:r>
            <w:r w:rsidRPr="00551729">
              <w:rPr>
                <w:rFonts w:ascii="Garamond" w:hAnsi="Garamond"/>
                <w:sz w:val="18"/>
                <w:szCs w:val="18"/>
                <w:lang w:val="sq-AL"/>
              </w:rPr>
              <w:t>teknologjisë;</w:t>
            </w:r>
          </w:p>
          <w:p w14:paraId="1BADCEEB" w14:textId="529ADF9B" w:rsidR="00500457" w:rsidRPr="00551729" w:rsidRDefault="00500457" w:rsidP="000C70FC">
            <w:pPr>
              <w:pStyle w:val="TableParagraph"/>
              <w:numPr>
                <w:ilvl w:val="0"/>
                <w:numId w:val="44"/>
              </w:numPr>
              <w:rPr>
                <w:rFonts w:ascii="Garamond" w:hAnsi="Garamond"/>
                <w:sz w:val="18"/>
                <w:szCs w:val="18"/>
                <w:lang w:val="sq-AL"/>
              </w:rPr>
            </w:pPr>
            <w:r w:rsidRPr="00551729">
              <w:rPr>
                <w:rFonts w:ascii="Garamond" w:hAnsi="Garamond"/>
                <w:sz w:val="18"/>
                <w:szCs w:val="18"/>
                <w:lang w:val="sq-AL"/>
              </w:rPr>
              <w:t>Disponueshmëria e kufizuar e skemave të mikrokredive.</w:t>
            </w:r>
          </w:p>
        </w:tc>
        <w:tc>
          <w:tcPr>
            <w:tcW w:w="2302" w:type="dxa"/>
            <w:tcBorders>
              <w:top w:val="thickThinMediumGap" w:sz="12" w:space="0" w:color="000000"/>
              <w:left w:val="single" w:sz="6" w:space="0" w:color="000000"/>
              <w:right w:val="single" w:sz="6" w:space="0" w:color="000000"/>
            </w:tcBorders>
          </w:tcPr>
          <w:p w14:paraId="1BADCEEC" w14:textId="7C117187"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Mundësia për të zhvilluar mekanizma dhe instrumente të ndrysh</w:t>
            </w:r>
            <w:r w:rsidR="009A7E95">
              <w:rPr>
                <w:rFonts w:ascii="Garamond" w:hAnsi="Garamond"/>
                <w:sz w:val="18"/>
                <w:szCs w:val="18"/>
                <w:lang w:val="sq-AL"/>
              </w:rPr>
              <w:t>ë</w:t>
            </w:r>
            <w:r w:rsidR="00500457" w:rsidRPr="00551729">
              <w:rPr>
                <w:rFonts w:ascii="Garamond" w:hAnsi="Garamond"/>
                <w:sz w:val="18"/>
                <w:szCs w:val="18"/>
                <w:lang w:val="sq-AL"/>
              </w:rPr>
              <w:t>m</w:t>
            </w:r>
            <w:r w:rsidR="009A7E95">
              <w:rPr>
                <w:rFonts w:ascii="Garamond" w:hAnsi="Garamond"/>
                <w:sz w:val="18"/>
                <w:szCs w:val="18"/>
                <w:lang w:val="sq-AL"/>
              </w:rPr>
              <w:t>,</w:t>
            </w:r>
            <w:r w:rsidR="00500457" w:rsidRPr="00551729">
              <w:rPr>
                <w:rFonts w:ascii="Garamond" w:hAnsi="Garamond"/>
                <w:sz w:val="18"/>
                <w:szCs w:val="18"/>
                <w:lang w:val="sq-AL"/>
              </w:rPr>
              <w:t xml:space="preserve"> duke synuar lehtësimin në vendosjen e partneritetit të biznesit në iniciativat ndërkufitare;</w:t>
            </w:r>
          </w:p>
          <w:p w14:paraId="1BADCEED" w14:textId="27189175"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Specializimi i NVM-ve dhe forcimi i tyre nëpërmjet rritjes së vlerës së produkteve të tyre;</w:t>
            </w:r>
          </w:p>
          <w:p w14:paraId="1BADCEEE" w14:textId="126D49D5"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Krijimi i produktit të integruar të turizmit , duke përfshirë të dy</w:t>
            </w:r>
            <w:r w:rsidR="001E5AF6">
              <w:rPr>
                <w:rFonts w:ascii="Garamond" w:hAnsi="Garamond"/>
                <w:sz w:val="18"/>
                <w:szCs w:val="18"/>
                <w:lang w:val="sq-AL"/>
              </w:rPr>
              <w:t>ja</w:t>
            </w:r>
            <w:r w:rsidR="00500457" w:rsidRPr="00551729">
              <w:rPr>
                <w:rFonts w:ascii="Garamond" w:hAnsi="Garamond"/>
                <w:sz w:val="18"/>
                <w:szCs w:val="18"/>
                <w:lang w:val="sq-AL"/>
              </w:rPr>
              <w:t xml:space="preserve"> zonat e liqenit, bregun dhe zonën malore ;</w:t>
            </w:r>
          </w:p>
          <w:p w14:paraId="1BADCEEF" w14:textId="0C02B5A8" w:rsidR="00500457" w:rsidRPr="00551729" w:rsidRDefault="00854256" w:rsidP="00786614">
            <w:pPr>
              <w:pStyle w:val="TableParagraph"/>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Identifikimi i disa produkteve të veçanta të zonës që mund të njihen në nivel kombëtar dhe ndërkombëtar;</w:t>
            </w:r>
          </w:p>
          <w:p w14:paraId="1BADCEF0" w14:textId="0CA3A68C" w:rsidR="00500457" w:rsidRPr="00551729" w:rsidRDefault="00854256" w:rsidP="00786614">
            <w:pPr>
              <w:pStyle w:val="TableParagraph"/>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Zhvillimi i mëtejshëm i produkteve të agri</w:t>
            </w:r>
            <w:r w:rsidR="001E5AF6">
              <w:rPr>
                <w:rFonts w:ascii="Garamond" w:hAnsi="Garamond"/>
                <w:sz w:val="18"/>
                <w:szCs w:val="18"/>
                <w:lang w:val="sq-AL"/>
              </w:rPr>
              <w:t>kulturës dhe industrisë së agro</w:t>
            </w:r>
            <w:r w:rsidR="00500457" w:rsidRPr="00551729">
              <w:rPr>
                <w:rFonts w:ascii="Garamond" w:hAnsi="Garamond"/>
                <w:sz w:val="18"/>
                <w:szCs w:val="18"/>
                <w:lang w:val="sq-AL"/>
              </w:rPr>
              <w:t>përpunimit;</w:t>
            </w:r>
          </w:p>
          <w:p w14:paraId="1BADCEF1" w14:textId="3BBD6480"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Përmirësimi i nivelit të arsimit profesional me</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qëllim që t</w:t>
            </w:r>
            <w:r w:rsidR="007F4192">
              <w:rPr>
                <w:rFonts w:ascii="Garamond" w:hAnsi="Garamond"/>
                <w:sz w:val="18"/>
                <w:szCs w:val="18"/>
                <w:lang w:val="sq-AL"/>
              </w:rPr>
              <w:t>’</w:t>
            </w:r>
            <w:r w:rsidR="00500457" w:rsidRPr="00551729">
              <w:rPr>
                <w:rFonts w:ascii="Garamond" w:hAnsi="Garamond"/>
                <w:sz w:val="18"/>
                <w:szCs w:val="18"/>
                <w:lang w:val="sq-AL"/>
              </w:rPr>
              <w:t>i shërbejë më mirë kërkesave të tregut të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punës;</w:t>
            </w:r>
          </w:p>
          <w:p w14:paraId="1BADCEF2" w14:textId="37AD2C1D"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Rritja e partneritetit privat/ publik për ndërtimin e infrastrukturës adekuate rrugore;</w:t>
            </w:r>
          </w:p>
          <w:p w14:paraId="1BADCEF3" w14:textId="5E741600" w:rsidR="00500457" w:rsidRPr="00551729" w:rsidRDefault="00854256" w:rsidP="00854256">
            <w:pPr>
              <w:pStyle w:val="TableParagraph"/>
              <w:tabs>
                <w:tab w:val="left" w:pos="224"/>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Përparësitë që rrjedhin nga niveli relativisht i ulët i kostove të punës</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(veçanërisht në veri të</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Shqipërisë).</w:t>
            </w:r>
          </w:p>
        </w:tc>
        <w:tc>
          <w:tcPr>
            <w:tcW w:w="2216" w:type="dxa"/>
            <w:tcBorders>
              <w:top w:val="thickThinMediumGap" w:sz="12" w:space="0" w:color="000000"/>
              <w:left w:val="single" w:sz="6" w:space="0" w:color="000000"/>
            </w:tcBorders>
          </w:tcPr>
          <w:p w14:paraId="1BADCEF4" w14:textId="4A1E16F2"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Aksesi i kufizuar në sistemin e kredive për fermat dhe NVM- të mund të ngadalësojë zhvillimin ekonomik;</w:t>
            </w:r>
          </w:p>
          <w:p w14:paraId="1BADCEF5" w14:textId="19E74FE0"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Administratat e vetë qeverisjes lokale të pazhvilluara dhe të pa pajisura;</w:t>
            </w:r>
          </w:p>
          <w:p w14:paraId="1BADCEF6" w14:textId="7FE561C0"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Relievi malor dominues mund të ketë një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ndikim negativ në zhvillimin ekonomik</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lokal;</w:t>
            </w:r>
          </w:p>
          <w:p w14:paraId="1BADCEF7" w14:textId="01C7ECA1" w:rsidR="00500457" w:rsidRPr="00551729" w:rsidRDefault="00854256"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Ekonomia informale konkurron padrejtësisht me sektorin formal;</w:t>
            </w:r>
          </w:p>
          <w:p w14:paraId="1BADCEF8" w14:textId="057D52BC" w:rsidR="00500457" w:rsidRPr="00551729" w:rsidRDefault="00854256" w:rsidP="00854256">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Niveli i konsiderueshëm</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i korrupsionit;</w:t>
            </w:r>
          </w:p>
          <w:p w14:paraId="1BADCEF9" w14:textId="1EE9DF59" w:rsidR="00500457" w:rsidRPr="00551729" w:rsidRDefault="00854256" w:rsidP="00854256">
            <w:pPr>
              <w:pStyle w:val="TableParagraph"/>
              <w:tabs>
                <w:tab w:val="left" w:pos="296"/>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Largimi i njerëzve të arsimuar në drejtim të zonave më të</w:t>
            </w:r>
            <w:r w:rsidR="00500457" w:rsidRPr="00551729">
              <w:rPr>
                <w:rFonts w:ascii="Garamond" w:hAnsi="Garamond"/>
                <w:spacing w:val="-5"/>
                <w:sz w:val="18"/>
                <w:szCs w:val="18"/>
                <w:lang w:val="sq-AL"/>
              </w:rPr>
              <w:t xml:space="preserve"> </w:t>
            </w:r>
            <w:r w:rsidR="00500457" w:rsidRPr="00551729">
              <w:rPr>
                <w:rFonts w:ascii="Garamond" w:hAnsi="Garamond"/>
                <w:sz w:val="18"/>
                <w:szCs w:val="18"/>
                <w:lang w:val="sq-AL"/>
              </w:rPr>
              <w:t>zhvilluara.</w:t>
            </w:r>
          </w:p>
        </w:tc>
      </w:tr>
    </w:tbl>
    <w:p w14:paraId="1BADCEFB" w14:textId="77777777" w:rsidR="00500457" w:rsidRPr="00551729" w:rsidRDefault="00500457" w:rsidP="00500457">
      <w:pPr>
        <w:pStyle w:val="BodyText"/>
        <w:ind w:firstLine="284"/>
        <w:rPr>
          <w:rFonts w:ascii="Garamond" w:hAnsi="Garamond"/>
          <w:sz w:val="24"/>
          <w:szCs w:val="24"/>
          <w:lang w:val="sq-AL"/>
        </w:rPr>
      </w:pPr>
    </w:p>
    <w:p w14:paraId="1BADCEFC" w14:textId="77777777" w:rsidR="00500457" w:rsidRPr="00551729" w:rsidRDefault="00500457" w:rsidP="00500457">
      <w:pPr>
        <w:pStyle w:val="BodyText"/>
        <w:ind w:firstLine="284"/>
        <w:rPr>
          <w:rFonts w:ascii="Garamond" w:hAnsi="Garamond"/>
          <w:sz w:val="24"/>
          <w:szCs w:val="24"/>
          <w:lang w:val="sq-AL"/>
        </w:rPr>
      </w:pPr>
    </w:p>
    <w:p w14:paraId="1BADCEFD" w14:textId="77777777" w:rsidR="00786614" w:rsidRPr="00551729" w:rsidRDefault="00786614" w:rsidP="00500457">
      <w:pPr>
        <w:pStyle w:val="BodyText"/>
        <w:ind w:firstLine="284"/>
        <w:rPr>
          <w:rFonts w:ascii="Garamond" w:hAnsi="Garamond"/>
          <w:sz w:val="24"/>
          <w:szCs w:val="24"/>
          <w:lang w:val="sq-AL"/>
        </w:rPr>
      </w:pPr>
    </w:p>
    <w:p w14:paraId="1BADCEFE" w14:textId="77777777" w:rsidR="00786614" w:rsidRPr="00551729" w:rsidRDefault="00786614" w:rsidP="00500457">
      <w:pPr>
        <w:pStyle w:val="BodyText"/>
        <w:ind w:firstLine="284"/>
        <w:rPr>
          <w:rFonts w:ascii="Garamond" w:hAnsi="Garamond"/>
          <w:sz w:val="24"/>
          <w:szCs w:val="24"/>
          <w:lang w:val="sq-AL"/>
        </w:rPr>
      </w:pPr>
    </w:p>
    <w:p w14:paraId="1BADCEFF" w14:textId="77777777" w:rsidR="00786614" w:rsidRPr="00551729" w:rsidRDefault="00786614" w:rsidP="00500457">
      <w:pPr>
        <w:pStyle w:val="BodyText"/>
        <w:ind w:firstLine="284"/>
        <w:rPr>
          <w:rFonts w:ascii="Garamond" w:hAnsi="Garamond"/>
          <w:sz w:val="24"/>
          <w:szCs w:val="24"/>
          <w:lang w:val="sq-AL"/>
        </w:rPr>
      </w:pPr>
    </w:p>
    <w:p w14:paraId="1BADCF00" w14:textId="77777777" w:rsidR="00786614" w:rsidRPr="00551729" w:rsidRDefault="00786614" w:rsidP="00500457">
      <w:pPr>
        <w:pStyle w:val="BodyText"/>
        <w:ind w:firstLine="284"/>
        <w:rPr>
          <w:rFonts w:ascii="Garamond" w:hAnsi="Garamond"/>
          <w:sz w:val="24"/>
          <w:szCs w:val="24"/>
          <w:lang w:val="sq-AL"/>
        </w:rPr>
      </w:pPr>
    </w:p>
    <w:p w14:paraId="1BADCF01" w14:textId="77777777" w:rsidR="00786614" w:rsidRPr="00551729" w:rsidRDefault="00786614" w:rsidP="00500457">
      <w:pPr>
        <w:pStyle w:val="BodyText"/>
        <w:ind w:firstLine="284"/>
        <w:rPr>
          <w:rFonts w:ascii="Garamond" w:hAnsi="Garamond"/>
          <w:sz w:val="24"/>
          <w:szCs w:val="24"/>
          <w:lang w:val="sq-AL"/>
        </w:rPr>
      </w:pPr>
    </w:p>
    <w:p w14:paraId="1BADCF02" w14:textId="77777777" w:rsidR="00786614" w:rsidRPr="00551729" w:rsidRDefault="00786614" w:rsidP="00500457">
      <w:pPr>
        <w:pStyle w:val="BodyText"/>
        <w:ind w:firstLine="284"/>
        <w:rPr>
          <w:rFonts w:ascii="Garamond" w:hAnsi="Garamond"/>
          <w:sz w:val="24"/>
          <w:szCs w:val="24"/>
          <w:lang w:val="sq-AL"/>
        </w:rPr>
      </w:pPr>
    </w:p>
    <w:p w14:paraId="1BADCF03" w14:textId="77777777" w:rsidR="00786614" w:rsidRPr="00551729" w:rsidRDefault="00786614" w:rsidP="00500457">
      <w:pPr>
        <w:pStyle w:val="BodyText"/>
        <w:ind w:firstLine="284"/>
        <w:rPr>
          <w:rFonts w:ascii="Garamond" w:hAnsi="Garamond"/>
          <w:sz w:val="24"/>
          <w:szCs w:val="24"/>
          <w:lang w:val="sq-AL"/>
        </w:rPr>
      </w:pPr>
    </w:p>
    <w:p w14:paraId="1BADCF04" w14:textId="77777777" w:rsidR="00786614" w:rsidRDefault="00786614" w:rsidP="00500457">
      <w:pPr>
        <w:pStyle w:val="BodyText"/>
        <w:ind w:firstLine="284"/>
        <w:rPr>
          <w:rFonts w:ascii="Garamond" w:hAnsi="Garamond"/>
          <w:sz w:val="24"/>
          <w:szCs w:val="24"/>
          <w:lang w:val="sq-AL"/>
        </w:rPr>
      </w:pPr>
    </w:p>
    <w:p w14:paraId="59EFFFF1" w14:textId="77777777" w:rsidR="00854256" w:rsidRPr="00551729" w:rsidRDefault="00854256" w:rsidP="00500457">
      <w:pPr>
        <w:pStyle w:val="BodyText"/>
        <w:ind w:firstLine="284"/>
        <w:rPr>
          <w:rFonts w:ascii="Garamond" w:hAnsi="Garamond"/>
          <w:sz w:val="24"/>
          <w:szCs w:val="24"/>
          <w:lang w:val="sq-AL"/>
        </w:rPr>
      </w:pPr>
    </w:p>
    <w:p w14:paraId="1BADCF05" w14:textId="77777777" w:rsidR="00786614" w:rsidRPr="00551729" w:rsidRDefault="00786614" w:rsidP="00500457">
      <w:pPr>
        <w:pStyle w:val="BodyText"/>
        <w:ind w:firstLine="284"/>
        <w:rPr>
          <w:rFonts w:ascii="Garamond" w:hAnsi="Garamond"/>
          <w:sz w:val="24"/>
          <w:szCs w:val="24"/>
          <w:lang w:val="sq-AL"/>
        </w:rPr>
      </w:pPr>
    </w:p>
    <w:p w14:paraId="1BADCF06" w14:textId="77777777" w:rsidR="00786614" w:rsidRPr="00551729" w:rsidRDefault="00786614" w:rsidP="00500457">
      <w:pPr>
        <w:pStyle w:val="BodyText"/>
        <w:ind w:firstLine="284"/>
        <w:rPr>
          <w:rFonts w:ascii="Garamond" w:hAnsi="Garamond"/>
          <w:sz w:val="24"/>
          <w:szCs w:val="24"/>
          <w:lang w:val="sq-AL"/>
        </w:rPr>
      </w:pPr>
    </w:p>
    <w:p w14:paraId="1BADCF07" w14:textId="77777777" w:rsidR="00786614" w:rsidRPr="00551729" w:rsidRDefault="00786614" w:rsidP="00500457">
      <w:pPr>
        <w:pStyle w:val="BodyText"/>
        <w:ind w:firstLine="284"/>
        <w:rPr>
          <w:rFonts w:ascii="Garamond" w:hAnsi="Garamond"/>
          <w:sz w:val="24"/>
          <w:szCs w:val="24"/>
          <w:lang w:val="sq-AL"/>
        </w:rPr>
      </w:pPr>
    </w:p>
    <w:tbl>
      <w:tblPr>
        <w:tblW w:w="0" w:type="auto"/>
        <w:tblInd w:w="11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059"/>
        <w:gridCol w:w="1856"/>
        <w:gridCol w:w="2303"/>
        <w:gridCol w:w="2302"/>
        <w:gridCol w:w="2213"/>
      </w:tblGrid>
      <w:tr w:rsidR="00500457" w:rsidRPr="00551729" w14:paraId="1BADCF0D" w14:textId="77777777" w:rsidTr="0012310B">
        <w:trPr>
          <w:trHeight w:hRule="exact" w:val="560"/>
        </w:trPr>
        <w:tc>
          <w:tcPr>
            <w:tcW w:w="1059" w:type="dxa"/>
            <w:tcBorders>
              <w:left w:val="double" w:sz="6" w:space="0" w:color="000000"/>
              <w:bottom w:val="thinThickMediumGap" w:sz="12" w:space="0" w:color="000000"/>
              <w:right w:val="single" w:sz="6" w:space="0" w:color="000000"/>
            </w:tcBorders>
            <w:shd w:val="clear" w:color="auto" w:fill="6F2F9F"/>
            <w:vAlign w:val="center"/>
          </w:tcPr>
          <w:p w14:paraId="1BADCF08" w14:textId="77777777" w:rsidR="00500457" w:rsidRPr="00551729" w:rsidRDefault="00500457" w:rsidP="0012310B">
            <w:pPr>
              <w:widowControl w:val="0"/>
              <w:spacing w:after="0" w:line="240" w:lineRule="auto"/>
              <w:jc w:val="center"/>
              <w:rPr>
                <w:rFonts w:ascii="Garamond" w:hAnsi="Garamond"/>
                <w:sz w:val="18"/>
                <w:szCs w:val="18"/>
              </w:rPr>
            </w:pPr>
          </w:p>
        </w:tc>
        <w:tc>
          <w:tcPr>
            <w:tcW w:w="1856" w:type="dxa"/>
            <w:tcBorders>
              <w:left w:val="single" w:sz="6" w:space="0" w:color="000000"/>
              <w:bottom w:val="thinThickMediumGap" w:sz="12" w:space="0" w:color="000000"/>
              <w:right w:val="single" w:sz="6" w:space="0" w:color="000000"/>
            </w:tcBorders>
            <w:shd w:val="clear" w:color="auto" w:fill="6F2F9F"/>
            <w:vAlign w:val="center"/>
          </w:tcPr>
          <w:p w14:paraId="1BADCF09"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FORTA</w:t>
            </w:r>
          </w:p>
        </w:tc>
        <w:tc>
          <w:tcPr>
            <w:tcW w:w="2303" w:type="dxa"/>
            <w:tcBorders>
              <w:left w:val="single" w:sz="6" w:space="0" w:color="000000"/>
              <w:bottom w:val="thinThickMediumGap" w:sz="12" w:space="0" w:color="000000"/>
              <w:right w:val="single" w:sz="6" w:space="0" w:color="000000"/>
            </w:tcBorders>
            <w:shd w:val="clear" w:color="auto" w:fill="6F2F9F"/>
            <w:vAlign w:val="center"/>
          </w:tcPr>
          <w:p w14:paraId="1BADCF0A"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DOBËTA</w:t>
            </w:r>
          </w:p>
        </w:tc>
        <w:tc>
          <w:tcPr>
            <w:tcW w:w="2302" w:type="dxa"/>
            <w:tcBorders>
              <w:left w:val="single" w:sz="6" w:space="0" w:color="000000"/>
              <w:bottom w:val="thinThickMediumGap" w:sz="12" w:space="0" w:color="000000"/>
              <w:right w:val="single" w:sz="6" w:space="0" w:color="000000"/>
            </w:tcBorders>
            <w:shd w:val="clear" w:color="auto" w:fill="6F2F9F"/>
            <w:vAlign w:val="center"/>
          </w:tcPr>
          <w:p w14:paraId="1BADCF0B"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MUNDËSITË</w:t>
            </w:r>
          </w:p>
        </w:tc>
        <w:tc>
          <w:tcPr>
            <w:tcW w:w="2213" w:type="dxa"/>
            <w:tcBorders>
              <w:left w:val="single" w:sz="6" w:space="0" w:color="000000"/>
              <w:bottom w:val="thinThickMediumGap" w:sz="12" w:space="0" w:color="000000"/>
            </w:tcBorders>
            <w:shd w:val="clear" w:color="auto" w:fill="6F2F9F"/>
            <w:vAlign w:val="center"/>
          </w:tcPr>
          <w:p w14:paraId="1BADCF0C"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KËRCËNIMET</w:t>
            </w:r>
          </w:p>
        </w:tc>
      </w:tr>
      <w:tr w:rsidR="00500457" w:rsidRPr="00551729" w14:paraId="1BADCF22" w14:textId="77777777" w:rsidTr="00786614">
        <w:trPr>
          <w:trHeight w:hRule="exact" w:val="6309"/>
        </w:trPr>
        <w:tc>
          <w:tcPr>
            <w:tcW w:w="1059" w:type="dxa"/>
            <w:tcBorders>
              <w:top w:val="thickThinMediumGap" w:sz="12" w:space="0" w:color="000000"/>
              <w:left w:val="double" w:sz="6" w:space="0" w:color="000000"/>
              <w:bottom w:val="triple" w:sz="6" w:space="0" w:color="000000"/>
              <w:right w:val="single" w:sz="6" w:space="0" w:color="000000"/>
            </w:tcBorders>
            <w:textDirection w:val="btLr"/>
            <w:vAlign w:val="center"/>
          </w:tcPr>
          <w:p w14:paraId="1BADCF0E" w14:textId="7E1B8610" w:rsidR="00500457" w:rsidRPr="00551729" w:rsidRDefault="00500457" w:rsidP="00786614">
            <w:pPr>
              <w:pStyle w:val="TableParagraph"/>
              <w:jc w:val="center"/>
              <w:rPr>
                <w:rFonts w:ascii="Garamond" w:hAnsi="Garamond"/>
                <w:b/>
                <w:sz w:val="18"/>
                <w:szCs w:val="18"/>
                <w:lang w:val="sq-AL"/>
              </w:rPr>
            </w:pPr>
            <w:r w:rsidRPr="00551729">
              <w:rPr>
                <w:rFonts w:ascii="Garamond" w:hAnsi="Garamond"/>
                <w:b/>
                <w:sz w:val="18"/>
                <w:szCs w:val="18"/>
                <w:lang w:val="sq-AL"/>
              </w:rPr>
              <w:t>N</w:t>
            </w:r>
            <w:r w:rsidRPr="00551729">
              <w:rPr>
                <w:rFonts w:ascii="Garamond" w:hAnsi="Garamond"/>
                <w:b/>
                <w:spacing w:val="-2"/>
                <w:sz w:val="18"/>
                <w:szCs w:val="18"/>
                <w:lang w:val="sq-AL"/>
              </w:rPr>
              <w:t>X</w:t>
            </w:r>
            <w:r w:rsidRPr="00551729">
              <w:rPr>
                <w:rFonts w:ascii="Garamond" w:hAnsi="Garamond"/>
                <w:b/>
                <w:sz w:val="18"/>
                <w:szCs w:val="18"/>
                <w:lang w:val="sq-AL"/>
              </w:rPr>
              <w:t>IT</w:t>
            </w:r>
            <w:r w:rsidRPr="00551729">
              <w:rPr>
                <w:rFonts w:ascii="Garamond" w:hAnsi="Garamond"/>
                <w:b/>
                <w:spacing w:val="-2"/>
                <w:sz w:val="18"/>
                <w:szCs w:val="18"/>
                <w:lang w:val="sq-AL"/>
              </w:rPr>
              <w:t>J</w:t>
            </w:r>
            <w:r w:rsidRPr="00551729">
              <w:rPr>
                <w:rFonts w:ascii="Garamond" w:hAnsi="Garamond"/>
                <w:b/>
                <w:sz w:val="18"/>
                <w:szCs w:val="18"/>
                <w:lang w:val="sq-AL"/>
              </w:rPr>
              <w:t>A</w:t>
            </w:r>
            <w:r w:rsidRPr="00551729">
              <w:rPr>
                <w:rFonts w:ascii="Garamond" w:hAnsi="Garamond"/>
                <w:b/>
                <w:spacing w:val="-2"/>
                <w:sz w:val="18"/>
                <w:szCs w:val="18"/>
                <w:lang w:val="sq-AL"/>
              </w:rPr>
              <w:t xml:space="preserve"> </w:t>
            </w:r>
            <w:r w:rsidRPr="00551729">
              <w:rPr>
                <w:rFonts w:ascii="Garamond" w:hAnsi="Garamond"/>
                <w:b/>
                <w:sz w:val="18"/>
                <w:szCs w:val="18"/>
                <w:lang w:val="sq-AL"/>
              </w:rPr>
              <w:t xml:space="preserve">E </w:t>
            </w:r>
            <w:r w:rsidRPr="00551729">
              <w:rPr>
                <w:rFonts w:ascii="Garamond" w:hAnsi="Garamond"/>
                <w:b/>
                <w:spacing w:val="-2"/>
                <w:sz w:val="18"/>
                <w:szCs w:val="18"/>
                <w:lang w:val="sq-AL"/>
              </w:rPr>
              <w:t>P</w:t>
            </w:r>
            <w:r w:rsidRPr="00551729">
              <w:rPr>
                <w:rFonts w:ascii="Garamond" w:hAnsi="Garamond"/>
                <w:b/>
                <w:sz w:val="18"/>
                <w:szCs w:val="18"/>
                <w:lang w:val="sq-AL"/>
              </w:rPr>
              <w:t>UN</w:t>
            </w:r>
            <w:r w:rsidRPr="00551729">
              <w:rPr>
                <w:rFonts w:ascii="Garamond" w:hAnsi="Garamond"/>
                <w:b/>
                <w:spacing w:val="-3"/>
                <w:sz w:val="18"/>
                <w:szCs w:val="18"/>
                <w:lang w:val="sq-AL"/>
              </w:rPr>
              <w:t>Ë</w:t>
            </w:r>
            <w:r w:rsidRPr="00551729">
              <w:rPr>
                <w:rFonts w:ascii="Garamond" w:hAnsi="Garamond"/>
                <w:b/>
                <w:spacing w:val="-2"/>
                <w:sz w:val="18"/>
                <w:szCs w:val="18"/>
                <w:lang w:val="sq-AL"/>
              </w:rPr>
              <w:t>S</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pacing w:val="-2"/>
                <w:sz w:val="18"/>
                <w:szCs w:val="18"/>
                <w:lang w:val="sq-AL"/>
              </w:rPr>
              <w:t>I</w:t>
            </w:r>
            <w:r w:rsidRPr="00551729">
              <w:rPr>
                <w:rFonts w:ascii="Garamond" w:hAnsi="Garamond"/>
                <w:b/>
                <w:sz w:val="18"/>
                <w:szCs w:val="18"/>
                <w:lang w:val="sq-AL"/>
              </w:rPr>
              <w:t>T,</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L</w:t>
            </w:r>
            <w:r w:rsidRPr="00551729">
              <w:rPr>
                <w:rFonts w:ascii="Garamond" w:hAnsi="Garamond"/>
                <w:b/>
                <w:sz w:val="18"/>
                <w:szCs w:val="18"/>
                <w:lang w:val="sq-AL"/>
              </w:rPr>
              <w:t>Ë</w:t>
            </w:r>
            <w:r w:rsidRPr="00551729">
              <w:rPr>
                <w:rFonts w:ascii="Garamond" w:hAnsi="Garamond"/>
                <w:b/>
                <w:spacing w:val="-1"/>
                <w:sz w:val="18"/>
                <w:szCs w:val="18"/>
                <w:lang w:val="sq-AL"/>
              </w:rPr>
              <w:t>V</w:t>
            </w:r>
            <w:r w:rsidRPr="00551729">
              <w:rPr>
                <w:rFonts w:ascii="Garamond" w:hAnsi="Garamond"/>
                <w:b/>
                <w:spacing w:val="-2"/>
                <w:sz w:val="18"/>
                <w:szCs w:val="18"/>
                <w:lang w:val="sq-AL"/>
              </w:rPr>
              <w:t>I</w:t>
            </w:r>
            <w:r w:rsidRPr="00551729">
              <w:rPr>
                <w:rFonts w:ascii="Garamond" w:hAnsi="Garamond"/>
                <w:b/>
                <w:sz w:val="18"/>
                <w:szCs w:val="18"/>
                <w:lang w:val="sq-AL"/>
              </w:rPr>
              <w:t>Z</w:t>
            </w:r>
            <w:r w:rsidRPr="00551729">
              <w:rPr>
                <w:rFonts w:ascii="Garamond" w:hAnsi="Garamond"/>
                <w:b/>
                <w:spacing w:val="-2"/>
                <w:sz w:val="18"/>
                <w:szCs w:val="18"/>
                <w:lang w:val="sq-AL"/>
              </w:rPr>
              <w:t>J</w:t>
            </w:r>
            <w:r w:rsidRPr="00551729">
              <w:rPr>
                <w:rFonts w:ascii="Garamond" w:hAnsi="Garamond"/>
                <w:b/>
                <w:sz w:val="18"/>
                <w:szCs w:val="18"/>
                <w:lang w:val="sq-AL"/>
              </w:rPr>
              <w:t>A</w:t>
            </w:r>
            <w:r w:rsidRPr="00551729">
              <w:rPr>
                <w:rFonts w:ascii="Garamond" w:hAnsi="Garamond"/>
                <w:b/>
                <w:spacing w:val="1"/>
                <w:sz w:val="18"/>
                <w:szCs w:val="18"/>
                <w:lang w:val="sq-AL"/>
              </w:rPr>
              <w:t xml:space="preserve"> </w:t>
            </w:r>
            <w:r w:rsidRPr="00551729">
              <w:rPr>
                <w:rFonts w:ascii="Garamond" w:hAnsi="Garamond"/>
                <w:b/>
                <w:sz w:val="18"/>
                <w:szCs w:val="18"/>
                <w:lang w:val="sq-AL"/>
              </w:rPr>
              <w:t xml:space="preserve">E </w:t>
            </w:r>
            <w:r w:rsidRPr="00551729">
              <w:rPr>
                <w:rFonts w:ascii="Garamond" w:hAnsi="Garamond"/>
                <w:b/>
                <w:spacing w:val="-1"/>
                <w:sz w:val="18"/>
                <w:szCs w:val="18"/>
                <w:lang w:val="sq-AL"/>
              </w:rPr>
              <w:t>P</w:t>
            </w:r>
            <w:r w:rsidRPr="00551729">
              <w:rPr>
                <w:rFonts w:ascii="Garamond" w:hAnsi="Garamond"/>
                <w:b/>
                <w:spacing w:val="-3"/>
                <w:sz w:val="18"/>
                <w:szCs w:val="18"/>
                <w:lang w:val="sq-AL"/>
              </w:rPr>
              <w:t>U</w:t>
            </w:r>
            <w:r w:rsidRPr="00551729">
              <w:rPr>
                <w:rFonts w:ascii="Garamond" w:hAnsi="Garamond"/>
                <w:b/>
                <w:sz w:val="18"/>
                <w:szCs w:val="18"/>
                <w:lang w:val="sq-AL"/>
              </w:rPr>
              <w:t>N</w:t>
            </w:r>
            <w:r w:rsidRPr="00551729">
              <w:rPr>
                <w:rFonts w:ascii="Garamond" w:hAnsi="Garamond"/>
                <w:b/>
                <w:spacing w:val="-3"/>
                <w:sz w:val="18"/>
                <w:szCs w:val="18"/>
                <w:lang w:val="sq-AL"/>
              </w:rPr>
              <w:t>O</w:t>
            </w:r>
            <w:r w:rsidRPr="00551729">
              <w:rPr>
                <w:rFonts w:ascii="Garamond" w:hAnsi="Garamond"/>
                <w:b/>
                <w:sz w:val="18"/>
                <w:szCs w:val="18"/>
                <w:lang w:val="sq-AL"/>
              </w:rPr>
              <w:t>NJËS</w:t>
            </w:r>
            <w:r w:rsidRPr="00551729">
              <w:rPr>
                <w:rFonts w:ascii="Garamond" w:hAnsi="Garamond"/>
                <w:b/>
                <w:spacing w:val="-1"/>
                <w:sz w:val="18"/>
                <w:szCs w:val="18"/>
                <w:lang w:val="sq-AL"/>
              </w:rPr>
              <w:t>V</w:t>
            </w:r>
            <w:r w:rsidRPr="00551729">
              <w:rPr>
                <w:rFonts w:ascii="Garamond" w:hAnsi="Garamond"/>
                <w:b/>
                <w:spacing w:val="-3"/>
                <w:sz w:val="18"/>
                <w:szCs w:val="18"/>
                <w:lang w:val="sq-AL"/>
              </w:rPr>
              <w:t>E</w:t>
            </w:r>
            <w:r w:rsidRPr="00551729">
              <w:rPr>
                <w:rFonts w:ascii="Garamond" w:hAnsi="Garamond"/>
                <w:b/>
                <w:sz w:val="18"/>
                <w:szCs w:val="18"/>
                <w:lang w:val="sq-AL"/>
              </w:rPr>
              <w:t xml:space="preserve">, </w:t>
            </w:r>
            <w:r w:rsidRPr="00551729">
              <w:rPr>
                <w:rFonts w:ascii="Garamond" w:hAnsi="Garamond"/>
                <w:b/>
                <w:spacing w:val="-1"/>
                <w:sz w:val="18"/>
                <w:szCs w:val="18"/>
                <w:lang w:val="sq-AL"/>
              </w:rPr>
              <w:t>DH</w:t>
            </w:r>
            <w:r w:rsidRPr="00551729">
              <w:rPr>
                <w:rFonts w:ascii="Garamond" w:hAnsi="Garamond"/>
                <w:b/>
                <w:sz w:val="18"/>
                <w:szCs w:val="18"/>
                <w:lang w:val="sq-AL"/>
              </w:rPr>
              <w:t>E</w:t>
            </w:r>
            <w:r w:rsidR="00C521D5" w:rsidRPr="00551729">
              <w:rPr>
                <w:rFonts w:ascii="Garamond" w:hAnsi="Garamond"/>
                <w:b/>
                <w:sz w:val="18"/>
                <w:szCs w:val="18"/>
                <w:lang w:val="sq-AL"/>
              </w:rPr>
              <w:t xml:space="preserve"> </w:t>
            </w:r>
            <w:r w:rsidRPr="00551729">
              <w:rPr>
                <w:rFonts w:ascii="Garamond" w:hAnsi="Garamond"/>
                <w:b/>
                <w:spacing w:val="-2"/>
                <w:sz w:val="18"/>
                <w:szCs w:val="18"/>
                <w:lang w:val="sq-AL"/>
              </w:rPr>
              <w:t>P</w:t>
            </w:r>
            <w:r w:rsidRPr="00551729">
              <w:rPr>
                <w:rFonts w:ascii="Garamond" w:hAnsi="Garamond"/>
                <w:b/>
                <w:sz w:val="18"/>
                <w:szCs w:val="18"/>
                <w:lang w:val="sq-AL"/>
              </w:rPr>
              <w:t>ËR</w:t>
            </w:r>
            <w:r w:rsidRPr="00551729">
              <w:rPr>
                <w:rFonts w:ascii="Garamond" w:hAnsi="Garamond"/>
                <w:b/>
                <w:spacing w:val="-3"/>
                <w:sz w:val="18"/>
                <w:szCs w:val="18"/>
                <w:lang w:val="sq-AL"/>
              </w:rPr>
              <w:t>F</w:t>
            </w:r>
            <w:r w:rsidRPr="00551729">
              <w:rPr>
                <w:rFonts w:ascii="Garamond" w:hAnsi="Garamond"/>
                <w:b/>
                <w:sz w:val="18"/>
                <w:szCs w:val="18"/>
                <w:lang w:val="sq-AL"/>
              </w:rPr>
              <w:t>SH</w:t>
            </w:r>
            <w:r w:rsidRPr="00551729">
              <w:rPr>
                <w:rFonts w:ascii="Garamond" w:hAnsi="Garamond"/>
                <w:b/>
                <w:spacing w:val="-2"/>
                <w:sz w:val="18"/>
                <w:szCs w:val="18"/>
                <w:lang w:val="sq-AL"/>
              </w:rPr>
              <w:t>I</w:t>
            </w:r>
            <w:r w:rsidRPr="00551729">
              <w:rPr>
                <w:rFonts w:ascii="Garamond" w:hAnsi="Garamond"/>
                <w:b/>
                <w:sz w:val="18"/>
                <w:szCs w:val="18"/>
                <w:lang w:val="sq-AL"/>
              </w:rPr>
              <w:t>RJA</w:t>
            </w:r>
            <w:r w:rsidRPr="00551729">
              <w:rPr>
                <w:rFonts w:ascii="Garamond" w:hAnsi="Garamond"/>
                <w:b/>
                <w:spacing w:val="-2"/>
                <w:sz w:val="18"/>
                <w:szCs w:val="18"/>
                <w:lang w:val="sq-AL"/>
              </w:rPr>
              <w:t xml:space="preserve"> </w:t>
            </w:r>
            <w:r w:rsidRPr="00551729">
              <w:rPr>
                <w:rFonts w:ascii="Garamond" w:hAnsi="Garamond"/>
                <w:b/>
                <w:sz w:val="18"/>
                <w:szCs w:val="18"/>
                <w:lang w:val="sq-AL"/>
              </w:rPr>
              <w:t>S</w:t>
            </w:r>
            <w:r w:rsidRPr="00551729">
              <w:rPr>
                <w:rFonts w:ascii="Garamond" w:hAnsi="Garamond"/>
                <w:b/>
                <w:spacing w:val="-1"/>
                <w:sz w:val="18"/>
                <w:szCs w:val="18"/>
                <w:lang w:val="sq-AL"/>
              </w:rPr>
              <w:t>O</w:t>
            </w:r>
            <w:r w:rsidRPr="00551729">
              <w:rPr>
                <w:rFonts w:ascii="Garamond" w:hAnsi="Garamond"/>
                <w:b/>
                <w:spacing w:val="-3"/>
                <w:sz w:val="18"/>
                <w:szCs w:val="18"/>
                <w:lang w:val="sq-AL"/>
              </w:rPr>
              <w:t>C</w:t>
            </w:r>
            <w:r w:rsidRPr="00551729">
              <w:rPr>
                <w:rFonts w:ascii="Garamond" w:hAnsi="Garamond"/>
                <w:b/>
                <w:sz w:val="18"/>
                <w:szCs w:val="18"/>
                <w:lang w:val="sq-AL"/>
              </w:rPr>
              <w:t>I</w:t>
            </w:r>
            <w:r w:rsidRPr="00551729">
              <w:rPr>
                <w:rFonts w:ascii="Garamond" w:hAnsi="Garamond"/>
                <w:b/>
                <w:spacing w:val="-2"/>
                <w:sz w:val="18"/>
                <w:szCs w:val="18"/>
                <w:lang w:val="sq-AL"/>
              </w:rPr>
              <w:t>A</w:t>
            </w:r>
            <w:r w:rsidRPr="00551729">
              <w:rPr>
                <w:rFonts w:ascii="Garamond" w:hAnsi="Garamond"/>
                <w:b/>
                <w:sz w:val="18"/>
                <w:szCs w:val="18"/>
                <w:lang w:val="sq-AL"/>
              </w:rPr>
              <w:t>LE</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DH</w:t>
            </w:r>
            <w:r w:rsidRPr="00551729">
              <w:rPr>
                <w:rFonts w:ascii="Garamond" w:hAnsi="Garamond"/>
                <w:b/>
                <w:sz w:val="18"/>
                <w:szCs w:val="18"/>
                <w:lang w:val="sq-AL"/>
              </w:rPr>
              <w:t xml:space="preserve">E </w:t>
            </w:r>
            <w:r w:rsidRPr="00551729">
              <w:rPr>
                <w:rFonts w:ascii="Garamond" w:hAnsi="Garamond"/>
                <w:b/>
                <w:spacing w:val="-1"/>
                <w:sz w:val="18"/>
                <w:szCs w:val="18"/>
                <w:lang w:val="sq-AL"/>
              </w:rPr>
              <w:t>K</w:t>
            </w:r>
            <w:r w:rsidRPr="00551729">
              <w:rPr>
                <w:rFonts w:ascii="Garamond" w:hAnsi="Garamond"/>
                <w:b/>
                <w:sz w:val="18"/>
                <w:szCs w:val="18"/>
                <w:lang w:val="sq-AL"/>
              </w:rPr>
              <w:t>U</w:t>
            </w:r>
            <w:r w:rsidRPr="00551729">
              <w:rPr>
                <w:rFonts w:ascii="Garamond" w:hAnsi="Garamond"/>
                <w:b/>
                <w:spacing w:val="-3"/>
                <w:sz w:val="18"/>
                <w:szCs w:val="18"/>
                <w:lang w:val="sq-AL"/>
              </w:rPr>
              <w:t>L</w:t>
            </w:r>
            <w:r w:rsidRPr="00551729">
              <w:rPr>
                <w:rFonts w:ascii="Garamond" w:hAnsi="Garamond"/>
                <w:b/>
                <w:sz w:val="18"/>
                <w:szCs w:val="18"/>
                <w:lang w:val="sq-AL"/>
              </w:rPr>
              <w:t>TUR</w:t>
            </w:r>
            <w:r w:rsidRPr="00551729">
              <w:rPr>
                <w:rFonts w:ascii="Garamond" w:hAnsi="Garamond"/>
                <w:b/>
                <w:spacing w:val="-3"/>
                <w:sz w:val="18"/>
                <w:szCs w:val="18"/>
                <w:lang w:val="sq-AL"/>
              </w:rPr>
              <w:t>O</w:t>
            </w:r>
            <w:r w:rsidRPr="00551729">
              <w:rPr>
                <w:rFonts w:ascii="Garamond" w:hAnsi="Garamond"/>
                <w:b/>
                <w:sz w:val="18"/>
                <w:szCs w:val="18"/>
                <w:lang w:val="sq-AL"/>
              </w:rPr>
              <w:t>RE PËRM</w:t>
            </w:r>
            <w:r w:rsidRPr="00551729">
              <w:rPr>
                <w:rFonts w:ascii="Garamond" w:hAnsi="Garamond"/>
                <w:b/>
                <w:spacing w:val="-3"/>
                <w:sz w:val="18"/>
                <w:szCs w:val="18"/>
                <w:lang w:val="sq-AL"/>
              </w:rPr>
              <w:t>E</w:t>
            </w:r>
            <w:r w:rsidRPr="00551729">
              <w:rPr>
                <w:rFonts w:ascii="Garamond" w:hAnsi="Garamond"/>
                <w:b/>
                <w:sz w:val="18"/>
                <w:szCs w:val="18"/>
                <w:lang w:val="sq-AL"/>
              </w:rPr>
              <w:t>S</w:t>
            </w:r>
            <w:r w:rsidRPr="00551729">
              <w:rPr>
                <w:rFonts w:ascii="Garamond" w:hAnsi="Garamond"/>
                <w:b/>
                <w:spacing w:val="1"/>
                <w:sz w:val="18"/>
                <w:szCs w:val="18"/>
                <w:lang w:val="sq-AL"/>
              </w:rPr>
              <w:t xml:space="preserve"> </w:t>
            </w:r>
            <w:r w:rsidRPr="00551729">
              <w:rPr>
                <w:rFonts w:ascii="Garamond" w:hAnsi="Garamond"/>
                <w:b/>
                <w:sz w:val="18"/>
                <w:szCs w:val="18"/>
                <w:lang w:val="sq-AL"/>
              </w:rPr>
              <w:t>KU</w:t>
            </w:r>
            <w:r w:rsidRPr="00551729">
              <w:rPr>
                <w:rFonts w:ascii="Garamond" w:hAnsi="Garamond"/>
                <w:b/>
                <w:spacing w:val="-2"/>
                <w:sz w:val="18"/>
                <w:szCs w:val="18"/>
                <w:lang w:val="sq-AL"/>
              </w:rPr>
              <w:t>FI</w:t>
            </w:r>
            <w:r w:rsidRPr="00551729">
              <w:rPr>
                <w:rFonts w:ascii="Garamond" w:hAnsi="Garamond"/>
                <w:b/>
                <w:sz w:val="18"/>
                <w:szCs w:val="18"/>
                <w:lang w:val="sq-AL"/>
              </w:rPr>
              <w:t>R</w:t>
            </w:r>
            <w:r w:rsidRPr="00551729">
              <w:rPr>
                <w:rFonts w:ascii="Garamond" w:hAnsi="Garamond"/>
                <w:b/>
                <w:spacing w:val="-1"/>
                <w:sz w:val="18"/>
                <w:szCs w:val="18"/>
                <w:lang w:val="sq-AL"/>
              </w:rPr>
              <w:t>I</w:t>
            </w:r>
            <w:r w:rsidRPr="00551729">
              <w:rPr>
                <w:rFonts w:ascii="Garamond" w:hAnsi="Garamond"/>
                <w:b/>
                <w:sz w:val="18"/>
                <w:szCs w:val="18"/>
                <w:lang w:val="sq-AL"/>
              </w:rPr>
              <w:t>T</w:t>
            </w:r>
          </w:p>
        </w:tc>
        <w:tc>
          <w:tcPr>
            <w:tcW w:w="1856" w:type="dxa"/>
            <w:tcBorders>
              <w:top w:val="thickThinMediumGap" w:sz="12" w:space="0" w:color="000000"/>
              <w:left w:val="single" w:sz="6" w:space="0" w:color="000000"/>
              <w:bottom w:val="triple" w:sz="6" w:space="0" w:color="000000"/>
              <w:right w:val="single" w:sz="6" w:space="0" w:color="000000"/>
            </w:tcBorders>
          </w:tcPr>
          <w:p w14:paraId="1BADCF0F" w14:textId="19494BDF" w:rsidR="00500457" w:rsidRPr="00551729" w:rsidRDefault="009A406B" w:rsidP="00786614">
            <w:pPr>
              <w:pStyle w:val="TableParagraph"/>
              <w:jc w:val="bot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Fuqia punëtore me kosto relativisht të ulët;</w:t>
            </w:r>
          </w:p>
          <w:p w14:paraId="1BADCF10" w14:textId="2EFF4FEE"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Popullsia relativisht e re dhe normë rritje pozitive;</w:t>
            </w:r>
          </w:p>
          <w:p w14:paraId="1BADCF11" w14:textId="180F70C9"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Prania e shkollave të arsimit profesional;</w:t>
            </w:r>
          </w:p>
          <w:p w14:paraId="1BADCF12" w14:textId="0AFEF4B1"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Prania e degëve universitare, me qëllim për të mbështetur dhe për</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t</w:t>
            </w:r>
            <w:r w:rsidR="002F2528">
              <w:rPr>
                <w:rFonts w:ascii="Garamond" w:hAnsi="Garamond"/>
                <w:sz w:val="18"/>
                <w:szCs w:val="18"/>
                <w:lang w:val="sq-AL"/>
              </w:rPr>
              <w:t>’</w:t>
            </w:r>
            <w:r w:rsidR="00500457" w:rsidRPr="00551729">
              <w:rPr>
                <w:rFonts w:ascii="Garamond" w:hAnsi="Garamond"/>
                <w:sz w:val="18"/>
                <w:szCs w:val="18"/>
                <w:lang w:val="sq-AL"/>
              </w:rPr>
              <w:t>u përqendruar më shumë në nevojat lokale për njohuri dhe aftësi;</w:t>
            </w:r>
          </w:p>
          <w:p w14:paraId="1BADCF13" w14:textId="0568D0FB" w:rsidR="00500457" w:rsidRPr="00551729" w:rsidRDefault="009A406B" w:rsidP="009A406B">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Multietniciteti si një avantazh për përfshirje ekonomike, sociale dhe kulturore.</w:t>
            </w:r>
          </w:p>
        </w:tc>
        <w:tc>
          <w:tcPr>
            <w:tcW w:w="2303" w:type="dxa"/>
            <w:tcBorders>
              <w:top w:val="thickThinMediumGap" w:sz="12" w:space="0" w:color="000000"/>
              <w:left w:val="single" w:sz="6" w:space="0" w:color="000000"/>
              <w:bottom w:val="triple" w:sz="6" w:space="0" w:color="000000"/>
              <w:right w:val="single" w:sz="6" w:space="0" w:color="000000"/>
            </w:tcBorders>
          </w:tcPr>
          <w:p w14:paraId="1BADCF14" w14:textId="43A3E3C6"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Reduktimi dhe largimi i popullsisë së aftë dhe të arsimuar nga pjesët rurale të zonës së programit;</w:t>
            </w:r>
          </w:p>
          <w:p w14:paraId="1BADCF15" w14:textId="421A4437" w:rsidR="00500457" w:rsidRPr="00551729" w:rsidRDefault="009A406B" w:rsidP="00786614">
            <w:pPr>
              <w:pStyle w:val="TableParagraph"/>
              <w:jc w:val="bot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Shkalla e lartë e papunësisë, veçanërisht ndër popullsinë e re dhe femrat;</w:t>
            </w:r>
          </w:p>
          <w:p w14:paraId="1BADCF16" w14:textId="56E21573"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Kurrikula nuk i përshtatet plotësisht tregut të punës - trajnimi i orientuar profesional;</w:t>
            </w:r>
          </w:p>
          <w:p w14:paraId="1BADCF17" w14:textId="77777777" w:rsidR="00500457" w:rsidRPr="00551729" w:rsidRDefault="00500457" w:rsidP="007D1FAB">
            <w:pPr>
              <w:pStyle w:val="TableParagraph"/>
              <w:numPr>
                <w:ilvl w:val="0"/>
                <w:numId w:val="38"/>
              </w:numPr>
              <w:tabs>
                <w:tab w:val="left" w:pos="212"/>
              </w:tabs>
              <w:ind w:left="0" w:firstLine="0"/>
              <w:jc w:val="both"/>
              <w:rPr>
                <w:rFonts w:ascii="Garamond" w:hAnsi="Garamond"/>
                <w:sz w:val="18"/>
                <w:szCs w:val="18"/>
                <w:lang w:val="sq-AL"/>
              </w:rPr>
            </w:pPr>
            <w:r w:rsidRPr="00551729">
              <w:rPr>
                <w:rFonts w:ascii="Garamond" w:hAnsi="Garamond"/>
                <w:sz w:val="18"/>
                <w:szCs w:val="18"/>
                <w:lang w:val="sq-AL"/>
              </w:rPr>
              <w:t>Numri i madh i familjeve që varen nga paratë e</w:t>
            </w:r>
            <w:r w:rsidRPr="00551729">
              <w:rPr>
                <w:rFonts w:ascii="Garamond" w:hAnsi="Garamond"/>
                <w:spacing w:val="-7"/>
                <w:sz w:val="18"/>
                <w:szCs w:val="18"/>
                <w:lang w:val="sq-AL"/>
              </w:rPr>
              <w:t xml:space="preserve"> </w:t>
            </w:r>
            <w:r w:rsidRPr="00551729">
              <w:rPr>
                <w:rFonts w:ascii="Garamond" w:hAnsi="Garamond"/>
                <w:sz w:val="18"/>
                <w:szCs w:val="18"/>
                <w:lang w:val="sq-AL"/>
              </w:rPr>
              <w:t>dërguara nga</w:t>
            </w:r>
            <w:r w:rsidRPr="00551729">
              <w:rPr>
                <w:rFonts w:ascii="Garamond" w:hAnsi="Garamond"/>
                <w:spacing w:val="-8"/>
                <w:sz w:val="18"/>
                <w:szCs w:val="18"/>
                <w:lang w:val="sq-AL"/>
              </w:rPr>
              <w:t xml:space="preserve"> </w:t>
            </w:r>
            <w:r w:rsidRPr="00551729">
              <w:rPr>
                <w:rFonts w:ascii="Garamond" w:hAnsi="Garamond"/>
                <w:sz w:val="18"/>
                <w:szCs w:val="18"/>
                <w:lang w:val="sq-AL"/>
              </w:rPr>
              <w:t>jashtë;</w:t>
            </w:r>
          </w:p>
          <w:p w14:paraId="1BADCF18" w14:textId="16F1E074" w:rsidR="00500457" w:rsidRPr="00551729" w:rsidRDefault="00500457" w:rsidP="007D1FAB">
            <w:pPr>
              <w:pStyle w:val="TableParagraph"/>
              <w:numPr>
                <w:ilvl w:val="0"/>
                <w:numId w:val="38"/>
              </w:numPr>
              <w:tabs>
                <w:tab w:val="left" w:pos="212"/>
              </w:tabs>
              <w:ind w:left="0" w:firstLine="0"/>
              <w:rPr>
                <w:rFonts w:ascii="Garamond" w:hAnsi="Garamond"/>
                <w:sz w:val="18"/>
                <w:szCs w:val="18"/>
                <w:lang w:val="sq-AL"/>
              </w:rPr>
            </w:pPr>
            <w:r w:rsidRPr="00551729">
              <w:rPr>
                <w:rFonts w:ascii="Garamond" w:hAnsi="Garamond"/>
                <w:sz w:val="18"/>
                <w:szCs w:val="18"/>
                <w:lang w:val="sq-AL"/>
              </w:rPr>
              <w:t>Niveli i ulët i arsimit të popullsisë rurale dhe grupeve shoqërore të margjinalizuara, të tilla si Romët</w:t>
            </w:r>
            <w:r w:rsidR="00B65E6C">
              <w:rPr>
                <w:rFonts w:ascii="Garamond" w:hAnsi="Garamond"/>
                <w:sz w:val="18"/>
                <w:szCs w:val="18"/>
                <w:lang w:val="sq-AL"/>
              </w:rPr>
              <w:t xml:space="preserve"> etj</w:t>
            </w:r>
            <w:r w:rsidRPr="00551729">
              <w:rPr>
                <w:rFonts w:ascii="Garamond" w:hAnsi="Garamond"/>
                <w:sz w:val="18"/>
                <w:szCs w:val="18"/>
                <w:lang w:val="sq-AL"/>
              </w:rPr>
              <w:t>.;</w:t>
            </w:r>
          </w:p>
          <w:p w14:paraId="1BADCF19" w14:textId="77777777" w:rsidR="00500457" w:rsidRPr="00551729" w:rsidRDefault="00500457" w:rsidP="007D1FAB">
            <w:pPr>
              <w:pStyle w:val="TableParagraph"/>
              <w:numPr>
                <w:ilvl w:val="0"/>
                <w:numId w:val="38"/>
              </w:numPr>
              <w:tabs>
                <w:tab w:val="left" w:pos="212"/>
              </w:tabs>
              <w:ind w:left="0" w:firstLine="0"/>
              <w:rPr>
                <w:rFonts w:ascii="Garamond" w:hAnsi="Garamond"/>
                <w:sz w:val="18"/>
                <w:szCs w:val="18"/>
                <w:lang w:val="sq-AL"/>
              </w:rPr>
            </w:pPr>
            <w:r w:rsidRPr="00551729">
              <w:rPr>
                <w:rFonts w:ascii="Garamond" w:hAnsi="Garamond"/>
                <w:sz w:val="18"/>
                <w:szCs w:val="18"/>
                <w:lang w:val="sq-AL"/>
              </w:rPr>
              <w:t>Institucione të dobëta të promovimit të punës në</w:t>
            </w:r>
            <w:r w:rsidRPr="00551729">
              <w:rPr>
                <w:rFonts w:ascii="Garamond" w:hAnsi="Garamond"/>
                <w:spacing w:val="-10"/>
                <w:sz w:val="18"/>
                <w:szCs w:val="18"/>
                <w:lang w:val="sq-AL"/>
              </w:rPr>
              <w:t xml:space="preserve"> </w:t>
            </w:r>
            <w:r w:rsidRPr="00551729">
              <w:rPr>
                <w:rFonts w:ascii="Garamond" w:hAnsi="Garamond"/>
                <w:sz w:val="18"/>
                <w:szCs w:val="18"/>
                <w:lang w:val="sq-AL"/>
              </w:rPr>
              <w:t>nivel lokal.</w:t>
            </w:r>
          </w:p>
        </w:tc>
        <w:tc>
          <w:tcPr>
            <w:tcW w:w="2302" w:type="dxa"/>
            <w:tcBorders>
              <w:top w:val="thickThinMediumGap" w:sz="12" w:space="0" w:color="000000"/>
              <w:left w:val="single" w:sz="6" w:space="0" w:color="000000"/>
              <w:bottom w:val="triple" w:sz="6" w:space="0" w:color="000000"/>
              <w:right w:val="single" w:sz="6" w:space="0" w:color="000000"/>
            </w:tcBorders>
          </w:tcPr>
          <w:p w14:paraId="1BADCF1A" w14:textId="58680817"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Përmirësimi i nivelit të arsimit profesional në funksion të përshtatjes më të mirë me kërkesat e tregut të punës për punonjësit më të aftë;</w:t>
            </w:r>
          </w:p>
          <w:p w14:paraId="1BADCF1B" w14:textId="77777777" w:rsidR="00500457" w:rsidRPr="00551729" w:rsidRDefault="00500457" w:rsidP="007D1FAB">
            <w:pPr>
              <w:pStyle w:val="TableParagraph"/>
              <w:numPr>
                <w:ilvl w:val="0"/>
                <w:numId w:val="37"/>
              </w:numPr>
              <w:tabs>
                <w:tab w:val="left" w:pos="210"/>
              </w:tabs>
              <w:ind w:left="0" w:firstLine="0"/>
              <w:rPr>
                <w:rFonts w:ascii="Garamond" w:hAnsi="Garamond"/>
                <w:sz w:val="18"/>
                <w:szCs w:val="18"/>
                <w:lang w:val="sq-AL"/>
              </w:rPr>
            </w:pPr>
            <w:r w:rsidRPr="00551729">
              <w:rPr>
                <w:rFonts w:ascii="Garamond" w:hAnsi="Garamond"/>
                <w:sz w:val="18"/>
                <w:szCs w:val="18"/>
                <w:lang w:val="sq-AL"/>
              </w:rPr>
              <w:t>Zhvillimi i aktiviteteve të kërkimit shkencor dhe zhvillimit, duke përdorur kërkimet ekzistuese dhe qendrat e arsimit të</w:t>
            </w:r>
            <w:r w:rsidRPr="00551729">
              <w:rPr>
                <w:rFonts w:ascii="Garamond" w:hAnsi="Garamond"/>
                <w:spacing w:val="-7"/>
                <w:sz w:val="18"/>
                <w:szCs w:val="18"/>
                <w:lang w:val="sq-AL"/>
              </w:rPr>
              <w:t xml:space="preserve"> </w:t>
            </w:r>
            <w:r w:rsidRPr="00551729">
              <w:rPr>
                <w:rFonts w:ascii="Garamond" w:hAnsi="Garamond"/>
                <w:sz w:val="18"/>
                <w:szCs w:val="18"/>
                <w:lang w:val="sq-AL"/>
              </w:rPr>
              <w:t>lartë;</w:t>
            </w:r>
          </w:p>
          <w:p w14:paraId="1BADCF1C" w14:textId="77777777" w:rsidR="00500457" w:rsidRPr="00551729" w:rsidRDefault="00500457" w:rsidP="007D1FAB">
            <w:pPr>
              <w:pStyle w:val="TableParagraph"/>
              <w:numPr>
                <w:ilvl w:val="0"/>
                <w:numId w:val="37"/>
              </w:numPr>
              <w:tabs>
                <w:tab w:val="left" w:pos="210"/>
              </w:tabs>
              <w:ind w:left="0" w:firstLine="0"/>
              <w:rPr>
                <w:rFonts w:ascii="Garamond" w:hAnsi="Garamond"/>
                <w:sz w:val="18"/>
                <w:szCs w:val="18"/>
                <w:lang w:val="sq-AL"/>
              </w:rPr>
            </w:pPr>
            <w:r w:rsidRPr="00551729">
              <w:rPr>
                <w:rFonts w:ascii="Garamond" w:hAnsi="Garamond"/>
                <w:sz w:val="18"/>
                <w:szCs w:val="18"/>
                <w:lang w:val="sq-AL"/>
              </w:rPr>
              <w:t>Programet për rritjen e aksesit në tregun e punës të popullsisë rurale,</w:t>
            </w:r>
            <w:r w:rsidRPr="00551729">
              <w:rPr>
                <w:rFonts w:ascii="Garamond" w:hAnsi="Garamond"/>
                <w:spacing w:val="-8"/>
                <w:sz w:val="18"/>
                <w:szCs w:val="18"/>
                <w:lang w:val="sq-AL"/>
              </w:rPr>
              <w:t xml:space="preserve"> </w:t>
            </w:r>
            <w:r w:rsidRPr="00551729">
              <w:rPr>
                <w:rFonts w:ascii="Garamond" w:hAnsi="Garamond"/>
                <w:sz w:val="18"/>
                <w:szCs w:val="18"/>
                <w:lang w:val="sq-AL"/>
              </w:rPr>
              <w:t>veçanërisht të grave dhe grupeve të margjinalizuara;</w:t>
            </w:r>
          </w:p>
          <w:p w14:paraId="1BADCF1D" w14:textId="77777777" w:rsidR="00500457" w:rsidRPr="00551729" w:rsidRDefault="00500457" w:rsidP="007D1FAB">
            <w:pPr>
              <w:pStyle w:val="TableParagraph"/>
              <w:numPr>
                <w:ilvl w:val="0"/>
                <w:numId w:val="37"/>
              </w:numPr>
              <w:tabs>
                <w:tab w:val="left" w:pos="210"/>
              </w:tabs>
              <w:ind w:left="0" w:firstLine="0"/>
              <w:rPr>
                <w:rFonts w:ascii="Garamond" w:hAnsi="Garamond"/>
                <w:sz w:val="18"/>
                <w:szCs w:val="18"/>
                <w:lang w:val="sq-AL"/>
              </w:rPr>
            </w:pPr>
            <w:r w:rsidRPr="00551729">
              <w:rPr>
                <w:rFonts w:ascii="Garamond" w:hAnsi="Garamond"/>
                <w:sz w:val="18"/>
                <w:szCs w:val="18"/>
                <w:lang w:val="sq-AL"/>
              </w:rPr>
              <w:t>Zhvillimi i programeve të punësimit për integrimin social të grupeve</w:t>
            </w:r>
            <w:r w:rsidRPr="00551729">
              <w:rPr>
                <w:rFonts w:ascii="Garamond" w:hAnsi="Garamond"/>
                <w:spacing w:val="-10"/>
                <w:sz w:val="18"/>
                <w:szCs w:val="18"/>
                <w:lang w:val="sq-AL"/>
              </w:rPr>
              <w:t xml:space="preserve"> </w:t>
            </w:r>
            <w:r w:rsidRPr="00551729">
              <w:rPr>
                <w:rFonts w:ascii="Garamond" w:hAnsi="Garamond"/>
                <w:sz w:val="18"/>
                <w:szCs w:val="18"/>
                <w:lang w:val="sq-AL"/>
              </w:rPr>
              <w:t>shoqërore të</w:t>
            </w:r>
            <w:r w:rsidRPr="00551729">
              <w:rPr>
                <w:rFonts w:ascii="Garamond" w:hAnsi="Garamond"/>
                <w:spacing w:val="-6"/>
                <w:sz w:val="18"/>
                <w:szCs w:val="18"/>
                <w:lang w:val="sq-AL"/>
              </w:rPr>
              <w:t xml:space="preserve"> </w:t>
            </w:r>
            <w:r w:rsidRPr="00551729">
              <w:rPr>
                <w:rFonts w:ascii="Garamond" w:hAnsi="Garamond"/>
                <w:sz w:val="18"/>
                <w:szCs w:val="18"/>
                <w:lang w:val="sq-AL"/>
              </w:rPr>
              <w:t>margjinalizuara;</w:t>
            </w:r>
          </w:p>
          <w:p w14:paraId="1BADCF1E" w14:textId="77777777" w:rsidR="00500457" w:rsidRPr="00551729" w:rsidRDefault="00500457" w:rsidP="007D1FAB">
            <w:pPr>
              <w:pStyle w:val="TableParagraph"/>
              <w:numPr>
                <w:ilvl w:val="0"/>
                <w:numId w:val="37"/>
              </w:numPr>
              <w:tabs>
                <w:tab w:val="left" w:pos="210"/>
              </w:tabs>
              <w:ind w:left="0" w:firstLine="0"/>
              <w:rPr>
                <w:rFonts w:ascii="Garamond" w:hAnsi="Garamond"/>
                <w:sz w:val="18"/>
                <w:szCs w:val="18"/>
                <w:lang w:val="sq-AL"/>
              </w:rPr>
            </w:pPr>
            <w:r w:rsidRPr="00551729">
              <w:rPr>
                <w:rFonts w:ascii="Garamond" w:hAnsi="Garamond"/>
                <w:sz w:val="18"/>
                <w:szCs w:val="18"/>
                <w:lang w:val="sq-AL"/>
              </w:rPr>
              <w:t>Përmirësimi i lëvizjes së punonjësve në zonën e bashkëpunimit</w:t>
            </w:r>
            <w:r w:rsidRPr="00551729">
              <w:rPr>
                <w:rFonts w:ascii="Garamond" w:hAnsi="Garamond"/>
                <w:spacing w:val="-8"/>
                <w:sz w:val="18"/>
                <w:szCs w:val="18"/>
                <w:lang w:val="sq-AL"/>
              </w:rPr>
              <w:t xml:space="preserve"> </w:t>
            </w:r>
            <w:r w:rsidRPr="00551729">
              <w:rPr>
                <w:rFonts w:ascii="Garamond" w:hAnsi="Garamond"/>
                <w:sz w:val="18"/>
                <w:szCs w:val="18"/>
                <w:lang w:val="sq-AL"/>
              </w:rPr>
              <w:t>ndërkufitar.</w:t>
            </w:r>
          </w:p>
        </w:tc>
        <w:tc>
          <w:tcPr>
            <w:tcW w:w="2213" w:type="dxa"/>
            <w:tcBorders>
              <w:top w:val="thickThinMediumGap" w:sz="12" w:space="0" w:color="000000"/>
              <w:left w:val="single" w:sz="6" w:space="0" w:color="000000"/>
              <w:bottom w:val="triple" w:sz="6" w:space="0" w:color="000000"/>
            </w:tcBorders>
          </w:tcPr>
          <w:p w14:paraId="1BADCF1F" w14:textId="265C266A"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Mungesa e mundësive të punësimit që çojnë në migrim më të lartë në drejtim të zonave të zhvilluara të vendit ose jashtë vendit , veçanërisht të personave të rinj dhe të kualifikuar;</w:t>
            </w:r>
          </w:p>
          <w:p w14:paraId="1BADCF20" w14:textId="4DAA1C76" w:rsidR="00500457" w:rsidRPr="00551729" w:rsidRDefault="009A406B"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Kriza e zgjatur ekonomike e cila rrit papunësinë, me efekte më të mëdha të përhapura mbi grupet më pak të arsimuar dhe ato vulnerabël;</w:t>
            </w:r>
          </w:p>
          <w:p w14:paraId="1BADCF21" w14:textId="7603EEE2" w:rsidR="00500457" w:rsidRPr="00551729" w:rsidRDefault="009A406B" w:rsidP="009A406B">
            <w:pPr>
              <w:pStyle w:val="TableParagraph"/>
              <w:tabs>
                <w:tab w:val="left" w:pos="210"/>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Aksesi i dobët i popullsisë rurale në sistemin arsimor për shkak të varfërisë apo infrastrukturës arsimore të papërshtatshme.</w:t>
            </w:r>
          </w:p>
        </w:tc>
      </w:tr>
      <w:tr w:rsidR="00500457" w:rsidRPr="00551729" w14:paraId="1BADCF3A" w14:textId="77777777" w:rsidTr="00786614">
        <w:trPr>
          <w:trHeight w:hRule="exact" w:val="5875"/>
        </w:trPr>
        <w:tc>
          <w:tcPr>
            <w:tcW w:w="1059" w:type="dxa"/>
            <w:tcBorders>
              <w:top w:val="triple" w:sz="6" w:space="0" w:color="000000"/>
              <w:left w:val="double" w:sz="6" w:space="0" w:color="000000"/>
              <w:right w:val="single" w:sz="6" w:space="0" w:color="000000"/>
            </w:tcBorders>
            <w:textDirection w:val="btLr"/>
            <w:vAlign w:val="center"/>
          </w:tcPr>
          <w:p w14:paraId="1BADCF23" w14:textId="77777777" w:rsidR="00500457" w:rsidRPr="00551729" w:rsidRDefault="00500457" w:rsidP="00786614">
            <w:pPr>
              <w:pStyle w:val="TableParagraph"/>
              <w:jc w:val="center"/>
              <w:rPr>
                <w:rFonts w:ascii="Garamond" w:hAnsi="Garamond"/>
                <w:b/>
                <w:sz w:val="18"/>
                <w:szCs w:val="18"/>
                <w:lang w:val="sq-AL"/>
              </w:rPr>
            </w:pPr>
            <w:r w:rsidRPr="00551729">
              <w:rPr>
                <w:rFonts w:ascii="Garamond" w:hAnsi="Garamond"/>
                <w:b/>
                <w:spacing w:val="-1"/>
                <w:sz w:val="18"/>
                <w:szCs w:val="18"/>
                <w:lang w:val="sq-AL"/>
              </w:rPr>
              <w:t>M</w:t>
            </w:r>
            <w:r w:rsidRPr="00551729">
              <w:rPr>
                <w:rFonts w:ascii="Garamond" w:hAnsi="Garamond"/>
                <w:b/>
                <w:sz w:val="18"/>
                <w:szCs w:val="18"/>
                <w:lang w:val="sq-AL"/>
              </w:rPr>
              <w:t>BRO</w:t>
            </w:r>
            <w:r w:rsidRPr="00551729">
              <w:rPr>
                <w:rFonts w:ascii="Garamond" w:hAnsi="Garamond"/>
                <w:b/>
                <w:spacing w:val="-2"/>
                <w:sz w:val="18"/>
                <w:szCs w:val="18"/>
                <w:lang w:val="sq-AL"/>
              </w:rPr>
              <w:t>J</w:t>
            </w:r>
            <w:r w:rsidRPr="00551729">
              <w:rPr>
                <w:rFonts w:ascii="Garamond" w:hAnsi="Garamond"/>
                <w:b/>
                <w:sz w:val="18"/>
                <w:szCs w:val="18"/>
                <w:lang w:val="sq-AL"/>
              </w:rPr>
              <w:t>T</w:t>
            </w:r>
            <w:r w:rsidRPr="00551729">
              <w:rPr>
                <w:rFonts w:ascii="Garamond" w:hAnsi="Garamond"/>
                <w:b/>
                <w:spacing w:val="-2"/>
                <w:sz w:val="18"/>
                <w:szCs w:val="18"/>
                <w:lang w:val="sq-AL"/>
              </w:rPr>
              <w:t>J</w:t>
            </w:r>
            <w:r w:rsidRPr="00551729">
              <w:rPr>
                <w:rFonts w:ascii="Garamond" w:hAnsi="Garamond"/>
                <w:b/>
                <w:sz w:val="18"/>
                <w:szCs w:val="18"/>
                <w:lang w:val="sq-AL"/>
              </w:rPr>
              <w:t>A</w:t>
            </w:r>
            <w:r w:rsidRPr="00551729">
              <w:rPr>
                <w:rFonts w:ascii="Garamond" w:hAnsi="Garamond"/>
                <w:b/>
                <w:spacing w:val="-2"/>
                <w:sz w:val="18"/>
                <w:szCs w:val="18"/>
                <w:lang w:val="sq-AL"/>
              </w:rPr>
              <w:t xml:space="preserve"> </w:t>
            </w:r>
            <w:r w:rsidRPr="00551729">
              <w:rPr>
                <w:rFonts w:ascii="Garamond" w:hAnsi="Garamond"/>
                <w:b/>
                <w:sz w:val="18"/>
                <w:szCs w:val="18"/>
                <w:lang w:val="sq-AL"/>
              </w:rPr>
              <w:t>E M</w:t>
            </w:r>
            <w:r w:rsidRPr="00551729">
              <w:rPr>
                <w:rFonts w:ascii="Garamond" w:hAnsi="Garamond"/>
                <w:b/>
                <w:spacing w:val="-2"/>
                <w:sz w:val="18"/>
                <w:szCs w:val="18"/>
                <w:lang w:val="sq-AL"/>
              </w:rPr>
              <w:t>J</w:t>
            </w:r>
            <w:r w:rsidRPr="00551729">
              <w:rPr>
                <w:rFonts w:ascii="Garamond" w:hAnsi="Garamond"/>
                <w:b/>
                <w:sz w:val="18"/>
                <w:szCs w:val="18"/>
                <w:lang w:val="sq-AL"/>
              </w:rPr>
              <w:t>E</w:t>
            </w:r>
            <w:r w:rsidRPr="00551729">
              <w:rPr>
                <w:rFonts w:ascii="Garamond" w:hAnsi="Garamond"/>
                <w:b/>
                <w:spacing w:val="-3"/>
                <w:sz w:val="18"/>
                <w:szCs w:val="18"/>
                <w:lang w:val="sq-AL"/>
              </w:rPr>
              <w:t>D</w:t>
            </w:r>
            <w:r w:rsidRPr="00551729">
              <w:rPr>
                <w:rFonts w:ascii="Garamond" w:hAnsi="Garamond"/>
                <w:b/>
                <w:sz w:val="18"/>
                <w:szCs w:val="18"/>
                <w:lang w:val="sq-AL"/>
              </w:rPr>
              <w:t>I</w:t>
            </w:r>
            <w:r w:rsidRPr="00551729">
              <w:rPr>
                <w:rFonts w:ascii="Garamond" w:hAnsi="Garamond"/>
                <w:b/>
                <w:spacing w:val="-2"/>
                <w:sz w:val="18"/>
                <w:szCs w:val="18"/>
                <w:lang w:val="sq-AL"/>
              </w:rPr>
              <w:t>S</w:t>
            </w:r>
            <w:r w:rsidRPr="00551729">
              <w:rPr>
                <w:rFonts w:ascii="Garamond" w:hAnsi="Garamond"/>
                <w:b/>
                <w:sz w:val="18"/>
                <w:szCs w:val="18"/>
                <w:lang w:val="sq-AL"/>
              </w:rPr>
              <w:t>IT</w:t>
            </w:r>
            <w:r w:rsidRPr="00551729">
              <w:rPr>
                <w:rFonts w:ascii="Garamond" w:hAnsi="Garamond"/>
                <w:b/>
                <w:spacing w:val="-2"/>
                <w:sz w:val="18"/>
                <w:szCs w:val="18"/>
                <w:lang w:val="sq-AL"/>
              </w:rPr>
              <w:t xml:space="preserve"> </w:t>
            </w:r>
            <w:r w:rsidRPr="00551729">
              <w:rPr>
                <w:rFonts w:ascii="Garamond" w:hAnsi="Garamond"/>
                <w:b/>
                <w:sz w:val="18"/>
                <w:szCs w:val="18"/>
                <w:lang w:val="sq-AL"/>
              </w:rPr>
              <w:t>,</w:t>
            </w:r>
            <w:r w:rsidRPr="00551729">
              <w:rPr>
                <w:rFonts w:ascii="Garamond" w:hAnsi="Garamond"/>
                <w:b/>
                <w:spacing w:val="-1"/>
                <w:sz w:val="18"/>
                <w:szCs w:val="18"/>
                <w:lang w:val="sq-AL"/>
              </w:rPr>
              <w:t xml:space="preserve"> P</w:t>
            </w:r>
            <w:r w:rsidRPr="00551729">
              <w:rPr>
                <w:rFonts w:ascii="Garamond" w:hAnsi="Garamond"/>
                <w:b/>
                <w:spacing w:val="-2"/>
                <w:sz w:val="18"/>
                <w:szCs w:val="18"/>
                <w:lang w:val="sq-AL"/>
              </w:rPr>
              <w:t>R</w:t>
            </w:r>
            <w:r w:rsidRPr="00551729">
              <w:rPr>
                <w:rFonts w:ascii="Garamond" w:hAnsi="Garamond"/>
                <w:b/>
                <w:spacing w:val="-1"/>
                <w:sz w:val="18"/>
                <w:szCs w:val="18"/>
                <w:lang w:val="sq-AL"/>
              </w:rPr>
              <w:t>O</w:t>
            </w:r>
            <w:r w:rsidRPr="00551729">
              <w:rPr>
                <w:rFonts w:ascii="Garamond" w:hAnsi="Garamond"/>
                <w:b/>
                <w:spacing w:val="-2"/>
                <w:sz w:val="18"/>
                <w:szCs w:val="18"/>
                <w:lang w:val="sq-AL"/>
              </w:rPr>
              <w:t>M</w:t>
            </w:r>
            <w:r w:rsidRPr="00551729">
              <w:rPr>
                <w:rFonts w:ascii="Garamond" w:hAnsi="Garamond"/>
                <w:b/>
                <w:spacing w:val="-1"/>
                <w:sz w:val="18"/>
                <w:szCs w:val="18"/>
                <w:lang w:val="sq-AL"/>
              </w:rPr>
              <w:t>O</w:t>
            </w:r>
            <w:r w:rsidRPr="00551729">
              <w:rPr>
                <w:rFonts w:ascii="Garamond" w:hAnsi="Garamond"/>
                <w:b/>
                <w:spacing w:val="-2"/>
                <w:sz w:val="18"/>
                <w:szCs w:val="18"/>
                <w:lang w:val="sq-AL"/>
              </w:rPr>
              <w:t>V</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pacing w:val="-1"/>
                <w:sz w:val="18"/>
                <w:szCs w:val="18"/>
                <w:lang w:val="sq-AL"/>
              </w:rPr>
              <w:t>P</w:t>
            </w:r>
            <w:r w:rsidRPr="00551729">
              <w:rPr>
                <w:rFonts w:ascii="Garamond" w:hAnsi="Garamond"/>
                <w:b/>
                <w:spacing w:val="-2"/>
                <w:sz w:val="18"/>
                <w:szCs w:val="18"/>
                <w:lang w:val="sq-AL"/>
              </w:rPr>
              <w:t>Ë</w:t>
            </w:r>
            <w:r w:rsidRPr="00551729">
              <w:rPr>
                <w:rFonts w:ascii="Garamond" w:hAnsi="Garamond"/>
                <w:b/>
                <w:sz w:val="18"/>
                <w:szCs w:val="18"/>
                <w:lang w:val="sq-AL"/>
              </w:rPr>
              <w:t>R</w:t>
            </w:r>
            <w:r w:rsidRPr="00551729">
              <w:rPr>
                <w:rFonts w:ascii="Garamond" w:hAnsi="Garamond"/>
                <w:b/>
                <w:spacing w:val="1"/>
                <w:sz w:val="18"/>
                <w:szCs w:val="18"/>
                <w:lang w:val="sq-AL"/>
              </w:rPr>
              <w:t>S</w:t>
            </w:r>
            <w:r w:rsidRPr="00551729">
              <w:rPr>
                <w:rFonts w:ascii="Garamond" w:hAnsi="Garamond"/>
                <w:b/>
                <w:spacing w:val="-3"/>
                <w:sz w:val="18"/>
                <w:szCs w:val="18"/>
                <w:lang w:val="sq-AL"/>
              </w:rPr>
              <w:t>H</w:t>
            </w:r>
            <w:r w:rsidRPr="00551729">
              <w:rPr>
                <w:rFonts w:ascii="Garamond" w:hAnsi="Garamond"/>
                <w:b/>
                <w:spacing w:val="-2"/>
                <w:sz w:val="18"/>
                <w:szCs w:val="18"/>
                <w:lang w:val="sq-AL"/>
              </w:rPr>
              <w:t>T</w:t>
            </w:r>
            <w:r w:rsidRPr="00551729">
              <w:rPr>
                <w:rFonts w:ascii="Garamond" w:hAnsi="Garamond"/>
                <w:b/>
                <w:sz w:val="18"/>
                <w:szCs w:val="18"/>
                <w:lang w:val="sq-AL"/>
              </w:rPr>
              <w:t>A</w:t>
            </w:r>
            <w:r w:rsidRPr="00551729">
              <w:rPr>
                <w:rFonts w:ascii="Garamond" w:hAnsi="Garamond"/>
                <w:b/>
                <w:spacing w:val="1"/>
                <w:sz w:val="18"/>
                <w:szCs w:val="18"/>
                <w:lang w:val="sq-AL"/>
              </w:rPr>
              <w:t>T</w:t>
            </w:r>
            <w:r w:rsidRPr="00551729">
              <w:rPr>
                <w:rFonts w:ascii="Garamond" w:hAnsi="Garamond"/>
                <w:b/>
                <w:spacing w:val="-2"/>
                <w:sz w:val="18"/>
                <w:szCs w:val="18"/>
                <w:lang w:val="sq-AL"/>
              </w:rPr>
              <w:t>J</w:t>
            </w:r>
            <w:r w:rsidRPr="00551729">
              <w:rPr>
                <w:rFonts w:ascii="Garamond" w:hAnsi="Garamond"/>
                <w:b/>
                <w:spacing w:val="-3"/>
                <w:sz w:val="18"/>
                <w:szCs w:val="18"/>
                <w:lang w:val="sq-AL"/>
              </w:rPr>
              <w:t>E</w:t>
            </w:r>
            <w:r w:rsidRPr="00551729">
              <w:rPr>
                <w:rFonts w:ascii="Garamond" w:hAnsi="Garamond"/>
                <w:b/>
                <w:sz w:val="18"/>
                <w:szCs w:val="18"/>
                <w:lang w:val="sq-AL"/>
              </w:rPr>
              <w:t xml:space="preserve">S </w:t>
            </w:r>
            <w:r w:rsidRPr="00551729">
              <w:rPr>
                <w:rFonts w:ascii="Garamond" w:hAnsi="Garamond"/>
                <w:b/>
                <w:spacing w:val="-1"/>
                <w:sz w:val="18"/>
                <w:szCs w:val="18"/>
                <w:lang w:val="sq-AL"/>
              </w:rPr>
              <w:t>DH</w:t>
            </w:r>
            <w:r w:rsidRPr="00551729">
              <w:rPr>
                <w:rFonts w:ascii="Garamond" w:hAnsi="Garamond"/>
                <w:b/>
                <w:sz w:val="18"/>
                <w:szCs w:val="18"/>
                <w:lang w:val="sq-AL"/>
              </w:rPr>
              <w:t>E L</w:t>
            </w:r>
            <w:r w:rsidRPr="00551729">
              <w:rPr>
                <w:rFonts w:ascii="Garamond" w:hAnsi="Garamond"/>
                <w:b/>
                <w:spacing w:val="-2"/>
                <w:sz w:val="18"/>
                <w:szCs w:val="18"/>
                <w:lang w:val="sq-AL"/>
              </w:rPr>
              <w:t>E</w:t>
            </w:r>
            <w:r w:rsidRPr="00551729">
              <w:rPr>
                <w:rFonts w:ascii="Garamond" w:hAnsi="Garamond"/>
                <w:b/>
                <w:sz w:val="18"/>
                <w:szCs w:val="18"/>
                <w:lang w:val="sq-AL"/>
              </w:rPr>
              <w:t>H</w:t>
            </w:r>
            <w:r w:rsidRPr="00551729">
              <w:rPr>
                <w:rFonts w:ascii="Garamond" w:hAnsi="Garamond"/>
                <w:b/>
                <w:spacing w:val="-2"/>
                <w:sz w:val="18"/>
                <w:szCs w:val="18"/>
                <w:lang w:val="sq-AL"/>
              </w:rPr>
              <w:t>T</w:t>
            </w:r>
            <w:r w:rsidRPr="00551729">
              <w:rPr>
                <w:rFonts w:ascii="Garamond" w:hAnsi="Garamond"/>
                <w:b/>
                <w:sz w:val="18"/>
                <w:szCs w:val="18"/>
                <w:lang w:val="sq-AL"/>
              </w:rPr>
              <w:t>Ë</w:t>
            </w:r>
            <w:r w:rsidRPr="00551729">
              <w:rPr>
                <w:rFonts w:ascii="Garamond" w:hAnsi="Garamond"/>
                <w:b/>
                <w:spacing w:val="-1"/>
                <w:sz w:val="18"/>
                <w:szCs w:val="18"/>
                <w:lang w:val="sq-AL"/>
              </w:rPr>
              <w:t>S</w:t>
            </w:r>
            <w:r w:rsidRPr="00551729">
              <w:rPr>
                <w:rFonts w:ascii="Garamond" w:hAnsi="Garamond"/>
                <w:b/>
                <w:spacing w:val="1"/>
                <w:sz w:val="18"/>
                <w:szCs w:val="18"/>
                <w:lang w:val="sq-AL"/>
              </w:rPr>
              <w:t>I</w:t>
            </w:r>
            <w:r w:rsidRPr="00551729">
              <w:rPr>
                <w:rFonts w:ascii="Garamond" w:hAnsi="Garamond"/>
                <w:b/>
                <w:spacing w:val="-1"/>
                <w:sz w:val="18"/>
                <w:szCs w:val="18"/>
                <w:lang w:val="sq-AL"/>
              </w:rPr>
              <w:t>M</w:t>
            </w:r>
            <w:r w:rsidRPr="00551729">
              <w:rPr>
                <w:rFonts w:ascii="Garamond" w:hAnsi="Garamond"/>
                <w:b/>
                <w:spacing w:val="-2"/>
                <w:sz w:val="18"/>
                <w:szCs w:val="18"/>
                <w:lang w:val="sq-AL"/>
              </w:rPr>
              <w:t>I</w:t>
            </w:r>
            <w:r w:rsidRPr="00551729">
              <w:rPr>
                <w:rFonts w:ascii="Garamond" w:hAnsi="Garamond"/>
                <w:b/>
                <w:sz w:val="18"/>
                <w:szCs w:val="18"/>
                <w:lang w:val="sq-AL"/>
              </w:rPr>
              <w:t>T</w:t>
            </w:r>
            <w:r w:rsidRPr="00551729">
              <w:rPr>
                <w:rFonts w:ascii="Garamond" w:hAnsi="Garamond"/>
                <w:b/>
                <w:spacing w:val="-1"/>
                <w:sz w:val="18"/>
                <w:szCs w:val="18"/>
                <w:lang w:val="sq-AL"/>
              </w:rPr>
              <w:t xml:space="preserve"> </w:t>
            </w:r>
            <w:r w:rsidRPr="00551729">
              <w:rPr>
                <w:rFonts w:ascii="Garamond" w:hAnsi="Garamond"/>
                <w:b/>
                <w:sz w:val="18"/>
                <w:szCs w:val="18"/>
                <w:lang w:val="sq-AL"/>
              </w:rPr>
              <w:t>TË</w:t>
            </w:r>
            <w:r w:rsidRPr="00551729">
              <w:rPr>
                <w:rFonts w:ascii="Garamond" w:hAnsi="Garamond"/>
                <w:b/>
                <w:spacing w:val="-2"/>
                <w:sz w:val="18"/>
                <w:szCs w:val="18"/>
                <w:lang w:val="sq-AL"/>
              </w:rPr>
              <w:t xml:space="preserve"> </w:t>
            </w:r>
            <w:r w:rsidRPr="00551729">
              <w:rPr>
                <w:rFonts w:ascii="Garamond" w:hAnsi="Garamond"/>
                <w:b/>
                <w:sz w:val="18"/>
                <w:szCs w:val="18"/>
                <w:lang w:val="sq-AL"/>
              </w:rPr>
              <w:t>N</w:t>
            </w:r>
            <w:r w:rsidRPr="00551729">
              <w:rPr>
                <w:rFonts w:ascii="Garamond" w:hAnsi="Garamond"/>
                <w:b/>
                <w:spacing w:val="-1"/>
                <w:sz w:val="18"/>
                <w:szCs w:val="18"/>
                <w:lang w:val="sq-AL"/>
              </w:rPr>
              <w:t>D</w:t>
            </w:r>
            <w:r w:rsidRPr="00551729">
              <w:rPr>
                <w:rFonts w:ascii="Garamond" w:hAnsi="Garamond"/>
                <w:b/>
                <w:spacing w:val="-2"/>
                <w:sz w:val="18"/>
                <w:szCs w:val="18"/>
                <w:lang w:val="sq-AL"/>
              </w:rPr>
              <w:t>R</w:t>
            </w:r>
            <w:r w:rsidRPr="00551729">
              <w:rPr>
                <w:rFonts w:ascii="Garamond" w:hAnsi="Garamond"/>
                <w:b/>
                <w:sz w:val="18"/>
                <w:szCs w:val="18"/>
                <w:lang w:val="sq-AL"/>
              </w:rPr>
              <w:t>Y</w:t>
            </w:r>
            <w:r w:rsidRPr="00551729">
              <w:rPr>
                <w:rFonts w:ascii="Garamond" w:hAnsi="Garamond"/>
                <w:b/>
                <w:spacing w:val="-1"/>
                <w:sz w:val="18"/>
                <w:szCs w:val="18"/>
                <w:lang w:val="sq-AL"/>
              </w:rPr>
              <w:t>S</w:t>
            </w:r>
            <w:r w:rsidRPr="00551729">
              <w:rPr>
                <w:rFonts w:ascii="Garamond" w:hAnsi="Garamond"/>
                <w:b/>
                <w:sz w:val="18"/>
                <w:szCs w:val="18"/>
                <w:lang w:val="sq-AL"/>
              </w:rPr>
              <w:t>HI</w:t>
            </w:r>
            <w:r w:rsidRPr="00551729">
              <w:rPr>
                <w:rFonts w:ascii="Garamond" w:hAnsi="Garamond"/>
                <w:b/>
                <w:spacing w:val="-1"/>
                <w:sz w:val="18"/>
                <w:szCs w:val="18"/>
                <w:lang w:val="sq-AL"/>
              </w:rPr>
              <w:t>M</w:t>
            </w:r>
            <w:r w:rsidRPr="00551729">
              <w:rPr>
                <w:rFonts w:ascii="Garamond" w:hAnsi="Garamond"/>
                <w:b/>
                <w:sz w:val="18"/>
                <w:szCs w:val="18"/>
                <w:lang w:val="sq-AL"/>
              </w:rPr>
              <w:t xml:space="preserve">EVE </w:t>
            </w:r>
            <w:r w:rsidRPr="00551729">
              <w:rPr>
                <w:rFonts w:ascii="Garamond" w:hAnsi="Garamond"/>
                <w:b/>
                <w:spacing w:val="-1"/>
                <w:sz w:val="18"/>
                <w:szCs w:val="18"/>
                <w:lang w:val="sq-AL"/>
              </w:rPr>
              <w:t>K</w:t>
            </w:r>
            <w:r w:rsidRPr="00551729">
              <w:rPr>
                <w:rFonts w:ascii="Garamond" w:hAnsi="Garamond"/>
                <w:b/>
                <w:spacing w:val="-3"/>
                <w:sz w:val="18"/>
                <w:szCs w:val="18"/>
                <w:lang w:val="sq-AL"/>
              </w:rPr>
              <w:t>L</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pacing w:val="-2"/>
                <w:sz w:val="18"/>
                <w:szCs w:val="18"/>
                <w:lang w:val="sq-AL"/>
              </w:rPr>
              <w:t>A</w:t>
            </w:r>
            <w:r w:rsidRPr="00551729">
              <w:rPr>
                <w:rFonts w:ascii="Garamond" w:hAnsi="Garamond"/>
                <w:b/>
                <w:sz w:val="18"/>
                <w:szCs w:val="18"/>
                <w:lang w:val="sq-AL"/>
              </w:rPr>
              <w:t>TI</w:t>
            </w:r>
            <w:r w:rsidRPr="00551729">
              <w:rPr>
                <w:rFonts w:ascii="Garamond" w:hAnsi="Garamond"/>
                <w:b/>
                <w:spacing w:val="-4"/>
                <w:sz w:val="18"/>
                <w:szCs w:val="18"/>
                <w:lang w:val="sq-AL"/>
              </w:rPr>
              <w:t>K</w:t>
            </w:r>
            <w:r w:rsidRPr="00551729">
              <w:rPr>
                <w:rFonts w:ascii="Garamond" w:hAnsi="Garamond"/>
                <w:b/>
                <w:sz w:val="18"/>
                <w:szCs w:val="18"/>
                <w:lang w:val="sq-AL"/>
              </w:rPr>
              <w:t xml:space="preserve">E, </w:t>
            </w:r>
            <w:r w:rsidRPr="00551729">
              <w:rPr>
                <w:rFonts w:ascii="Garamond" w:hAnsi="Garamond"/>
                <w:b/>
                <w:spacing w:val="-1"/>
                <w:sz w:val="18"/>
                <w:szCs w:val="18"/>
                <w:lang w:val="sq-AL"/>
              </w:rPr>
              <w:t>P</w:t>
            </w:r>
            <w:r w:rsidRPr="00551729">
              <w:rPr>
                <w:rFonts w:ascii="Garamond" w:hAnsi="Garamond"/>
                <w:b/>
                <w:sz w:val="18"/>
                <w:szCs w:val="18"/>
                <w:lang w:val="sq-AL"/>
              </w:rPr>
              <w:t>AR</w:t>
            </w:r>
            <w:r w:rsidRPr="00551729">
              <w:rPr>
                <w:rFonts w:ascii="Garamond" w:hAnsi="Garamond"/>
                <w:b/>
                <w:spacing w:val="-2"/>
                <w:sz w:val="18"/>
                <w:szCs w:val="18"/>
                <w:lang w:val="sq-AL"/>
              </w:rPr>
              <w:t>A</w:t>
            </w:r>
            <w:r w:rsidRPr="00551729">
              <w:rPr>
                <w:rFonts w:ascii="Garamond" w:hAnsi="Garamond"/>
                <w:b/>
                <w:sz w:val="18"/>
                <w:szCs w:val="18"/>
                <w:lang w:val="sq-AL"/>
              </w:rPr>
              <w:t>N</w:t>
            </w:r>
            <w:r w:rsidRPr="00551729">
              <w:rPr>
                <w:rFonts w:ascii="Garamond" w:hAnsi="Garamond"/>
                <w:b/>
                <w:spacing w:val="-3"/>
                <w:sz w:val="18"/>
                <w:szCs w:val="18"/>
                <w:lang w:val="sq-AL"/>
              </w:rPr>
              <w:t>D</w:t>
            </w:r>
            <w:r w:rsidRPr="00551729">
              <w:rPr>
                <w:rFonts w:ascii="Garamond" w:hAnsi="Garamond"/>
                <w:b/>
                <w:sz w:val="18"/>
                <w:szCs w:val="18"/>
                <w:lang w:val="sq-AL"/>
              </w:rPr>
              <w:t>A</w:t>
            </w:r>
            <w:r w:rsidRPr="00551729">
              <w:rPr>
                <w:rFonts w:ascii="Garamond" w:hAnsi="Garamond"/>
                <w:b/>
                <w:spacing w:val="-2"/>
                <w:sz w:val="18"/>
                <w:szCs w:val="18"/>
                <w:lang w:val="sq-AL"/>
              </w:rPr>
              <w:t>L</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pacing w:val="-2"/>
                <w:sz w:val="18"/>
                <w:szCs w:val="18"/>
                <w:lang w:val="sq-AL"/>
              </w:rPr>
              <w:t>D</w:t>
            </w:r>
            <w:r w:rsidRPr="00551729">
              <w:rPr>
                <w:rFonts w:ascii="Garamond" w:hAnsi="Garamond"/>
                <w:b/>
                <w:sz w:val="18"/>
                <w:szCs w:val="18"/>
                <w:lang w:val="sq-AL"/>
              </w:rPr>
              <w:t>HE M</w:t>
            </w:r>
            <w:r w:rsidRPr="00551729">
              <w:rPr>
                <w:rFonts w:ascii="Garamond" w:hAnsi="Garamond"/>
                <w:b/>
                <w:spacing w:val="-3"/>
                <w:sz w:val="18"/>
                <w:szCs w:val="18"/>
                <w:lang w:val="sq-AL"/>
              </w:rPr>
              <w:t>E</w:t>
            </w:r>
            <w:r w:rsidRPr="00551729">
              <w:rPr>
                <w:rFonts w:ascii="Garamond" w:hAnsi="Garamond"/>
                <w:b/>
                <w:sz w:val="18"/>
                <w:szCs w:val="18"/>
                <w:lang w:val="sq-AL"/>
              </w:rPr>
              <w:t>N</w:t>
            </w:r>
            <w:r w:rsidRPr="00551729">
              <w:rPr>
                <w:rFonts w:ascii="Garamond" w:hAnsi="Garamond"/>
                <w:b/>
                <w:spacing w:val="-2"/>
                <w:sz w:val="18"/>
                <w:szCs w:val="18"/>
                <w:lang w:val="sq-AL"/>
              </w:rPr>
              <w:t>A</w:t>
            </w:r>
            <w:r w:rsidRPr="00551729">
              <w:rPr>
                <w:rFonts w:ascii="Garamond" w:hAnsi="Garamond"/>
                <w:b/>
                <w:sz w:val="18"/>
                <w:szCs w:val="18"/>
                <w:lang w:val="sq-AL"/>
              </w:rPr>
              <w:t>XHI</w:t>
            </w:r>
            <w:r w:rsidRPr="00551729">
              <w:rPr>
                <w:rFonts w:ascii="Garamond" w:hAnsi="Garamond"/>
                <w:b/>
                <w:spacing w:val="-4"/>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pacing w:val="-2"/>
                <w:sz w:val="18"/>
                <w:szCs w:val="18"/>
                <w:lang w:val="sq-AL"/>
              </w:rPr>
              <w:t>R</w:t>
            </w:r>
            <w:r w:rsidRPr="00551729">
              <w:rPr>
                <w:rFonts w:ascii="Garamond" w:hAnsi="Garamond"/>
                <w:b/>
                <w:sz w:val="18"/>
                <w:szCs w:val="18"/>
                <w:lang w:val="sq-AL"/>
              </w:rPr>
              <w:t>RE</w:t>
            </w:r>
            <w:r w:rsidRPr="00551729">
              <w:rPr>
                <w:rFonts w:ascii="Garamond" w:hAnsi="Garamond"/>
                <w:b/>
                <w:spacing w:val="-3"/>
                <w:sz w:val="18"/>
                <w:szCs w:val="18"/>
                <w:lang w:val="sq-AL"/>
              </w:rPr>
              <w:t>Z</w:t>
            </w:r>
            <w:r w:rsidRPr="00551729">
              <w:rPr>
                <w:rFonts w:ascii="Garamond" w:hAnsi="Garamond"/>
                <w:b/>
                <w:sz w:val="18"/>
                <w:szCs w:val="18"/>
                <w:lang w:val="sq-AL"/>
              </w:rPr>
              <w:t>I</w:t>
            </w:r>
            <w:r w:rsidRPr="00551729">
              <w:rPr>
                <w:rFonts w:ascii="Garamond" w:hAnsi="Garamond"/>
                <w:b/>
                <w:spacing w:val="-1"/>
                <w:sz w:val="18"/>
                <w:szCs w:val="18"/>
                <w:lang w:val="sq-AL"/>
              </w:rPr>
              <w:t>K</w:t>
            </w:r>
            <w:r w:rsidRPr="00551729">
              <w:rPr>
                <w:rFonts w:ascii="Garamond" w:hAnsi="Garamond"/>
                <w:b/>
                <w:sz w:val="18"/>
                <w:szCs w:val="18"/>
                <w:lang w:val="sq-AL"/>
              </w:rPr>
              <w:t>UT</w:t>
            </w:r>
          </w:p>
        </w:tc>
        <w:tc>
          <w:tcPr>
            <w:tcW w:w="1856" w:type="dxa"/>
            <w:tcBorders>
              <w:top w:val="triple" w:sz="6" w:space="0" w:color="000000"/>
              <w:left w:val="single" w:sz="6" w:space="0" w:color="000000"/>
              <w:right w:val="single" w:sz="6" w:space="0" w:color="000000"/>
            </w:tcBorders>
          </w:tcPr>
          <w:p w14:paraId="1BADCF24" w14:textId="77FCD570" w:rsidR="00500457" w:rsidRPr="00551729" w:rsidRDefault="008F1F97"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Biodiversiteti i pasur natyror, mjedisi i paprekur dhe tërheqës, diversiteti i peizazheve natyrore;</w:t>
            </w:r>
          </w:p>
          <w:p w14:paraId="1BADCF25" w14:textId="5D0EDFA7" w:rsidR="00500457" w:rsidRPr="00551729" w:rsidRDefault="008F1F97" w:rsidP="008F1F97">
            <w:pPr>
              <w:pStyle w:val="TableParagraph"/>
              <w:tabs>
                <w:tab w:val="left" w:pos="209"/>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Ekzistenca e disa zonave të</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mbrojtura dhe parqeve kombëtare të pë</w:t>
            </w:r>
            <w:r>
              <w:rPr>
                <w:rFonts w:ascii="Garamond" w:hAnsi="Garamond"/>
                <w:sz w:val="18"/>
                <w:szCs w:val="18"/>
                <w:lang w:val="sq-AL"/>
              </w:rPr>
              <w:t>rshtatshme për zhvillimin e eko</w:t>
            </w:r>
            <w:r w:rsidR="00500457" w:rsidRPr="00551729">
              <w:rPr>
                <w:rFonts w:ascii="Garamond" w:hAnsi="Garamond"/>
                <w:sz w:val="18"/>
                <w:szCs w:val="18"/>
                <w:lang w:val="sq-AL"/>
              </w:rPr>
              <w:t>turizmit;</w:t>
            </w:r>
          </w:p>
          <w:p w14:paraId="1BADCF26" w14:textId="65CD562B" w:rsidR="00500457" w:rsidRPr="00551729" w:rsidRDefault="008F1F97" w:rsidP="008F1F97">
            <w:pPr>
              <w:pStyle w:val="TableParagraph"/>
              <w:tabs>
                <w:tab w:val="left" w:pos="209"/>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Zonat e gjera</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pyjore dhe cilësia e</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pyjeve;</w:t>
            </w:r>
          </w:p>
          <w:p w14:paraId="1BADCF27" w14:textId="5EE79C52" w:rsidR="00500457" w:rsidRPr="00551729" w:rsidRDefault="008F1F97" w:rsidP="008F1F97">
            <w:pPr>
              <w:pStyle w:val="TableParagraph"/>
              <w:tabs>
                <w:tab w:val="left" w:pos="209"/>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Potenciali i lartë për përdorimin e burimeve të rinovueshme të energjisë (energjisë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së ujit, energjisë së erës, energjisë diellore dhe biomasës);</w:t>
            </w:r>
          </w:p>
          <w:p w14:paraId="1BADCF28" w14:textId="157E902E" w:rsidR="00500457" w:rsidRPr="00551729" w:rsidRDefault="008F1F97" w:rsidP="008F1F97">
            <w:pPr>
              <w:pStyle w:val="TableParagraph"/>
              <w:tabs>
                <w:tab w:val="left" w:pos="209"/>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Zona e pastër, pa ndotje industriale, veçanërisht në breg dhe në zonat</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malore.</w:t>
            </w:r>
          </w:p>
        </w:tc>
        <w:tc>
          <w:tcPr>
            <w:tcW w:w="2303" w:type="dxa"/>
            <w:tcBorders>
              <w:top w:val="triple" w:sz="6" w:space="0" w:color="000000"/>
              <w:left w:val="single" w:sz="6" w:space="0" w:color="000000"/>
              <w:right w:val="single" w:sz="6" w:space="0" w:color="000000"/>
            </w:tcBorders>
          </w:tcPr>
          <w:p w14:paraId="1BADCF29" w14:textId="196358BE" w:rsidR="00500457" w:rsidRPr="00551729" w:rsidRDefault="008F1F97"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Zbatimi i dobët i rregulloreve dhe standardeve mjedisore;</w:t>
            </w:r>
          </w:p>
          <w:p w14:paraId="1BADCF2A" w14:textId="03AC3EA7" w:rsidR="00500457" w:rsidRPr="00551729" w:rsidRDefault="008F1F97" w:rsidP="008F1F97">
            <w:pPr>
              <w:pStyle w:val="TableParagraph"/>
              <w:tabs>
                <w:tab w:val="left" w:pos="209"/>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Menaxhimi dhe mekanizmi</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i dobët i kontrollit për mbrojtjen e burimeve natyrore;</w:t>
            </w:r>
          </w:p>
          <w:p w14:paraId="1BADCF2B" w14:textId="5D9C91AD" w:rsidR="00500457" w:rsidRPr="00551729" w:rsidRDefault="008F1F97" w:rsidP="008F1F97">
            <w:pPr>
              <w:pStyle w:val="TableParagraph"/>
              <w:tabs>
                <w:tab w:val="left" w:pos="209"/>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Menaxhimi i papërshtatshëm i mbetjeve të ngurta dhe mungesa e sistemeve të trajtimit të ujërave të</w:t>
            </w:r>
            <w:r w:rsidR="00500457" w:rsidRPr="00551729">
              <w:rPr>
                <w:rFonts w:ascii="Garamond" w:hAnsi="Garamond"/>
                <w:spacing w:val="-4"/>
                <w:sz w:val="18"/>
                <w:szCs w:val="18"/>
                <w:lang w:val="sq-AL"/>
              </w:rPr>
              <w:t xml:space="preserve"> </w:t>
            </w:r>
            <w:r w:rsidR="00500457" w:rsidRPr="00551729">
              <w:rPr>
                <w:rFonts w:ascii="Garamond" w:hAnsi="Garamond"/>
                <w:sz w:val="18"/>
                <w:szCs w:val="18"/>
                <w:lang w:val="sq-AL"/>
              </w:rPr>
              <w:t>zeza;</w:t>
            </w:r>
          </w:p>
          <w:p w14:paraId="1BADCF2C" w14:textId="0000AB17" w:rsidR="00500457" w:rsidRPr="00551729" w:rsidRDefault="008F1F97" w:rsidP="008F1F97">
            <w:pPr>
              <w:pStyle w:val="TableParagraph"/>
              <w:tabs>
                <w:tab w:val="left" w:pos="209"/>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Menaxhimi i papërshtatshëm i</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tokës;</w:t>
            </w:r>
          </w:p>
          <w:p w14:paraId="1BADCF2D" w14:textId="6941F191" w:rsidR="00500457" w:rsidRPr="00551729" w:rsidRDefault="008F1F97" w:rsidP="008F1F97">
            <w:pPr>
              <w:pStyle w:val="TableParagraph"/>
              <w:tabs>
                <w:tab w:val="left" w:pos="209"/>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Shfrytëzimi i</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pamjaftueshëm i burimeve</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natyrore;</w:t>
            </w:r>
          </w:p>
          <w:p w14:paraId="1BADCF2E" w14:textId="321EB3E1" w:rsidR="00500457" w:rsidRPr="00551729" w:rsidRDefault="008F1F97" w:rsidP="008F1F97">
            <w:pPr>
              <w:pStyle w:val="TableParagraph"/>
              <w:tabs>
                <w:tab w:val="left" w:pos="209"/>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Ndërgjegjësimi i ulët</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për çështjet</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mjedisore.</w:t>
            </w:r>
          </w:p>
        </w:tc>
        <w:tc>
          <w:tcPr>
            <w:tcW w:w="2302" w:type="dxa"/>
            <w:tcBorders>
              <w:top w:val="triple" w:sz="6" w:space="0" w:color="000000"/>
              <w:left w:val="single" w:sz="6" w:space="0" w:color="000000"/>
              <w:right w:val="single" w:sz="6" w:space="0" w:color="000000"/>
            </w:tcBorders>
          </w:tcPr>
          <w:p w14:paraId="1BADCF2F" w14:textId="0C9E68DA" w:rsidR="00500457" w:rsidRPr="00551729" w:rsidRDefault="008F1F97"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Menaxhimi më i mirë i zonave pyjore dhe të mbrojtura;</w:t>
            </w:r>
          </w:p>
          <w:p w14:paraId="1BADCF30" w14:textId="10F546B8" w:rsidR="00500457" w:rsidRPr="00551729" w:rsidRDefault="008F1F97" w:rsidP="008F1F97">
            <w:pPr>
              <w:pStyle w:val="TableParagraph"/>
              <w:tabs>
                <w:tab w:val="left" w:pos="210"/>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Zhvillimi i programeve të përbashkëta për trajtimin e mbetjeve;</w:t>
            </w:r>
          </w:p>
          <w:p w14:paraId="1BADCF31" w14:textId="793BC312" w:rsidR="00500457" w:rsidRPr="00551729" w:rsidRDefault="008F1F97" w:rsidP="008F1F97">
            <w:pPr>
              <w:pStyle w:val="TableParagraph"/>
              <w:tabs>
                <w:tab w:val="left" w:pos="210"/>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Rritja e programeve dhe projekteve për mbrojtjen e mjedisit, pyjeve, bujqësisë</w:t>
            </w:r>
            <w:r w:rsidR="00500457" w:rsidRPr="00551729">
              <w:rPr>
                <w:rFonts w:ascii="Garamond" w:hAnsi="Garamond"/>
                <w:spacing w:val="-13"/>
                <w:sz w:val="18"/>
                <w:szCs w:val="18"/>
                <w:lang w:val="sq-AL"/>
              </w:rPr>
              <w:t xml:space="preserve"> </w:t>
            </w:r>
            <w:r w:rsidR="00500457" w:rsidRPr="00551729">
              <w:rPr>
                <w:rFonts w:ascii="Garamond" w:hAnsi="Garamond"/>
                <w:sz w:val="18"/>
                <w:szCs w:val="18"/>
                <w:lang w:val="sq-AL"/>
              </w:rPr>
              <w:t>së qëndrueshme, mbeturinave të ngurta dhe ujërave të zeza</w:t>
            </w:r>
            <w:r w:rsidR="00B65E6C">
              <w:rPr>
                <w:rFonts w:ascii="Garamond" w:hAnsi="Garamond"/>
                <w:sz w:val="18"/>
                <w:szCs w:val="18"/>
                <w:lang w:val="sq-AL"/>
              </w:rPr>
              <w:t xml:space="preserve"> etj</w:t>
            </w:r>
            <w:r w:rsidR="00500457" w:rsidRPr="00551729">
              <w:rPr>
                <w:rFonts w:ascii="Garamond" w:hAnsi="Garamond"/>
                <w:sz w:val="18"/>
                <w:szCs w:val="18"/>
                <w:lang w:val="sq-AL"/>
              </w:rPr>
              <w:t>.;</w:t>
            </w:r>
          </w:p>
          <w:p w14:paraId="1BADCF32" w14:textId="2E7264B7" w:rsidR="00500457" w:rsidRPr="00551729" w:rsidRDefault="008F1F97" w:rsidP="008F1F97">
            <w:pPr>
              <w:pStyle w:val="TableParagraph"/>
              <w:tabs>
                <w:tab w:val="left" w:pos="210"/>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Interesi lokal për</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prodhimin e energjisë së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gjelbër;</w:t>
            </w:r>
          </w:p>
          <w:p w14:paraId="1BADCF33" w14:textId="026C139C" w:rsidR="00500457" w:rsidRPr="00551729" w:rsidRDefault="008F1F97" w:rsidP="008F1F97">
            <w:pPr>
              <w:pStyle w:val="TableParagraph"/>
              <w:tabs>
                <w:tab w:val="left" w:pos="210"/>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Rritja e ndërgjegjësimit publik mbi masat për mbrojtjen e mjedisit nën trysninë e kërkesave</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ekoturistike;</w:t>
            </w:r>
          </w:p>
          <w:p w14:paraId="1BADCF34" w14:textId="51B85BD8" w:rsidR="00500457" w:rsidRPr="00551729" w:rsidRDefault="008F1F97" w:rsidP="008F1F97">
            <w:pPr>
              <w:pStyle w:val="TableParagraph"/>
              <w:tabs>
                <w:tab w:val="left" w:pos="210"/>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 xml:space="preserve">Zona përreth liqenit të Shkodrës, bëhet pjesë e zonave të mbrojtura në </w:t>
            </w:r>
            <w:r w:rsidR="00C521D5" w:rsidRPr="00551729">
              <w:rPr>
                <w:rFonts w:ascii="Garamond" w:hAnsi="Garamond"/>
                <w:sz w:val="18"/>
                <w:szCs w:val="18"/>
                <w:lang w:val="sq-AL"/>
              </w:rPr>
              <w:t>“</w:t>
            </w:r>
            <w:r w:rsidR="00500457" w:rsidRPr="00551729">
              <w:rPr>
                <w:rFonts w:ascii="Garamond" w:hAnsi="Garamond"/>
                <w:sz w:val="18"/>
                <w:szCs w:val="18"/>
                <w:lang w:val="sq-AL"/>
              </w:rPr>
              <w:t xml:space="preserve">listën e Rezervës së Biosferës </w:t>
            </w:r>
            <w:r w:rsidR="00C521D5" w:rsidRPr="00551729">
              <w:rPr>
                <w:rFonts w:ascii="Garamond" w:hAnsi="Garamond"/>
                <w:sz w:val="18"/>
                <w:szCs w:val="18"/>
                <w:lang w:val="sq-AL"/>
              </w:rPr>
              <w:t>“</w:t>
            </w:r>
            <w:r w:rsidR="00500457" w:rsidRPr="00551729">
              <w:rPr>
                <w:rFonts w:ascii="Garamond" w:hAnsi="Garamond"/>
                <w:sz w:val="18"/>
                <w:szCs w:val="18"/>
                <w:lang w:val="sq-AL"/>
              </w:rPr>
              <w:t xml:space="preserve"> të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UNESCO-s.</w:t>
            </w:r>
          </w:p>
        </w:tc>
        <w:tc>
          <w:tcPr>
            <w:tcW w:w="2213" w:type="dxa"/>
            <w:tcBorders>
              <w:top w:val="triple" w:sz="6" w:space="0" w:color="000000"/>
              <w:left w:val="single" w:sz="6" w:space="0" w:color="000000"/>
            </w:tcBorders>
          </w:tcPr>
          <w:p w14:paraId="1BADCF35" w14:textId="2EDE24C4" w:rsidR="00500457" w:rsidRPr="00551729" w:rsidRDefault="008F1F97"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Ndotja e tokës dhe burimeve ujore për shkak të ekzistencës ose mungesës së një sistemi jo të përshtatshëm për trajtimin e mbetjeve të ngurta dhe ujërave të zeza;</w:t>
            </w:r>
          </w:p>
          <w:p w14:paraId="1BADCF36" w14:textId="63A63586" w:rsidR="00500457" w:rsidRPr="00551729" w:rsidRDefault="008F1F97" w:rsidP="008F1F97">
            <w:pPr>
              <w:pStyle w:val="TableParagraph"/>
              <w:tabs>
                <w:tab w:val="left" w:pos="210"/>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Procesi i urbanizimit i pakontrolluar dhe</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jashtë standardeve;</w:t>
            </w:r>
          </w:p>
          <w:p w14:paraId="1BADCF37" w14:textId="5A840B06" w:rsidR="00500457" w:rsidRPr="00551729" w:rsidRDefault="008F1F97" w:rsidP="008F1F97">
            <w:pPr>
              <w:pStyle w:val="TableParagraph"/>
              <w:tabs>
                <w:tab w:val="left" w:pos="210"/>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Shfrytëzimi i</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pakontrolluar i burimeve natyrore (druri, zhavorri, frutat e pyllit), kryesisht</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shpyllëzimi;</w:t>
            </w:r>
          </w:p>
          <w:p w14:paraId="1BADCF38" w14:textId="40ECBFB9" w:rsidR="00500457" w:rsidRPr="00551729" w:rsidRDefault="008F1F97" w:rsidP="008F1F97">
            <w:pPr>
              <w:pStyle w:val="TableParagraph"/>
              <w:tabs>
                <w:tab w:val="left" w:pos="210"/>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Presionet në mjedisin</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rreth bregut për shkak të frekuentimit të lartë turistik;</w:t>
            </w:r>
          </w:p>
          <w:p w14:paraId="1BADCF39" w14:textId="436EB16D" w:rsidR="00500457" w:rsidRPr="00551729" w:rsidRDefault="008F1F97" w:rsidP="008F1F97">
            <w:pPr>
              <w:pStyle w:val="TableParagraph"/>
              <w:tabs>
                <w:tab w:val="left" w:pos="210"/>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Zgjerimi i industrisë së çimentos në rajonin e Lezhës, e cila paraqet një rrezik në rritje për natyrën përreth.</w:t>
            </w:r>
          </w:p>
        </w:tc>
      </w:tr>
    </w:tbl>
    <w:p w14:paraId="1BADCF3B" w14:textId="77777777" w:rsidR="00500457" w:rsidRPr="00551729" w:rsidRDefault="00500457" w:rsidP="00500457">
      <w:pPr>
        <w:pStyle w:val="BodyText"/>
        <w:ind w:firstLine="284"/>
        <w:rPr>
          <w:rFonts w:ascii="Garamond" w:hAnsi="Garamond"/>
          <w:sz w:val="24"/>
          <w:szCs w:val="24"/>
          <w:lang w:val="sq-AL"/>
        </w:rPr>
      </w:pPr>
    </w:p>
    <w:p w14:paraId="1BADCF3C" w14:textId="77777777" w:rsidR="00500457" w:rsidRPr="00551729" w:rsidRDefault="00500457" w:rsidP="00500457">
      <w:pPr>
        <w:pStyle w:val="BodyText"/>
        <w:spacing w:before="10" w:after="1"/>
        <w:ind w:firstLine="284"/>
        <w:rPr>
          <w:rFonts w:ascii="Garamond" w:hAnsi="Garamond"/>
          <w:sz w:val="24"/>
          <w:szCs w:val="24"/>
          <w:lang w:val="sq-AL"/>
        </w:rPr>
      </w:pPr>
    </w:p>
    <w:tbl>
      <w:tblPr>
        <w:tblW w:w="0" w:type="auto"/>
        <w:tblInd w:w="11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648"/>
        <w:gridCol w:w="2110"/>
        <w:gridCol w:w="2302"/>
        <w:gridCol w:w="2302"/>
        <w:gridCol w:w="2216"/>
      </w:tblGrid>
      <w:tr w:rsidR="00500457" w:rsidRPr="00551729" w14:paraId="1BADCF42" w14:textId="77777777" w:rsidTr="0012310B">
        <w:trPr>
          <w:trHeight w:hRule="exact" w:val="561"/>
        </w:trPr>
        <w:tc>
          <w:tcPr>
            <w:tcW w:w="648" w:type="dxa"/>
            <w:tcBorders>
              <w:bottom w:val="single" w:sz="6" w:space="0" w:color="000000"/>
              <w:right w:val="single" w:sz="6" w:space="0" w:color="000000"/>
            </w:tcBorders>
            <w:shd w:val="clear" w:color="auto" w:fill="6F2F9F"/>
          </w:tcPr>
          <w:p w14:paraId="1BADCF3D" w14:textId="77777777" w:rsidR="00500457" w:rsidRPr="00551729" w:rsidRDefault="00500457" w:rsidP="00786614">
            <w:pPr>
              <w:widowControl w:val="0"/>
              <w:spacing w:after="0" w:line="240" w:lineRule="auto"/>
              <w:rPr>
                <w:rFonts w:ascii="Garamond" w:hAnsi="Garamond"/>
                <w:sz w:val="18"/>
                <w:szCs w:val="18"/>
              </w:rPr>
            </w:pPr>
          </w:p>
        </w:tc>
        <w:tc>
          <w:tcPr>
            <w:tcW w:w="2110" w:type="dxa"/>
            <w:tcBorders>
              <w:left w:val="single" w:sz="6" w:space="0" w:color="000000"/>
              <w:bottom w:val="single" w:sz="6" w:space="0" w:color="000000"/>
              <w:right w:val="single" w:sz="6" w:space="0" w:color="000000"/>
            </w:tcBorders>
            <w:shd w:val="clear" w:color="auto" w:fill="6F2F9F"/>
            <w:vAlign w:val="center"/>
          </w:tcPr>
          <w:p w14:paraId="1BADCF3E"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FORTA</w:t>
            </w:r>
          </w:p>
        </w:tc>
        <w:tc>
          <w:tcPr>
            <w:tcW w:w="2302" w:type="dxa"/>
            <w:tcBorders>
              <w:left w:val="single" w:sz="6" w:space="0" w:color="000000"/>
              <w:bottom w:val="single" w:sz="6" w:space="0" w:color="000000"/>
              <w:right w:val="single" w:sz="6" w:space="0" w:color="000000"/>
            </w:tcBorders>
            <w:shd w:val="clear" w:color="auto" w:fill="6F2F9F"/>
            <w:vAlign w:val="center"/>
          </w:tcPr>
          <w:p w14:paraId="1BADCF3F"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DOBËTA</w:t>
            </w:r>
          </w:p>
        </w:tc>
        <w:tc>
          <w:tcPr>
            <w:tcW w:w="2302" w:type="dxa"/>
            <w:tcBorders>
              <w:left w:val="single" w:sz="6" w:space="0" w:color="000000"/>
              <w:bottom w:val="single" w:sz="6" w:space="0" w:color="000000"/>
              <w:right w:val="single" w:sz="6" w:space="0" w:color="000000"/>
            </w:tcBorders>
            <w:shd w:val="clear" w:color="auto" w:fill="6F2F9F"/>
            <w:vAlign w:val="center"/>
          </w:tcPr>
          <w:p w14:paraId="1BADCF40"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MUNDËSITË</w:t>
            </w:r>
          </w:p>
        </w:tc>
        <w:tc>
          <w:tcPr>
            <w:tcW w:w="2216" w:type="dxa"/>
            <w:tcBorders>
              <w:left w:val="single" w:sz="6" w:space="0" w:color="000000"/>
              <w:bottom w:val="single" w:sz="6" w:space="0" w:color="000000"/>
            </w:tcBorders>
            <w:shd w:val="clear" w:color="auto" w:fill="6F2F9F"/>
            <w:vAlign w:val="center"/>
          </w:tcPr>
          <w:p w14:paraId="1BADCF41"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KËRCËNIMET</w:t>
            </w:r>
          </w:p>
        </w:tc>
      </w:tr>
      <w:tr w:rsidR="00500457" w:rsidRPr="00551729" w14:paraId="1BADCF5C" w14:textId="77777777" w:rsidTr="00786614">
        <w:trPr>
          <w:trHeight w:hRule="exact" w:val="6037"/>
        </w:trPr>
        <w:tc>
          <w:tcPr>
            <w:tcW w:w="648" w:type="dxa"/>
            <w:tcBorders>
              <w:top w:val="single" w:sz="6" w:space="0" w:color="000000"/>
              <w:right w:val="single" w:sz="6" w:space="0" w:color="000000"/>
            </w:tcBorders>
            <w:textDirection w:val="btLr"/>
            <w:vAlign w:val="center"/>
          </w:tcPr>
          <w:p w14:paraId="1BADCF43" w14:textId="77777777" w:rsidR="00500457" w:rsidRPr="00551729" w:rsidRDefault="00500457" w:rsidP="00786614">
            <w:pPr>
              <w:pStyle w:val="TableParagraph"/>
              <w:jc w:val="center"/>
              <w:rPr>
                <w:rFonts w:ascii="Garamond" w:hAnsi="Garamond"/>
                <w:b/>
                <w:sz w:val="18"/>
                <w:szCs w:val="18"/>
                <w:lang w:val="sq-AL"/>
              </w:rPr>
            </w:pPr>
            <w:r w:rsidRPr="00551729">
              <w:rPr>
                <w:rFonts w:ascii="Garamond" w:hAnsi="Garamond"/>
                <w:b/>
                <w:spacing w:val="-1"/>
                <w:w w:val="99"/>
                <w:sz w:val="18"/>
                <w:szCs w:val="18"/>
                <w:lang w:val="sq-AL"/>
              </w:rPr>
              <w:t>PRO</w:t>
            </w:r>
            <w:r w:rsidRPr="00551729">
              <w:rPr>
                <w:rFonts w:ascii="Garamond" w:hAnsi="Garamond"/>
                <w:b/>
                <w:spacing w:val="1"/>
                <w:w w:val="99"/>
                <w:sz w:val="18"/>
                <w:szCs w:val="18"/>
                <w:lang w:val="sq-AL"/>
              </w:rPr>
              <w:t>M</w:t>
            </w:r>
            <w:r w:rsidRPr="00551729">
              <w:rPr>
                <w:rFonts w:ascii="Garamond" w:hAnsi="Garamond"/>
                <w:b/>
                <w:spacing w:val="-1"/>
                <w:w w:val="99"/>
                <w:sz w:val="18"/>
                <w:szCs w:val="18"/>
                <w:lang w:val="sq-AL"/>
              </w:rPr>
              <w:t>OVI</w:t>
            </w:r>
            <w:r w:rsidRPr="00551729">
              <w:rPr>
                <w:rFonts w:ascii="Garamond" w:hAnsi="Garamond"/>
                <w:b/>
                <w:spacing w:val="1"/>
                <w:w w:val="99"/>
                <w:sz w:val="18"/>
                <w:szCs w:val="18"/>
                <w:lang w:val="sq-AL"/>
              </w:rPr>
              <w:t>M</w:t>
            </w:r>
            <w:r w:rsidRPr="00551729">
              <w:rPr>
                <w:rFonts w:ascii="Garamond" w:hAnsi="Garamond"/>
                <w:b/>
                <w:w w:val="99"/>
                <w:sz w:val="18"/>
                <w:szCs w:val="18"/>
                <w:lang w:val="sq-AL"/>
              </w:rPr>
              <w:t>I</w:t>
            </w:r>
            <w:r w:rsidRPr="00551729">
              <w:rPr>
                <w:rFonts w:ascii="Garamond" w:hAnsi="Garamond"/>
                <w:b/>
                <w:spacing w:val="-1"/>
                <w:sz w:val="18"/>
                <w:szCs w:val="18"/>
                <w:lang w:val="sq-AL"/>
              </w:rPr>
              <w:t xml:space="preserve"> </w:t>
            </w:r>
            <w:r w:rsidRPr="00551729">
              <w:rPr>
                <w:rFonts w:ascii="Garamond" w:hAnsi="Garamond"/>
                <w:b/>
                <w:w w:val="99"/>
                <w:sz w:val="18"/>
                <w:szCs w:val="18"/>
                <w:lang w:val="sq-AL"/>
              </w:rPr>
              <w:t>I</w:t>
            </w:r>
            <w:r w:rsidRPr="00551729">
              <w:rPr>
                <w:rFonts w:ascii="Garamond" w:hAnsi="Garamond"/>
                <w:b/>
                <w:spacing w:val="2"/>
                <w:sz w:val="18"/>
                <w:szCs w:val="18"/>
                <w:lang w:val="sq-AL"/>
              </w:rPr>
              <w:t xml:space="preserve"> </w:t>
            </w:r>
            <w:r w:rsidRPr="00551729">
              <w:rPr>
                <w:rFonts w:ascii="Garamond" w:hAnsi="Garamond"/>
                <w:b/>
                <w:spacing w:val="-1"/>
                <w:w w:val="99"/>
                <w:sz w:val="18"/>
                <w:szCs w:val="18"/>
                <w:lang w:val="sq-AL"/>
              </w:rPr>
              <w:t>TRAN</w:t>
            </w:r>
            <w:r w:rsidRPr="00551729">
              <w:rPr>
                <w:rFonts w:ascii="Garamond" w:hAnsi="Garamond"/>
                <w:b/>
                <w:spacing w:val="2"/>
                <w:w w:val="99"/>
                <w:sz w:val="18"/>
                <w:szCs w:val="18"/>
                <w:lang w:val="sq-AL"/>
              </w:rPr>
              <w:t>S</w:t>
            </w:r>
            <w:r w:rsidRPr="00551729">
              <w:rPr>
                <w:rFonts w:ascii="Garamond" w:hAnsi="Garamond"/>
                <w:b/>
                <w:spacing w:val="-1"/>
                <w:w w:val="99"/>
                <w:sz w:val="18"/>
                <w:szCs w:val="18"/>
                <w:lang w:val="sq-AL"/>
              </w:rPr>
              <w:t>PO</w:t>
            </w:r>
            <w:r w:rsidRPr="00551729">
              <w:rPr>
                <w:rFonts w:ascii="Garamond" w:hAnsi="Garamond"/>
                <w:b/>
                <w:w w:val="99"/>
                <w:sz w:val="18"/>
                <w:szCs w:val="18"/>
                <w:lang w:val="sq-AL"/>
              </w:rPr>
              <w:t>R</w:t>
            </w:r>
            <w:r w:rsidRPr="00551729">
              <w:rPr>
                <w:rFonts w:ascii="Garamond" w:hAnsi="Garamond"/>
                <w:b/>
                <w:spacing w:val="-1"/>
                <w:w w:val="99"/>
                <w:sz w:val="18"/>
                <w:szCs w:val="18"/>
                <w:lang w:val="sq-AL"/>
              </w:rPr>
              <w:t>T</w:t>
            </w:r>
            <w:r w:rsidRPr="00551729">
              <w:rPr>
                <w:rFonts w:ascii="Garamond" w:hAnsi="Garamond"/>
                <w:b/>
                <w:spacing w:val="1"/>
                <w:w w:val="99"/>
                <w:sz w:val="18"/>
                <w:szCs w:val="18"/>
                <w:lang w:val="sq-AL"/>
              </w:rPr>
              <w:t>I</w:t>
            </w:r>
            <w:r w:rsidRPr="00551729">
              <w:rPr>
                <w:rFonts w:ascii="Garamond" w:hAnsi="Garamond"/>
                <w:b/>
                <w:w w:val="99"/>
                <w:sz w:val="18"/>
                <w:szCs w:val="18"/>
                <w:lang w:val="sq-AL"/>
              </w:rPr>
              <w:t>T</w:t>
            </w:r>
            <w:r w:rsidRPr="00551729">
              <w:rPr>
                <w:rFonts w:ascii="Garamond" w:hAnsi="Garamond"/>
                <w:b/>
                <w:spacing w:val="-1"/>
                <w:sz w:val="18"/>
                <w:szCs w:val="18"/>
                <w:lang w:val="sq-AL"/>
              </w:rPr>
              <w:t xml:space="preserve"> </w:t>
            </w:r>
            <w:r w:rsidRPr="00551729">
              <w:rPr>
                <w:rFonts w:ascii="Garamond" w:hAnsi="Garamond"/>
                <w:b/>
                <w:spacing w:val="1"/>
                <w:w w:val="99"/>
                <w:sz w:val="18"/>
                <w:szCs w:val="18"/>
                <w:lang w:val="sq-AL"/>
              </w:rPr>
              <w:t>T</w:t>
            </w:r>
            <w:r w:rsidRPr="00551729">
              <w:rPr>
                <w:rFonts w:ascii="Garamond" w:hAnsi="Garamond"/>
                <w:b/>
                <w:w w:val="99"/>
                <w:sz w:val="18"/>
                <w:szCs w:val="18"/>
                <w:lang w:val="sq-AL"/>
              </w:rPr>
              <w:t>Ë</w:t>
            </w:r>
            <w:r w:rsidRPr="00551729">
              <w:rPr>
                <w:rFonts w:ascii="Garamond" w:hAnsi="Garamond"/>
                <w:b/>
                <w:spacing w:val="1"/>
                <w:sz w:val="18"/>
                <w:szCs w:val="18"/>
                <w:lang w:val="sq-AL"/>
              </w:rPr>
              <w:t xml:space="preserve"> </w:t>
            </w:r>
            <w:r w:rsidRPr="00551729">
              <w:rPr>
                <w:rFonts w:ascii="Garamond" w:hAnsi="Garamond"/>
                <w:b/>
                <w:w w:val="99"/>
                <w:sz w:val="18"/>
                <w:szCs w:val="18"/>
                <w:lang w:val="sq-AL"/>
              </w:rPr>
              <w:t>Q</w:t>
            </w:r>
            <w:r w:rsidRPr="00551729">
              <w:rPr>
                <w:rFonts w:ascii="Garamond" w:hAnsi="Garamond"/>
                <w:b/>
                <w:spacing w:val="1"/>
                <w:w w:val="99"/>
                <w:sz w:val="18"/>
                <w:szCs w:val="18"/>
                <w:lang w:val="sq-AL"/>
              </w:rPr>
              <w:t>Ë</w:t>
            </w:r>
            <w:r w:rsidRPr="00551729">
              <w:rPr>
                <w:rFonts w:ascii="Garamond" w:hAnsi="Garamond"/>
                <w:b/>
                <w:w w:val="99"/>
                <w:sz w:val="18"/>
                <w:szCs w:val="18"/>
                <w:lang w:val="sq-AL"/>
              </w:rPr>
              <w:t>N</w:t>
            </w:r>
            <w:r w:rsidRPr="00551729">
              <w:rPr>
                <w:rFonts w:ascii="Garamond" w:hAnsi="Garamond"/>
                <w:b/>
                <w:spacing w:val="-1"/>
                <w:w w:val="99"/>
                <w:sz w:val="18"/>
                <w:szCs w:val="18"/>
                <w:lang w:val="sq-AL"/>
              </w:rPr>
              <w:t>D</w:t>
            </w:r>
            <w:r w:rsidRPr="00551729">
              <w:rPr>
                <w:rFonts w:ascii="Garamond" w:hAnsi="Garamond"/>
                <w:b/>
                <w:w w:val="99"/>
                <w:sz w:val="18"/>
                <w:szCs w:val="18"/>
                <w:lang w:val="sq-AL"/>
              </w:rPr>
              <w:t>RUE</w:t>
            </w:r>
            <w:r w:rsidRPr="00551729">
              <w:rPr>
                <w:rFonts w:ascii="Garamond" w:hAnsi="Garamond"/>
                <w:b/>
                <w:spacing w:val="-1"/>
                <w:w w:val="99"/>
                <w:sz w:val="18"/>
                <w:szCs w:val="18"/>
                <w:lang w:val="sq-AL"/>
              </w:rPr>
              <w:t>S</w:t>
            </w:r>
            <w:r w:rsidRPr="00551729">
              <w:rPr>
                <w:rFonts w:ascii="Garamond" w:hAnsi="Garamond"/>
                <w:b/>
                <w:w w:val="99"/>
                <w:sz w:val="18"/>
                <w:szCs w:val="18"/>
                <w:lang w:val="sq-AL"/>
              </w:rPr>
              <w:t>H</w:t>
            </w:r>
            <w:r w:rsidRPr="00551729">
              <w:rPr>
                <w:rFonts w:ascii="Garamond" w:hAnsi="Garamond"/>
                <w:b/>
                <w:spacing w:val="1"/>
                <w:w w:val="99"/>
                <w:sz w:val="18"/>
                <w:szCs w:val="18"/>
                <w:lang w:val="sq-AL"/>
              </w:rPr>
              <w:t>Ë</w:t>
            </w:r>
            <w:r w:rsidRPr="00551729">
              <w:rPr>
                <w:rFonts w:ascii="Garamond" w:hAnsi="Garamond"/>
                <w:b/>
                <w:w w:val="99"/>
                <w:sz w:val="18"/>
                <w:szCs w:val="18"/>
                <w:lang w:val="sq-AL"/>
              </w:rPr>
              <w:t>M</w:t>
            </w:r>
            <w:r w:rsidRPr="00551729">
              <w:rPr>
                <w:rFonts w:ascii="Garamond" w:hAnsi="Garamond"/>
                <w:b/>
                <w:sz w:val="18"/>
                <w:szCs w:val="18"/>
                <w:lang w:val="sq-AL"/>
              </w:rPr>
              <w:t xml:space="preserve"> </w:t>
            </w:r>
            <w:r w:rsidRPr="00551729">
              <w:rPr>
                <w:rFonts w:ascii="Garamond" w:hAnsi="Garamond"/>
                <w:b/>
                <w:spacing w:val="-1"/>
                <w:w w:val="99"/>
                <w:sz w:val="18"/>
                <w:szCs w:val="18"/>
                <w:lang w:val="sq-AL"/>
              </w:rPr>
              <w:t>DH</w:t>
            </w:r>
            <w:r w:rsidRPr="00551729">
              <w:rPr>
                <w:rFonts w:ascii="Garamond" w:hAnsi="Garamond"/>
                <w:b/>
                <w:w w:val="99"/>
                <w:sz w:val="18"/>
                <w:szCs w:val="18"/>
                <w:lang w:val="sq-AL"/>
              </w:rPr>
              <w:t>E</w:t>
            </w:r>
            <w:r w:rsidRPr="00551729">
              <w:rPr>
                <w:rFonts w:ascii="Garamond" w:hAnsi="Garamond"/>
                <w:b/>
                <w:sz w:val="18"/>
                <w:szCs w:val="18"/>
                <w:lang w:val="sq-AL"/>
              </w:rPr>
              <w:t xml:space="preserve"> </w:t>
            </w:r>
            <w:r w:rsidRPr="00551729">
              <w:rPr>
                <w:rFonts w:ascii="Garamond" w:hAnsi="Garamond"/>
                <w:b/>
                <w:w w:val="99"/>
                <w:sz w:val="18"/>
                <w:szCs w:val="18"/>
                <w:lang w:val="sq-AL"/>
              </w:rPr>
              <w:t>P</w:t>
            </w:r>
            <w:r w:rsidRPr="00551729">
              <w:rPr>
                <w:rFonts w:ascii="Garamond" w:hAnsi="Garamond"/>
                <w:b/>
                <w:spacing w:val="1"/>
                <w:w w:val="99"/>
                <w:sz w:val="18"/>
                <w:szCs w:val="18"/>
                <w:lang w:val="sq-AL"/>
              </w:rPr>
              <w:t>Ë</w:t>
            </w:r>
            <w:r w:rsidRPr="00551729">
              <w:rPr>
                <w:rFonts w:ascii="Garamond" w:hAnsi="Garamond"/>
                <w:b/>
                <w:spacing w:val="2"/>
                <w:w w:val="99"/>
                <w:sz w:val="18"/>
                <w:szCs w:val="18"/>
                <w:lang w:val="sq-AL"/>
              </w:rPr>
              <w:t>R</w:t>
            </w:r>
            <w:r w:rsidRPr="00551729">
              <w:rPr>
                <w:rFonts w:ascii="Garamond" w:hAnsi="Garamond"/>
                <w:b/>
                <w:spacing w:val="1"/>
                <w:w w:val="99"/>
                <w:sz w:val="18"/>
                <w:szCs w:val="18"/>
                <w:lang w:val="sq-AL"/>
              </w:rPr>
              <w:t>M</w:t>
            </w:r>
            <w:r w:rsidRPr="00551729">
              <w:rPr>
                <w:rFonts w:ascii="Garamond" w:hAnsi="Garamond"/>
                <w:b/>
                <w:w w:val="99"/>
                <w:sz w:val="18"/>
                <w:szCs w:val="18"/>
                <w:lang w:val="sq-AL"/>
              </w:rPr>
              <w:t>IR</w:t>
            </w:r>
            <w:r w:rsidRPr="00551729">
              <w:rPr>
                <w:rFonts w:ascii="Garamond" w:hAnsi="Garamond"/>
                <w:b/>
                <w:spacing w:val="1"/>
                <w:w w:val="99"/>
                <w:sz w:val="18"/>
                <w:szCs w:val="18"/>
                <w:lang w:val="sq-AL"/>
              </w:rPr>
              <w:t>Ë</w:t>
            </w:r>
            <w:r w:rsidRPr="00551729">
              <w:rPr>
                <w:rFonts w:ascii="Garamond" w:hAnsi="Garamond"/>
                <w:b/>
                <w:spacing w:val="-1"/>
                <w:w w:val="99"/>
                <w:sz w:val="18"/>
                <w:szCs w:val="18"/>
                <w:lang w:val="sq-AL"/>
              </w:rPr>
              <w:t>S</w:t>
            </w:r>
            <w:r w:rsidRPr="00551729">
              <w:rPr>
                <w:rFonts w:ascii="Garamond" w:hAnsi="Garamond"/>
                <w:b/>
                <w:w w:val="99"/>
                <w:sz w:val="18"/>
                <w:szCs w:val="18"/>
                <w:lang w:val="sq-AL"/>
              </w:rPr>
              <w:t>IMI I</w:t>
            </w:r>
            <w:r w:rsidRPr="00551729">
              <w:rPr>
                <w:rFonts w:ascii="Garamond" w:hAnsi="Garamond"/>
                <w:b/>
                <w:spacing w:val="-1"/>
                <w:sz w:val="18"/>
                <w:szCs w:val="18"/>
                <w:lang w:val="sq-AL"/>
              </w:rPr>
              <w:t xml:space="preserve"> </w:t>
            </w:r>
            <w:r w:rsidRPr="00551729">
              <w:rPr>
                <w:rFonts w:ascii="Garamond" w:hAnsi="Garamond"/>
                <w:b/>
                <w:w w:val="99"/>
                <w:sz w:val="18"/>
                <w:szCs w:val="18"/>
                <w:lang w:val="sq-AL"/>
              </w:rPr>
              <w:t>INFR</w:t>
            </w:r>
            <w:r w:rsidRPr="00551729">
              <w:rPr>
                <w:rFonts w:ascii="Garamond" w:hAnsi="Garamond"/>
                <w:b/>
                <w:spacing w:val="-1"/>
                <w:w w:val="99"/>
                <w:sz w:val="18"/>
                <w:szCs w:val="18"/>
                <w:lang w:val="sq-AL"/>
              </w:rPr>
              <w:t>AST</w:t>
            </w:r>
            <w:r w:rsidRPr="00551729">
              <w:rPr>
                <w:rFonts w:ascii="Garamond" w:hAnsi="Garamond"/>
                <w:b/>
                <w:spacing w:val="2"/>
                <w:w w:val="99"/>
                <w:sz w:val="18"/>
                <w:szCs w:val="18"/>
                <w:lang w:val="sq-AL"/>
              </w:rPr>
              <w:t>R</w:t>
            </w:r>
            <w:r w:rsidRPr="00551729">
              <w:rPr>
                <w:rFonts w:ascii="Garamond" w:hAnsi="Garamond"/>
                <w:b/>
                <w:w w:val="99"/>
                <w:sz w:val="18"/>
                <w:szCs w:val="18"/>
                <w:lang w:val="sq-AL"/>
              </w:rPr>
              <w:t>UK</w:t>
            </w:r>
            <w:r w:rsidRPr="00551729">
              <w:rPr>
                <w:rFonts w:ascii="Garamond" w:hAnsi="Garamond"/>
                <w:b/>
                <w:spacing w:val="-1"/>
                <w:w w:val="99"/>
                <w:sz w:val="18"/>
                <w:szCs w:val="18"/>
                <w:lang w:val="sq-AL"/>
              </w:rPr>
              <w:t>TU</w:t>
            </w:r>
            <w:r w:rsidRPr="00551729">
              <w:rPr>
                <w:rFonts w:ascii="Garamond" w:hAnsi="Garamond"/>
                <w:b/>
                <w:w w:val="99"/>
                <w:sz w:val="18"/>
                <w:szCs w:val="18"/>
                <w:lang w:val="sq-AL"/>
              </w:rPr>
              <w:t>R</w:t>
            </w:r>
            <w:r w:rsidRPr="00551729">
              <w:rPr>
                <w:rFonts w:ascii="Garamond" w:hAnsi="Garamond"/>
                <w:b/>
                <w:spacing w:val="1"/>
                <w:w w:val="99"/>
                <w:sz w:val="18"/>
                <w:szCs w:val="18"/>
                <w:lang w:val="sq-AL"/>
              </w:rPr>
              <w:t>A</w:t>
            </w:r>
            <w:r w:rsidRPr="00551729">
              <w:rPr>
                <w:rFonts w:ascii="Garamond" w:hAnsi="Garamond"/>
                <w:b/>
                <w:spacing w:val="-1"/>
                <w:w w:val="99"/>
                <w:sz w:val="18"/>
                <w:szCs w:val="18"/>
                <w:lang w:val="sq-AL"/>
              </w:rPr>
              <w:t>V</w:t>
            </w:r>
            <w:r w:rsidRPr="00551729">
              <w:rPr>
                <w:rFonts w:ascii="Garamond" w:hAnsi="Garamond"/>
                <w:b/>
                <w:w w:val="99"/>
                <w:sz w:val="18"/>
                <w:szCs w:val="18"/>
                <w:lang w:val="sq-AL"/>
              </w:rPr>
              <w:t>E</w:t>
            </w:r>
            <w:r w:rsidRPr="00551729">
              <w:rPr>
                <w:rFonts w:ascii="Garamond" w:hAnsi="Garamond"/>
                <w:b/>
                <w:sz w:val="18"/>
                <w:szCs w:val="18"/>
                <w:lang w:val="sq-AL"/>
              </w:rPr>
              <w:t xml:space="preserve"> </w:t>
            </w:r>
            <w:r w:rsidRPr="00551729">
              <w:rPr>
                <w:rFonts w:ascii="Garamond" w:hAnsi="Garamond"/>
                <w:b/>
                <w:spacing w:val="-1"/>
                <w:w w:val="99"/>
                <w:sz w:val="18"/>
                <w:szCs w:val="18"/>
                <w:lang w:val="sq-AL"/>
              </w:rPr>
              <w:t>PU</w:t>
            </w:r>
            <w:r w:rsidRPr="00551729">
              <w:rPr>
                <w:rFonts w:ascii="Garamond" w:hAnsi="Garamond"/>
                <w:b/>
                <w:w w:val="99"/>
                <w:sz w:val="18"/>
                <w:szCs w:val="18"/>
                <w:lang w:val="sq-AL"/>
              </w:rPr>
              <w:t>BL</w:t>
            </w:r>
            <w:r w:rsidRPr="00551729">
              <w:rPr>
                <w:rFonts w:ascii="Garamond" w:hAnsi="Garamond"/>
                <w:b/>
                <w:spacing w:val="1"/>
                <w:w w:val="99"/>
                <w:sz w:val="18"/>
                <w:szCs w:val="18"/>
                <w:lang w:val="sq-AL"/>
              </w:rPr>
              <w:t>I</w:t>
            </w:r>
            <w:r w:rsidRPr="00551729">
              <w:rPr>
                <w:rFonts w:ascii="Garamond" w:hAnsi="Garamond"/>
                <w:b/>
                <w:spacing w:val="-1"/>
                <w:w w:val="99"/>
                <w:sz w:val="18"/>
                <w:szCs w:val="18"/>
                <w:lang w:val="sq-AL"/>
              </w:rPr>
              <w:t>K</w:t>
            </w:r>
            <w:r w:rsidRPr="00551729">
              <w:rPr>
                <w:rFonts w:ascii="Garamond" w:hAnsi="Garamond"/>
                <w:b/>
                <w:w w:val="99"/>
                <w:sz w:val="18"/>
                <w:szCs w:val="18"/>
                <w:lang w:val="sq-AL"/>
              </w:rPr>
              <w:t>E</w:t>
            </w:r>
          </w:p>
        </w:tc>
        <w:tc>
          <w:tcPr>
            <w:tcW w:w="2110" w:type="dxa"/>
            <w:tcBorders>
              <w:top w:val="single" w:sz="6" w:space="0" w:color="000000"/>
              <w:left w:val="single" w:sz="6" w:space="0" w:color="000000"/>
              <w:right w:val="single" w:sz="6" w:space="0" w:color="000000"/>
            </w:tcBorders>
          </w:tcPr>
          <w:p w14:paraId="1BADCF44" w14:textId="5954B2A8" w:rsidR="00500457" w:rsidRPr="00551729" w:rsidRDefault="008F1F97"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Pozicioni gjeografik strategjik në rajonin më të gjerë dhe pjesëmarrja në Rrjetet e Transportit Evropian;</w:t>
            </w:r>
          </w:p>
          <w:p w14:paraId="1BADCF45" w14:textId="3311BC99"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Lidhjet e lehta duke përmirësuar infrastrukturën</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rrugore;</w:t>
            </w:r>
          </w:p>
          <w:p w14:paraId="1BADCF46" w14:textId="71EF2058"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Përmirësimi i infrastrukturës dhe shërbimeve të kalimit të kufirit;</w:t>
            </w:r>
          </w:p>
          <w:p w14:paraId="1BADCF47" w14:textId="75784189"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Lidhjet</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hekurudhore;</w:t>
            </w:r>
          </w:p>
          <w:p w14:paraId="1BADCF48" w14:textId="1BBF1B74"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Afërsia dhe aksesi i lehtë në të gjithë zonën e programit nga</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aeroportet në Podgoricë dhe</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Tiranë;</w:t>
            </w:r>
          </w:p>
          <w:p w14:paraId="1BADCF49" w14:textId="487231F6"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Portet e Tivarit dhe Shëngjinit, si një pasuri</w:t>
            </w:r>
            <w:r w:rsidR="00500457" w:rsidRPr="00551729">
              <w:rPr>
                <w:rFonts w:ascii="Garamond" w:hAnsi="Garamond"/>
                <w:spacing w:val="-12"/>
                <w:sz w:val="18"/>
                <w:szCs w:val="18"/>
                <w:lang w:val="sq-AL"/>
              </w:rPr>
              <w:t xml:space="preserve"> </w:t>
            </w:r>
            <w:r w:rsidR="00500457" w:rsidRPr="00551729">
              <w:rPr>
                <w:rFonts w:ascii="Garamond" w:hAnsi="Garamond"/>
                <w:sz w:val="18"/>
                <w:szCs w:val="18"/>
                <w:lang w:val="sq-AL"/>
              </w:rPr>
              <w:t>e rëndësishme ekonomike për</w:t>
            </w:r>
            <w:r w:rsidR="00500457" w:rsidRPr="00551729">
              <w:rPr>
                <w:rFonts w:ascii="Garamond" w:hAnsi="Garamond"/>
                <w:spacing w:val="-5"/>
                <w:sz w:val="18"/>
                <w:szCs w:val="18"/>
                <w:lang w:val="sq-AL"/>
              </w:rPr>
              <w:t xml:space="preserve"> </w:t>
            </w:r>
            <w:r w:rsidR="00500457" w:rsidRPr="00551729">
              <w:rPr>
                <w:rFonts w:ascii="Garamond" w:hAnsi="Garamond"/>
                <w:sz w:val="18"/>
                <w:szCs w:val="18"/>
                <w:lang w:val="sq-AL"/>
              </w:rPr>
              <w:t>rajonin.</w:t>
            </w:r>
          </w:p>
        </w:tc>
        <w:tc>
          <w:tcPr>
            <w:tcW w:w="2302" w:type="dxa"/>
            <w:tcBorders>
              <w:top w:val="single" w:sz="6" w:space="0" w:color="000000"/>
              <w:left w:val="single" w:sz="6" w:space="0" w:color="000000"/>
              <w:right w:val="single" w:sz="6" w:space="0" w:color="000000"/>
            </w:tcBorders>
          </w:tcPr>
          <w:p w14:paraId="1BADCF4A" w14:textId="30EFB4A2" w:rsidR="00500457" w:rsidRPr="00551729" w:rsidRDefault="008F1F97"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Infrastruktura në kushte të këqija e rrjetit të rrugëve rurale dhe dytësore, si dhe e hekurudhave;</w:t>
            </w:r>
          </w:p>
          <w:p w14:paraId="1BADCF4B" w14:textId="65CB4D50"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Kosto e lartë e</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mirëmbajtjes dhe buxhetet e kufizuara në dispozicion;</w:t>
            </w:r>
          </w:p>
          <w:p w14:paraId="1BADCF4C" w14:textId="1C462D83"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Besueshmëria e ulët dhe mungesa e furnizimit me energji elektrike, të cilat varen shumë nga</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burimet hidrike</w:t>
            </w:r>
            <w:r w:rsidR="00500457" w:rsidRPr="00551729">
              <w:rPr>
                <w:rFonts w:ascii="Garamond" w:hAnsi="Garamond"/>
                <w:spacing w:val="-3"/>
                <w:sz w:val="18"/>
                <w:szCs w:val="18"/>
                <w:lang w:val="sq-AL"/>
              </w:rPr>
              <w:t xml:space="preserve"> </w:t>
            </w:r>
            <w:r w:rsidR="00500457" w:rsidRPr="00551729">
              <w:rPr>
                <w:rFonts w:ascii="Garamond" w:hAnsi="Garamond"/>
                <w:sz w:val="18"/>
                <w:szCs w:val="18"/>
                <w:lang w:val="sq-AL"/>
              </w:rPr>
              <w:t>(AL);</w:t>
            </w:r>
          </w:p>
          <w:p w14:paraId="1BADCF4D" w14:textId="5A7ED429"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Infrastruktura e varfër dhe kapacitete të pamjaftueshme për trajtimin e ujit, ujërave</w:t>
            </w:r>
            <w:r w:rsidR="00C521D5" w:rsidRPr="00551729">
              <w:rPr>
                <w:rFonts w:ascii="Garamond" w:hAnsi="Garamond"/>
                <w:sz w:val="18"/>
                <w:szCs w:val="18"/>
                <w:lang w:val="sq-AL"/>
              </w:rPr>
              <w:t xml:space="preserve"> </w:t>
            </w:r>
            <w:r w:rsidR="00500457" w:rsidRPr="00551729">
              <w:rPr>
                <w:rFonts w:ascii="Garamond" w:hAnsi="Garamond"/>
                <w:sz w:val="18"/>
                <w:szCs w:val="18"/>
                <w:lang w:val="sq-AL"/>
              </w:rPr>
              <w:t>të zeza dhe mbeturinave të ngurta, veçanërisht në zonat rurale;</w:t>
            </w:r>
          </w:p>
          <w:p w14:paraId="1BADCF4E" w14:textId="22B5AB9D"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Aplikimet e pasaktë të standardeve të</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planifikimit urban;</w:t>
            </w:r>
          </w:p>
          <w:p w14:paraId="1BADCF4F" w14:textId="4D999ED2" w:rsidR="00500457" w:rsidRPr="00551729" w:rsidRDefault="008F1F97" w:rsidP="008F1F97">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Aksesi i kufizuar në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internet.</w:t>
            </w:r>
          </w:p>
        </w:tc>
        <w:tc>
          <w:tcPr>
            <w:tcW w:w="2302" w:type="dxa"/>
            <w:tcBorders>
              <w:top w:val="single" w:sz="6" w:space="0" w:color="000000"/>
              <w:left w:val="single" w:sz="6" w:space="0" w:color="000000"/>
              <w:right w:val="single" w:sz="6" w:space="0" w:color="000000"/>
            </w:tcBorders>
          </w:tcPr>
          <w:p w14:paraId="1BADCF50" w14:textId="70D65BE8" w:rsidR="00500457" w:rsidRPr="00551729" w:rsidRDefault="00A052C4"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Programet për përmirësimin e rrjeteve rrugore dhe hekurudhore që lidhin Malin e Zi dhe Shqipërinë;</w:t>
            </w:r>
          </w:p>
          <w:p w14:paraId="1BADCF51" w14:textId="08233AA2" w:rsidR="00500457" w:rsidRPr="00551729" w:rsidRDefault="00A052C4" w:rsidP="00A052C4">
            <w:pPr>
              <w:pStyle w:val="TableParagraph"/>
              <w:tabs>
                <w:tab w:val="left" w:pos="212"/>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Menaxhimi i planeve dhe fondeve ekzistuese (BE, bankat evropiane</w:t>
            </w:r>
            <w:r w:rsidR="00B65E6C">
              <w:rPr>
                <w:rFonts w:ascii="Garamond" w:hAnsi="Garamond"/>
                <w:sz w:val="18"/>
                <w:szCs w:val="18"/>
                <w:lang w:val="sq-AL"/>
              </w:rPr>
              <w:t xml:space="preserve"> etj</w:t>
            </w:r>
            <w:r w:rsidR="00500457" w:rsidRPr="00551729">
              <w:rPr>
                <w:rFonts w:ascii="Garamond" w:hAnsi="Garamond"/>
                <w:sz w:val="18"/>
                <w:szCs w:val="18"/>
                <w:lang w:val="sq-AL"/>
              </w:rPr>
              <w:t>.)</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dhe sistemet e ujërave të</w:t>
            </w:r>
            <w:r w:rsidR="00500457" w:rsidRPr="00551729">
              <w:rPr>
                <w:rFonts w:ascii="Garamond" w:hAnsi="Garamond"/>
                <w:spacing w:val="-5"/>
                <w:sz w:val="18"/>
                <w:szCs w:val="18"/>
                <w:lang w:val="sq-AL"/>
              </w:rPr>
              <w:t xml:space="preserve"> </w:t>
            </w:r>
            <w:r w:rsidR="00500457" w:rsidRPr="00551729">
              <w:rPr>
                <w:rFonts w:ascii="Garamond" w:hAnsi="Garamond"/>
                <w:sz w:val="18"/>
                <w:szCs w:val="18"/>
                <w:lang w:val="sq-AL"/>
              </w:rPr>
              <w:t>zeza;</w:t>
            </w:r>
          </w:p>
          <w:p w14:paraId="1BADCF52" w14:textId="2229ECA7" w:rsidR="00500457" w:rsidRPr="00551729" w:rsidRDefault="00A052C4" w:rsidP="00A052C4">
            <w:pPr>
              <w:pStyle w:val="TableParagraph"/>
              <w:tabs>
                <w:tab w:val="left" w:pos="212"/>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Lëvizja më e lehtë e</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njerëzve dhe e mallrave nëpërmjet rrugëve të përmirësuara (duke përfshirë edhe ato të rihapurat) dhe pikave të reja ndërkufitare;</w:t>
            </w:r>
          </w:p>
          <w:p w14:paraId="1BADCF53" w14:textId="084A4870" w:rsidR="00500457" w:rsidRPr="00551729" w:rsidRDefault="00A052C4"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Rritja e investimeve në furnizimin me ujë, sistemin e kanalizimeve dhe trajtimin e mbeturinave për përmirësimin e mbetjeve të ngurta;</w:t>
            </w:r>
          </w:p>
          <w:p w14:paraId="1BADCF54" w14:textId="6604F86E" w:rsidR="00500457" w:rsidRPr="00551729" w:rsidRDefault="00A052C4" w:rsidP="00A052C4">
            <w:pPr>
              <w:pStyle w:val="TableParagraph"/>
              <w:tabs>
                <w:tab w:val="left" w:pos="212"/>
              </w:tabs>
              <w:rPr>
                <w:rFonts w:ascii="Garamond" w:hAnsi="Garamond"/>
                <w:color w:val="000080"/>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Potenciali për rritjen</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e transportit</w:t>
            </w:r>
            <w:r w:rsidR="00500457" w:rsidRPr="00551729">
              <w:rPr>
                <w:rFonts w:ascii="Garamond" w:hAnsi="Garamond"/>
                <w:spacing w:val="-5"/>
                <w:sz w:val="18"/>
                <w:szCs w:val="18"/>
                <w:lang w:val="sq-AL"/>
              </w:rPr>
              <w:t xml:space="preserve"> </w:t>
            </w:r>
            <w:r w:rsidR="00500457" w:rsidRPr="00551729">
              <w:rPr>
                <w:rFonts w:ascii="Garamond" w:hAnsi="Garamond"/>
                <w:sz w:val="18"/>
                <w:szCs w:val="18"/>
                <w:lang w:val="sq-AL"/>
              </w:rPr>
              <w:t>detar;</w:t>
            </w:r>
          </w:p>
          <w:p w14:paraId="1BADCF55" w14:textId="77777777" w:rsidR="00500457" w:rsidRPr="00551729" w:rsidRDefault="00500457" w:rsidP="007D1FAB">
            <w:pPr>
              <w:pStyle w:val="TableParagraph"/>
              <w:numPr>
                <w:ilvl w:val="0"/>
                <w:numId w:val="29"/>
              </w:numPr>
              <w:tabs>
                <w:tab w:val="left" w:pos="212"/>
              </w:tabs>
              <w:ind w:left="0" w:firstLine="0"/>
              <w:rPr>
                <w:rFonts w:ascii="Garamond" w:hAnsi="Garamond"/>
                <w:color w:val="000080"/>
                <w:sz w:val="18"/>
                <w:szCs w:val="18"/>
                <w:lang w:val="sq-AL"/>
              </w:rPr>
            </w:pPr>
            <w:r w:rsidRPr="00551729">
              <w:rPr>
                <w:rFonts w:ascii="Garamond" w:hAnsi="Garamond"/>
                <w:sz w:val="18"/>
                <w:szCs w:val="18"/>
                <w:lang w:val="sq-AL"/>
              </w:rPr>
              <w:t>Zhvillimi i prodhimit</w:t>
            </w:r>
            <w:r w:rsidRPr="00551729">
              <w:rPr>
                <w:rFonts w:ascii="Garamond" w:hAnsi="Garamond"/>
                <w:spacing w:val="-7"/>
                <w:sz w:val="18"/>
                <w:szCs w:val="18"/>
                <w:lang w:val="sq-AL"/>
              </w:rPr>
              <w:t xml:space="preserve"> </w:t>
            </w:r>
            <w:r w:rsidRPr="00551729">
              <w:rPr>
                <w:rFonts w:ascii="Garamond" w:hAnsi="Garamond"/>
                <w:sz w:val="18"/>
                <w:szCs w:val="18"/>
                <w:lang w:val="sq-AL"/>
              </w:rPr>
              <w:t>të energjisë</w:t>
            </w:r>
            <w:r w:rsidRPr="00551729">
              <w:rPr>
                <w:rFonts w:ascii="Garamond" w:hAnsi="Garamond"/>
                <w:spacing w:val="-9"/>
                <w:sz w:val="18"/>
                <w:szCs w:val="18"/>
                <w:lang w:val="sq-AL"/>
              </w:rPr>
              <w:t xml:space="preserve"> </w:t>
            </w:r>
            <w:r w:rsidRPr="00551729">
              <w:rPr>
                <w:rFonts w:ascii="Garamond" w:hAnsi="Garamond"/>
                <w:sz w:val="18"/>
                <w:szCs w:val="18"/>
                <w:lang w:val="sq-AL"/>
              </w:rPr>
              <w:t>alternative;</w:t>
            </w:r>
          </w:p>
          <w:p w14:paraId="1BADCF56" w14:textId="77777777" w:rsidR="00500457" w:rsidRPr="00551729" w:rsidRDefault="00500457" w:rsidP="007D1FAB">
            <w:pPr>
              <w:pStyle w:val="TableParagraph"/>
              <w:numPr>
                <w:ilvl w:val="0"/>
                <w:numId w:val="29"/>
              </w:numPr>
              <w:tabs>
                <w:tab w:val="left" w:pos="212"/>
              </w:tabs>
              <w:ind w:left="0" w:firstLine="0"/>
              <w:rPr>
                <w:rFonts w:ascii="Garamond" w:hAnsi="Garamond"/>
                <w:color w:val="000080"/>
                <w:sz w:val="18"/>
                <w:szCs w:val="18"/>
                <w:lang w:val="sq-AL"/>
              </w:rPr>
            </w:pPr>
            <w:r w:rsidRPr="00551729">
              <w:rPr>
                <w:rFonts w:ascii="Garamond" w:hAnsi="Garamond"/>
                <w:sz w:val="18"/>
                <w:szCs w:val="18"/>
                <w:lang w:val="sq-AL"/>
              </w:rPr>
              <w:t>Përmirësimi i aksesit në internet.</w:t>
            </w:r>
          </w:p>
        </w:tc>
        <w:tc>
          <w:tcPr>
            <w:tcW w:w="2216" w:type="dxa"/>
            <w:tcBorders>
              <w:top w:val="single" w:sz="6" w:space="0" w:color="000000"/>
              <w:left w:val="single" w:sz="6" w:space="0" w:color="000000"/>
            </w:tcBorders>
          </w:tcPr>
          <w:p w14:paraId="1BADCF57" w14:textId="77777777" w:rsidR="00500457" w:rsidRPr="00551729" w:rsidRDefault="00500457" w:rsidP="00786614">
            <w:pPr>
              <w:pStyle w:val="TableParagraph"/>
              <w:rPr>
                <w:rFonts w:ascii="Garamond" w:hAnsi="Garamond"/>
                <w:sz w:val="18"/>
                <w:szCs w:val="18"/>
                <w:lang w:val="sq-AL"/>
              </w:rPr>
            </w:pPr>
            <w:r w:rsidRPr="00551729">
              <w:rPr>
                <w:rFonts w:ascii="Garamond" w:hAnsi="Garamond"/>
                <w:color w:val="000080"/>
                <w:sz w:val="18"/>
                <w:szCs w:val="18"/>
                <w:lang w:val="sq-AL"/>
              </w:rPr>
              <w:t>•</w:t>
            </w:r>
            <w:r w:rsidRPr="00551729">
              <w:rPr>
                <w:rFonts w:ascii="Garamond" w:hAnsi="Garamond"/>
                <w:sz w:val="18"/>
                <w:szCs w:val="18"/>
                <w:lang w:val="sq-AL"/>
              </w:rPr>
              <w:t>Burimet e kufizuara financiare vonojnë investimet në infrastrukturën publike dhe veçanërisht në mirëmbajtje;</w:t>
            </w:r>
          </w:p>
          <w:p w14:paraId="1BADCF58" w14:textId="4465BB4F" w:rsidR="00500457" w:rsidRPr="00551729" w:rsidRDefault="00A052C4" w:rsidP="00A052C4">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Burimet financiare të pamjaftueshme për</w:t>
            </w:r>
            <w:r w:rsidR="00D40334">
              <w:rPr>
                <w:rFonts w:ascii="Garamond" w:hAnsi="Garamond"/>
                <w:sz w:val="18"/>
                <w:szCs w:val="18"/>
                <w:lang w:val="sq-AL"/>
              </w:rPr>
              <w:t xml:space="preserve"> ri</w:t>
            </w:r>
            <w:r w:rsidR="00500457" w:rsidRPr="00551729">
              <w:rPr>
                <w:rFonts w:ascii="Garamond" w:hAnsi="Garamond"/>
                <w:sz w:val="18"/>
                <w:szCs w:val="18"/>
                <w:lang w:val="sq-AL"/>
              </w:rPr>
              <w:t>ndërtimin dhe mirëmbajtjen e infrastrukturës së përkeqësuar</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lokale;</w:t>
            </w:r>
          </w:p>
          <w:p w14:paraId="1BADCF59" w14:textId="343090FF" w:rsidR="00500457" w:rsidRPr="00551729" w:rsidRDefault="00A052C4" w:rsidP="00A052C4">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Ndërtimet e paligjshme,</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që ushtrojnë presion shtesë mbi zhvillimin e infrastrukturës në zonën e programit;</w:t>
            </w:r>
          </w:p>
          <w:p w14:paraId="1BADCF5A" w14:textId="2D29E011" w:rsidR="00500457" w:rsidRPr="00551729" w:rsidRDefault="00A052C4" w:rsidP="00A052C4">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Çështjet e pazgjidhura</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të pronësisë që pengojnë investimet në infrastrukturë;</w:t>
            </w:r>
          </w:p>
          <w:p w14:paraId="1BADCF5B" w14:textId="45B1D082" w:rsidR="00500457" w:rsidRPr="00551729" w:rsidRDefault="00A052C4" w:rsidP="00A052C4">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Planifikimi urban i pazhvilluar, duke përfshirë planifikimin e</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qëndrueshëm të mjeteve të transportit publik dhe</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privat.</w:t>
            </w:r>
          </w:p>
        </w:tc>
      </w:tr>
    </w:tbl>
    <w:p w14:paraId="1BADCF5D" w14:textId="77777777" w:rsidR="00500457" w:rsidRPr="00551729" w:rsidRDefault="00500457" w:rsidP="00500457">
      <w:pPr>
        <w:pStyle w:val="BodyText"/>
        <w:ind w:firstLine="284"/>
        <w:rPr>
          <w:rFonts w:ascii="Garamond" w:hAnsi="Garamond"/>
          <w:sz w:val="24"/>
          <w:szCs w:val="24"/>
          <w:lang w:val="sq-AL"/>
        </w:rPr>
      </w:pPr>
    </w:p>
    <w:p w14:paraId="1BADCF5E" w14:textId="77777777" w:rsidR="00500457" w:rsidRDefault="00500457" w:rsidP="00500457">
      <w:pPr>
        <w:pStyle w:val="BodyText"/>
        <w:spacing w:before="10"/>
        <w:ind w:firstLine="284"/>
        <w:rPr>
          <w:rFonts w:ascii="Garamond" w:hAnsi="Garamond"/>
          <w:sz w:val="24"/>
          <w:szCs w:val="24"/>
          <w:lang w:val="sq-AL"/>
        </w:rPr>
      </w:pPr>
    </w:p>
    <w:p w14:paraId="1DEF30E0" w14:textId="77777777" w:rsidR="00854256" w:rsidRDefault="00854256" w:rsidP="00500457">
      <w:pPr>
        <w:pStyle w:val="BodyText"/>
        <w:spacing w:before="10"/>
        <w:ind w:firstLine="284"/>
        <w:rPr>
          <w:rFonts w:ascii="Garamond" w:hAnsi="Garamond"/>
          <w:sz w:val="24"/>
          <w:szCs w:val="24"/>
          <w:lang w:val="sq-AL"/>
        </w:rPr>
      </w:pPr>
    </w:p>
    <w:p w14:paraId="7C32CC60" w14:textId="77777777" w:rsidR="00854256" w:rsidRDefault="00854256" w:rsidP="00500457">
      <w:pPr>
        <w:pStyle w:val="BodyText"/>
        <w:spacing w:before="10"/>
        <w:ind w:firstLine="284"/>
        <w:rPr>
          <w:rFonts w:ascii="Garamond" w:hAnsi="Garamond"/>
          <w:sz w:val="24"/>
          <w:szCs w:val="24"/>
          <w:lang w:val="sq-AL"/>
        </w:rPr>
      </w:pPr>
    </w:p>
    <w:p w14:paraId="43D77842" w14:textId="77777777" w:rsidR="00854256" w:rsidRDefault="00854256" w:rsidP="00500457">
      <w:pPr>
        <w:pStyle w:val="BodyText"/>
        <w:spacing w:before="10"/>
        <w:ind w:firstLine="284"/>
        <w:rPr>
          <w:rFonts w:ascii="Garamond" w:hAnsi="Garamond"/>
          <w:sz w:val="24"/>
          <w:szCs w:val="24"/>
          <w:lang w:val="sq-AL"/>
        </w:rPr>
      </w:pPr>
    </w:p>
    <w:p w14:paraId="3C2D5FB5" w14:textId="77777777" w:rsidR="00854256" w:rsidRDefault="00854256" w:rsidP="00500457">
      <w:pPr>
        <w:pStyle w:val="BodyText"/>
        <w:spacing w:before="10"/>
        <w:ind w:firstLine="284"/>
        <w:rPr>
          <w:rFonts w:ascii="Garamond" w:hAnsi="Garamond"/>
          <w:sz w:val="24"/>
          <w:szCs w:val="24"/>
          <w:lang w:val="sq-AL"/>
        </w:rPr>
      </w:pPr>
    </w:p>
    <w:p w14:paraId="33BD7387" w14:textId="77777777" w:rsidR="00854256" w:rsidRDefault="00854256" w:rsidP="00500457">
      <w:pPr>
        <w:pStyle w:val="BodyText"/>
        <w:spacing w:before="10"/>
        <w:ind w:firstLine="284"/>
        <w:rPr>
          <w:rFonts w:ascii="Garamond" w:hAnsi="Garamond"/>
          <w:sz w:val="24"/>
          <w:szCs w:val="24"/>
          <w:lang w:val="sq-AL"/>
        </w:rPr>
      </w:pPr>
    </w:p>
    <w:p w14:paraId="0605D48B" w14:textId="77777777" w:rsidR="00854256" w:rsidRDefault="00854256" w:rsidP="00500457">
      <w:pPr>
        <w:pStyle w:val="BodyText"/>
        <w:spacing w:before="10"/>
        <w:ind w:firstLine="284"/>
        <w:rPr>
          <w:rFonts w:ascii="Garamond" w:hAnsi="Garamond"/>
          <w:sz w:val="24"/>
          <w:szCs w:val="24"/>
          <w:lang w:val="sq-AL"/>
        </w:rPr>
      </w:pPr>
    </w:p>
    <w:p w14:paraId="28B78B73" w14:textId="77777777" w:rsidR="00854256" w:rsidRDefault="00854256" w:rsidP="00500457">
      <w:pPr>
        <w:pStyle w:val="BodyText"/>
        <w:spacing w:before="10"/>
        <w:ind w:firstLine="284"/>
        <w:rPr>
          <w:rFonts w:ascii="Garamond" w:hAnsi="Garamond"/>
          <w:sz w:val="24"/>
          <w:szCs w:val="24"/>
          <w:lang w:val="sq-AL"/>
        </w:rPr>
      </w:pPr>
    </w:p>
    <w:p w14:paraId="246D8209" w14:textId="77777777" w:rsidR="00854256" w:rsidRDefault="00854256" w:rsidP="00500457">
      <w:pPr>
        <w:pStyle w:val="BodyText"/>
        <w:spacing w:before="10"/>
        <w:ind w:firstLine="284"/>
        <w:rPr>
          <w:rFonts w:ascii="Garamond" w:hAnsi="Garamond"/>
          <w:sz w:val="24"/>
          <w:szCs w:val="24"/>
          <w:lang w:val="sq-AL"/>
        </w:rPr>
      </w:pPr>
    </w:p>
    <w:p w14:paraId="18226325" w14:textId="77777777" w:rsidR="00854256" w:rsidRDefault="00854256" w:rsidP="00500457">
      <w:pPr>
        <w:pStyle w:val="BodyText"/>
        <w:spacing w:before="10"/>
        <w:ind w:firstLine="284"/>
        <w:rPr>
          <w:rFonts w:ascii="Garamond" w:hAnsi="Garamond"/>
          <w:sz w:val="24"/>
          <w:szCs w:val="24"/>
          <w:lang w:val="sq-AL"/>
        </w:rPr>
      </w:pPr>
    </w:p>
    <w:p w14:paraId="7A424E0A" w14:textId="77777777" w:rsidR="00854256" w:rsidRDefault="00854256" w:rsidP="00500457">
      <w:pPr>
        <w:pStyle w:val="BodyText"/>
        <w:spacing w:before="10"/>
        <w:ind w:firstLine="284"/>
        <w:rPr>
          <w:rFonts w:ascii="Garamond" w:hAnsi="Garamond"/>
          <w:sz w:val="24"/>
          <w:szCs w:val="24"/>
          <w:lang w:val="sq-AL"/>
        </w:rPr>
      </w:pPr>
    </w:p>
    <w:p w14:paraId="5CB8E066" w14:textId="77777777" w:rsidR="00854256" w:rsidRDefault="00854256" w:rsidP="00500457">
      <w:pPr>
        <w:pStyle w:val="BodyText"/>
        <w:spacing w:before="10"/>
        <w:ind w:firstLine="284"/>
        <w:rPr>
          <w:rFonts w:ascii="Garamond" w:hAnsi="Garamond"/>
          <w:sz w:val="24"/>
          <w:szCs w:val="24"/>
          <w:lang w:val="sq-AL"/>
        </w:rPr>
      </w:pPr>
    </w:p>
    <w:p w14:paraId="3B85922E" w14:textId="77777777" w:rsidR="00854256" w:rsidRDefault="00854256" w:rsidP="00500457">
      <w:pPr>
        <w:pStyle w:val="BodyText"/>
        <w:spacing w:before="10"/>
        <w:ind w:firstLine="284"/>
        <w:rPr>
          <w:rFonts w:ascii="Garamond" w:hAnsi="Garamond"/>
          <w:sz w:val="24"/>
          <w:szCs w:val="24"/>
          <w:lang w:val="sq-AL"/>
        </w:rPr>
      </w:pPr>
    </w:p>
    <w:p w14:paraId="0E45C27C" w14:textId="77777777" w:rsidR="00854256" w:rsidRDefault="00854256" w:rsidP="00500457">
      <w:pPr>
        <w:pStyle w:val="BodyText"/>
        <w:spacing w:before="10"/>
        <w:ind w:firstLine="284"/>
        <w:rPr>
          <w:rFonts w:ascii="Garamond" w:hAnsi="Garamond"/>
          <w:sz w:val="24"/>
          <w:szCs w:val="24"/>
          <w:lang w:val="sq-AL"/>
        </w:rPr>
      </w:pPr>
    </w:p>
    <w:p w14:paraId="2542C55F" w14:textId="77777777" w:rsidR="00854256" w:rsidRDefault="00854256" w:rsidP="00500457">
      <w:pPr>
        <w:pStyle w:val="BodyText"/>
        <w:spacing w:before="10"/>
        <w:ind w:firstLine="284"/>
        <w:rPr>
          <w:rFonts w:ascii="Garamond" w:hAnsi="Garamond"/>
          <w:sz w:val="24"/>
          <w:szCs w:val="24"/>
          <w:lang w:val="sq-AL"/>
        </w:rPr>
      </w:pPr>
    </w:p>
    <w:p w14:paraId="0D9A9B71" w14:textId="77777777" w:rsidR="00854256" w:rsidRDefault="00854256" w:rsidP="00500457">
      <w:pPr>
        <w:pStyle w:val="BodyText"/>
        <w:spacing w:before="10"/>
        <w:ind w:firstLine="284"/>
        <w:rPr>
          <w:rFonts w:ascii="Garamond" w:hAnsi="Garamond"/>
          <w:sz w:val="24"/>
          <w:szCs w:val="24"/>
          <w:lang w:val="sq-AL"/>
        </w:rPr>
      </w:pPr>
    </w:p>
    <w:p w14:paraId="7F49EDED" w14:textId="77777777" w:rsidR="00854256" w:rsidRDefault="00854256" w:rsidP="00500457">
      <w:pPr>
        <w:pStyle w:val="BodyText"/>
        <w:spacing w:before="10"/>
        <w:ind w:firstLine="284"/>
        <w:rPr>
          <w:rFonts w:ascii="Garamond" w:hAnsi="Garamond"/>
          <w:sz w:val="24"/>
          <w:szCs w:val="24"/>
          <w:lang w:val="sq-AL"/>
        </w:rPr>
      </w:pPr>
    </w:p>
    <w:p w14:paraId="52399FEC" w14:textId="77777777" w:rsidR="00854256" w:rsidRDefault="00854256" w:rsidP="00500457">
      <w:pPr>
        <w:pStyle w:val="BodyText"/>
        <w:spacing w:before="10"/>
        <w:ind w:firstLine="284"/>
        <w:rPr>
          <w:rFonts w:ascii="Garamond" w:hAnsi="Garamond"/>
          <w:sz w:val="24"/>
          <w:szCs w:val="24"/>
          <w:lang w:val="sq-AL"/>
        </w:rPr>
      </w:pPr>
    </w:p>
    <w:p w14:paraId="07B90046" w14:textId="77777777" w:rsidR="00854256" w:rsidRDefault="00854256" w:rsidP="00500457">
      <w:pPr>
        <w:pStyle w:val="BodyText"/>
        <w:spacing w:before="10"/>
        <w:ind w:firstLine="284"/>
        <w:rPr>
          <w:rFonts w:ascii="Garamond" w:hAnsi="Garamond"/>
          <w:sz w:val="24"/>
          <w:szCs w:val="24"/>
          <w:lang w:val="sq-AL"/>
        </w:rPr>
      </w:pPr>
    </w:p>
    <w:p w14:paraId="5F4C213E" w14:textId="77777777" w:rsidR="00854256" w:rsidRDefault="00854256" w:rsidP="00500457">
      <w:pPr>
        <w:pStyle w:val="BodyText"/>
        <w:spacing w:before="10"/>
        <w:ind w:firstLine="284"/>
        <w:rPr>
          <w:rFonts w:ascii="Garamond" w:hAnsi="Garamond"/>
          <w:sz w:val="24"/>
          <w:szCs w:val="24"/>
          <w:lang w:val="sq-AL"/>
        </w:rPr>
      </w:pPr>
    </w:p>
    <w:p w14:paraId="06A440FC" w14:textId="77777777" w:rsidR="00854256" w:rsidRDefault="00854256" w:rsidP="00500457">
      <w:pPr>
        <w:pStyle w:val="BodyText"/>
        <w:spacing w:before="10"/>
        <w:ind w:firstLine="284"/>
        <w:rPr>
          <w:rFonts w:ascii="Garamond" w:hAnsi="Garamond"/>
          <w:sz w:val="24"/>
          <w:szCs w:val="24"/>
          <w:lang w:val="sq-AL"/>
        </w:rPr>
      </w:pPr>
    </w:p>
    <w:p w14:paraId="665DC7E1" w14:textId="77777777" w:rsidR="00854256" w:rsidRPr="00551729" w:rsidRDefault="00854256" w:rsidP="00500457">
      <w:pPr>
        <w:pStyle w:val="BodyText"/>
        <w:spacing w:before="10"/>
        <w:ind w:firstLine="284"/>
        <w:rPr>
          <w:rFonts w:ascii="Garamond" w:hAnsi="Garamond"/>
          <w:sz w:val="24"/>
          <w:szCs w:val="24"/>
          <w:lang w:val="sq-AL"/>
        </w:rPr>
      </w:pPr>
    </w:p>
    <w:tbl>
      <w:tblPr>
        <w:tblW w:w="0" w:type="auto"/>
        <w:tblInd w:w="11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840"/>
        <w:gridCol w:w="1918"/>
        <w:gridCol w:w="2302"/>
        <w:gridCol w:w="2302"/>
        <w:gridCol w:w="2216"/>
      </w:tblGrid>
      <w:tr w:rsidR="00500457" w:rsidRPr="00551729" w14:paraId="1BADCF64" w14:textId="77777777" w:rsidTr="0012310B">
        <w:trPr>
          <w:trHeight w:hRule="exact" w:val="560"/>
        </w:trPr>
        <w:tc>
          <w:tcPr>
            <w:tcW w:w="840" w:type="dxa"/>
            <w:tcBorders>
              <w:bottom w:val="thinThickMediumGap" w:sz="12" w:space="0" w:color="000000"/>
              <w:right w:val="single" w:sz="6" w:space="0" w:color="000000"/>
            </w:tcBorders>
            <w:shd w:val="clear" w:color="auto" w:fill="6F2F9F"/>
          </w:tcPr>
          <w:p w14:paraId="1BADCF5F" w14:textId="77777777" w:rsidR="00500457" w:rsidRPr="00551729" w:rsidRDefault="00500457" w:rsidP="00786614">
            <w:pPr>
              <w:widowControl w:val="0"/>
              <w:spacing w:after="0" w:line="240" w:lineRule="auto"/>
              <w:rPr>
                <w:rFonts w:ascii="Garamond" w:hAnsi="Garamond"/>
                <w:sz w:val="18"/>
                <w:szCs w:val="18"/>
              </w:rPr>
            </w:pPr>
          </w:p>
        </w:tc>
        <w:tc>
          <w:tcPr>
            <w:tcW w:w="1918" w:type="dxa"/>
            <w:tcBorders>
              <w:left w:val="single" w:sz="6" w:space="0" w:color="000000"/>
              <w:bottom w:val="thinThickMediumGap" w:sz="12" w:space="0" w:color="000000"/>
              <w:right w:val="single" w:sz="6" w:space="0" w:color="000000"/>
            </w:tcBorders>
            <w:shd w:val="clear" w:color="auto" w:fill="6F2F9F"/>
            <w:vAlign w:val="center"/>
          </w:tcPr>
          <w:p w14:paraId="1BADCF60"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FORTA</w:t>
            </w:r>
          </w:p>
        </w:tc>
        <w:tc>
          <w:tcPr>
            <w:tcW w:w="2302" w:type="dxa"/>
            <w:tcBorders>
              <w:left w:val="single" w:sz="6" w:space="0" w:color="000000"/>
              <w:bottom w:val="thinThickMediumGap" w:sz="12" w:space="0" w:color="000000"/>
              <w:right w:val="single" w:sz="6" w:space="0" w:color="000000"/>
            </w:tcBorders>
            <w:shd w:val="clear" w:color="auto" w:fill="6F2F9F"/>
            <w:vAlign w:val="center"/>
          </w:tcPr>
          <w:p w14:paraId="1BADCF61"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DOBËTA</w:t>
            </w:r>
          </w:p>
        </w:tc>
        <w:tc>
          <w:tcPr>
            <w:tcW w:w="2302" w:type="dxa"/>
            <w:tcBorders>
              <w:left w:val="single" w:sz="6" w:space="0" w:color="000000"/>
              <w:bottom w:val="thinThickMediumGap" w:sz="12" w:space="0" w:color="000000"/>
              <w:right w:val="single" w:sz="6" w:space="0" w:color="000000"/>
            </w:tcBorders>
            <w:shd w:val="clear" w:color="auto" w:fill="6F2F9F"/>
            <w:vAlign w:val="center"/>
          </w:tcPr>
          <w:p w14:paraId="1BADCF62"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MUNDËSITË</w:t>
            </w:r>
          </w:p>
        </w:tc>
        <w:tc>
          <w:tcPr>
            <w:tcW w:w="2216" w:type="dxa"/>
            <w:tcBorders>
              <w:left w:val="single" w:sz="6" w:space="0" w:color="000000"/>
              <w:bottom w:val="thinThickMediumGap" w:sz="12" w:space="0" w:color="000000"/>
            </w:tcBorders>
            <w:shd w:val="clear" w:color="auto" w:fill="6F2F9F"/>
            <w:vAlign w:val="center"/>
          </w:tcPr>
          <w:p w14:paraId="1BADCF63"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KËRCËNIMET</w:t>
            </w:r>
          </w:p>
        </w:tc>
      </w:tr>
      <w:tr w:rsidR="00500457" w:rsidRPr="00551729" w14:paraId="1BADCF7E" w14:textId="77777777" w:rsidTr="00786614">
        <w:trPr>
          <w:trHeight w:hRule="exact" w:val="7033"/>
        </w:trPr>
        <w:tc>
          <w:tcPr>
            <w:tcW w:w="840" w:type="dxa"/>
            <w:tcBorders>
              <w:top w:val="thickThinMediumGap" w:sz="12" w:space="0" w:color="000000"/>
              <w:bottom w:val="single" w:sz="6" w:space="0" w:color="000000"/>
              <w:right w:val="single" w:sz="6" w:space="0" w:color="000000"/>
            </w:tcBorders>
            <w:textDirection w:val="btLr"/>
            <w:vAlign w:val="center"/>
          </w:tcPr>
          <w:p w14:paraId="1BADCF65" w14:textId="77777777" w:rsidR="00786614" w:rsidRPr="00551729" w:rsidRDefault="00500457" w:rsidP="00786614">
            <w:pPr>
              <w:pStyle w:val="TableParagraph"/>
              <w:jc w:val="center"/>
              <w:rPr>
                <w:rFonts w:ascii="Garamond" w:hAnsi="Garamond"/>
                <w:b/>
                <w:spacing w:val="-2"/>
                <w:sz w:val="18"/>
                <w:szCs w:val="18"/>
                <w:lang w:val="sq-AL"/>
              </w:rPr>
            </w:pPr>
            <w:r w:rsidRPr="00551729">
              <w:rPr>
                <w:rFonts w:ascii="Garamond" w:hAnsi="Garamond"/>
                <w:b/>
                <w:sz w:val="18"/>
                <w:szCs w:val="18"/>
                <w:lang w:val="sq-AL"/>
              </w:rPr>
              <w:t>IN</w:t>
            </w:r>
            <w:r w:rsidRPr="00551729">
              <w:rPr>
                <w:rFonts w:ascii="Garamond" w:hAnsi="Garamond"/>
                <w:b/>
                <w:spacing w:val="-1"/>
                <w:sz w:val="18"/>
                <w:szCs w:val="18"/>
                <w:lang w:val="sq-AL"/>
              </w:rPr>
              <w:t>K</w:t>
            </w:r>
            <w:r w:rsidRPr="00551729">
              <w:rPr>
                <w:rFonts w:ascii="Garamond" w:hAnsi="Garamond"/>
                <w:b/>
                <w:spacing w:val="-3"/>
                <w:sz w:val="18"/>
                <w:szCs w:val="18"/>
                <w:lang w:val="sq-AL"/>
              </w:rPr>
              <w:t>U</w:t>
            </w:r>
            <w:r w:rsidRPr="00551729">
              <w:rPr>
                <w:rFonts w:ascii="Garamond" w:hAnsi="Garamond"/>
                <w:b/>
                <w:sz w:val="18"/>
                <w:szCs w:val="18"/>
                <w:lang w:val="sq-AL"/>
              </w:rPr>
              <w:t>RA</w:t>
            </w:r>
            <w:r w:rsidRPr="00551729">
              <w:rPr>
                <w:rFonts w:ascii="Garamond" w:hAnsi="Garamond"/>
                <w:b/>
                <w:spacing w:val="-2"/>
                <w:sz w:val="18"/>
                <w:szCs w:val="18"/>
                <w:lang w:val="sq-AL"/>
              </w:rPr>
              <w:t>J</w:t>
            </w:r>
            <w:r w:rsidRPr="00551729">
              <w:rPr>
                <w:rFonts w:ascii="Garamond" w:hAnsi="Garamond"/>
                <w:b/>
                <w:sz w:val="18"/>
                <w:szCs w:val="18"/>
                <w:lang w:val="sq-AL"/>
              </w:rPr>
              <w:t>I</w:t>
            </w:r>
            <w:r w:rsidRPr="00551729">
              <w:rPr>
                <w:rFonts w:ascii="Garamond" w:hAnsi="Garamond"/>
                <w:b/>
                <w:spacing w:val="-4"/>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pacing w:val="-1"/>
                <w:sz w:val="18"/>
                <w:szCs w:val="18"/>
                <w:lang w:val="sq-AL"/>
              </w:rPr>
              <w:t>T</w:t>
            </w:r>
            <w:r w:rsidRPr="00551729">
              <w:rPr>
                <w:rFonts w:ascii="Garamond" w:hAnsi="Garamond"/>
                <w:b/>
                <w:sz w:val="18"/>
                <w:szCs w:val="18"/>
                <w:lang w:val="sq-AL"/>
              </w:rPr>
              <w:t>UR</w:t>
            </w:r>
            <w:r w:rsidRPr="00551729">
              <w:rPr>
                <w:rFonts w:ascii="Garamond" w:hAnsi="Garamond"/>
                <w:b/>
                <w:spacing w:val="-2"/>
                <w:sz w:val="18"/>
                <w:szCs w:val="18"/>
                <w:lang w:val="sq-AL"/>
              </w:rPr>
              <w:t>I</w:t>
            </w:r>
            <w:r w:rsidRPr="00551729">
              <w:rPr>
                <w:rFonts w:ascii="Garamond" w:hAnsi="Garamond"/>
                <w:b/>
                <w:sz w:val="18"/>
                <w:szCs w:val="18"/>
                <w:lang w:val="sq-AL"/>
              </w:rPr>
              <w:t>Z</w:t>
            </w:r>
            <w:r w:rsidRPr="00551729">
              <w:rPr>
                <w:rFonts w:ascii="Garamond" w:hAnsi="Garamond"/>
                <w:b/>
                <w:spacing w:val="-1"/>
                <w:sz w:val="18"/>
                <w:szCs w:val="18"/>
                <w:lang w:val="sq-AL"/>
              </w:rPr>
              <w:t>M</w:t>
            </w:r>
            <w:r w:rsidRPr="00551729">
              <w:rPr>
                <w:rFonts w:ascii="Garamond" w:hAnsi="Garamond"/>
                <w:b/>
                <w:spacing w:val="-2"/>
                <w:sz w:val="18"/>
                <w:szCs w:val="18"/>
                <w:lang w:val="sq-AL"/>
              </w:rPr>
              <w:t>I</w:t>
            </w:r>
            <w:r w:rsidRPr="00551729">
              <w:rPr>
                <w:rFonts w:ascii="Garamond" w:hAnsi="Garamond"/>
                <w:b/>
                <w:sz w:val="18"/>
                <w:szCs w:val="18"/>
                <w:lang w:val="sq-AL"/>
              </w:rPr>
              <w:t>T</w:t>
            </w:r>
            <w:r w:rsidRPr="00551729">
              <w:rPr>
                <w:rFonts w:ascii="Garamond" w:hAnsi="Garamond"/>
                <w:b/>
                <w:spacing w:val="1"/>
                <w:sz w:val="18"/>
                <w:szCs w:val="18"/>
                <w:lang w:val="sq-AL"/>
              </w:rPr>
              <w:t xml:space="preserve"> </w:t>
            </w:r>
            <w:r w:rsidRPr="00551729">
              <w:rPr>
                <w:rFonts w:ascii="Garamond" w:hAnsi="Garamond"/>
                <w:b/>
                <w:spacing w:val="-2"/>
                <w:sz w:val="18"/>
                <w:szCs w:val="18"/>
                <w:lang w:val="sq-AL"/>
              </w:rPr>
              <w:t>D</w:t>
            </w:r>
            <w:r w:rsidRPr="00551729">
              <w:rPr>
                <w:rFonts w:ascii="Garamond" w:hAnsi="Garamond"/>
                <w:b/>
                <w:sz w:val="18"/>
                <w:szCs w:val="18"/>
                <w:lang w:val="sq-AL"/>
              </w:rPr>
              <w:t xml:space="preserve">HE </w:t>
            </w:r>
            <w:r w:rsidRPr="00551729">
              <w:rPr>
                <w:rFonts w:ascii="Garamond" w:hAnsi="Garamond"/>
                <w:b/>
                <w:spacing w:val="-1"/>
                <w:sz w:val="18"/>
                <w:szCs w:val="18"/>
                <w:lang w:val="sq-AL"/>
              </w:rPr>
              <w:t>T</w:t>
            </w:r>
            <w:r w:rsidRPr="00551729">
              <w:rPr>
                <w:rFonts w:ascii="Garamond" w:hAnsi="Garamond"/>
                <w:b/>
                <w:sz w:val="18"/>
                <w:szCs w:val="18"/>
                <w:lang w:val="sq-AL"/>
              </w:rPr>
              <w:t>R</w:t>
            </w:r>
            <w:r w:rsidRPr="00551729">
              <w:rPr>
                <w:rFonts w:ascii="Garamond" w:hAnsi="Garamond"/>
                <w:b/>
                <w:spacing w:val="-2"/>
                <w:sz w:val="18"/>
                <w:szCs w:val="18"/>
                <w:lang w:val="sq-AL"/>
              </w:rPr>
              <w:t>A</w:t>
            </w:r>
            <w:r w:rsidRPr="00551729">
              <w:rPr>
                <w:rFonts w:ascii="Garamond" w:hAnsi="Garamond"/>
                <w:b/>
                <w:sz w:val="18"/>
                <w:szCs w:val="18"/>
                <w:lang w:val="sq-AL"/>
              </w:rPr>
              <w:t>S</w:t>
            </w:r>
            <w:r w:rsidRPr="00551729">
              <w:rPr>
                <w:rFonts w:ascii="Garamond" w:hAnsi="Garamond"/>
                <w:b/>
                <w:spacing w:val="2"/>
                <w:sz w:val="18"/>
                <w:szCs w:val="18"/>
                <w:lang w:val="sq-AL"/>
              </w:rPr>
              <w:t>H</w:t>
            </w:r>
            <w:r w:rsidRPr="00551729">
              <w:rPr>
                <w:rFonts w:ascii="Garamond" w:hAnsi="Garamond"/>
                <w:b/>
                <w:spacing w:val="-3"/>
                <w:sz w:val="18"/>
                <w:szCs w:val="18"/>
                <w:lang w:val="sq-AL"/>
              </w:rPr>
              <w:t>Ë</w:t>
            </w:r>
            <w:r w:rsidRPr="00551729">
              <w:rPr>
                <w:rFonts w:ascii="Garamond" w:hAnsi="Garamond"/>
                <w:b/>
                <w:sz w:val="18"/>
                <w:szCs w:val="18"/>
                <w:lang w:val="sq-AL"/>
              </w:rPr>
              <w:t>GI</w:t>
            </w:r>
            <w:r w:rsidRPr="00551729">
              <w:rPr>
                <w:rFonts w:ascii="Garamond" w:hAnsi="Garamond"/>
                <w:b/>
                <w:spacing w:val="-4"/>
                <w:sz w:val="18"/>
                <w:szCs w:val="18"/>
                <w:lang w:val="sq-AL"/>
              </w:rPr>
              <w:t>M</w:t>
            </w:r>
            <w:r w:rsidRPr="00551729">
              <w:rPr>
                <w:rFonts w:ascii="Garamond" w:hAnsi="Garamond"/>
                <w:b/>
                <w:sz w:val="18"/>
                <w:szCs w:val="18"/>
                <w:lang w:val="sq-AL"/>
              </w:rPr>
              <w:t>IA</w:t>
            </w:r>
            <w:r w:rsidRPr="00551729">
              <w:rPr>
                <w:rFonts w:ascii="Garamond" w:hAnsi="Garamond"/>
                <w:b/>
                <w:spacing w:val="-2"/>
                <w:sz w:val="18"/>
                <w:szCs w:val="18"/>
                <w:lang w:val="sq-AL"/>
              </w:rPr>
              <w:t xml:space="preserve"> </w:t>
            </w:r>
          </w:p>
          <w:p w14:paraId="1BADCF66" w14:textId="77777777" w:rsidR="00500457" w:rsidRPr="00551729" w:rsidRDefault="00500457" w:rsidP="00786614">
            <w:pPr>
              <w:pStyle w:val="TableParagraph"/>
              <w:jc w:val="center"/>
              <w:rPr>
                <w:rFonts w:ascii="Garamond" w:hAnsi="Garamond"/>
                <w:b/>
                <w:sz w:val="18"/>
                <w:szCs w:val="18"/>
                <w:lang w:val="sq-AL"/>
              </w:rPr>
            </w:pPr>
            <w:r w:rsidRPr="00551729">
              <w:rPr>
                <w:rFonts w:ascii="Garamond" w:hAnsi="Garamond"/>
                <w:b/>
                <w:sz w:val="18"/>
                <w:szCs w:val="18"/>
                <w:lang w:val="sq-AL"/>
              </w:rPr>
              <w:t>KUL</w:t>
            </w:r>
            <w:r w:rsidRPr="00551729">
              <w:rPr>
                <w:rFonts w:ascii="Garamond" w:hAnsi="Garamond"/>
                <w:b/>
                <w:spacing w:val="-2"/>
                <w:sz w:val="18"/>
                <w:szCs w:val="18"/>
                <w:lang w:val="sq-AL"/>
              </w:rPr>
              <w:t>T</w:t>
            </w:r>
            <w:r w:rsidRPr="00551729">
              <w:rPr>
                <w:rFonts w:ascii="Garamond" w:hAnsi="Garamond"/>
                <w:b/>
                <w:sz w:val="18"/>
                <w:szCs w:val="18"/>
                <w:lang w:val="sq-AL"/>
              </w:rPr>
              <w:t>U</w:t>
            </w:r>
            <w:r w:rsidRPr="00551729">
              <w:rPr>
                <w:rFonts w:ascii="Garamond" w:hAnsi="Garamond"/>
                <w:b/>
                <w:spacing w:val="-2"/>
                <w:sz w:val="18"/>
                <w:szCs w:val="18"/>
                <w:lang w:val="sq-AL"/>
              </w:rPr>
              <w:t>R</w:t>
            </w:r>
            <w:r w:rsidRPr="00551729">
              <w:rPr>
                <w:rFonts w:ascii="Garamond" w:hAnsi="Garamond"/>
                <w:b/>
                <w:spacing w:val="-1"/>
                <w:sz w:val="18"/>
                <w:szCs w:val="18"/>
                <w:lang w:val="sq-AL"/>
              </w:rPr>
              <w:t>OR</w:t>
            </w:r>
            <w:r w:rsidRPr="00551729">
              <w:rPr>
                <w:rFonts w:ascii="Garamond" w:hAnsi="Garamond"/>
                <w:b/>
                <w:sz w:val="18"/>
                <w:szCs w:val="18"/>
                <w:lang w:val="sq-AL"/>
              </w:rPr>
              <w:t>E</w:t>
            </w:r>
            <w:r w:rsidRPr="00551729">
              <w:rPr>
                <w:rFonts w:ascii="Garamond" w:hAnsi="Garamond"/>
                <w:b/>
                <w:spacing w:val="1"/>
                <w:sz w:val="18"/>
                <w:szCs w:val="18"/>
                <w:lang w:val="sq-AL"/>
              </w:rPr>
              <w:t xml:space="preserve"> </w:t>
            </w:r>
            <w:r w:rsidRPr="00551729">
              <w:rPr>
                <w:rFonts w:ascii="Garamond" w:hAnsi="Garamond"/>
                <w:b/>
                <w:sz w:val="18"/>
                <w:szCs w:val="18"/>
                <w:lang w:val="sq-AL"/>
              </w:rPr>
              <w:t>&amp; N</w:t>
            </w:r>
            <w:r w:rsidRPr="00551729">
              <w:rPr>
                <w:rFonts w:ascii="Garamond" w:hAnsi="Garamond"/>
                <w:b/>
                <w:spacing w:val="-2"/>
                <w:sz w:val="18"/>
                <w:szCs w:val="18"/>
                <w:lang w:val="sq-AL"/>
              </w:rPr>
              <w:t>A</w:t>
            </w:r>
            <w:r w:rsidRPr="00551729">
              <w:rPr>
                <w:rFonts w:ascii="Garamond" w:hAnsi="Garamond"/>
                <w:b/>
                <w:sz w:val="18"/>
                <w:szCs w:val="18"/>
                <w:lang w:val="sq-AL"/>
              </w:rPr>
              <w:t>TYR</w:t>
            </w:r>
            <w:r w:rsidRPr="00551729">
              <w:rPr>
                <w:rFonts w:ascii="Garamond" w:hAnsi="Garamond"/>
                <w:b/>
                <w:spacing w:val="-3"/>
                <w:sz w:val="18"/>
                <w:szCs w:val="18"/>
                <w:lang w:val="sq-AL"/>
              </w:rPr>
              <w:t>O</w:t>
            </w:r>
            <w:r w:rsidRPr="00551729">
              <w:rPr>
                <w:rFonts w:ascii="Garamond" w:hAnsi="Garamond"/>
                <w:b/>
                <w:sz w:val="18"/>
                <w:szCs w:val="18"/>
                <w:lang w:val="sq-AL"/>
              </w:rPr>
              <w:t>RE</w:t>
            </w:r>
          </w:p>
        </w:tc>
        <w:tc>
          <w:tcPr>
            <w:tcW w:w="1918" w:type="dxa"/>
            <w:tcBorders>
              <w:top w:val="thickThinMediumGap" w:sz="12" w:space="0" w:color="000000"/>
              <w:left w:val="single" w:sz="6" w:space="0" w:color="000000"/>
              <w:bottom w:val="single" w:sz="6" w:space="0" w:color="000000"/>
              <w:right w:val="single" w:sz="6" w:space="0" w:color="000000"/>
            </w:tcBorders>
          </w:tcPr>
          <w:p w14:paraId="1BADCF67" w14:textId="6758DBB9"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Klima e këndshme mesdhetare dhe klima kontinentale japin mundësinë për zhvillimin e llojeve të ndryshme të turizmit në të gjithë zonën e programit;</w:t>
            </w:r>
          </w:p>
          <w:p w14:paraId="1BADCF68" w14:textId="582B561C"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Natyra e pasur dhe e shumëllojshme, shumë e përshtatshme për aktivitete në</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natyrë;</w:t>
            </w:r>
          </w:p>
          <w:p w14:paraId="1BADCF69" w14:textId="37BB36A9"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Trashëgimia e pasur kulturore dhe</w:t>
            </w:r>
            <w:r w:rsidR="00500457" w:rsidRPr="00551729">
              <w:rPr>
                <w:rFonts w:ascii="Garamond" w:hAnsi="Garamond"/>
                <w:spacing w:val="-12"/>
                <w:sz w:val="18"/>
                <w:szCs w:val="18"/>
                <w:lang w:val="sq-AL"/>
              </w:rPr>
              <w:t xml:space="preserve"> </w:t>
            </w:r>
            <w:r w:rsidR="00500457" w:rsidRPr="00551729">
              <w:rPr>
                <w:rFonts w:ascii="Garamond" w:hAnsi="Garamond"/>
                <w:sz w:val="18"/>
                <w:szCs w:val="18"/>
                <w:lang w:val="sq-AL"/>
              </w:rPr>
              <w:t>historike;</w:t>
            </w:r>
          </w:p>
          <w:p w14:paraId="1BADCF6A" w14:textId="6E5A3E68"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Shoqatat e shumta komunitare të përfshira në aktivitete për të ruajtur kulturën dhe natyrën;</w:t>
            </w:r>
          </w:p>
          <w:p w14:paraId="1BADCF6B" w14:textId="1AD364C3"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Diversiteti multikulturor dhe traditat në shkëmbimet kulturore;</w:t>
            </w:r>
          </w:p>
          <w:p w14:paraId="1BADCF6C" w14:textId="0EB33F28"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Traditat e pasura të kulinarisë të përshtatshme për agroturizmin;</w:t>
            </w:r>
          </w:p>
          <w:p w14:paraId="1BADCF6D" w14:textId="580A6F01"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Eksperienca</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relativisht e gjatë në bregun e Malit të Zi me turizmin masiv.</w:t>
            </w:r>
          </w:p>
        </w:tc>
        <w:tc>
          <w:tcPr>
            <w:tcW w:w="2302" w:type="dxa"/>
            <w:tcBorders>
              <w:top w:val="thickThinMediumGap" w:sz="12" w:space="0" w:color="000000"/>
              <w:left w:val="single" w:sz="6" w:space="0" w:color="000000"/>
              <w:bottom w:val="single" w:sz="6" w:space="0" w:color="000000"/>
              <w:right w:val="single" w:sz="6" w:space="0" w:color="000000"/>
            </w:tcBorders>
          </w:tcPr>
          <w:p w14:paraId="1BADCF6E" w14:textId="1F422D7C"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Infrastruktura e pazhvilluar e turizmit në pikëpamje të standardeve ndërkombëtare;</w:t>
            </w:r>
          </w:p>
          <w:p w14:paraId="1BADCF6F" w14:textId="1398C0A4"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Zhvillimi i pabalancuar</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me mbizotërimin e turizmit bregdetar përkundrejt atij malor dhe</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agroturizmit;</w:t>
            </w:r>
          </w:p>
          <w:p w14:paraId="1BADCF70" w14:textId="6748A779"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Përpjekjet dhe financimi i pamjaftueshëm për mbrojtjen dhe ruajtjen e natyrës dhe të trashëgimisë historike dhe</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arkeologjike;</w:t>
            </w:r>
          </w:p>
          <w:p w14:paraId="1BADCF71" w14:textId="67126318"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Njohja e kufizuar e potencialit të</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trashëgimisë historike dhe kulturore , si një burim i të ardhurave nëpërmjet aktiviteteve turistike dhe</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kulturore;</w:t>
            </w:r>
          </w:p>
          <w:p w14:paraId="1BADCF72" w14:textId="0F254375"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Aftësitë e kufizuara dhe</w:t>
            </w:r>
            <w:r w:rsidR="00C521D5" w:rsidRPr="00551729">
              <w:rPr>
                <w:rFonts w:ascii="Garamond" w:hAnsi="Garamond"/>
                <w:sz w:val="18"/>
                <w:szCs w:val="18"/>
                <w:lang w:val="sq-AL"/>
              </w:rPr>
              <w:t xml:space="preserve"> </w:t>
            </w:r>
            <w:r w:rsidR="00500457" w:rsidRPr="00551729">
              <w:rPr>
                <w:rFonts w:ascii="Garamond" w:hAnsi="Garamond"/>
                <w:sz w:val="18"/>
                <w:szCs w:val="18"/>
                <w:lang w:val="sq-AL"/>
              </w:rPr>
              <w:t>niveli i dobët i shërbimeve</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në anën</w:t>
            </w:r>
            <w:r w:rsidR="00500457" w:rsidRPr="00551729">
              <w:rPr>
                <w:rFonts w:ascii="Garamond" w:hAnsi="Garamond"/>
                <w:spacing w:val="-4"/>
                <w:sz w:val="18"/>
                <w:szCs w:val="18"/>
                <w:lang w:val="sq-AL"/>
              </w:rPr>
              <w:t xml:space="preserve"> </w:t>
            </w:r>
            <w:r w:rsidR="00500457" w:rsidRPr="00551729">
              <w:rPr>
                <w:rFonts w:ascii="Garamond" w:hAnsi="Garamond"/>
                <w:sz w:val="18"/>
                <w:szCs w:val="18"/>
                <w:lang w:val="sq-AL"/>
              </w:rPr>
              <w:t>shqiptare;</w:t>
            </w:r>
          </w:p>
          <w:p w14:paraId="1BADCF73" w14:textId="5EE2A961"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Njohja e kufizuar në rang ndërkombëtar e rajonit si një destinacion turistik tërheqës.</w:t>
            </w:r>
          </w:p>
        </w:tc>
        <w:tc>
          <w:tcPr>
            <w:tcW w:w="2302" w:type="dxa"/>
            <w:tcBorders>
              <w:top w:val="thickThinMediumGap" w:sz="12" w:space="0" w:color="000000"/>
              <w:left w:val="single" w:sz="6" w:space="0" w:color="000000"/>
              <w:bottom w:val="single" w:sz="6" w:space="0" w:color="000000"/>
              <w:right w:val="single" w:sz="6" w:space="0" w:color="000000"/>
            </w:tcBorders>
          </w:tcPr>
          <w:p w14:paraId="1BADCF74" w14:textId="6E6314EB" w:rsidR="00500457" w:rsidRPr="00551729" w:rsidRDefault="00194CF0" w:rsidP="00786614">
            <w:pPr>
              <w:pStyle w:val="TableParagraph"/>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Nxitja e iniciativave për përfshirjen e mëtejshme të trashëgimisë kulturore në ofertën turistike;</w:t>
            </w:r>
          </w:p>
          <w:p w14:paraId="1BADCF75" w14:textId="5C35FBA9"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Promovimi i traditës së veçantë të</w:t>
            </w:r>
            <w:r w:rsidR="00B371D1">
              <w:rPr>
                <w:rFonts w:ascii="Garamond" w:hAnsi="Garamond"/>
                <w:sz w:val="18"/>
                <w:szCs w:val="18"/>
                <w:lang w:val="sq-AL"/>
              </w:rPr>
              <w:t xml:space="preserve"> kulinarisë dhe produkteve agro</w:t>
            </w:r>
            <w:r w:rsidR="00500457" w:rsidRPr="00551729">
              <w:rPr>
                <w:rFonts w:ascii="Garamond" w:hAnsi="Garamond"/>
                <w:sz w:val="18"/>
                <w:szCs w:val="18"/>
                <w:lang w:val="sq-AL"/>
              </w:rPr>
              <w:t>ushqimore për forcimin e identitetit</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dhe përvojën turistike të</w:t>
            </w:r>
            <w:r w:rsidR="00500457" w:rsidRPr="00551729">
              <w:rPr>
                <w:rFonts w:ascii="Garamond" w:hAnsi="Garamond"/>
                <w:spacing w:val="-12"/>
                <w:sz w:val="18"/>
                <w:szCs w:val="18"/>
                <w:lang w:val="sq-AL"/>
              </w:rPr>
              <w:t xml:space="preserve"> </w:t>
            </w:r>
            <w:r w:rsidR="00500457" w:rsidRPr="00551729">
              <w:rPr>
                <w:rFonts w:ascii="Garamond" w:hAnsi="Garamond"/>
                <w:sz w:val="18"/>
                <w:szCs w:val="18"/>
                <w:lang w:val="sq-AL"/>
              </w:rPr>
              <w:t>rajonit;</w:t>
            </w:r>
          </w:p>
          <w:p w14:paraId="1BADCF76" w14:textId="247FCE03"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Zhvillimi dhe forcimi i kapaciteteve</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institucionale vendore që lidhen me promovimin e turizmit, kulturës dhe aseteve tradicionale;</w:t>
            </w:r>
          </w:p>
          <w:p w14:paraId="1BADCF77" w14:textId="24B572A3"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Zhvillimi i eko</w:t>
            </w:r>
            <w:r w:rsidR="00500457" w:rsidRPr="00551729">
              <w:rPr>
                <w:rFonts w:ascii="Garamond" w:hAnsi="Garamond"/>
                <w:sz w:val="18"/>
                <w:szCs w:val="18"/>
                <w:lang w:val="sq-AL"/>
              </w:rPr>
              <w:t>turizmit të lidhur me eksperiencat në natyrë si pjesë e një pakete të integruar (p.sh.</w:t>
            </w:r>
            <w:r w:rsidR="00500457" w:rsidRPr="00551729">
              <w:rPr>
                <w:rFonts w:ascii="Garamond" w:hAnsi="Garamond"/>
                <w:spacing w:val="-9"/>
                <w:sz w:val="18"/>
                <w:szCs w:val="18"/>
                <w:lang w:val="sq-AL"/>
              </w:rPr>
              <w:t xml:space="preserve"> </w:t>
            </w:r>
            <w:r>
              <w:rPr>
                <w:rFonts w:ascii="Garamond" w:hAnsi="Garamond"/>
                <w:sz w:val="18"/>
                <w:szCs w:val="18"/>
                <w:lang w:val="sq-AL"/>
              </w:rPr>
              <w:t xml:space="preserve">alpinizëm, rafting </w:t>
            </w:r>
            <w:r w:rsidR="00D02900">
              <w:rPr>
                <w:rFonts w:ascii="Garamond" w:hAnsi="Garamond"/>
                <w:sz w:val="18"/>
                <w:szCs w:val="18"/>
                <w:lang w:val="sq-AL"/>
              </w:rPr>
              <w:t>et</w:t>
            </w:r>
            <w:r w:rsidR="00500457" w:rsidRPr="00D02900">
              <w:rPr>
                <w:rFonts w:ascii="Garamond" w:hAnsi="Garamond"/>
                <w:sz w:val="18"/>
                <w:szCs w:val="18"/>
                <w:lang w:val="sq-AL"/>
              </w:rPr>
              <w:t>j</w:t>
            </w:r>
            <w:r w:rsidR="00D02900">
              <w:rPr>
                <w:rFonts w:ascii="Garamond" w:hAnsi="Garamond"/>
                <w:sz w:val="18"/>
                <w:szCs w:val="18"/>
                <w:lang w:val="sq-AL"/>
              </w:rPr>
              <w:t>.</w:t>
            </w:r>
            <w:r w:rsidR="00500457" w:rsidRPr="00D02900">
              <w:rPr>
                <w:rFonts w:ascii="Garamond" w:hAnsi="Garamond"/>
                <w:sz w:val="18"/>
                <w:szCs w:val="18"/>
                <w:lang w:val="sq-AL"/>
              </w:rPr>
              <w:t>,</w:t>
            </w:r>
            <w:r w:rsidR="00500457" w:rsidRPr="00551729">
              <w:rPr>
                <w:rFonts w:ascii="Garamond" w:hAnsi="Garamond"/>
                <w:spacing w:val="33"/>
                <w:sz w:val="18"/>
                <w:szCs w:val="18"/>
                <w:lang w:val="sq-AL"/>
              </w:rPr>
              <w:t xml:space="preserve"> </w:t>
            </w:r>
            <w:r w:rsidR="00500457" w:rsidRPr="00551729">
              <w:rPr>
                <w:rFonts w:ascii="Garamond" w:hAnsi="Garamond"/>
                <w:sz w:val="18"/>
                <w:szCs w:val="18"/>
                <w:lang w:val="sq-AL"/>
              </w:rPr>
              <w:t>çiklizëm);</w:t>
            </w:r>
          </w:p>
          <w:p w14:paraId="1BADCF78" w14:textId="622D949E"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Promovimi i</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bashkëpunimit ndërmjet agjencive</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turistike për të ofruar paketa të integruara turistike përtej kufirit.</w:t>
            </w:r>
          </w:p>
        </w:tc>
        <w:tc>
          <w:tcPr>
            <w:tcW w:w="2216" w:type="dxa"/>
            <w:tcBorders>
              <w:top w:val="thickThinMediumGap" w:sz="12" w:space="0" w:color="000000"/>
              <w:left w:val="single" w:sz="6" w:space="0" w:color="000000"/>
              <w:bottom w:val="single" w:sz="6" w:space="0" w:color="000000"/>
            </w:tcBorders>
          </w:tcPr>
          <w:p w14:paraId="1BADCF79" w14:textId="4CB10EBC"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Promovimi</w:t>
            </w:r>
            <w:r w:rsidR="00C521D5" w:rsidRPr="00551729">
              <w:rPr>
                <w:rFonts w:ascii="Garamond" w:hAnsi="Garamond"/>
                <w:sz w:val="18"/>
                <w:szCs w:val="18"/>
                <w:lang w:val="sq-AL"/>
              </w:rPr>
              <w:t xml:space="preserve"> </w:t>
            </w:r>
            <w:r w:rsidR="00500457" w:rsidRPr="00551729">
              <w:rPr>
                <w:rFonts w:ascii="Garamond" w:hAnsi="Garamond"/>
                <w:sz w:val="18"/>
                <w:szCs w:val="18"/>
                <w:lang w:val="sq-AL"/>
              </w:rPr>
              <w:t>i pamjaftueshëm i turizmit, si në nivel kombëtar ashtu edhe rajonal, për shkak të mungesës së financimit;</w:t>
            </w:r>
          </w:p>
          <w:p w14:paraId="1BADCF7A" w14:textId="280B5EB4"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Ndotja e mjedisit në</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zona</w:t>
            </w:r>
            <w:r w:rsidR="00B371D1">
              <w:rPr>
                <w:rFonts w:ascii="Garamond" w:hAnsi="Garamond"/>
                <w:sz w:val="18"/>
                <w:szCs w:val="18"/>
                <w:lang w:val="sq-AL"/>
              </w:rPr>
              <w:t>t me potencial të lartë për eko</w:t>
            </w:r>
            <w:r w:rsidR="00500457" w:rsidRPr="00551729">
              <w:rPr>
                <w:rFonts w:ascii="Garamond" w:hAnsi="Garamond"/>
                <w:sz w:val="18"/>
                <w:szCs w:val="18"/>
                <w:lang w:val="sq-AL"/>
              </w:rPr>
              <w:t>turizëm;</w:t>
            </w:r>
          </w:p>
          <w:p w14:paraId="1BADCF7B" w14:textId="4A2F28D7"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Mungesa e të kuptuarit të potencialit të</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trashëgimisë kulturore dhe historike të zonës së</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programit;</w:t>
            </w:r>
          </w:p>
          <w:p w14:paraId="1BADCF7C" w14:textId="551402D9"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Mungesa e mbrojtjes së duhur të monumenteve dhe vendeve kulturore</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dhe historike;</w:t>
            </w:r>
          </w:p>
          <w:p w14:paraId="1BADCF7D" w14:textId="6B5F5DB7"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Ndërtimet e paligjshme</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në afërsi të bregut të detit, parqeve natyrore dhe vendeve të trashëgimisë kulturore.</w:t>
            </w:r>
          </w:p>
        </w:tc>
      </w:tr>
      <w:tr w:rsidR="00500457" w:rsidRPr="00551729" w14:paraId="1BADCF90" w14:textId="77777777" w:rsidTr="00786614">
        <w:trPr>
          <w:trHeight w:hRule="exact" w:val="4295"/>
        </w:trPr>
        <w:tc>
          <w:tcPr>
            <w:tcW w:w="840" w:type="dxa"/>
            <w:tcBorders>
              <w:top w:val="single" w:sz="6" w:space="0" w:color="000000"/>
              <w:right w:val="single" w:sz="6" w:space="0" w:color="000000"/>
            </w:tcBorders>
            <w:textDirection w:val="btLr"/>
            <w:vAlign w:val="center"/>
          </w:tcPr>
          <w:p w14:paraId="1BADCF7F" w14:textId="77777777" w:rsidR="00500457" w:rsidRPr="00551729" w:rsidRDefault="00500457" w:rsidP="00786614">
            <w:pPr>
              <w:pStyle w:val="TableParagraph"/>
              <w:jc w:val="center"/>
              <w:rPr>
                <w:rFonts w:ascii="Garamond" w:hAnsi="Garamond"/>
                <w:b/>
                <w:sz w:val="18"/>
                <w:szCs w:val="18"/>
                <w:lang w:val="sq-AL"/>
              </w:rPr>
            </w:pPr>
            <w:r w:rsidRPr="00551729">
              <w:rPr>
                <w:rFonts w:ascii="Garamond" w:hAnsi="Garamond"/>
                <w:b/>
                <w:sz w:val="18"/>
                <w:szCs w:val="18"/>
                <w:lang w:val="sq-AL"/>
              </w:rPr>
              <w:t>IN</w:t>
            </w:r>
            <w:r w:rsidRPr="00551729">
              <w:rPr>
                <w:rFonts w:ascii="Garamond" w:hAnsi="Garamond"/>
                <w:b/>
                <w:spacing w:val="-1"/>
                <w:sz w:val="18"/>
                <w:szCs w:val="18"/>
                <w:lang w:val="sq-AL"/>
              </w:rPr>
              <w:t>V</w:t>
            </w:r>
            <w:r w:rsidRPr="00551729">
              <w:rPr>
                <w:rFonts w:ascii="Garamond" w:hAnsi="Garamond"/>
                <w:b/>
                <w:spacing w:val="-3"/>
                <w:sz w:val="18"/>
                <w:szCs w:val="18"/>
                <w:lang w:val="sq-AL"/>
              </w:rPr>
              <w:t>E</w:t>
            </w:r>
            <w:r w:rsidRPr="00551729">
              <w:rPr>
                <w:rFonts w:ascii="Garamond" w:hAnsi="Garamond"/>
                <w:b/>
                <w:spacing w:val="-2"/>
                <w:sz w:val="18"/>
                <w:szCs w:val="18"/>
                <w:lang w:val="sq-AL"/>
              </w:rPr>
              <w:t>S</w:t>
            </w:r>
            <w:r w:rsidRPr="00551729">
              <w:rPr>
                <w:rFonts w:ascii="Garamond" w:hAnsi="Garamond"/>
                <w:b/>
                <w:sz w:val="18"/>
                <w:szCs w:val="18"/>
                <w:lang w:val="sq-AL"/>
              </w:rPr>
              <w:t>TI</w:t>
            </w:r>
            <w:r w:rsidRPr="00551729">
              <w:rPr>
                <w:rFonts w:ascii="Garamond" w:hAnsi="Garamond"/>
                <w:b/>
                <w:spacing w:val="-1"/>
                <w:sz w:val="18"/>
                <w:szCs w:val="18"/>
                <w:lang w:val="sq-AL"/>
              </w:rPr>
              <w:t>M</w:t>
            </w:r>
            <w:r w:rsidRPr="00551729">
              <w:rPr>
                <w:rFonts w:ascii="Garamond" w:hAnsi="Garamond"/>
                <w:b/>
                <w:sz w:val="18"/>
                <w:szCs w:val="18"/>
                <w:lang w:val="sq-AL"/>
              </w:rPr>
              <w:t>E</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P</w:t>
            </w:r>
            <w:r w:rsidRPr="00551729">
              <w:rPr>
                <w:rFonts w:ascii="Garamond" w:hAnsi="Garamond"/>
                <w:b/>
                <w:sz w:val="18"/>
                <w:szCs w:val="18"/>
                <w:lang w:val="sq-AL"/>
              </w:rPr>
              <w:t>ËR</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T</w:t>
            </w:r>
            <w:r w:rsidRPr="00551729">
              <w:rPr>
                <w:rFonts w:ascii="Garamond" w:hAnsi="Garamond"/>
                <w:b/>
                <w:sz w:val="18"/>
                <w:szCs w:val="18"/>
                <w:lang w:val="sq-AL"/>
              </w:rPr>
              <w:t xml:space="preserve">Ë </w:t>
            </w:r>
            <w:r w:rsidRPr="00551729">
              <w:rPr>
                <w:rFonts w:ascii="Garamond" w:hAnsi="Garamond"/>
                <w:b/>
                <w:spacing w:val="-2"/>
                <w:sz w:val="18"/>
                <w:szCs w:val="18"/>
                <w:lang w:val="sq-AL"/>
              </w:rPr>
              <w:t>R</w:t>
            </w:r>
            <w:r w:rsidRPr="00551729">
              <w:rPr>
                <w:rFonts w:ascii="Garamond" w:hAnsi="Garamond"/>
                <w:b/>
                <w:sz w:val="18"/>
                <w:szCs w:val="18"/>
                <w:lang w:val="sq-AL"/>
              </w:rPr>
              <w:t>IN</w:t>
            </w:r>
            <w:r w:rsidRPr="00551729">
              <w:rPr>
                <w:rFonts w:ascii="Garamond" w:hAnsi="Garamond"/>
                <w:b/>
                <w:spacing w:val="-4"/>
                <w:sz w:val="18"/>
                <w:szCs w:val="18"/>
                <w:lang w:val="sq-AL"/>
              </w:rPr>
              <w:t>J</w:t>
            </w:r>
            <w:r w:rsidRPr="00551729">
              <w:rPr>
                <w:rFonts w:ascii="Garamond" w:hAnsi="Garamond"/>
                <w:b/>
                <w:spacing w:val="1"/>
                <w:sz w:val="18"/>
                <w:szCs w:val="18"/>
                <w:lang w:val="sq-AL"/>
              </w:rPr>
              <w:t>T</w:t>
            </w:r>
            <w:r w:rsidRPr="00551729">
              <w:rPr>
                <w:rFonts w:ascii="Garamond" w:hAnsi="Garamond"/>
                <w:b/>
                <w:sz w:val="18"/>
                <w:szCs w:val="18"/>
                <w:lang w:val="sq-AL"/>
              </w:rPr>
              <w:t>Ë,</w:t>
            </w:r>
            <w:r w:rsidRPr="00551729">
              <w:rPr>
                <w:rFonts w:ascii="Garamond" w:hAnsi="Garamond"/>
                <w:b/>
                <w:spacing w:val="-4"/>
                <w:sz w:val="18"/>
                <w:szCs w:val="18"/>
                <w:lang w:val="sq-AL"/>
              </w:rPr>
              <w:t xml:space="preserve"> </w:t>
            </w:r>
            <w:r w:rsidRPr="00551729">
              <w:rPr>
                <w:rFonts w:ascii="Garamond" w:hAnsi="Garamond"/>
                <w:b/>
                <w:sz w:val="18"/>
                <w:szCs w:val="18"/>
                <w:lang w:val="sq-AL"/>
              </w:rPr>
              <w:t>A</w:t>
            </w:r>
            <w:r w:rsidRPr="00551729">
              <w:rPr>
                <w:rFonts w:ascii="Garamond" w:hAnsi="Garamond"/>
                <w:b/>
                <w:spacing w:val="-2"/>
                <w:sz w:val="18"/>
                <w:szCs w:val="18"/>
                <w:lang w:val="sq-AL"/>
              </w:rPr>
              <w:t>R</w:t>
            </w:r>
            <w:r w:rsidRPr="00551729">
              <w:rPr>
                <w:rFonts w:ascii="Garamond" w:hAnsi="Garamond"/>
                <w:b/>
                <w:sz w:val="18"/>
                <w:szCs w:val="18"/>
                <w:lang w:val="sq-AL"/>
              </w:rPr>
              <w:t>SI</w:t>
            </w:r>
            <w:r w:rsidRPr="00551729">
              <w:rPr>
                <w:rFonts w:ascii="Garamond" w:hAnsi="Garamond"/>
                <w:b/>
                <w:spacing w:val="-4"/>
                <w:sz w:val="18"/>
                <w:szCs w:val="18"/>
                <w:lang w:val="sq-AL"/>
              </w:rPr>
              <w:t>M</w:t>
            </w:r>
            <w:r w:rsidRPr="00551729">
              <w:rPr>
                <w:rFonts w:ascii="Garamond" w:hAnsi="Garamond"/>
                <w:b/>
                <w:sz w:val="18"/>
                <w:szCs w:val="18"/>
                <w:lang w:val="sq-AL"/>
              </w:rPr>
              <w:t xml:space="preserve">IN </w:t>
            </w:r>
            <w:r w:rsidRPr="00551729">
              <w:rPr>
                <w:rFonts w:ascii="Garamond" w:hAnsi="Garamond"/>
                <w:b/>
                <w:spacing w:val="-1"/>
                <w:sz w:val="18"/>
                <w:szCs w:val="18"/>
                <w:lang w:val="sq-AL"/>
              </w:rPr>
              <w:t>DH</w:t>
            </w:r>
            <w:r w:rsidRPr="00551729">
              <w:rPr>
                <w:rFonts w:ascii="Garamond" w:hAnsi="Garamond"/>
                <w:b/>
                <w:sz w:val="18"/>
                <w:szCs w:val="18"/>
                <w:lang w:val="sq-AL"/>
              </w:rPr>
              <w:t>E A</w:t>
            </w:r>
            <w:r w:rsidRPr="00551729">
              <w:rPr>
                <w:rFonts w:ascii="Garamond" w:hAnsi="Garamond"/>
                <w:b/>
                <w:spacing w:val="-3"/>
                <w:sz w:val="18"/>
                <w:szCs w:val="18"/>
                <w:lang w:val="sq-AL"/>
              </w:rPr>
              <w:t>F</w:t>
            </w:r>
            <w:r w:rsidRPr="00551729">
              <w:rPr>
                <w:rFonts w:ascii="Garamond" w:hAnsi="Garamond"/>
                <w:b/>
                <w:spacing w:val="1"/>
                <w:sz w:val="18"/>
                <w:szCs w:val="18"/>
                <w:lang w:val="sq-AL"/>
              </w:rPr>
              <w:t>T</w:t>
            </w:r>
            <w:r w:rsidRPr="00551729">
              <w:rPr>
                <w:rFonts w:ascii="Garamond" w:hAnsi="Garamond"/>
                <w:b/>
                <w:spacing w:val="-3"/>
                <w:sz w:val="18"/>
                <w:szCs w:val="18"/>
                <w:lang w:val="sq-AL"/>
              </w:rPr>
              <w:t>Ë</w:t>
            </w:r>
            <w:r w:rsidRPr="00551729">
              <w:rPr>
                <w:rFonts w:ascii="Garamond" w:hAnsi="Garamond"/>
                <w:b/>
                <w:sz w:val="18"/>
                <w:szCs w:val="18"/>
                <w:lang w:val="sq-AL"/>
              </w:rPr>
              <w:t>S</w:t>
            </w:r>
            <w:r w:rsidRPr="00551729">
              <w:rPr>
                <w:rFonts w:ascii="Garamond" w:hAnsi="Garamond"/>
                <w:b/>
                <w:spacing w:val="-2"/>
                <w:sz w:val="18"/>
                <w:szCs w:val="18"/>
                <w:lang w:val="sq-AL"/>
              </w:rPr>
              <w:t>I</w:t>
            </w:r>
            <w:r w:rsidRPr="00551729">
              <w:rPr>
                <w:rFonts w:ascii="Garamond" w:hAnsi="Garamond"/>
                <w:b/>
                <w:spacing w:val="1"/>
                <w:sz w:val="18"/>
                <w:szCs w:val="18"/>
                <w:lang w:val="sq-AL"/>
              </w:rPr>
              <w:t>T</w:t>
            </w:r>
            <w:r w:rsidRPr="00551729">
              <w:rPr>
                <w:rFonts w:ascii="Garamond" w:hAnsi="Garamond"/>
                <w:b/>
                <w:sz w:val="18"/>
                <w:szCs w:val="18"/>
                <w:lang w:val="sq-AL"/>
              </w:rPr>
              <w:t>Ë</w:t>
            </w:r>
          </w:p>
        </w:tc>
        <w:tc>
          <w:tcPr>
            <w:tcW w:w="1918" w:type="dxa"/>
            <w:tcBorders>
              <w:top w:val="single" w:sz="6" w:space="0" w:color="000000"/>
              <w:left w:val="single" w:sz="6" w:space="0" w:color="000000"/>
              <w:right w:val="single" w:sz="6" w:space="0" w:color="000000"/>
            </w:tcBorders>
          </w:tcPr>
          <w:p w14:paraId="1BADCF80" w14:textId="5111EED8"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Popullsia relativisht e re dhe shkalla e lartë e lindjeve;</w:t>
            </w:r>
          </w:p>
          <w:p w14:paraId="1BADCF81" w14:textId="6E067176"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Prania e lartë e universiteteve</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publike dhe</w:t>
            </w:r>
            <w:r w:rsidR="00500457" w:rsidRPr="00551729">
              <w:rPr>
                <w:rFonts w:ascii="Garamond" w:hAnsi="Garamond"/>
                <w:spacing w:val="-5"/>
                <w:sz w:val="18"/>
                <w:szCs w:val="18"/>
                <w:lang w:val="sq-AL"/>
              </w:rPr>
              <w:t xml:space="preserve"> </w:t>
            </w:r>
            <w:r w:rsidR="00500457" w:rsidRPr="00551729">
              <w:rPr>
                <w:rFonts w:ascii="Garamond" w:hAnsi="Garamond"/>
                <w:sz w:val="18"/>
                <w:szCs w:val="18"/>
                <w:lang w:val="sq-AL"/>
              </w:rPr>
              <w:t>private;</w:t>
            </w:r>
          </w:p>
          <w:p w14:paraId="1BADCF82" w14:textId="13ECF3A6"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Multietniciteti si një avantazh për</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zhvillimin social dhe</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kulturor;</w:t>
            </w:r>
          </w:p>
          <w:p w14:paraId="1BADCF83" w14:textId="05DAFD05"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 xml:space="preserve">Ekzistenca e ofruesve të </w:t>
            </w:r>
            <w:r>
              <w:rPr>
                <w:rFonts w:ascii="Garamond" w:hAnsi="Garamond"/>
                <w:sz w:val="18"/>
                <w:szCs w:val="18"/>
                <w:lang w:val="sq-AL"/>
              </w:rPr>
              <w:t>trajnimeve profesionale dhe jo</w:t>
            </w:r>
            <w:r w:rsidR="00500457" w:rsidRPr="00551729">
              <w:rPr>
                <w:rFonts w:ascii="Garamond" w:hAnsi="Garamond"/>
                <w:sz w:val="18"/>
                <w:szCs w:val="18"/>
                <w:lang w:val="sq-AL"/>
              </w:rPr>
              <w:t>formale;</w:t>
            </w:r>
          </w:p>
          <w:p w14:paraId="1BADCF84" w14:textId="3EF7C552"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Mjedisi</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shumëgjuhësh;</w:t>
            </w:r>
          </w:p>
          <w:p w14:paraId="1BADCF85" w14:textId="4170EC9F" w:rsidR="00500457" w:rsidRPr="00551729" w:rsidRDefault="00194CF0" w:rsidP="00194CF0">
            <w:pPr>
              <w:pStyle w:val="TableParagraph"/>
              <w:tabs>
                <w:tab w:val="left" w:pos="212"/>
              </w:tabs>
              <w:jc w:val="both"/>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Një brez i ri entuziast i etur për të mësuar dhe për t</w:t>
            </w:r>
            <w:r w:rsidR="002F2528">
              <w:rPr>
                <w:rFonts w:ascii="Garamond" w:hAnsi="Garamond"/>
                <w:sz w:val="18"/>
                <w:szCs w:val="18"/>
                <w:lang w:val="sq-AL"/>
              </w:rPr>
              <w:t>’</w:t>
            </w:r>
            <w:r w:rsidR="00500457" w:rsidRPr="00551729">
              <w:rPr>
                <w:rFonts w:ascii="Garamond" w:hAnsi="Garamond"/>
                <w:sz w:val="18"/>
                <w:szCs w:val="18"/>
                <w:lang w:val="sq-AL"/>
              </w:rPr>
              <w:t>u</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zhvilluar.</w:t>
            </w:r>
          </w:p>
        </w:tc>
        <w:tc>
          <w:tcPr>
            <w:tcW w:w="2302" w:type="dxa"/>
            <w:tcBorders>
              <w:top w:val="single" w:sz="6" w:space="0" w:color="000000"/>
              <w:left w:val="single" w:sz="6" w:space="0" w:color="000000"/>
              <w:right w:val="single" w:sz="6" w:space="0" w:color="000000"/>
            </w:tcBorders>
          </w:tcPr>
          <w:p w14:paraId="1BADCF86" w14:textId="30726CB9"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Kurrikula jo në përputhje me kërkesat e tregut të punës dhe orientimi profesional në drejtim të punësimit jo efikas;</w:t>
            </w:r>
          </w:p>
          <w:p w14:paraId="1BADCF87" w14:textId="14DAC06D"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Sistemi i pazhvilluar i</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arsimit gjatë gjithë</w:t>
            </w:r>
            <w:r w:rsidR="00500457" w:rsidRPr="00551729">
              <w:rPr>
                <w:rFonts w:ascii="Garamond" w:hAnsi="Garamond"/>
                <w:spacing w:val="-11"/>
                <w:sz w:val="18"/>
                <w:szCs w:val="18"/>
                <w:lang w:val="sq-AL"/>
              </w:rPr>
              <w:t xml:space="preserve"> </w:t>
            </w:r>
            <w:r w:rsidR="00500457" w:rsidRPr="00551729">
              <w:rPr>
                <w:rFonts w:ascii="Garamond" w:hAnsi="Garamond"/>
                <w:sz w:val="18"/>
                <w:szCs w:val="18"/>
                <w:lang w:val="sq-AL"/>
              </w:rPr>
              <w:t>jetës;</w:t>
            </w:r>
          </w:p>
          <w:p w14:paraId="1BADCF88" w14:textId="62225EB4"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Niveli i ulët i arsimit të popullsisë rurale dhe grupeve të margjinalizuara të shoqërisë, siç janë komuniteti Rom, Ashkali</w:t>
            </w:r>
            <w:r w:rsidR="00B65E6C">
              <w:rPr>
                <w:rFonts w:ascii="Garamond" w:hAnsi="Garamond"/>
                <w:sz w:val="18"/>
                <w:szCs w:val="18"/>
                <w:lang w:val="sq-AL"/>
              </w:rPr>
              <w:t xml:space="preserve"> etj</w:t>
            </w:r>
            <w:r w:rsidR="00500457" w:rsidRPr="00551729">
              <w:rPr>
                <w:rFonts w:ascii="Garamond" w:hAnsi="Garamond"/>
                <w:sz w:val="18"/>
                <w:szCs w:val="18"/>
                <w:lang w:val="sq-AL"/>
              </w:rPr>
              <w:t>.;</w:t>
            </w:r>
          </w:p>
          <w:p w14:paraId="1BADCF89" w14:textId="5190AE09"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Niveli i braktisjes shkollore gjatë arsimit fillor dhe të mesëm, si rezultat i arsimit të dobët të ofruar, veçanërisht në disa zona rurale.</w:t>
            </w:r>
          </w:p>
        </w:tc>
        <w:tc>
          <w:tcPr>
            <w:tcW w:w="2302" w:type="dxa"/>
            <w:tcBorders>
              <w:top w:val="single" w:sz="6" w:space="0" w:color="000000"/>
              <w:left w:val="single" w:sz="6" w:space="0" w:color="000000"/>
              <w:right w:val="single" w:sz="6" w:space="0" w:color="000000"/>
            </w:tcBorders>
          </w:tcPr>
          <w:p w14:paraId="1BADCF8A" w14:textId="4B8CE395"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Përmirësimi i nivelit të arsimit profesional për t</w:t>
            </w:r>
            <w:r w:rsidR="007F4192">
              <w:rPr>
                <w:rFonts w:ascii="Garamond" w:hAnsi="Garamond"/>
                <w:sz w:val="18"/>
                <w:szCs w:val="18"/>
                <w:lang w:val="sq-AL"/>
              </w:rPr>
              <w:t>’</w:t>
            </w:r>
            <w:r w:rsidR="00500457" w:rsidRPr="00551729">
              <w:rPr>
                <w:rFonts w:ascii="Garamond" w:hAnsi="Garamond"/>
                <w:sz w:val="18"/>
                <w:szCs w:val="18"/>
                <w:lang w:val="sq-AL"/>
              </w:rPr>
              <w:t>i shërbyer më mirë nevojave të tregut të punës me aftësitë e nevojshme;</w:t>
            </w:r>
          </w:p>
          <w:p w14:paraId="1BADCF8B" w14:textId="61DC8FC4"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Zhvillimi i aktiviteteve të kërkimit shkencor dhe zhvillimit, duke përdorur kërkimet ekzistuese dhe qendrat e arsimit të</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lartë;</w:t>
            </w:r>
          </w:p>
          <w:p w14:paraId="1BADCF8C" w14:textId="1A8EF430" w:rsidR="00500457" w:rsidRPr="00551729" w:rsidRDefault="00194CF0" w:rsidP="00194CF0">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Përdorimi i internetit në mënyrë që të përmirësojë aksesin në arsim në zonat rurale dhe rritjen e kontakteve dhe bashkëpunimit</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ndërkufitar virtual.</w:t>
            </w:r>
          </w:p>
        </w:tc>
        <w:tc>
          <w:tcPr>
            <w:tcW w:w="2216" w:type="dxa"/>
            <w:tcBorders>
              <w:top w:val="single" w:sz="6" w:space="0" w:color="000000"/>
              <w:left w:val="single" w:sz="6" w:space="0" w:color="000000"/>
            </w:tcBorders>
          </w:tcPr>
          <w:p w14:paraId="1BADCF8D" w14:textId="11E2B560" w:rsidR="00500457" w:rsidRPr="00551729" w:rsidRDefault="00194CF0"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Aksesi i kufizuar i popullsisë rurale në sistemin arsimor për shkak të varfërisë;</w:t>
            </w:r>
          </w:p>
          <w:p w14:paraId="1BADCF8E" w14:textId="3AA308C6" w:rsidR="00500457" w:rsidRPr="00551729" w:rsidRDefault="00194CF0" w:rsidP="00194CF0">
            <w:pPr>
              <w:pStyle w:val="TableParagraph"/>
              <w:tabs>
                <w:tab w:val="left" w:pos="212"/>
              </w:tabs>
              <w:jc w:val="both"/>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Infrastruktura e dobët ose inekzistente e TIK në zonat rurale, e cila rrit pabarazitë rajonale;</w:t>
            </w:r>
          </w:p>
          <w:p w14:paraId="1BADCF8F" w14:textId="77777777" w:rsidR="00500457" w:rsidRPr="00551729" w:rsidRDefault="00500457" w:rsidP="00786614">
            <w:pPr>
              <w:pStyle w:val="TableParagraph"/>
              <w:rPr>
                <w:rFonts w:ascii="Garamond" w:hAnsi="Garamond"/>
                <w:sz w:val="18"/>
                <w:szCs w:val="18"/>
                <w:lang w:val="sq-AL"/>
              </w:rPr>
            </w:pPr>
            <w:r w:rsidRPr="00551729">
              <w:rPr>
                <w:rFonts w:ascii="Garamond" w:hAnsi="Garamond"/>
                <w:color w:val="000080"/>
                <w:sz w:val="18"/>
                <w:szCs w:val="18"/>
                <w:lang w:val="sq-AL"/>
              </w:rPr>
              <w:t>•</w:t>
            </w:r>
            <w:r w:rsidRPr="00551729">
              <w:rPr>
                <w:rFonts w:ascii="Garamond" w:hAnsi="Garamond"/>
                <w:sz w:val="18"/>
                <w:szCs w:val="18"/>
                <w:lang w:val="sq-AL"/>
              </w:rPr>
              <w:t>Migrimi i të rinjve për shkak të mungesës së mundësive.</w:t>
            </w:r>
          </w:p>
        </w:tc>
      </w:tr>
    </w:tbl>
    <w:p w14:paraId="1BADCF91" w14:textId="77777777" w:rsidR="00500457" w:rsidRPr="00551729" w:rsidRDefault="00500457" w:rsidP="00500457">
      <w:pPr>
        <w:pStyle w:val="BodyText"/>
        <w:ind w:firstLine="284"/>
        <w:rPr>
          <w:rFonts w:ascii="Garamond" w:hAnsi="Garamond"/>
          <w:sz w:val="24"/>
          <w:szCs w:val="24"/>
          <w:lang w:val="sq-AL"/>
        </w:rPr>
      </w:pPr>
    </w:p>
    <w:p w14:paraId="1BADCF92" w14:textId="77777777" w:rsidR="00786614" w:rsidRPr="00551729" w:rsidRDefault="00786614" w:rsidP="00500457">
      <w:pPr>
        <w:pStyle w:val="BodyText"/>
        <w:ind w:firstLine="284"/>
        <w:rPr>
          <w:rFonts w:ascii="Garamond" w:hAnsi="Garamond"/>
          <w:sz w:val="24"/>
          <w:szCs w:val="24"/>
          <w:lang w:val="sq-AL"/>
        </w:rPr>
      </w:pPr>
    </w:p>
    <w:p w14:paraId="1BADCF93" w14:textId="77777777" w:rsidR="00786614" w:rsidRPr="00551729" w:rsidRDefault="00786614" w:rsidP="00500457">
      <w:pPr>
        <w:pStyle w:val="BodyText"/>
        <w:ind w:firstLine="284"/>
        <w:rPr>
          <w:rFonts w:ascii="Garamond" w:hAnsi="Garamond"/>
          <w:sz w:val="24"/>
          <w:szCs w:val="24"/>
          <w:lang w:val="sq-AL"/>
        </w:rPr>
      </w:pPr>
    </w:p>
    <w:p w14:paraId="1BADCF94" w14:textId="77777777" w:rsidR="00786614" w:rsidRPr="00551729" w:rsidRDefault="00786614" w:rsidP="00500457">
      <w:pPr>
        <w:pStyle w:val="BodyText"/>
        <w:ind w:firstLine="284"/>
        <w:rPr>
          <w:rFonts w:ascii="Garamond" w:hAnsi="Garamond"/>
          <w:sz w:val="24"/>
          <w:szCs w:val="24"/>
          <w:lang w:val="sq-AL"/>
        </w:rPr>
      </w:pPr>
    </w:p>
    <w:p w14:paraId="1BADCF95" w14:textId="77777777" w:rsidR="00786614" w:rsidRPr="00551729" w:rsidRDefault="00786614" w:rsidP="00500457">
      <w:pPr>
        <w:pStyle w:val="BodyText"/>
        <w:ind w:firstLine="284"/>
        <w:rPr>
          <w:rFonts w:ascii="Garamond" w:hAnsi="Garamond"/>
          <w:sz w:val="24"/>
          <w:szCs w:val="24"/>
          <w:lang w:val="sq-AL"/>
        </w:rPr>
      </w:pPr>
    </w:p>
    <w:p w14:paraId="1BADCF96" w14:textId="77777777" w:rsidR="00786614" w:rsidRPr="00551729" w:rsidRDefault="00786614" w:rsidP="00500457">
      <w:pPr>
        <w:pStyle w:val="BodyText"/>
        <w:ind w:firstLine="284"/>
        <w:rPr>
          <w:rFonts w:ascii="Garamond" w:hAnsi="Garamond"/>
          <w:sz w:val="24"/>
          <w:szCs w:val="24"/>
          <w:lang w:val="sq-AL"/>
        </w:rPr>
      </w:pPr>
    </w:p>
    <w:p w14:paraId="1BADCF97" w14:textId="77777777" w:rsidR="00500457" w:rsidRPr="00551729" w:rsidRDefault="00500457" w:rsidP="00500457">
      <w:pPr>
        <w:pStyle w:val="BodyText"/>
        <w:spacing w:before="10" w:after="1"/>
        <w:ind w:firstLine="284"/>
        <w:rPr>
          <w:rFonts w:ascii="Garamond" w:hAnsi="Garamond"/>
          <w:sz w:val="24"/>
          <w:szCs w:val="24"/>
          <w:lang w:val="sq-AL"/>
        </w:rPr>
      </w:pPr>
    </w:p>
    <w:tbl>
      <w:tblPr>
        <w:tblW w:w="0" w:type="auto"/>
        <w:tblInd w:w="11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128"/>
        <w:gridCol w:w="1726"/>
        <w:gridCol w:w="2398"/>
        <w:gridCol w:w="2110"/>
        <w:gridCol w:w="2216"/>
      </w:tblGrid>
      <w:tr w:rsidR="00500457" w:rsidRPr="00551729" w14:paraId="1BADCF9D" w14:textId="77777777" w:rsidTr="0012310B">
        <w:trPr>
          <w:trHeight w:hRule="exact" w:val="551"/>
        </w:trPr>
        <w:tc>
          <w:tcPr>
            <w:tcW w:w="1128" w:type="dxa"/>
            <w:tcBorders>
              <w:bottom w:val="single" w:sz="6" w:space="0" w:color="000000"/>
              <w:right w:val="single" w:sz="6" w:space="0" w:color="000000"/>
            </w:tcBorders>
            <w:shd w:val="clear" w:color="auto" w:fill="6F2F9F"/>
          </w:tcPr>
          <w:p w14:paraId="1BADCF98" w14:textId="77777777" w:rsidR="00500457" w:rsidRPr="00551729" w:rsidRDefault="00500457" w:rsidP="00786614">
            <w:pPr>
              <w:widowControl w:val="0"/>
              <w:spacing w:after="0" w:line="240" w:lineRule="auto"/>
              <w:rPr>
                <w:rFonts w:ascii="Garamond" w:hAnsi="Garamond"/>
                <w:sz w:val="18"/>
                <w:szCs w:val="18"/>
              </w:rPr>
            </w:pPr>
          </w:p>
        </w:tc>
        <w:tc>
          <w:tcPr>
            <w:tcW w:w="1726" w:type="dxa"/>
            <w:tcBorders>
              <w:left w:val="single" w:sz="6" w:space="0" w:color="000000"/>
              <w:bottom w:val="single" w:sz="6" w:space="0" w:color="000000"/>
              <w:right w:val="single" w:sz="6" w:space="0" w:color="000000"/>
            </w:tcBorders>
            <w:shd w:val="clear" w:color="auto" w:fill="6F2F9F"/>
            <w:vAlign w:val="center"/>
          </w:tcPr>
          <w:p w14:paraId="1BADCF99"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FORTA</w:t>
            </w:r>
          </w:p>
        </w:tc>
        <w:tc>
          <w:tcPr>
            <w:tcW w:w="2398" w:type="dxa"/>
            <w:tcBorders>
              <w:left w:val="single" w:sz="6" w:space="0" w:color="000000"/>
              <w:bottom w:val="single" w:sz="6" w:space="0" w:color="000000"/>
              <w:right w:val="single" w:sz="6" w:space="0" w:color="000000"/>
            </w:tcBorders>
            <w:shd w:val="clear" w:color="auto" w:fill="6F2F9F"/>
            <w:vAlign w:val="center"/>
          </w:tcPr>
          <w:p w14:paraId="1BADCF9A"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PIKAT E DOBËTA</w:t>
            </w:r>
          </w:p>
        </w:tc>
        <w:tc>
          <w:tcPr>
            <w:tcW w:w="2110" w:type="dxa"/>
            <w:tcBorders>
              <w:left w:val="single" w:sz="6" w:space="0" w:color="000000"/>
              <w:bottom w:val="single" w:sz="6" w:space="0" w:color="000000"/>
              <w:right w:val="single" w:sz="6" w:space="0" w:color="000000"/>
            </w:tcBorders>
            <w:shd w:val="clear" w:color="auto" w:fill="6F2F9F"/>
            <w:vAlign w:val="center"/>
          </w:tcPr>
          <w:p w14:paraId="1BADCF9B"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MUNDËSITË</w:t>
            </w:r>
          </w:p>
        </w:tc>
        <w:tc>
          <w:tcPr>
            <w:tcW w:w="2216" w:type="dxa"/>
            <w:tcBorders>
              <w:left w:val="single" w:sz="6" w:space="0" w:color="000000"/>
              <w:bottom w:val="single" w:sz="6" w:space="0" w:color="000000"/>
            </w:tcBorders>
            <w:shd w:val="clear" w:color="auto" w:fill="6F2F9F"/>
            <w:vAlign w:val="center"/>
          </w:tcPr>
          <w:p w14:paraId="1BADCF9C" w14:textId="77777777" w:rsidR="00500457" w:rsidRPr="00551729" w:rsidRDefault="00500457" w:rsidP="0012310B">
            <w:pPr>
              <w:pStyle w:val="TableParagraph"/>
              <w:jc w:val="center"/>
              <w:rPr>
                <w:rFonts w:ascii="Garamond" w:hAnsi="Garamond"/>
                <w:b/>
                <w:sz w:val="18"/>
                <w:szCs w:val="18"/>
                <w:lang w:val="sq-AL"/>
              </w:rPr>
            </w:pPr>
            <w:r w:rsidRPr="00551729">
              <w:rPr>
                <w:rFonts w:ascii="Garamond" w:hAnsi="Garamond"/>
                <w:b/>
                <w:sz w:val="18"/>
                <w:szCs w:val="18"/>
                <w:lang w:val="sq-AL"/>
              </w:rPr>
              <w:t>KËRCËNIMET</w:t>
            </w:r>
          </w:p>
        </w:tc>
      </w:tr>
      <w:tr w:rsidR="00500457" w:rsidRPr="00551729" w14:paraId="1BADCFAA" w14:textId="77777777" w:rsidTr="00786614">
        <w:trPr>
          <w:trHeight w:hRule="exact" w:val="4522"/>
        </w:trPr>
        <w:tc>
          <w:tcPr>
            <w:tcW w:w="1128" w:type="dxa"/>
            <w:tcBorders>
              <w:top w:val="single" w:sz="6" w:space="0" w:color="000000"/>
              <w:bottom w:val="single" w:sz="6" w:space="0" w:color="000000"/>
              <w:right w:val="single" w:sz="6" w:space="0" w:color="000000"/>
            </w:tcBorders>
            <w:textDirection w:val="btLr"/>
            <w:vAlign w:val="center"/>
          </w:tcPr>
          <w:p w14:paraId="1BADCF9E" w14:textId="77777777" w:rsidR="00500457" w:rsidRPr="00551729" w:rsidRDefault="00500457" w:rsidP="00786614">
            <w:pPr>
              <w:pStyle w:val="TableParagraph"/>
              <w:jc w:val="center"/>
              <w:rPr>
                <w:rFonts w:ascii="Garamond" w:hAnsi="Garamond"/>
                <w:b/>
                <w:sz w:val="18"/>
                <w:szCs w:val="18"/>
                <w:lang w:val="sq-AL"/>
              </w:rPr>
            </w:pPr>
            <w:r w:rsidRPr="00551729">
              <w:rPr>
                <w:rFonts w:ascii="Garamond" w:hAnsi="Garamond"/>
                <w:b/>
                <w:spacing w:val="-1"/>
                <w:sz w:val="18"/>
                <w:szCs w:val="18"/>
                <w:lang w:val="sq-AL"/>
              </w:rPr>
              <w:t>PROMO</w:t>
            </w:r>
            <w:r w:rsidRPr="00551729">
              <w:rPr>
                <w:rFonts w:ascii="Garamond" w:hAnsi="Garamond"/>
                <w:b/>
                <w:spacing w:val="-2"/>
                <w:sz w:val="18"/>
                <w:szCs w:val="18"/>
                <w:lang w:val="sq-AL"/>
              </w:rPr>
              <w:t>V</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z w:val="18"/>
                <w:szCs w:val="18"/>
                <w:lang w:val="sq-AL"/>
              </w:rPr>
              <w:t>I</w:t>
            </w:r>
            <w:r w:rsidRPr="00551729">
              <w:rPr>
                <w:rFonts w:ascii="Garamond" w:hAnsi="Garamond"/>
                <w:b/>
                <w:spacing w:val="-2"/>
                <w:sz w:val="18"/>
                <w:szCs w:val="18"/>
                <w:lang w:val="sq-AL"/>
              </w:rPr>
              <w:t xml:space="preserve"> </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pacing w:val="-3"/>
                <w:sz w:val="18"/>
                <w:szCs w:val="18"/>
                <w:lang w:val="sq-AL"/>
              </w:rPr>
              <w:t>Q</w:t>
            </w:r>
            <w:r w:rsidRPr="00551729">
              <w:rPr>
                <w:rFonts w:ascii="Garamond" w:hAnsi="Garamond"/>
                <w:b/>
                <w:sz w:val="18"/>
                <w:szCs w:val="18"/>
                <w:lang w:val="sq-AL"/>
              </w:rPr>
              <w:t>EVE</w:t>
            </w:r>
            <w:r w:rsidRPr="00551729">
              <w:rPr>
                <w:rFonts w:ascii="Garamond" w:hAnsi="Garamond"/>
                <w:b/>
                <w:spacing w:val="-3"/>
                <w:sz w:val="18"/>
                <w:szCs w:val="18"/>
                <w:lang w:val="sq-AL"/>
              </w:rPr>
              <w:t>R</w:t>
            </w:r>
            <w:r w:rsidRPr="00551729">
              <w:rPr>
                <w:rFonts w:ascii="Garamond" w:hAnsi="Garamond"/>
                <w:b/>
                <w:sz w:val="18"/>
                <w:szCs w:val="18"/>
                <w:lang w:val="sq-AL"/>
              </w:rPr>
              <w:t>IS</w:t>
            </w:r>
            <w:r w:rsidRPr="00551729">
              <w:rPr>
                <w:rFonts w:ascii="Garamond" w:hAnsi="Garamond"/>
                <w:b/>
                <w:spacing w:val="-2"/>
                <w:sz w:val="18"/>
                <w:szCs w:val="18"/>
                <w:lang w:val="sq-AL"/>
              </w:rPr>
              <w:t>J</w:t>
            </w:r>
            <w:r w:rsidRPr="00551729">
              <w:rPr>
                <w:rFonts w:ascii="Garamond" w:hAnsi="Garamond"/>
                <w:b/>
                <w:spacing w:val="-3"/>
                <w:sz w:val="18"/>
                <w:szCs w:val="18"/>
                <w:lang w:val="sq-AL"/>
              </w:rPr>
              <w:t>E</w:t>
            </w:r>
            <w:r w:rsidRPr="00551729">
              <w:rPr>
                <w:rFonts w:ascii="Garamond" w:hAnsi="Garamond"/>
                <w:b/>
                <w:sz w:val="18"/>
                <w:szCs w:val="18"/>
                <w:lang w:val="sq-AL"/>
              </w:rPr>
              <w:t>S</w:t>
            </w:r>
            <w:r w:rsidRPr="00551729">
              <w:rPr>
                <w:rFonts w:ascii="Garamond" w:hAnsi="Garamond"/>
                <w:b/>
                <w:spacing w:val="-1"/>
                <w:sz w:val="18"/>
                <w:szCs w:val="18"/>
                <w:lang w:val="sq-AL"/>
              </w:rPr>
              <w:t xml:space="preserve"> </w:t>
            </w:r>
            <w:r w:rsidRPr="00551729">
              <w:rPr>
                <w:rFonts w:ascii="Garamond" w:hAnsi="Garamond"/>
                <w:b/>
                <w:sz w:val="18"/>
                <w:szCs w:val="18"/>
                <w:lang w:val="sq-AL"/>
              </w:rPr>
              <w:t>LO</w:t>
            </w:r>
            <w:r w:rsidRPr="00551729">
              <w:rPr>
                <w:rFonts w:ascii="Garamond" w:hAnsi="Garamond"/>
                <w:b/>
                <w:spacing w:val="-2"/>
                <w:sz w:val="18"/>
                <w:szCs w:val="18"/>
                <w:lang w:val="sq-AL"/>
              </w:rPr>
              <w:t>K</w:t>
            </w:r>
            <w:r w:rsidRPr="00551729">
              <w:rPr>
                <w:rFonts w:ascii="Garamond" w:hAnsi="Garamond"/>
                <w:b/>
                <w:sz w:val="18"/>
                <w:szCs w:val="18"/>
                <w:lang w:val="sq-AL"/>
              </w:rPr>
              <w:t>ALE</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 xml:space="preserve">DHE </w:t>
            </w:r>
            <w:r w:rsidRPr="00551729">
              <w:rPr>
                <w:rFonts w:ascii="Garamond" w:hAnsi="Garamond"/>
                <w:b/>
                <w:sz w:val="18"/>
                <w:szCs w:val="18"/>
                <w:lang w:val="sq-AL"/>
              </w:rPr>
              <w:t>RA</w:t>
            </w:r>
            <w:r w:rsidRPr="00551729">
              <w:rPr>
                <w:rFonts w:ascii="Garamond" w:hAnsi="Garamond"/>
                <w:b/>
                <w:spacing w:val="-2"/>
                <w:sz w:val="18"/>
                <w:szCs w:val="18"/>
                <w:lang w:val="sq-AL"/>
              </w:rPr>
              <w:t>J</w:t>
            </w:r>
            <w:r w:rsidRPr="00551729">
              <w:rPr>
                <w:rFonts w:ascii="Garamond" w:hAnsi="Garamond"/>
                <w:b/>
                <w:spacing w:val="-1"/>
                <w:sz w:val="18"/>
                <w:szCs w:val="18"/>
                <w:lang w:val="sq-AL"/>
              </w:rPr>
              <w:t>O</w:t>
            </w:r>
            <w:r w:rsidRPr="00551729">
              <w:rPr>
                <w:rFonts w:ascii="Garamond" w:hAnsi="Garamond"/>
                <w:b/>
                <w:spacing w:val="-2"/>
                <w:sz w:val="18"/>
                <w:szCs w:val="18"/>
                <w:lang w:val="sq-AL"/>
              </w:rPr>
              <w:t>N</w:t>
            </w:r>
            <w:r w:rsidRPr="00551729">
              <w:rPr>
                <w:rFonts w:ascii="Garamond" w:hAnsi="Garamond"/>
                <w:b/>
                <w:sz w:val="18"/>
                <w:szCs w:val="18"/>
                <w:lang w:val="sq-AL"/>
              </w:rPr>
              <w:t>ALE,</w:t>
            </w:r>
            <w:r w:rsidRPr="00551729">
              <w:rPr>
                <w:rFonts w:ascii="Garamond" w:hAnsi="Garamond"/>
                <w:b/>
                <w:spacing w:val="-2"/>
                <w:sz w:val="18"/>
                <w:szCs w:val="18"/>
                <w:lang w:val="sq-AL"/>
              </w:rPr>
              <w:t xml:space="preserve"> </w:t>
            </w:r>
            <w:r w:rsidRPr="00551729">
              <w:rPr>
                <w:rFonts w:ascii="Garamond" w:hAnsi="Garamond"/>
                <w:b/>
                <w:spacing w:val="-1"/>
                <w:sz w:val="18"/>
                <w:szCs w:val="18"/>
                <w:lang w:val="sq-AL"/>
              </w:rPr>
              <w:t>P</w:t>
            </w:r>
            <w:r w:rsidRPr="00551729">
              <w:rPr>
                <w:rFonts w:ascii="Garamond" w:hAnsi="Garamond"/>
                <w:b/>
                <w:spacing w:val="-2"/>
                <w:sz w:val="18"/>
                <w:szCs w:val="18"/>
                <w:lang w:val="sq-AL"/>
              </w:rPr>
              <w:t>L</w:t>
            </w:r>
            <w:r w:rsidRPr="00551729">
              <w:rPr>
                <w:rFonts w:ascii="Garamond" w:hAnsi="Garamond"/>
                <w:b/>
                <w:sz w:val="18"/>
                <w:szCs w:val="18"/>
                <w:lang w:val="sq-AL"/>
              </w:rPr>
              <w:t>A</w:t>
            </w:r>
            <w:r w:rsidRPr="00551729">
              <w:rPr>
                <w:rFonts w:ascii="Garamond" w:hAnsi="Garamond"/>
                <w:b/>
                <w:spacing w:val="-1"/>
                <w:sz w:val="18"/>
                <w:szCs w:val="18"/>
                <w:lang w:val="sq-AL"/>
              </w:rPr>
              <w:t>N</w:t>
            </w:r>
            <w:r w:rsidRPr="00551729">
              <w:rPr>
                <w:rFonts w:ascii="Garamond" w:hAnsi="Garamond"/>
                <w:b/>
                <w:sz w:val="18"/>
                <w:szCs w:val="18"/>
                <w:lang w:val="sq-AL"/>
              </w:rPr>
              <w:t>IFI</w:t>
            </w:r>
            <w:r w:rsidRPr="00551729">
              <w:rPr>
                <w:rFonts w:ascii="Garamond" w:hAnsi="Garamond"/>
                <w:b/>
                <w:spacing w:val="-3"/>
                <w:sz w:val="18"/>
                <w:szCs w:val="18"/>
                <w:lang w:val="sq-AL"/>
              </w:rPr>
              <w:t>K</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&amp;</w:t>
            </w:r>
            <w:r w:rsidRPr="00551729">
              <w:rPr>
                <w:rFonts w:ascii="Garamond" w:hAnsi="Garamond"/>
                <w:b/>
                <w:spacing w:val="-2"/>
                <w:sz w:val="18"/>
                <w:szCs w:val="18"/>
                <w:lang w:val="sq-AL"/>
              </w:rPr>
              <w:t xml:space="preserve"> </w:t>
            </w:r>
            <w:r w:rsidRPr="00551729">
              <w:rPr>
                <w:rFonts w:ascii="Garamond" w:hAnsi="Garamond"/>
                <w:b/>
                <w:sz w:val="18"/>
                <w:szCs w:val="18"/>
                <w:lang w:val="sq-AL"/>
              </w:rPr>
              <w:t>N</w:t>
            </w:r>
            <w:r w:rsidRPr="00551729">
              <w:rPr>
                <w:rFonts w:ascii="Garamond" w:hAnsi="Garamond"/>
                <w:b/>
                <w:spacing w:val="-2"/>
                <w:sz w:val="18"/>
                <w:szCs w:val="18"/>
                <w:lang w:val="sq-AL"/>
              </w:rPr>
              <w:t>G</w:t>
            </w:r>
            <w:r w:rsidRPr="00551729">
              <w:rPr>
                <w:rFonts w:ascii="Garamond" w:hAnsi="Garamond"/>
                <w:b/>
                <w:sz w:val="18"/>
                <w:szCs w:val="18"/>
                <w:lang w:val="sq-AL"/>
              </w:rPr>
              <w:t>R</w:t>
            </w:r>
            <w:r w:rsidRPr="00551729">
              <w:rPr>
                <w:rFonts w:ascii="Garamond" w:hAnsi="Garamond"/>
                <w:b/>
                <w:spacing w:val="-1"/>
                <w:sz w:val="18"/>
                <w:szCs w:val="18"/>
                <w:lang w:val="sq-AL"/>
              </w:rPr>
              <w:t>I</w:t>
            </w:r>
            <w:r w:rsidRPr="00551729">
              <w:rPr>
                <w:rFonts w:ascii="Garamond" w:hAnsi="Garamond"/>
                <w:b/>
                <w:sz w:val="18"/>
                <w:szCs w:val="18"/>
                <w:lang w:val="sq-AL"/>
              </w:rPr>
              <w:t>T</w:t>
            </w:r>
            <w:r w:rsidRPr="00551729">
              <w:rPr>
                <w:rFonts w:ascii="Garamond" w:hAnsi="Garamond"/>
                <w:b/>
                <w:spacing w:val="-2"/>
                <w:sz w:val="18"/>
                <w:szCs w:val="18"/>
                <w:lang w:val="sq-AL"/>
              </w:rPr>
              <w:t>J</w:t>
            </w:r>
            <w:r w:rsidRPr="00551729">
              <w:rPr>
                <w:rFonts w:ascii="Garamond" w:hAnsi="Garamond"/>
                <w:b/>
                <w:sz w:val="18"/>
                <w:szCs w:val="18"/>
                <w:lang w:val="sq-AL"/>
              </w:rPr>
              <w:t>A</w:t>
            </w:r>
            <w:r w:rsidRPr="00551729">
              <w:rPr>
                <w:rFonts w:ascii="Garamond" w:hAnsi="Garamond"/>
                <w:b/>
                <w:spacing w:val="1"/>
                <w:sz w:val="18"/>
                <w:szCs w:val="18"/>
                <w:lang w:val="sq-AL"/>
              </w:rPr>
              <w:t xml:space="preserve"> </w:t>
            </w:r>
            <w:r w:rsidRPr="00551729">
              <w:rPr>
                <w:rFonts w:ascii="Garamond" w:hAnsi="Garamond"/>
                <w:b/>
                <w:sz w:val="18"/>
                <w:szCs w:val="18"/>
                <w:lang w:val="sq-AL"/>
              </w:rPr>
              <w:t xml:space="preserve">E </w:t>
            </w:r>
            <w:r w:rsidRPr="00551729">
              <w:rPr>
                <w:rFonts w:ascii="Garamond" w:hAnsi="Garamond"/>
                <w:b/>
                <w:spacing w:val="-1"/>
                <w:sz w:val="18"/>
                <w:szCs w:val="18"/>
                <w:lang w:val="sq-AL"/>
              </w:rPr>
              <w:t>K</w:t>
            </w:r>
            <w:r w:rsidRPr="00551729">
              <w:rPr>
                <w:rFonts w:ascii="Garamond" w:hAnsi="Garamond"/>
                <w:b/>
                <w:sz w:val="18"/>
                <w:szCs w:val="18"/>
                <w:lang w:val="sq-AL"/>
              </w:rPr>
              <w:t>APA</w:t>
            </w:r>
            <w:r w:rsidRPr="00551729">
              <w:rPr>
                <w:rFonts w:ascii="Garamond" w:hAnsi="Garamond"/>
                <w:b/>
                <w:spacing w:val="-2"/>
                <w:sz w:val="18"/>
                <w:szCs w:val="18"/>
                <w:lang w:val="sq-AL"/>
              </w:rPr>
              <w:t>CI</w:t>
            </w:r>
            <w:r w:rsidRPr="00551729">
              <w:rPr>
                <w:rFonts w:ascii="Garamond" w:hAnsi="Garamond"/>
                <w:b/>
                <w:sz w:val="18"/>
                <w:szCs w:val="18"/>
                <w:lang w:val="sq-AL"/>
              </w:rPr>
              <w:t>T</w:t>
            </w:r>
            <w:r w:rsidRPr="00551729">
              <w:rPr>
                <w:rFonts w:ascii="Garamond" w:hAnsi="Garamond"/>
                <w:b/>
                <w:spacing w:val="-3"/>
                <w:sz w:val="18"/>
                <w:szCs w:val="18"/>
                <w:lang w:val="sq-AL"/>
              </w:rPr>
              <w:t>E</w:t>
            </w:r>
            <w:r w:rsidRPr="00551729">
              <w:rPr>
                <w:rFonts w:ascii="Garamond" w:hAnsi="Garamond"/>
                <w:b/>
                <w:sz w:val="18"/>
                <w:szCs w:val="18"/>
                <w:lang w:val="sq-AL"/>
              </w:rPr>
              <w:t>TEVE</w:t>
            </w:r>
            <w:r w:rsidRPr="00551729">
              <w:rPr>
                <w:rFonts w:ascii="Garamond" w:hAnsi="Garamond"/>
                <w:b/>
                <w:spacing w:val="-3"/>
                <w:sz w:val="18"/>
                <w:szCs w:val="18"/>
                <w:lang w:val="sq-AL"/>
              </w:rPr>
              <w:t xml:space="preserve"> </w:t>
            </w:r>
            <w:r w:rsidRPr="00551729">
              <w:rPr>
                <w:rFonts w:ascii="Garamond" w:hAnsi="Garamond"/>
                <w:b/>
                <w:sz w:val="18"/>
                <w:szCs w:val="18"/>
                <w:lang w:val="sq-AL"/>
              </w:rPr>
              <w:t>AD</w:t>
            </w:r>
            <w:r w:rsidRPr="00551729">
              <w:rPr>
                <w:rFonts w:ascii="Garamond" w:hAnsi="Garamond"/>
                <w:b/>
                <w:spacing w:val="-1"/>
                <w:sz w:val="18"/>
                <w:szCs w:val="18"/>
                <w:lang w:val="sq-AL"/>
              </w:rPr>
              <w:t>M</w:t>
            </w:r>
            <w:r w:rsidRPr="00551729">
              <w:rPr>
                <w:rFonts w:ascii="Garamond" w:hAnsi="Garamond"/>
                <w:b/>
                <w:spacing w:val="-2"/>
                <w:sz w:val="18"/>
                <w:szCs w:val="18"/>
                <w:lang w:val="sq-AL"/>
              </w:rPr>
              <w:t>I</w:t>
            </w:r>
            <w:r w:rsidRPr="00551729">
              <w:rPr>
                <w:rFonts w:ascii="Garamond" w:hAnsi="Garamond"/>
                <w:b/>
                <w:sz w:val="18"/>
                <w:szCs w:val="18"/>
                <w:lang w:val="sq-AL"/>
              </w:rPr>
              <w:t>N</w:t>
            </w:r>
            <w:r w:rsidRPr="00551729">
              <w:rPr>
                <w:rFonts w:ascii="Garamond" w:hAnsi="Garamond"/>
                <w:b/>
                <w:spacing w:val="-2"/>
                <w:sz w:val="18"/>
                <w:szCs w:val="18"/>
                <w:lang w:val="sq-AL"/>
              </w:rPr>
              <w:t>IST</w:t>
            </w:r>
            <w:r w:rsidRPr="00551729">
              <w:rPr>
                <w:rFonts w:ascii="Garamond" w:hAnsi="Garamond"/>
                <w:b/>
                <w:sz w:val="18"/>
                <w:szCs w:val="18"/>
                <w:lang w:val="sq-AL"/>
              </w:rPr>
              <w:t>RA</w:t>
            </w:r>
            <w:r w:rsidRPr="00551729">
              <w:rPr>
                <w:rFonts w:ascii="Garamond" w:hAnsi="Garamond"/>
                <w:b/>
                <w:spacing w:val="-2"/>
                <w:sz w:val="18"/>
                <w:szCs w:val="18"/>
                <w:lang w:val="sq-AL"/>
              </w:rPr>
              <w:t>T</w:t>
            </w:r>
            <w:r w:rsidRPr="00551729">
              <w:rPr>
                <w:rFonts w:ascii="Garamond" w:hAnsi="Garamond"/>
                <w:b/>
                <w:sz w:val="18"/>
                <w:szCs w:val="18"/>
                <w:lang w:val="sq-AL"/>
              </w:rPr>
              <w:t>I</w:t>
            </w:r>
            <w:r w:rsidRPr="00551729">
              <w:rPr>
                <w:rFonts w:ascii="Garamond" w:hAnsi="Garamond"/>
                <w:b/>
                <w:spacing w:val="-1"/>
                <w:sz w:val="18"/>
                <w:szCs w:val="18"/>
                <w:lang w:val="sq-AL"/>
              </w:rPr>
              <w:t>V</w:t>
            </w:r>
            <w:r w:rsidRPr="00551729">
              <w:rPr>
                <w:rFonts w:ascii="Garamond" w:hAnsi="Garamond"/>
                <w:b/>
                <w:sz w:val="18"/>
                <w:szCs w:val="18"/>
                <w:lang w:val="sq-AL"/>
              </w:rPr>
              <w:t>E</w:t>
            </w:r>
          </w:p>
        </w:tc>
        <w:tc>
          <w:tcPr>
            <w:tcW w:w="1726" w:type="dxa"/>
            <w:tcBorders>
              <w:top w:val="single" w:sz="6" w:space="0" w:color="000000"/>
              <w:left w:val="single" w:sz="6" w:space="0" w:color="000000"/>
              <w:bottom w:val="single" w:sz="6" w:space="0" w:color="000000"/>
              <w:right w:val="single" w:sz="6" w:space="0" w:color="000000"/>
            </w:tcBorders>
          </w:tcPr>
          <w:p w14:paraId="1BADCF9F" w14:textId="12A78EC1" w:rsidR="00500457" w:rsidRPr="00551729" w:rsidRDefault="003E1A85" w:rsidP="00786614">
            <w:pPr>
              <w:pStyle w:val="TableParagraph"/>
              <w:jc w:val="bot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Dalja e protokollit të bashkëpunimit</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midis vendeve;</w:t>
            </w:r>
          </w:p>
          <w:p w14:paraId="1BADCFA0" w14:textId="57005F79"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Ekzistenca e strategjisë së zhvillimit rajonal;</w:t>
            </w:r>
          </w:p>
          <w:p w14:paraId="1BADCFA1" w14:textId="1DED3F1C"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Ekzistenca e planit të zhvillimit rajonal;</w:t>
            </w:r>
          </w:p>
          <w:p w14:paraId="1BADCFA2" w14:textId="01D1EC76"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Procesi i decentralizimit në vazhdim e sipër.</w:t>
            </w:r>
          </w:p>
        </w:tc>
        <w:tc>
          <w:tcPr>
            <w:tcW w:w="2398" w:type="dxa"/>
            <w:tcBorders>
              <w:top w:val="single" w:sz="6" w:space="0" w:color="000000"/>
              <w:left w:val="single" w:sz="6" w:space="0" w:color="000000"/>
              <w:bottom w:val="single" w:sz="6" w:space="0" w:color="000000"/>
              <w:right w:val="single" w:sz="6" w:space="0" w:color="000000"/>
            </w:tcBorders>
          </w:tcPr>
          <w:p w14:paraId="1BADCFA3" w14:textId="6D86169B"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Kapacitetet e kufizuara të njësive të qeverisjes vendore për zbatimin e politikave të zhvillimit;</w:t>
            </w:r>
          </w:p>
          <w:p w14:paraId="1BADCFA4" w14:textId="59788050" w:rsidR="00500457" w:rsidRPr="00551729" w:rsidRDefault="003E1A85" w:rsidP="00786614">
            <w:pPr>
              <w:pStyle w:val="TableParagraph"/>
              <w:jc w:val="bot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Burimet e pamjaftueshme financiare për të financuar objektivat e zhvillimit;</w:t>
            </w:r>
          </w:p>
          <w:p w14:paraId="1BADCFA5" w14:textId="68CAFAF5"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Mungesa e njohurive të duhura nga ana e administratës lokale për të përfituar dhe zbatuar fondet e BE.</w:t>
            </w:r>
          </w:p>
        </w:tc>
        <w:tc>
          <w:tcPr>
            <w:tcW w:w="2110" w:type="dxa"/>
            <w:tcBorders>
              <w:top w:val="single" w:sz="6" w:space="0" w:color="000000"/>
              <w:left w:val="single" w:sz="6" w:space="0" w:color="000000"/>
              <w:bottom w:val="single" w:sz="6" w:space="0" w:color="000000"/>
              <w:right w:val="single" w:sz="6" w:space="0" w:color="000000"/>
            </w:tcBorders>
          </w:tcPr>
          <w:p w14:paraId="1BADCFA6" w14:textId="0038EEF1"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Pjesëmarrja e njësive të qeverisjes vendore në nismat apo programet për rritjen e kapaciteteve të përbashkëta institucionale.</w:t>
            </w:r>
          </w:p>
        </w:tc>
        <w:tc>
          <w:tcPr>
            <w:tcW w:w="2216" w:type="dxa"/>
            <w:tcBorders>
              <w:top w:val="single" w:sz="6" w:space="0" w:color="000000"/>
              <w:left w:val="single" w:sz="6" w:space="0" w:color="000000"/>
              <w:bottom w:val="single" w:sz="6" w:space="0" w:color="000000"/>
            </w:tcBorders>
          </w:tcPr>
          <w:p w14:paraId="1BADCFA7" w14:textId="72D04A54"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Njësitë e qeverisjes vendore financiarisht të dobëta;</w:t>
            </w:r>
          </w:p>
          <w:p w14:paraId="1BADCFA8" w14:textId="6FA53123"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Mungesa e financimit për trajnimin e administratës së Pushtetit Lokal për të rritur mundësinë e politikë-bërjes dhe kapacitetet zbatuese;</w:t>
            </w:r>
          </w:p>
          <w:p w14:paraId="1BADCFA9" w14:textId="26AB411D"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Mungesa e bashkëpunimit ndërmjet strukturave rajonale përkatëse.</w:t>
            </w:r>
          </w:p>
        </w:tc>
      </w:tr>
      <w:tr w:rsidR="00500457" w:rsidRPr="00551729" w14:paraId="1BADCFB9" w14:textId="77777777" w:rsidTr="00786614">
        <w:trPr>
          <w:trHeight w:hRule="exact" w:val="4436"/>
        </w:trPr>
        <w:tc>
          <w:tcPr>
            <w:tcW w:w="1128" w:type="dxa"/>
            <w:tcBorders>
              <w:top w:val="single" w:sz="6" w:space="0" w:color="000000"/>
              <w:right w:val="single" w:sz="6" w:space="0" w:color="000000"/>
            </w:tcBorders>
            <w:textDirection w:val="btLr"/>
            <w:vAlign w:val="center"/>
          </w:tcPr>
          <w:p w14:paraId="1BADCFAB" w14:textId="77777777" w:rsidR="00500457" w:rsidRPr="00551729" w:rsidRDefault="00500457" w:rsidP="00786614">
            <w:pPr>
              <w:pStyle w:val="TableParagraph"/>
              <w:jc w:val="center"/>
              <w:rPr>
                <w:rFonts w:ascii="Garamond" w:hAnsi="Garamond"/>
                <w:b/>
                <w:sz w:val="18"/>
                <w:szCs w:val="18"/>
                <w:lang w:val="sq-AL"/>
              </w:rPr>
            </w:pPr>
            <w:r w:rsidRPr="00551729">
              <w:rPr>
                <w:rFonts w:ascii="Garamond" w:hAnsi="Garamond"/>
                <w:b/>
                <w:sz w:val="18"/>
                <w:szCs w:val="18"/>
                <w:lang w:val="sq-AL"/>
              </w:rPr>
              <w:t>F</w:t>
            </w:r>
            <w:r w:rsidRPr="00551729">
              <w:rPr>
                <w:rFonts w:ascii="Garamond" w:hAnsi="Garamond"/>
                <w:b/>
                <w:spacing w:val="-2"/>
                <w:sz w:val="18"/>
                <w:szCs w:val="18"/>
                <w:lang w:val="sq-AL"/>
              </w:rPr>
              <w:t>O</w:t>
            </w:r>
            <w:r w:rsidRPr="00551729">
              <w:rPr>
                <w:rFonts w:ascii="Garamond" w:hAnsi="Garamond"/>
                <w:b/>
                <w:sz w:val="18"/>
                <w:szCs w:val="18"/>
                <w:lang w:val="sq-AL"/>
              </w:rPr>
              <w:t>R</w:t>
            </w:r>
            <w:r w:rsidRPr="00551729">
              <w:rPr>
                <w:rFonts w:ascii="Garamond" w:hAnsi="Garamond"/>
                <w:b/>
                <w:spacing w:val="1"/>
                <w:sz w:val="18"/>
                <w:szCs w:val="18"/>
                <w:lang w:val="sq-AL"/>
              </w:rPr>
              <w:t>C</w:t>
            </w:r>
            <w:r w:rsidRPr="00551729">
              <w:rPr>
                <w:rFonts w:ascii="Garamond" w:hAnsi="Garamond"/>
                <w:b/>
                <w:sz w:val="18"/>
                <w:szCs w:val="18"/>
                <w:lang w:val="sq-AL"/>
              </w:rPr>
              <w:t>I</w:t>
            </w:r>
            <w:r w:rsidRPr="00551729">
              <w:rPr>
                <w:rFonts w:ascii="Garamond" w:hAnsi="Garamond"/>
                <w:b/>
                <w:spacing w:val="-4"/>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KËR</w:t>
            </w:r>
            <w:r w:rsidRPr="00551729">
              <w:rPr>
                <w:rFonts w:ascii="Garamond" w:hAnsi="Garamond"/>
                <w:b/>
                <w:spacing w:val="-3"/>
                <w:sz w:val="18"/>
                <w:szCs w:val="18"/>
                <w:lang w:val="sq-AL"/>
              </w:rPr>
              <w:t>K</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pacing w:val="-2"/>
                <w:sz w:val="18"/>
                <w:szCs w:val="18"/>
                <w:lang w:val="sq-AL"/>
              </w:rPr>
              <w:t>I</w:t>
            </w:r>
            <w:r w:rsidRPr="00551729">
              <w:rPr>
                <w:rFonts w:ascii="Garamond" w:hAnsi="Garamond"/>
                <w:b/>
                <w:sz w:val="18"/>
                <w:szCs w:val="18"/>
                <w:lang w:val="sq-AL"/>
              </w:rPr>
              <w:t>T</w:t>
            </w:r>
            <w:r w:rsidRPr="00551729">
              <w:rPr>
                <w:rFonts w:ascii="Garamond" w:hAnsi="Garamond"/>
                <w:b/>
                <w:spacing w:val="-1"/>
                <w:sz w:val="18"/>
                <w:szCs w:val="18"/>
                <w:lang w:val="sq-AL"/>
              </w:rPr>
              <w:t xml:space="preserve"> </w:t>
            </w:r>
            <w:r w:rsidRPr="00551729">
              <w:rPr>
                <w:rFonts w:ascii="Garamond" w:hAnsi="Garamond"/>
                <w:b/>
                <w:sz w:val="18"/>
                <w:szCs w:val="18"/>
                <w:lang w:val="sq-AL"/>
              </w:rPr>
              <w:t>SH</w:t>
            </w:r>
            <w:r w:rsidRPr="00551729">
              <w:rPr>
                <w:rFonts w:ascii="Garamond" w:hAnsi="Garamond"/>
                <w:b/>
                <w:spacing w:val="-1"/>
                <w:sz w:val="18"/>
                <w:szCs w:val="18"/>
                <w:lang w:val="sq-AL"/>
              </w:rPr>
              <w:t>K</w:t>
            </w:r>
            <w:r w:rsidRPr="00551729">
              <w:rPr>
                <w:rFonts w:ascii="Garamond" w:hAnsi="Garamond"/>
                <w:b/>
                <w:spacing w:val="-3"/>
                <w:sz w:val="18"/>
                <w:szCs w:val="18"/>
                <w:lang w:val="sq-AL"/>
              </w:rPr>
              <w:t>E</w:t>
            </w:r>
            <w:r w:rsidRPr="00551729">
              <w:rPr>
                <w:rFonts w:ascii="Garamond" w:hAnsi="Garamond"/>
                <w:b/>
                <w:sz w:val="18"/>
                <w:szCs w:val="18"/>
                <w:lang w:val="sq-AL"/>
              </w:rPr>
              <w:t>NC</w:t>
            </w:r>
            <w:r w:rsidRPr="00551729">
              <w:rPr>
                <w:rFonts w:ascii="Garamond" w:hAnsi="Garamond"/>
                <w:b/>
                <w:spacing w:val="-1"/>
                <w:sz w:val="18"/>
                <w:szCs w:val="18"/>
                <w:lang w:val="sq-AL"/>
              </w:rPr>
              <w:t>O</w:t>
            </w:r>
            <w:r w:rsidRPr="00551729">
              <w:rPr>
                <w:rFonts w:ascii="Garamond" w:hAnsi="Garamond"/>
                <w:b/>
                <w:spacing w:val="-3"/>
                <w:sz w:val="18"/>
                <w:szCs w:val="18"/>
                <w:lang w:val="sq-AL"/>
              </w:rPr>
              <w:t>R</w:t>
            </w:r>
            <w:r w:rsidRPr="00551729">
              <w:rPr>
                <w:rFonts w:ascii="Garamond" w:hAnsi="Garamond"/>
                <w:b/>
                <w:sz w:val="18"/>
                <w:szCs w:val="18"/>
                <w:lang w:val="sq-AL"/>
              </w:rPr>
              <w:t>, ZH</w:t>
            </w:r>
            <w:r w:rsidRPr="00551729">
              <w:rPr>
                <w:rFonts w:ascii="Garamond" w:hAnsi="Garamond"/>
                <w:b/>
                <w:spacing w:val="-1"/>
                <w:sz w:val="18"/>
                <w:szCs w:val="18"/>
                <w:lang w:val="sq-AL"/>
              </w:rPr>
              <w:t>V</w:t>
            </w:r>
            <w:r w:rsidRPr="00551729">
              <w:rPr>
                <w:rFonts w:ascii="Garamond" w:hAnsi="Garamond"/>
                <w:b/>
                <w:sz w:val="18"/>
                <w:szCs w:val="18"/>
                <w:lang w:val="sq-AL"/>
              </w:rPr>
              <w:t>IL</w:t>
            </w:r>
            <w:r w:rsidRPr="00551729">
              <w:rPr>
                <w:rFonts w:ascii="Garamond" w:hAnsi="Garamond"/>
                <w:b/>
                <w:spacing w:val="-2"/>
                <w:sz w:val="18"/>
                <w:szCs w:val="18"/>
                <w:lang w:val="sq-AL"/>
              </w:rPr>
              <w:t>L</w:t>
            </w:r>
            <w:r w:rsidRPr="00551729">
              <w:rPr>
                <w:rFonts w:ascii="Garamond" w:hAnsi="Garamond"/>
                <w:b/>
                <w:sz w:val="18"/>
                <w:szCs w:val="18"/>
                <w:lang w:val="sq-AL"/>
              </w:rPr>
              <w:t>I</w:t>
            </w:r>
            <w:r w:rsidRPr="00551729">
              <w:rPr>
                <w:rFonts w:ascii="Garamond" w:hAnsi="Garamond"/>
                <w:b/>
                <w:spacing w:val="-1"/>
                <w:sz w:val="18"/>
                <w:szCs w:val="18"/>
                <w:lang w:val="sq-AL"/>
              </w:rPr>
              <w:t>M</w:t>
            </w:r>
            <w:r w:rsidRPr="00551729">
              <w:rPr>
                <w:rFonts w:ascii="Garamond" w:hAnsi="Garamond"/>
                <w:b/>
                <w:sz w:val="18"/>
                <w:szCs w:val="18"/>
                <w:lang w:val="sq-AL"/>
              </w:rPr>
              <w:t>I</w:t>
            </w:r>
            <w:r w:rsidRPr="00551729">
              <w:rPr>
                <w:rFonts w:ascii="Garamond" w:hAnsi="Garamond"/>
                <w:b/>
                <w:spacing w:val="-1"/>
                <w:sz w:val="18"/>
                <w:szCs w:val="18"/>
                <w:lang w:val="sq-AL"/>
              </w:rPr>
              <w:t xml:space="preserve"> </w:t>
            </w:r>
            <w:r w:rsidRPr="00551729">
              <w:rPr>
                <w:rFonts w:ascii="Garamond" w:hAnsi="Garamond"/>
                <w:b/>
                <w:sz w:val="18"/>
                <w:szCs w:val="18"/>
                <w:lang w:val="sq-AL"/>
              </w:rPr>
              <w:t>TE</w:t>
            </w:r>
            <w:r w:rsidRPr="00551729">
              <w:rPr>
                <w:rFonts w:ascii="Garamond" w:hAnsi="Garamond"/>
                <w:b/>
                <w:spacing w:val="-3"/>
                <w:sz w:val="18"/>
                <w:szCs w:val="18"/>
                <w:lang w:val="sq-AL"/>
              </w:rPr>
              <w:t>K</w:t>
            </w:r>
            <w:r w:rsidRPr="00551729">
              <w:rPr>
                <w:rFonts w:ascii="Garamond" w:hAnsi="Garamond"/>
                <w:b/>
                <w:sz w:val="18"/>
                <w:szCs w:val="18"/>
                <w:lang w:val="sq-AL"/>
              </w:rPr>
              <w:t>N</w:t>
            </w:r>
            <w:r w:rsidRPr="00551729">
              <w:rPr>
                <w:rFonts w:ascii="Garamond" w:hAnsi="Garamond"/>
                <w:b/>
                <w:spacing w:val="-1"/>
                <w:sz w:val="18"/>
                <w:szCs w:val="18"/>
                <w:lang w:val="sq-AL"/>
              </w:rPr>
              <w:t>OL</w:t>
            </w:r>
            <w:r w:rsidRPr="00551729">
              <w:rPr>
                <w:rFonts w:ascii="Garamond" w:hAnsi="Garamond"/>
                <w:b/>
                <w:spacing w:val="-4"/>
                <w:sz w:val="18"/>
                <w:szCs w:val="18"/>
                <w:lang w:val="sq-AL"/>
              </w:rPr>
              <w:t>O</w:t>
            </w:r>
            <w:r w:rsidRPr="00551729">
              <w:rPr>
                <w:rFonts w:ascii="Garamond" w:hAnsi="Garamond"/>
                <w:b/>
                <w:sz w:val="18"/>
                <w:szCs w:val="18"/>
                <w:lang w:val="sq-AL"/>
              </w:rPr>
              <w:t>G</w:t>
            </w:r>
            <w:r w:rsidRPr="00551729">
              <w:rPr>
                <w:rFonts w:ascii="Garamond" w:hAnsi="Garamond"/>
                <w:b/>
                <w:spacing w:val="-2"/>
                <w:sz w:val="18"/>
                <w:szCs w:val="18"/>
                <w:lang w:val="sq-AL"/>
              </w:rPr>
              <w:t>J</w:t>
            </w:r>
            <w:r w:rsidRPr="00551729">
              <w:rPr>
                <w:rFonts w:ascii="Garamond" w:hAnsi="Garamond"/>
                <w:b/>
                <w:sz w:val="18"/>
                <w:szCs w:val="18"/>
                <w:lang w:val="sq-AL"/>
              </w:rPr>
              <w:t>I</w:t>
            </w:r>
            <w:r w:rsidRPr="00551729">
              <w:rPr>
                <w:rFonts w:ascii="Garamond" w:hAnsi="Garamond"/>
                <w:b/>
                <w:spacing w:val="-1"/>
                <w:sz w:val="18"/>
                <w:szCs w:val="18"/>
                <w:lang w:val="sq-AL"/>
              </w:rPr>
              <w:t>K</w:t>
            </w:r>
            <w:r w:rsidRPr="00551729">
              <w:rPr>
                <w:rFonts w:ascii="Garamond" w:hAnsi="Garamond"/>
                <w:b/>
                <w:sz w:val="18"/>
                <w:szCs w:val="18"/>
                <w:lang w:val="sq-AL"/>
              </w:rPr>
              <w:t>,</w:t>
            </w:r>
            <w:r w:rsidRPr="00551729">
              <w:rPr>
                <w:rFonts w:ascii="Garamond" w:hAnsi="Garamond"/>
                <w:b/>
                <w:spacing w:val="-2"/>
                <w:sz w:val="18"/>
                <w:szCs w:val="18"/>
                <w:lang w:val="sq-AL"/>
              </w:rPr>
              <w:t xml:space="preserve"> I</w:t>
            </w:r>
            <w:r w:rsidRPr="00551729">
              <w:rPr>
                <w:rFonts w:ascii="Garamond" w:hAnsi="Garamond"/>
                <w:b/>
                <w:sz w:val="18"/>
                <w:szCs w:val="18"/>
                <w:lang w:val="sq-AL"/>
              </w:rPr>
              <w:t>N</w:t>
            </w:r>
            <w:r w:rsidRPr="00551729">
              <w:rPr>
                <w:rFonts w:ascii="Garamond" w:hAnsi="Garamond"/>
                <w:b/>
                <w:spacing w:val="-1"/>
                <w:sz w:val="18"/>
                <w:szCs w:val="18"/>
                <w:lang w:val="sq-AL"/>
              </w:rPr>
              <w:t>O</w:t>
            </w:r>
            <w:r w:rsidRPr="00551729">
              <w:rPr>
                <w:rFonts w:ascii="Garamond" w:hAnsi="Garamond"/>
                <w:b/>
                <w:spacing w:val="-2"/>
                <w:sz w:val="18"/>
                <w:szCs w:val="18"/>
                <w:lang w:val="sq-AL"/>
              </w:rPr>
              <w:t>V</w:t>
            </w:r>
            <w:r w:rsidRPr="00551729">
              <w:rPr>
                <w:rFonts w:ascii="Garamond" w:hAnsi="Garamond"/>
                <w:b/>
                <w:sz w:val="18"/>
                <w:szCs w:val="18"/>
                <w:lang w:val="sq-AL"/>
              </w:rPr>
              <w:t>A</w:t>
            </w:r>
            <w:r w:rsidRPr="00551729">
              <w:rPr>
                <w:rFonts w:ascii="Garamond" w:hAnsi="Garamond"/>
                <w:b/>
                <w:spacing w:val="-2"/>
                <w:sz w:val="18"/>
                <w:szCs w:val="18"/>
                <w:lang w:val="sq-AL"/>
              </w:rPr>
              <w:t>C</w:t>
            </w:r>
            <w:r w:rsidRPr="00551729">
              <w:rPr>
                <w:rFonts w:ascii="Garamond" w:hAnsi="Garamond"/>
                <w:b/>
                <w:spacing w:val="3"/>
                <w:sz w:val="18"/>
                <w:szCs w:val="18"/>
                <w:lang w:val="sq-AL"/>
              </w:rPr>
              <w:t>I</w:t>
            </w:r>
            <w:r w:rsidRPr="00551729">
              <w:rPr>
                <w:rFonts w:ascii="Garamond" w:hAnsi="Garamond"/>
                <w:b/>
                <w:spacing w:val="-3"/>
                <w:sz w:val="18"/>
                <w:szCs w:val="18"/>
                <w:lang w:val="sq-AL"/>
              </w:rPr>
              <w:t>O</w:t>
            </w:r>
            <w:r w:rsidRPr="00551729">
              <w:rPr>
                <w:rFonts w:ascii="Garamond" w:hAnsi="Garamond"/>
                <w:b/>
                <w:sz w:val="18"/>
                <w:szCs w:val="18"/>
                <w:lang w:val="sq-AL"/>
              </w:rPr>
              <w:t xml:space="preserve">NI </w:t>
            </w:r>
            <w:r w:rsidRPr="00551729">
              <w:rPr>
                <w:rFonts w:ascii="Garamond" w:hAnsi="Garamond"/>
                <w:b/>
                <w:spacing w:val="-1"/>
                <w:sz w:val="18"/>
                <w:szCs w:val="18"/>
                <w:lang w:val="sq-AL"/>
              </w:rPr>
              <w:t>DH</w:t>
            </w:r>
            <w:r w:rsidRPr="00551729">
              <w:rPr>
                <w:rFonts w:ascii="Garamond" w:hAnsi="Garamond"/>
                <w:b/>
                <w:sz w:val="18"/>
                <w:szCs w:val="18"/>
                <w:lang w:val="sq-AL"/>
              </w:rPr>
              <w:t>E</w:t>
            </w:r>
            <w:r w:rsidRPr="00551729">
              <w:rPr>
                <w:rFonts w:ascii="Garamond" w:hAnsi="Garamond"/>
                <w:b/>
                <w:spacing w:val="-2"/>
                <w:sz w:val="18"/>
                <w:szCs w:val="18"/>
                <w:lang w:val="sq-AL"/>
              </w:rPr>
              <w:t xml:space="preserve"> </w:t>
            </w:r>
            <w:r w:rsidRPr="00551729">
              <w:rPr>
                <w:rFonts w:ascii="Garamond" w:hAnsi="Garamond"/>
                <w:b/>
                <w:sz w:val="18"/>
                <w:szCs w:val="18"/>
                <w:lang w:val="sq-AL"/>
              </w:rPr>
              <w:t>TIK</w:t>
            </w:r>
          </w:p>
        </w:tc>
        <w:tc>
          <w:tcPr>
            <w:tcW w:w="1726" w:type="dxa"/>
            <w:tcBorders>
              <w:top w:val="single" w:sz="6" w:space="0" w:color="000000"/>
              <w:left w:val="single" w:sz="6" w:space="0" w:color="000000"/>
              <w:right w:val="single" w:sz="6" w:space="0" w:color="000000"/>
            </w:tcBorders>
          </w:tcPr>
          <w:p w14:paraId="1BADCFAC" w14:textId="6C356F6A"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Prania e universiteteve publike dhe private në zonën e programit;</w:t>
            </w:r>
          </w:p>
          <w:p w14:paraId="1BADCFAD" w14:textId="7DF00E25"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Rritja e përqindjes së popullsisë që përdor në mënyrë aktive teknologjinë TIK.</w:t>
            </w:r>
          </w:p>
        </w:tc>
        <w:tc>
          <w:tcPr>
            <w:tcW w:w="2398" w:type="dxa"/>
            <w:tcBorders>
              <w:top w:val="single" w:sz="6" w:space="0" w:color="000000"/>
              <w:left w:val="single" w:sz="6" w:space="0" w:color="000000"/>
              <w:right w:val="single" w:sz="6" w:space="0" w:color="000000"/>
            </w:tcBorders>
          </w:tcPr>
          <w:p w14:paraId="1BADCFAE" w14:textId="7D2E9A66"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Kërkimet dhe praktikat novatore të universiteteve dhe operatorëve të tjerë në zonën e programit, të varfra;</w:t>
            </w:r>
          </w:p>
          <w:p w14:paraId="1BADCFAF" w14:textId="3E2E8824"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Depërtimi modest</w:t>
            </w:r>
            <w:r w:rsidR="00500457" w:rsidRPr="00551729">
              <w:rPr>
                <w:rFonts w:ascii="Garamond" w:hAnsi="Garamond"/>
                <w:spacing w:val="-7"/>
                <w:sz w:val="18"/>
                <w:szCs w:val="18"/>
                <w:lang w:val="sq-AL"/>
              </w:rPr>
              <w:t xml:space="preserve"> </w:t>
            </w:r>
            <w:r w:rsidR="00500457" w:rsidRPr="00551729">
              <w:rPr>
                <w:rFonts w:ascii="Garamond" w:hAnsi="Garamond"/>
                <w:sz w:val="18"/>
                <w:szCs w:val="18"/>
                <w:lang w:val="sq-AL"/>
              </w:rPr>
              <w:t>në internet;</w:t>
            </w:r>
          </w:p>
          <w:p w14:paraId="1BADCFB0" w14:textId="4A545E49"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Arsimimi i dobët</w:t>
            </w:r>
            <w:r w:rsidR="00500457" w:rsidRPr="00551729">
              <w:rPr>
                <w:rFonts w:ascii="Garamond" w:hAnsi="Garamond"/>
                <w:spacing w:val="-14"/>
                <w:sz w:val="18"/>
                <w:szCs w:val="18"/>
                <w:lang w:val="sq-AL"/>
              </w:rPr>
              <w:t xml:space="preserve"> </w:t>
            </w:r>
            <w:r w:rsidR="00500457" w:rsidRPr="00551729">
              <w:rPr>
                <w:rFonts w:ascii="Garamond" w:hAnsi="Garamond"/>
                <w:sz w:val="18"/>
                <w:szCs w:val="18"/>
                <w:lang w:val="sq-AL"/>
              </w:rPr>
              <w:t>kompjuterik;</w:t>
            </w:r>
          </w:p>
          <w:p w14:paraId="1BADCFB1" w14:textId="21103C8C"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Teknologjia e informacionit dhe komunikimit e përdorur nga ana e universiteteve, shkollave dhe bizneseve, e dobët.</w:t>
            </w:r>
          </w:p>
        </w:tc>
        <w:tc>
          <w:tcPr>
            <w:tcW w:w="2110" w:type="dxa"/>
            <w:tcBorders>
              <w:top w:val="single" w:sz="6" w:space="0" w:color="000000"/>
              <w:left w:val="single" w:sz="6" w:space="0" w:color="000000"/>
              <w:right w:val="single" w:sz="6" w:space="0" w:color="000000"/>
            </w:tcBorders>
          </w:tcPr>
          <w:p w14:paraId="1BADCFB2" w14:textId="751B0CB0" w:rsidR="00500457" w:rsidRPr="00551729" w:rsidRDefault="003E1A85" w:rsidP="00786614">
            <w:pPr>
              <w:pStyle w:val="TableParagraph"/>
              <w:rPr>
                <w:rFonts w:ascii="Garamond" w:hAnsi="Garamond"/>
                <w:sz w:val="18"/>
                <w:szCs w:val="18"/>
                <w:lang w:val="sq-AL"/>
              </w:rPr>
            </w:pPr>
            <w:r>
              <w:rPr>
                <w:rFonts w:ascii="Garamond" w:hAnsi="Garamond"/>
                <w:color w:val="000080"/>
                <w:sz w:val="18"/>
                <w:szCs w:val="18"/>
                <w:lang w:val="sq-AL"/>
              </w:rPr>
              <w:t xml:space="preserve">- </w:t>
            </w:r>
            <w:r w:rsidR="00500457" w:rsidRPr="00551729">
              <w:rPr>
                <w:rFonts w:ascii="Garamond" w:hAnsi="Garamond"/>
                <w:sz w:val="18"/>
                <w:szCs w:val="18"/>
                <w:lang w:val="sq-AL"/>
              </w:rPr>
              <w:t>Zhvillimi dhe zbatimi i projekteve ndërkufitare të TIK;</w:t>
            </w:r>
          </w:p>
          <w:p w14:paraId="1BADCFB3" w14:textId="2C03C212"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Investimet në TIK dhe programet e kërkimit</w:t>
            </w:r>
            <w:r w:rsidR="00500457" w:rsidRPr="00551729">
              <w:rPr>
                <w:rFonts w:ascii="Garamond" w:hAnsi="Garamond"/>
                <w:spacing w:val="-9"/>
                <w:sz w:val="18"/>
                <w:szCs w:val="18"/>
                <w:lang w:val="sq-AL"/>
              </w:rPr>
              <w:t xml:space="preserve"> </w:t>
            </w:r>
            <w:r w:rsidR="00500457" w:rsidRPr="00551729">
              <w:rPr>
                <w:rFonts w:ascii="Garamond" w:hAnsi="Garamond"/>
                <w:sz w:val="18"/>
                <w:szCs w:val="18"/>
                <w:lang w:val="sq-AL"/>
              </w:rPr>
              <w:t>dhe zhvillimit që do të përshtaten me nevojat e zhvillimit të sektorit privat;</w:t>
            </w:r>
          </w:p>
          <w:p w14:paraId="1BADCFB4" w14:textId="4D585B38"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Forcimi i kërkimit shkencor, teknologjik</w:t>
            </w:r>
            <w:r w:rsidR="00500457" w:rsidRPr="00551729">
              <w:rPr>
                <w:rFonts w:ascii="Garamond" w:hAnsi="Garamond"/>
                <w:spacing w:val="-10"/>
                <w:sz w:val="18"/>
                <w:szCs w:val="18"/>
                <w:lang w:val="sq-AL"/>
              </w:rPr>
              <w:t xml:space="preserve"> </w:t>
            </w:r>
            <w:r w:rsidR="00500457" w:rsidRPr="00551729">
              <w:rPr>
                <w:rFonts w:ascii="Garamond" w:hAnsi="Garamond"/>
                <w:sz w:val="18"/>
                <w:szCs w:val="18"/>
                <w:lang w:val="sq-AL"/>
              </w:rPr>
              <w:t>dhe novatore në zonën e programit;</w:t>
            </w:r>
          </w:p>
          <w:p w14:paraId="1BADCFB5" w14:textId="7243449E"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Programet e shkëmbimit të</w:t>
            </w:r>
            <w:r w:rsidR="00500457" w:rsidRPr="00551729">
              <w:rPr>
                <w:rFonts w:ascii="Garamond" w:hAnsi="Garamond"/>
                <w:spacing w:val="-5"/>
                <w:sz w:val="18"/>
                <w:szCs w:val="18"/>
                <w:lang w:val="sq-AL"/>
              </w:rPr>
              <w:t xml:space="preserve"> </w:t>
            </w:r>
            <w:r w:rsidR="00500457" w:rsidRPr="00551729">
              <w:rPr>
                <w:rFonts w:ascii="Garamond" w:hAnsi="Garamond"/>
                <w:sz w:val="18"/>
                <w:szCs w:val="18"/>
                <w:lang w:val="sq-AL"/>
              </w:rPr>
              <w:t>studentëve.</w:t>
            </w:r>
          </w:p>
        </w:tc>
        <w:tc>
          <w:tcPr>
            <w:tcW w:w="2216" w:type="dxa"/>
            <w:tcBorders>
              <w:top w:val="single" w:sz="6" w:space="0" w:color="000000"/>
              <w:left w:val="single" w:sz="6" w:space="0" w:color="000000"/>
            </w:tcBorders>
          </w:tcPr>
          <w:p w14:paraId="1BADCFB6" w14:textId="6B763B60" w:rsidR="00500457" w:rsidRPr="00551729" w:rsidRDefault="003E1A85" w:rsidP="00786614">
            <w:pPr>
              <w:pStyle w:val="TableParagraph"/>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Mungesa e strategjive kombëtare për promovimin e TIK, kërkimin shkencor &amp; zhvillimin;</w:t>
            </w:r>
          </w:p>
          <w:p w14:paraId="1BADCFB7" w14:textId="2E721C18"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Burime financiare të kufizuara për kërkimin shkencor dhe</w:t>
            </w:r>
            <w:r w:rsidR="00500457" w:rsidRPr="00551729">
              <w:rPr>
                <w:rFonts w:ascii="Garamond" w:hAnsi="Garamond"/>
                <w:spacing w:val="-8"/>
                <w:sz w:val="18"/>
                <w:szCs w:val="18"/>
                <w:lang w:val="sq-AL"/>
              </w:rPr>
              <w:t xml:space="preserve"> </w:t>
            </w:r>
            <w:r w:rsidR="00500457" w:rsidRPr="00551729">
              <w:rPr>
                <w:rFonts w:ascii="Garamond" w:hAnsi="Garamond"/>
                <w:sz w:val="18"/>
                <w:szCs w:val="18"/>
                <w:lang w:val="sq-AL"/>
              </w:rPr>
              <w:t>zhvillimin;</w:t>
            </w:r>
          </w:p>
          <w:p w14:paraId="1BADCFB8" w14:textId="79155F18" w:rsidR="00500457" w:rsidRPr="00551729" w:rsidRDefault="003E1A85" w:rsidP="003E1A85">
            <w:pPr>
              <w:pStyle w:val="TableParagraph"/>
              <w:tabs>
                <w:tab w:val="left" w:pos="212"/>
              </w:tabs>
              <w:rPr>
                <w:rFonts w:ascii="Garamond" w:hAnsi="Garamond"/>
                <w:sz w:val="18"/>
                <w:szCs w:val="18"/>
                <w:lang w:val="sq-AL"/>
              </w:rPr>
            </w:pPr>
            <w:r>
              <w:rPr>
                <w:rFonts w:ascii="Garamond" w:hAnsi="Garamond"/>
                <w:sz w:val="18"/>
                <w:szCs w:val="18"/>
                <w:lang w:val="sq-AL"/>
              </w:rPr>
              <w:t xml:space="preserve">- </w:t>
            </w:r>
            <w:r w:rsidR="00500457" w:rsidRPr="00551729">
              <w:rPr>
                <w:rFonts w:ascii="Garamond" w:hAnsi="Garamond"/>
                <w:sz w:val="18"/>
                <w:szCs w:val="18"/>
                <w:lang w:val="sq-AL"/>
              </w:rPr>
              <w:t>Interesi i pamjaftueshëm i sektorit privat për</w:t>
            </w:r>
            <w:r w:rsidR="00500457" w:rsidRPr="00551729">
              <w:rPr>
                <w:rFonts w:ascii="Garamond" w:hAnsi="Garamond"/>
                <w:spacing w:val="-12"/>
                <w:sz w:val="18"/>
                <w:szCs w:val="18"/>
                <w:lang w:val="sq-AL"/>
              </w:rPr>
              <w:t xml:space="preserve"> </w:t>
            </w:r>
            <w:r w:rsidR="00500457" w:rsidRPr="00551729">
              <w:rPr>
                <w:rFonts w:ascii="Garamond" w:hAnsi="Garamond"/>
                <w:sz w:val="18"/>
                <w:szCs w:val="18"/>
                <w:lang w:val="sq-AL"/>
              </w:rPr>
              <w:t>zhvillimin teknologjik dhe modernizimin e proceseve të</w:t>
            </w:r>
            <w:r w:rsidR="00500457" w:rsidRPr="00551729">
              <w:rPr>
                <w:rFonts w:ascii="Garamond" w:hAnsi="Garamond"/>
                <w:spacing w:val="-6"/>
                <w:sz w:val="18"/>
                <w:szCs w:val="18"/>
                <w:lang w:val="sq-AL"/>
              </w:rPr>
              <w:t xml:space="preserve"> </w:t>
            </w:r>
            <w:r w:rsidR="00500457" w:rsidRPr="00551729">
              <w:rPr>
                <w:rFonts w:ascii="Garamond" w:hAnsi="Garamond"/>
                <w:sz w:val="18"/>
                <w:szCs w:val="18"/>
                <w:lang w:val="sq-AL"/>
              </w:rPr>
              <w:t>prodhimit.</w:t>
            </w:r>
          </w:p>
        </w:tc>
      </w:tr>
    </w:tbl>
    <w:p w14:paraId="1BADCFBA" w14:textId="77777777" w:rsidR="00500457" w:rsidRPr="00551729" w:rsidRDefault="00500457" w:rsidP="00FF7C90">
      <w:pPr>
        <w:pStyle w:val="BodyText"/>
        <w:rPr>
          <w:lang w:val="sq-AL"/>
        </w:rPr>
      </w:pPr>
    </w:p>
    <w:p w14:paraId="1BADCFBB" w14:textId="77777777" w:rsidR="00500457" w:rsidRPr="00551729" w:rsidRDefault="00500457" w:rsidP="00FF7C90">
      <w:pPr>
        <w:pStyle w:val="TEKSTIII"/>
      </w:pPr>
    </w:p>
    <w:p w14:paraId="1BADCFBC" w14:textId="77777777" w:rsidR="00184768" w:rsidRPr="00551729" w:rsidRDefault="00184768" w:rsidP="00184768">
      <w:pPr>
        <w:pStyle w:val="TEKSTIII"/>
      </w:pPr>
      <w:r w:rsidRPr="00551729">
        <w:t>Marrëveshja e Financimit IPA II, Programet Vjetore të Veprimit BNK – Shtojca II- Kushtet e Përgjithshme v. 3.1 Shtator 2018</w:t>
      </w:r>
    </w:p>
    <w:p w14:paraId="1BADCFBD" w14:textId="77777777" w:rsidR="00184768" w:rsidRPr="00551729" w:rsidRDefault="00184768" w:rsidP="00184768">
      <w:pPr>
        <w:pStyle w:val="TEKSTIII"/>
        <w:jc w:val="center"/>
      </w:pPr>
    </w:p>
    <w:p w14:paraId="7CE5BFFB" w14:textId="77777777" w:rsidR="00854256" w:rsidRPr="00854256" w:rsidRDefault="00184768" w:rsidP="00184768">
      <w:pPr>
        <w:pStyle w:val="TEKSTIII"/>
        <w:jc w:val="center"/>
        <w:rPr>
          <w:bCs/>
        </w:rPr>
      </w:pPr>
      <w:r w:rsidRPr="00854256">
        <w:rPr>
          <w:bCs/>
        </w:rPr>
        <w:t>SHTOJCA II</w:t>
      </w:r>
    </w:p>
    <w:p w14:paraId="1BADCFBE" w14:textId="1502FC58" w:rsidR="00184768" w:rsidRPr="00854256" w:rsidRDefault="00184768" w:rsidP="00184768">
      <w:pPr>
        <w:pStyle w:val="TEKSTIII"/>
        <w:jc w:val="center"/>
      </w:pPr>
      <w:r w:rsidRPr="00854256">
        <w:rPr>
          <w:bCs/>
        </w:rPr>
        <w:t>KUSHTET E PËRGJITHSHME</w:t>
      </w:r>
    </w:p>
    <w:p w14:paraId="1BADCFBF" w14:textId="77777777" w:rsidR="00184768" w:rsidRPr="00854256" w:rsidRDefault="00184768" w:rsidP="00184768">
      <w:pPr>
        <w:pStyle w:val="TEKSTIII"/>
        <w:jc w:val="center"/>
      </w:pPr>
    </w:p>
    <w:p w14:paraId="1BADCFC0" w14:textId="77777777" w:rsidR="00184768" w:rsidRPr="00551729" w:rsidRDefault="00184768" w:rsidP="00854256">
      <w:pPr>
        <w:pStyle w:val="TEKSTIII"/>
        <w:rPr>
          <w:b/>
        </w:rPr>
      </w:pPr>
      <w:r w:rsidRPr="00551729">
        <w:rPr>
          <w:b/>
        </w:rPr>
        <w:t>Përmbajtja</w:t>
      </w:r>
    </w:p>
    <w:p w14:paraId="1BADCFC2" w14:textId="77777777" w:rsidR="00DF2BE8" w:rsidRPr="00551729" w:rsidRDefault="00DF2BE8" w:rsidP="00DF2BE8">
      <w:pPr>
        <w:pStyle w:val="TEKSTIII"/>
        <w:spacing w:after="20"/>
      </w:pPr>
      <w:r w:rsidRPr="00551729">
        <w:t>SHTOJCA II – KUSHTET E PËRGJITHSHME</w:t>
      </w:r>
      <w:r w:rsidR="00124F91" w:rsidRPr="00551729">
        <w:t xml:space="preserve"> </w:t>
      </w:r>
      <w:r w:rsidRPr="00551729">
        <w:t>1</w:t>
      </w:r>
    </w:p>
    <w:p w14:paraId="1BADCFC3" w14:textId="77777777" w:rsidR="00DF2BE8" w:rsidRPr="00551729" w:rsidRDefault="00DF2BE8" w:rsidP="00DF2BE8">
      <w:pPr>
        <w:pStyle w:val="TEKSTIII"/>
        <w:spacing w:after="20"/>
      </w:pPr>
      <w:r w:rsidRPr="00551729">
        <w:t>Pjesa e parë: Dispozita të përgjithshme</w:t>
      </w:r>
    </w:p>
    <w:p w14:paraId="1BADCFC4" w14:textId="37790AE3" w:rsidR="00DF2BE8" w:rsidRPr="00551729" w:rsidRDefault="00DF2BE8" w:rsidP="00DF2BE8">
      <w:pPr>
        <w:pStyle w:val="TEKSTIII"/>
        <w:spacing w:after="20"/>
      </w:pPr>
      <w:r w:rsidRPr="00551729">
        <w:t xml:space="preserve">Neni 1 </w:t>
      </w:r>
      <w:r w:rsidR="003E1A85">
        <w:t>–</w:t>
      </w:r>
      <w:r w:rsidRPr="00551729">
        <w:t xml:space="preserve"> Periudha e ekzekutimit, periudha e zbatimit operacional dhe afati kontraktues</w:t>
      </w:r>
    </w:p>
    <w:p w14:paraId="1BADCFC5" w14:textId="2274F6C4" w:rsidR="00DF2BE8" w:rsidRPr="00551729" w:rsidRDefault="00DF2BE8" w:rsidP="00DF2BE8">
      <w:pPr>
        <w:pStyle w:val="TEKSTIII"/>
        <w:spacing w:after="20"/>
      </w:pPr>
      <w:r w:rsidRPr="00551729">
        <w:t xml:space="preserve">Neni 2 </w:t>
      </w:r>
      <w:r w:rsidR="003E1A85">
        <w:t>–</w:t>
      </w:r>
      <w:r w:rsidRPr="00551729">
        <w:t xml:space="preserve"> Përfituesit e IPA II dhe detyrat e tyre të përbashkëta</w:t>
      </w:r>
    </w:p>
    <w:p w14:paraId="1BADCFC6" w14:textId="6FB5415B" w:rsidR="00DF2BE8" w:rsidRPr="00551729" w:rsidRDefault="00DF2BE8" w:rsidP="00DF2BE8">
      <w:pPr>
        <w:pStyle w:val="TEKSTIII"/>
        <w:spacing w:after="20"/>
      </w:pPr>
      <w:r w:rsidRPr="00551729">
        <w:t xml:space="preserve">Neni 3 </w:t>
      </w:r>
      <w:r w:rsidR="003E1A85">
        <w:t>–</w:t>
      </w:r>
      <w:r w:rsidRPr="00551729">
        <w:t xml:space="preserve"> Kërkesat e raportimit</w:t>
      </w:r>
    </w:p>
    <w:p w14:paraId="1BADCFC7" w14:textId="6160B2F2" w:rsidR="00DF2BE8" w:rsidRPr="00551729" w:rsidRDefault="00DF2BE8" w:rsidP="00DF2BE8">
      <w:pPr>
        <w:pStyle w:val="TEKSTIII"/>
        <w:spacing w:after="20"/>
      </w:pPr>
      <w:r w:rsidRPr="00551729">
        <w:t xml:space="preserve">Neni 4 – Vizibiliteti dhe </w:t>
      </w:r>
      <w:r w:rsidR="0012310B" w:rsidRPr="00551729">
        <w:t xml:space="preserve">komunikimi </w:t>
      </w:r>
      <w:r w:rsidRPr="00551729">
        <w:t>3</w:t>
      </w:r>
    </w:p>
    <w:p w14:paraId="1BADCFC8" w14:textId="77777777" w:rsidR="00DF2BE8" w:rsidRPr="00551729" w:rsidRDefault="00DF2BE8" w:rsidP="00DF2BE8">
      <w:pPr>
        <w:pStyle w:val="TEKSTIII"/>
        <w:spacing w:after="20"/>
      </w:pPr>
      <w:r w:rsidRPr="00551729">
        <w:t>Neni 5 – Të drejtat e pronësisë intelektuale</w:t>
      </w:r>
    </w:p>
    <w:p w14:paraId="1BADCFC9" w14:textId="06C03FE5" w:rsidR="00DF2BE8" w:rsidRPr="00551729" w:rsidRDefault="00DF2BE8" w:rsidP="00DF2BE8">
      <w:pPr>
        <w:pStyle w:val="TEKSTIII"/>
        <w:spacing w:after="20"/>
      </w:pPr>
      <w:r w:rsidRPr="00551729">
        <w:t xml:space="preserve">Neni 6 </w:t>
      </w:r>
      <w:r w:rsidR="006D2BB3">
        <w:t>–</w:t>
      </w:r>
      <w:r w:rsidRPr="00551729">
        <w:t xml:space="preserve"> Pranueshmëria e shpenzimeve</w:t>
      </w:r>
      <w:r w:rsidR="00124F91" w:rsidRPr="00551729">
        <w:t xml:space="preserve"> </w:t>
      </w:r>
    </w:p>
    <w:p w14:paraId="1BADCFCA" w14:textId="0A4C8C17" w:rsidR="00DF2BE8" w:rsidRPr="00551729" w:rsidRDefault="00DF2BE8" w:rsidP="00DF2BE8">
      <w:pPr>
        <w:pStyle w:val="TEKSTIII"/>
        <w:spacing w:after="20"/>
      </w:pPr>
      <w:r w:rsidRPr="00551729">
        <w:t>Pjesa e dytë: Dispozitat e zbatueshme të menaxhimit të tërthortë nga përfituesi i IPA-s</w:t>
      </w:r>
      <w:r w:rsidR="004E2CEC">
        <w:t>ë</w:t>
      </w:r>
      <w:r w:rsidRPr="00551729">
        <w:t xml:space="preserve"> II</w:t>
      </w:r>
    </w:p>
    <w:p w14:paraId="1BADCFCB" w14:textId="77777777" w:rsidR="00DF2BE8" w:rsidRPr="00551729" w:rsidRDefault="00DF2BE8" w:rsidP="00DF2BE8">
      <w:pPr>
        <w:pStyle w:val="TEKSTIII"/>
        <w:spacing w:after="20"/>
      </w:pPr>
      <w:r w:rsidRPr="00551729">
        <w:t>Neni 7 – Parime të përgjithshme</w:t>
      </w:r>
    </w:p>
    <w:p w14:paraId="1BADCFCC" w14:textId="0AF2B48B" w:rsidR="00DF2BE8" w:rsidRPr="00551729" w:rsidRDefault="00DF2BE8" w:rsidP="00DF2BE8">
      <w:pPr>
        <w:pStyle w:val="TEKSTIII"/>
        <w:spacing w:after="20"/>
      </w:pPr>
      <w:r w:rsidRPr="00551729">
        <w:t xml:space="preserve">Neni 8 </w:t>
      </w:r>
      <w:r w:rsidR="006D2BB3">
        <w:t>–</w:t>
      </w:r>
      <w:r w:rsidRPr="00551729">
        <w:t xml:space="preserve"> Procedurat e dhënies së prokurimit dhe granteve</w:t>
      </w:r>
      <w:r w:rsidR="00C521D5" w:rsidRPr="00551729">
        <w:t xml:space="preserve"> </w:t>
      </w:r>
      <w:r w:rsidRPr="00551729">
        <w:t>4</w:t>
      </w:r>
    </w:p>
    <w:p w14:paraId="1BADCFCD" w14:textId="77777777" w:rsidR="00DF2BE8" w:rsidRPr="00551729" w:rsidRDefault="00DF2BE8" w:rsidP="00DF2BE8">
      <w:pPr>
        <w:pStyle w:val="TEKSTIII"/>
        <w:spacing w:after="20"/>
      </w:pPr>
      <w:r w:rsidRPr="00551729">
        <w:t>Neni 8 – Detyrimi për të informuar, sanksionet administrative dhe mosveprimi</w:t>
      </w:r>
    </w:p>
    <w:p w14:paraId="1BADCFCE" w14:textId="296F4C1F" w:rsidR="00DF2BE8" w:rsidRPr="00551729" w:rsidRDefault="00DF2BE8" w:rsidP="00DF2BE8">
      <w:pPr>
        <w:pStyle w:val="TEKSTIII"/>
        <w:spacing w:after="20"/>
      </w:pPr>
      <w:r w:rsidRPr="00551729">
        <w:t>Neni 9 – Kontrollet paraprake mbi procedurat e granteve dhe prokurimeve dhe kontrollet</w:t>
      </w:r>
      <w:r w:rsidR="003B69E1">
        <w:t xml:space="preserve"> </w:t>
      </w:r>
      <w:r w:rsidRPr="00551729">
        <w:t>paraprake të kontratave dhe granteve që do të kryhen nga Komisioni</w:t>
      </w:r>
      <w:r w:rsidR="00124F91" w:rsidRPr="00551729">
        <w:t xml:space="preserve"> </w:t>
      </w:r>
    </w:p>
    <w:p w14:paraId="1BADCFCF" w14:textId="64EF623E" w:rsidR="00DF2BE8" w:rsidRPr="00551729" w:rsidRDefault="00DF2BE8" w:rsidP="00DF2BE8">
      <w:pPr>
        <w:pStyle w:val="TEKSTIII"/>
        <w:spacing w:after="20"/>
      </w:pPr>
      <w:r w:rsidRPr="00551729">
        <w:t xml:space="preserve">Neni 10 </w:t>
      </w:r>
      <w:r w:rsidR="006D2BB3">
        <w:t>–</w:t>
      </w:r>
      <w:r w:rsidRPr="00551729">
        <w:t xml:space="preserve"> Llogaritë bankare, sistemet e kontabilitetit</w:t>
      </w:r>
      <w:r w:rsidR="00C521D5" w:rsidRPr="00551729">
        <w:t xml:space="preserve"> </w:t>
      </w:r>
      <w:r w:rsidRPr="00551729">
        <w:t>dhe kostot e njohura</w:t>
      </w:r>
    </w:p>
    <w:p w14:paraId="1BADCFD0" w14:textId="554D21A3" w:rsidR="00DF2BE8" w:rsidRPr="00551729" w:rsidRDefault="00DF2BE8" w:rsidP="00DF2BE8">
      <w:pPr>
        <w:pStyle w:val="TEKSTIII"/>
        <w:spacing w:after="20"/>
      </w:pPr>
      <w:r w:rsidRPr="00551729">
        <w:t xml:space="preserve">Neni 11 </w:t>
      </w:r>
      <w:r w:rsidR="006D2BB3">
        <w:t>–</w:t>
      </w:r>
      <w:r w:rsidRPr="00551729">
        <w:t xml:space="preserve"> Dispozita për pagesat e bëra nga Komisioni për përfituesit IPA II që është Autoriteti</w:t>
      </w:r>
    </w:p>
    <w:p w14:paraId="1BADCFD1" w14:textId="77777777" w:rsidR="00DF2BE8" w:rsidRPr="00551729" w:rsidRDefault="00DF2BE8" w:rsidP="00DF2BE8">
      <w:pPr>
        <w:pStyle w:val="TEKSTIII"/>
        <w:spacing w:after="20"/>
      </w:pPr>
      <w:r w:rsidRPr="00551729">
        <w:t xml:space="preserve">Kontraktues </w:t>
      </w:r>
    </w:p>
    <w:p w14:paraId="1BADCFD2" w14:textId="69B76B65" w:rsidR="00DF2BE8" w:rsidRPr="00551729" w:rsidRDefault="00DF2BE8" w:rsidP="00DF2BE8">
      <w:pPr>
        <w:pStyle w:val="TEKSTIII"/>
        <w:spacing w:after="20"/>
      </w:pPr>
      <w:r w:rsidRPr="00551729">
        <w:t xml:space="preserve">Neni 12 </w:t>
      </w:r>
      <w:r w:rsidR="00176F72">
        <w:t>–</w:t>
      </w:r>
      <w:r w:rsidRPr="00551729">
        <w:t xml:space="preserve"> Ndërprerja e pagesave </w:t>
      </w:r>
    </w:p>
    <w:p w14:paraId="1BADCFD3" w14:textId="77777777" w:rsidR="00DF2BE8" w:rsidRPr="00551729" w:rsidRDefault="00DF2BE8" w:rsidP="00DF2BE8">
      <w:pPr>
        <w:pStyle w:val="TEKSTIII"/>
        <w:spacing w:after="20"/>
      </w:pPr>
      <w:r w:rsidRPr="00551729">
        <w:t xml:space="preserve">Neni 13 – Kthimi i fondeve </w:t>
      </w:r>
    </w:p>
    <w:p w14:paraId="1BADCFD4" w14:textId="77777777" w:rsidR="00DF2BE8" w:rsidRPr="00551729" w:rsidRDefault="00DF2BE8" w:rsidP="00DF2BE8">
      <w:pPr>
        <w:pStyle w:val="TEKSTIII"/>
        <w:spacing w:after="20"/>
      </w:pPr>
      <w:r w:rsidRPr="00551729">
        <w:t xml:space="preserve">Pjesa e tretë: Dispozitat përfundimtare </w:t>
      </w:r>
    </w:p>
    <w:p w14:paraId="1BADCFD5" w14:textId="6D43251A" w:rsidR="00DF2BE8" w:rsidRPr="00551729" w:rsidRDefault="00DF2BE8" w:rsidP="00DF2BE8">
      <w:pPr>
        <w:pStyle w:val="TEKSTIII"/>
        <w:spacing w:after="20"/>
      </w:pPr>
      <w:r w:rsidRPr="00551729">
        <w:t xml:space="preserve">Neni 14 </w:t>
      </w:r>
      <w:r w:rsidR="00176F72">
        <w:t>–</w:t>
      </w:r>
      <w:r w:rsidRPr="00551729">
        <w:t xml:space="preserve"> Konsultimi ndërmjet përfituesve të IPA II dhe Komisionit </w:t>
      </w:r>
    </w:p>
    <w:p w14:paraId="1BADCFD6" w14:textId="0CE0E31B" w:rsidR="00DF2BE8" w:rsidRPr="00551729" w:rsidRDefault="00DF2BE8" w:rsidP="00DF2BE8">
      <w:pPr>
        <w:pStyle w:val="TEKSTIII"/>
        <w:spacing w:after="20"/>
      </w:pPr>
      <w:r w:rsidRPr="00551729">
        <w:t xml:space="preserve">Neni 15 </w:t>
      </w:r>
      <w:r w:rsidR="00176F72">
        <w:t>–</w:t>
      </w:r>
      <w:r w:rsidRPr="00551729">
        <w:t xml:space="preserve"> Amendimi i kësaj marrëveshjeje financimi</w:t>
      </w:r>
    </w:p>
    <w:p w14:paraId="1BADCFD7" w14:textId="3C9FE725" w:rsidR="00DF2BE8" w:rsidRPr="00551729" w:rsidRDefault="00DF2BE8" w:rsidP="00DF2BE8">
      <w:pPr>
        <w:pStyle w:val="TEKSTIII"/>
        <w:spacing w:after="20"/>
      </w:pPr>
      <w:r w:rsidRPr="00551729">
        <w:t xml:space="preserve">Neni 16 </w:t>
      </w:r>
      <w:r w:rsidR="00176F72">
        <w:t xml:space="preserve">– </w:t>
      </w:r>
      <w:r w:rsidRPr="00551729">
        <w:t>Pezullimi i kësaj marrëveshjeje financimi</w:t>
      </w:r>
      <w:r w:rsidR="00C521D5" w:rsidRPr="00551729">
        <w:t xml:space="preserve"> </w:t>
      </w:r>
    </w:p>
    <w:p w14:paraId="1BADCFD8" w14:textId="3159CC1C" w:rsidR="00DF2BE8" w:rsidRPr="00551729" w:rsidRDefault="00DF2BE8" w:rsidP="00DF2BE8">
      <w:pPr>
        <w:pStyle w:val="TEKSTIII"/>
        <w:spacing w:after="20"/>
      </w:pPr>
      <w:r w:rsidRPr="00551729">
        <w:t xml:space="preserve">Neni 17 </w:t>
      </w:r>
      <w:r w:rsidR="003B69E1">
        <w:t>–</w:t>
      </w:r>
      <w:r w:rsidRPr="00551729">
        <w:t xml:space="preserve"> Përfundimi i kësaj marrëveshjeje financimi </w:t>
      </w:r>
    </w:p>
    <w:p w14:paraId="1BADCFD9" w14:textId="77777777" w:rsidR="00DF2BE8" w:rsidRPr="00551729" w:rsidRDefault="00DF2BE8" w:rsidP="00DF2BE8">
      <w:pPr>
        <w:pStyle w:val="TEKSTIII"/>
        <w:spacing w:after="20"/>
      </w:pPr>
      <w:r w:rsidRPr="00551729">
        <w:t>Neni 18 – Rregullimet për zgjidhjen e mosmarrëveshjeve</w:t>
      </w:r>
    </w:p>
    <w:p w14:paraId="1BADCFDA" w14:textId="77777777" w:rsidR="00500457" w:rsidRPr="00551729" w:rsidRDefault="00500457" w:rsidP="00DF2BE8">
      <w:pPr>
        <w:pStyle w:val="TEKSTIII"/>
        <w:spacing w:after="20"/>
      </w:pPr>
    </w:p>
    <w:p w14:paraId="3477E393" w14:textId="7C3A4B54" w:rsidR="006D2BB3" w:rsidRDefault="006D2BB3" w:rsidP="00124F91">
      <w:pPr>
        <w:pStyle w:val="TEKSTIII"/>
        <w:jc w:val="center"/>
      </w:pPr>
      <w:r w:rsidRPr="00551729">
        <w:t>PJESA E PARË</w:t>
      </w:r>
    </w:p>
    <w:p w14:paraId="1BADCFDB" w14:textId="5F3774B1" w:rsidR="00124F91" w:rsidRPr="00551729" w:rsidRDefault="006D2BB3" w:rsidP="00124F91">
      <w:pPr>
        <w:pStyle w:val="TEKSTIII"/>
        <w:jc w:val="center"/>
      </w:pPr>
      <w:r w:rsidRPr="00551729">
        <w:t>DISPOZITA TË PËRGJITHSHME</w:t>
      </w:r>
    </w:p>
    <w:p w14:paraId="1BADCFDC" w14:textId="77777777" w:rsidR="00124F91" w:rsidRPr="00551729" w:rsidRDefault="00124F91" w:rsidP="00124F91">
      <w:pPr>
        <w:pStyle w:val="TEKSTIII"/>
        <w:jc w:val="center"/>
      </w:pPr>
    </w:p>
    <w:p w14:paraId="1BADCFDD" w14:textId="77777777" w:rsidR="00124F91" w:rsidRPr="00551729" w:rsidRDefault="00124F91" w:rsidP="00124F91">
      <w:pPr>
        <w:pStyle w:val="TEKSTIII"/>
        <w:jc w:val="center"/>
      </w:pPr>
      <w:r w:rsidRPr="00551729">
        <w:t>Neni 1</w:t>
      </w:r>
    </w:p>
    <w:p w14:paraId="1BADCFDE" w14:textId="77777777" w:rsidR="00124F91" w:rsidRPr="00551729" w:rsidRDefault="00124F91" w:rsidP="00124F91">
      <w:pPr>
        <w:pStyle w:val="TEKSTIII"/>
        <w:jc w:val="center"/>
        <w:rPr>
          <w:b/>
        </w:rPr>
      </w:pPr>
      <w:r w:rsidRPr="00551729">
        <w:rPr>
          <w:b/>
        </w:rPr>
        <w:t>Periudha e ekzekutimit, periudha e zbatimit operacional dhe afati kontraktues</w:t>
      </w:r>
    </w:p>
    <w:p w14:paraId="1BADCFDF" w14:textId="77777777" w:rsidR="00124F91" w:rsidRPr="00551729" w:rsidRDefault="00124F91" w:rsidP="00124F91">
      <w:pPr>
        <w:pStyle w:val="TEKSTIII"/>
      </w:pPr>
    </w:p>
    <w:p w14:paraId="1BADCFE0" w14:textId="3943F502" w:rsidR="00124F91" w:rsidRPr="00551729" w:rsidRDefault="00124F91" w:rsidP="00124F91">
      <w:pPr>
        <w:pStyle w:val="TEKSTIII"/>
      </w:pPr>
      <w:r w:rsidRPr="00551729">
        <w:t>1</w:t>
      </w:r>
      <w:r w:rsidR="0012310B">
        <w:t>.</w:t>
      </w:r>
      <w:r w:rsidRPr="00551729">
        <w:t xml:space="preserve"> Periudha e ekzekutimit është periudha gjatë së cilës zbatohet Marrëveshja e Financimit dhe përfshin periudhën operative të zbatimit, si dhe një fazë të mbylljes. Kohëzgjatja e periudhës së ekzekutimi</w:t>
      </w:r>
      <w:r w:rsidR="0047694F">
        <w:t>t është e përcaktuar në nenin 2</w:t>
      </w:r>
      <w:r w:rsidRPr="00551729">
        <w:t xml:space="preserve">(1) të Kushteve të Veçanta dhe do të fillojë me hyrjen në fuqi të kësaj Marrëveshjeje Financimi. </w:t>
      </w:r>
    </w:p>
    <w:p w14:paraId="1BADCFE1" w14:textId="4D7C71DC" w:rsidR="00124F91" w:rsidRPr="00551729" w:rsidRDefault="00124F91" w:rsidP="00124F91">
      <w:pPr>
        <w:pStyle w:val="TEKSTIII"/>
      </w:pPr>
      <w:r w:rsidRPr="00551729">
        <w:t>2</w:t>
      </w:r>
      <w:r w:rsidR="0012310B">
        <w:t>.</w:t>
      </w:r>
      <w:r w:rsidRPr="00551729">
        <w:t xml:space="preserve"> Periudha e zbatimit operacional është periudha në të cilën kanë përfunduar të gjitha aktivitetet operative të mbuluara nga prokurimi dhe kontratat e grantit të Programit të Veprimit. Kohëzgjatja e kësaj periu</w:t>
      </w:r>
      <w:r w:rsidR="0047694F">
        <w:t>dhe është përcaktuar në nenin 2</w:t>
      </w:r>
      <w:r w:rsidRPr="00551729">
        <w:t xml:space="preserve">(2) për Kushtet e Veçanta dhe do të fillojë me hyrjen në fuqi të kësaj Marrëveshjeje Financimi; </w:t>
      </w:r>
    </w:p>
    <w:p w14:paraId="1BADCFE2" w14:textId="4D07EFBC" w:rsidR="00124F91" w:rsidRPr="00551729" w:rsidRDefault="00124F91" w:rsidP="00124F91">
      <w:pPr>
        <w:pStyle w:val="TEKSTIII"/>
      </w:pPr>
      <w:r w:rsidRPr="00551729">
        <w:t>3</w:t>
      </w:r>
      <w:r w:rsidR="0012310B">
        <w:t>.</w:t>
      </w:r>
      <w:r w:rsidRPr="00551729">
        <w:t xml:space="preserve"> Periudha operacionale e zbatimit dhe ekzekutimit duhet të respektohet nga Autoriteti Kontraktues në mbyllje dhe zbatim të prokurimit dhe kontratave të granteve, në kuadër të kësaj marrëveshjeje financiare. </w:t>
      </w:r>
    </w:p>
    <w:p w14:paraId="1BADCFE3" w14:textId="3984CEA0" w:rsidR="00124F91" w:rsidRPr="00551729" w:rsidRDefault="00124F91" w:rsidP="00124F91">
      <w:pPr>
        <w:pStyle w:val="TEKSTIII"/>
      </w:pPr>
      <w:r w:rsidRPr="00551729">
        <w:t>4</w:t>
      </w:r>
      <w:r w:rsidR="0012310B">
        <w:t>.</w:t>
      </w:r>
      <w:r w:rsidRPr="00551729">
        <w:t xml:space="preserve"> Kostot që lidhen me projektet e këtij Programi Veprimi do të jenë të pranueshme për financimin e BE-së vetëm nëse janë kryer gjatë periudhës së zbatimit operativ. </w:t>
      </w:r>
    </w:p>
    <w:p w14:paraId="1BADCFE4" w14:textId="71A9EEF9" w:rsidR="00124F91" w:rsidRPr="00551729" w:rsidRDefault="00124F91" w:rsidP="00124F91">
      <w:pPr>
        <w:pStyle w:val="TEKSTIII"/>
      </w:pPr>
      <w:r w:rsidRPr="00551729">
        <w:t>5</w:t>
      </w:r>
      <w:r w:rsidR="0012310B">
        <w:t>.</w:t>
      </w:r>
      <w:r w:rsidRPr="00551729">
        <w:t xml:space="preserve"> Prokurimet, kontratat e grantit dhe marrëveshjet e kontributit do të përfundojnë maksimumi brenda tre v</w:t>
      </w:r>
      <w:r w:rsidR="00242233">
        <w:t>jetëve</w:t>
      </w:r>
      <w:r w:rsidRPr="00551729">
        <w:t xml:space="preserve"> nga hyrja në fuqi e Marrëveshjes Financiare, përveç: </w:t>
      </w:r>
    </w:p>
    <w:p w14:paraId="1BADCFE5" w14:textId="3B65E817" w:rsidR="00124F91" w:rsidRPr="00551729" w:rsidRDefault="00124F91" w:rsidP="00124F91">
      <w:pPr>
        <w:pStyle w:val="TEKSTIII"/>
      </w:pPr>
      <w:r w:rsidRPr="00551729">
        <w:t>a</w:t>
      </w:r>
      <w:r w:rsidR="0047694F">
        <w:t>)</w:t>
      </w:r>
      <w:r w:rsidRPr="00551729">
        <w:t xml:space="preserve"> amendimeve në kontratat e prokurimeve, kontratat e granteve dhe marreveshjet e kontributeve tashmë të lidhura;</w:t>
      </w:r>
    </w:p>
    <w:p w14:paraId="1BADCFE6" w14:textId="51C6FD04" w:rsidR="00124F91" w:rsidRPr="00551729" w:rsidRDefault="00124F91" w:rsidP="00124F91">
      <w:pPr>
        <w:pStyle w:val="TEKSTIII"/>
      </w:pPr>
      <w:r w:rsidRPr="00551729">
        <w:t>b</w:t>
      </w:r>
      <w:r w:rsidR="0047694F">
        <w:t>)</w:t>
      </w:r>
      <w:r w:rsidRPr="00551729">
        <w:t xml:space="preserve"> kur kontratat individuale të prokurimit përfundojnë pas një ndërprerjeje të parakohshme të kontratës ekzistuese të prokurimit; </w:t>
      </w:r>
    </w:p>
    <w:p w14:paraId="1BADCFE7" w14:textId="529BF22E" w:rsidR="00124F91" w:rsidRPr="00551729" w:rsidRDefault="00124F91" w:rsidP="00124F91">
      <w:pPr>
        <w:pStyle w:val="TEKSTIII"/>
      </w:pPr>
      <w:r w:rsidRPr="00551729">
        <w:t>c</w:t>
      </w:r>
      <w:r w:rsidR="0047694F">
        <w:t>)</w:t>
      </w:r>
      <w:r w:rsidRPr="00551729">
        <w:t xml:space="preserve"> kontratave që lidhen me auditimin dhe vlerësimin, të cilat mund të jenë të nënshkruara pas zbatimit operacional; </w:t>
      </w:r>
    </w:p>
    <w:p w14:paraId="1BADCFE8" w14:textId="65C596FE" w:rsidR="00124F91" w:rsidRPr="00551729" w:rsidRDefault="00124F91" w:rsidP="00124F91">
      <w:pPr>
        <w:pStyle w:val="TEKSTIII"/>
      </w:pPr>
      <w:r w:rsidRPr="00551729">
        <w:t>d</w:t>
      </w:r>
      <w:r w:rsidR="0047694F">
        <w:t>)</w:t>
      </w:r>
      <w:r w:rsidRPr="00551729">
        <w:t xml:space="preserve"> ndryshimi i subjektit të ngarkuar</w:t>
      </w:r>
      <w:r w:rsidR="00AF34CD">
        <w:t xml:space="preserve"> </w:t>
      </w:r>
      <w:r w:rsidRPr="00551729">
        <w:t xml:space="preserve">zbatimin e detyrave. </w:t>
      </w:r>
    </w:p>
    <w:p w14:paraId="1BADCFE9" w14:textId="56B8F4F8" w:rsidR="00124F91" w:rsidRPr="00551729" w:rsidRDefault="00124F91" w:rsidP="00124F91">
      <w:pPr>
        <w:pStyle w:val="TEKSTIII"/>
      </w:pPr>
      <w:r w:rsidRPr="00551729">
        <w:t>6</w:t>
      </w:r>
      <w:r w:rsidR="0012310B">
        <w:t>.</w:t>
      </w:r>
      <w:r w:rsidRPr="00551729">
        <w:t xml:space="preserve"> Kur një kontratë granti ose prokurimi nuk ka sjellë asnjë pagesë brenda dy viteve nga nënshkrimi i saj, do të ndërpritet automatikisht dhe fondet e saj do të bllokohen, me përjashtim të çështjeve gjyqësore pranë gjykatave ose në organet e arbitrazhit.</w:t>
      </w:r>
    </w:p>
    <w:p w14:paraId="1BADCFEA" w14:textId="77777777" w:rsidR="00124F91" w:rsidRPr="00551729" w:rsidRDefault="00124F91" w:rsidP="00124F91">
      <w:pPr>
        <w:pStyle w:val="TEKSTIII"/>
      </w:pPr>
    </w:p>
    <w:p w14:paraId="1BADCFEB" w14:textId="77777777" w:rsidR="00124F91" w:rsidRPr="00551729" w:rsidRDefault="00124F91" w:rsidP="00124F91">
      <w:pPr>
        <w:pStyle w:val="TEKSTIII"/>
        <w:jc w:val="center"/>
        <w:rPr>
          <w:bCs/>
        </w:rPr>
      </w:pPr>
      <w:r w:rsidRPr="00551729">
        <w:rPr>
          <w:bCs/>
        </w:rPr>
        <w:t>Neni 2</w:t>
      </w:r>
    </w:p>
    <w:p w14:paraId="1BADCFEC" w14:textId="77777777" w:rsidR="00124F91" w:rsidRPr="00551729" w:rsidRDefault="00124F91" w:rsidP="00124F91">
      <w:pPr>
        <w:pStyle w:val="TEKSTIII"/>
        <w:jc w:val="center"/>
      </w:pPr>
      <w:r w:rsidRPr="00551729">
        <w:rPr>
          <w:b/>
          <w:bCs/>
        </w:rPr>
        <w:t>Përfituesit e IPA II dhe detyrat e tyre të përbashkëta</w:t>
      </w:r>
    </w:p>
    <w:p w14:paraId="1BADCFED" w14:textId="77777777" w:rsidR="00124F91" w:rsidRPr="00551729" w:rsidRDefault="00124F91" w:rsidP="00124F91">
      <w:pPr>
        <w:pStyle w:val="TEKSTIII"/>
      </w:pPr>
    </w:p>
    <w:p w14:paraId="1BADCFEE" w14:textId="5025AB1D" w:rsidR="00124F91" w:rsidRPr="00551729" w:rsidRDefault="00124F91" w:rsidP="00124F91">
      <w:pPr>
        <w:pStyle w:val="TEKSTIII"/>
      </w:pPr>
      <w:r w:rsidRPr="00551729">
        <w:t>1</w:t>
      </w:r>
      <w:r w:rsidR="00D6063D">
        <w:t>.</w:t>
      </w:r>
      <w:r w:rsidRPr="00551729">
        <w:t xml:space="preserve"> Siç parashiko</w:t>
      </w:r>
      <w:r w:rsidR="0047694F">
        <w:t>het në nenin 76</w:t>
      </w:r>
      <w:r w:rsidRPr="00551729">
        <w:t xml:space="preserve">(3)Marrëveshjes Kuadër përkatëse, përfituesit e IPA II do të bashkëpunojnë ngushtë dhe duhet të përmbushin bashkërisht në veçanti funksionet e mëposhtme dhe të marrin përsipër përgjegjësitë e mëposhtme: </w:t>
      </w:r>
    </w:p>
    <w:p w14:paraId="1BADCFEF" w14:textId="13E63A5C" w:rsidR="00124F91" w:rsidRPr="00551729" w:rsidRDefault="00124F91" w:rsidP="00124F91">
      <w:pPr>
        <w:pStyle w:val="TEKSTIII"/>
      </w:pPr>
      <w:r w:rsidRPr="00551729">
        <w:t>a</w:t>
      </w:r>
      <w:r w:rsidR="0047694F">
        <w:t>)</w:t>
      </w:r>
      <w:r w:rsidRPr="00551729">
        <w:t xml:space="preserve"> përgatisin programet e bashkëpunimit ndërkufitar në përputhje me nenin 68 të Marrëveshjeve Kuadër përkatëse ose rishikimet e tyre; </w:t>
      </w:r>
    </w:p>
    <w:p w14:paraId="1BADCFF0" w14:textId="42920ACB" w:rsidR="00124F91" w:rsidRPr="00551729" w:rsidRDefault="00124F91" w:rsidP="00124F91">
      <w:pPr>
        <w:pStyle w:val="TEKSTIII"/>
      </w:pPr>
      <w:r w:rsidRPr="00551729">
        <w:t>b</w:t>
      </w:r>
      <w:r w:rsidR="0047694F">
        <w:t>)</w:t>
      </w:r>
      <w:r w:rsidRPr="00551729">
        <w:t xml:space="preserve"> sigurojnë pjesëmarrjen në Komitetin e Përbashkët të Monitorimit (KPM), mbledhje dhe takime të tjera dypalëshe; </w:t>
      </w:r>
    </w:p>
    <w:p w14:paraId="1BADCFF1" w14:textId="723C4D21" w:rsidR="00124F91" w:rsidRPr="00551729" w:rsidRDefault="00124F91" w:rsidP="00124F91">
      <w:pPr>
        <w:pStyle w:val="TEKSTIII"/>
      </w:pPr>
      <w:r w:rsidRPr="00551729">
        <w:t>c</w:t>
      </w:r>
      <w:r w:rsidR="0047694F">
        <w:t>)</w:t>
      </w:r>
      <w:r w:rsidRPr="00551729">
        <w:t xml:space="preserve"> emërojnë përfaqësuesin e tyre në KPM; </w:t>
      </w:r>
    </w:p>
    <w:p w14:paraId="1BADCFF2" w14:textId="431B4F88" w:rsidR="00124F91" w:rsidRPr="00551729" w:rsidRDefault="00124F91" w:rsidP="00124F91">
      <w:pPr>
        <w:pStyle w:val="TEKSTIII"/>
      </w:pPr>
      <w:r w:rsidRPr="00551729">
        <w:t>d</w:t>
      </w:r>
      <w:r w:rsidR="0047694F">
        <w:t>)</w:t>
      </w:r>
      <w:r w:rsidRPr="00551729">
        <w:t xml:space="preserve"> krijojnë Sekretariatin e Përbashkët Teknik (SPT) dhe sigurohen që ajo të ketë stafin e duhur; </w:t>
      </w:r>
    </w:p>
    <w:p w14:paraId="1BADCFF3" w14:textId="2F839A80" w:rsidR="00124F91" w:rsidRPr="00551729" w:rsidRDefault="00124F91" w:rsidP="00124F91">
      <w:pPr>
        <w:pStyle w:val="TEKSTIII"/>
      </w:pPr>
      <w:r w:rsidRPr="00551729">
        <w:t>e</w:t>
      </w:r>
      <w:r w:rsidR="0047694F">
        <w:t>)</w:t>
      </w:r>
      <w:r w:rsidRPr="00551729">
        <w:t xml:space="preserve"> përgatisin dhe zbatojnë vendimet strategjike të KPM; </w:t>
      </w:r>
    </w:p>
    <w:p w14:paraId="1BADCFF4" w14:textId="50A011BC" w:rsidR="00124F91" w:rsidRPr="00551729" w:rsidRDefault="00124F91" w:rsidP="00124F91">
      <w:pPr>
        <w:pStyle w:val="TEKSTIII"/>
      </w:pPr>
      <w:r w:rsidRPr="00551729">
        <w:t>f</w:t>
      </w:r>
      <w:r w:rsidR="0047694F">
        <w:t>)</w:t>
      </w:r>
      <w:r w:rsidRPr="00551729">
        <w:t xml:space="preserve"> mbështesin punën e KPM-së dhe sigurojnë informacionin e kërkuar për të kryer detyrat e veta, në veçanti të dhënat që lidhen me ecurinë e programit operativ në arritjen e objektivave specifik</w:t>
      </w:r>
      <w:r w:rsidR="00D40334">
        <w:t>ë</w:t>
      </w:r>
      <w:r w:rsidRPr="00551729">
        <w:t xml:space="preserve"> dhe synimeve për secilin nga prioritet tematike të përcaktuara në programin e bashkëpunimit ndërkufitar;</w:t>
      </w:r>
    </w:p>
    <w:p w14:paraId="1BADCFF5" w14:textId="3150DDBC" w:rsidR="00124F91" w:rsidRPr="00551729" w:rsidRDefault="00124F91" w:rsidP="00124F91">
      <w:pPr>
        <w:pStyle w:val="TEKSTIII"/>
      </w:pPr>
      <w:r w:rsidRPr="00551729">
        <w:t>g</w:t>
      </w:r>
      <w:r w:rsidR="0047694F">
        <w:t>)</w:t>
      </w:r>
      <w:r w:rsidRPr="00551729">
        <w:t xml:space="preserve"> krijojnë një sistem për të mbledhur informacion të besueshëm mbi zbatimin e programit të bashkëpunimit ndërkufitar; </w:t>
      </w:r>
    </w:p>
    <w:p w14:paraId="1BADCFF6" w14:textId="5B5C07BA" w:rsidR="00124F91" w:rsidRPr="00551729" w:rsidRDefault="00124F91" w:rsidP="00124F91">
      <w:pPr>
        <w:pStyle w:val="TEKSTIII"/>
      </w:pPr>
      <w:r w:rsidRPr="00551729">
        <w:t>h</w:t>
      </w:r>
      <w:r w:rsidR="0047694F">
        <w:t>)</w:t>
      </w:r>
      <w:r w:rsidRPr="00551729">
        <w:t xml:space="preserve"> hartojnë raportet vjetore dhe finale të zbatimit siç janë përmendur në nenin 80 të Marrëveshjes Kuadër përkatëse në përputhje me nenin 3; </w:t>
      </w:r>
    </w:p>
    <w:p w14:paraId="1BADCFF7" w14:textId="0EDB5BA5" w:rsidR="00124F91" w:rsidRPr="00551729" w:rsidRDefault="00124F91" w:rsidP="00124F91">
      <w:pPr>
        <w:pStyle w:val="TEKSTIII"/>
      </w:pPr>
      <w:r w:rsidRPr="00551729">
        <w:t>i</w:t>
      </w:r>
      <w:r w:rsidR="0047694F">
        <w:t>)</w:t>
      </w:r>
      <w:r w:rsidRPr="00551729">
        <w:t xml:space="preserve"> të përgatisin dhe të zbatojnë një plan koherent për komunikim dhe vizibilitet; </w:t>
      </w:r>
    </w:p>
    <w:p w14:paraId="1BADCFF8" w14:textId="0A6362FB" w:rsidR="00124F91" w:rsidRPr="00551729" w:rsidRDefault="00124F91" w:rsidP="00124F91">
      <w:pPr>
        <w:pStyle w:val="TEKSTIII"/>
      </w:pPr>
      <w:r w:rsidRPr="00551729">
        <w:t>j</w:t>
      </w:r>
      <w:r w:rsidR="0047694F">
        <w:t>)</w:t>
      </w:r>
      <w:r w:rsidRPr="00551729">
        <w:t xml:space="preserve"> të hartojnë një plan vjetor të punës për Sekretariatin e Përbashkët Teknik, të miratuar nga KPM-ja. </w:t>
      </w:r>
    </w:p>
    <w:p w14:paraId="1BADCFF9" w14:textId="5244C2C4" w:rsidR="00124F91" w:rsidRPr="00551729" w:rsidRDefault="00124F91" w:rsidP="00124F91">
      <w:pPr>
        <w:pStyle w:val="TEKSTIII"/>
      </w:pPr>
      <w:r w:rsidRPr="00551729">
        <w:t>2</w:t>
      </w:r>
      <w:r w:rsidR="00D6063D">
        <w:t>.</w:t>
      </w:r>
      <w:r w:rsidRPr="00551729">
        <w:t xml:space="preserve"> Me qëllim zbatimin e nenit 25 të Marrëveshjes Kuadër mbi Mbrojtjen e të Dhënave, të dhënat personale do të jenë:</w:t>
      </w:r>
    </w:p>
    <w:p w14:paraId="1BADCFFA" w14:textId="77777777" w:rsidR="00124F91" w:rsidRPr="00551729" w:rsidRDefault="00124F91" w:rsidP="00124F91">
      <w:pPr>
        <w:pStyle w:val="TEKSTIII"/>
      </w:pPr>
      <w:r w:rsidRPr="00551729">
        <w:t>- përpunuar në mënyrë të ligjshme, të drejtë dhe transparente në lidhje me subjektin e të dhënave;</w:t>
      </w:r>
    </w:p>
    <w:p w14:paraId="1BADCFFB" w14:textId="77777777" w:rsidR="00124F91" w:rsidRPr="00551729" w:rsidRDefault="00124F91" w:rsidP="00124F91">
      <w:pPr>
        <w:pStyle w:val="TEKSTIII"/>
      </w:pPr>
      <w:r w:rsidRPr="00551729">
        <w:t>- të mbledhura për qëllime të specifikuara, të qarta dhe të ligjshme dhe të mos përpunohen më tej në atë mënyrë që është e papajtueshme me ato qëllime;</w:t>
      </w:r>
    </w:p>
    <w:p w14:paraId="1BADCFFC" w14:textId="77777777" w:rsidR="00124F91" w:rsidRPr="00551729" w:rsidRDefault="00124F91" w:rsidP="00124F91">
      <w:pPr>
        <w:pStyle w:val="TEKSTIII"/>
      </w:pPr>
      <w:r w:rsidRPr="00551729">
        <w:t>- të përshtatshme, të rëndësishme dhe të kufizuara në çka është e nevojshme në lidhje me qëllimet për të cilat përpunohen;</w:t>
      </w:r>
    </w:p>
    <w:p w14:paraId="1BADCFFD" w14:textId="77777777" w:rsidR="00124F91" w:rsidRPr="00551729" w:rsidRDefault="00124F91" w:rsidP="00124F91">
      <w:pPr>
        <w:pStyle w:val="TEKSTIII"/>
      </w:pPr>
      <w:r w:rsidRPr="00551729">
        <w:t>- të sakta dhe, kur është e nevojshme, të përditësuara;</w:t>
      </w:r>
    </w:p>
    <w:p w14:paraId="1BADCFFE" w14:textId="77777777" w:rsidR="00124F91" w:rsidRPr="00551729" w:rsidRDefault="00124F91" w:rsidP="00124F91">
      <w:pPr>
        <w:pStyle w:val="TEKSTIII"/>
      </w:pPr>
      <w:r w:rsidRPr="00551729">
        <w:t xml:space="preserve">- përpunuar në atë mënyrë që garantojnë sigurinë e duhur të të dhënave personale dhe </w:t>
      </w:r>
    </w:p>
    <w:p w14:paraId="1BADCFFF" w14:textId="77777777" w:rsidR="00124F91" w:rsidRPr="00551729" w:rsidRDefault="00124F91" w:rsidP="00124F91">
      <w:pPr>
        <w:pStyle w:val="TEKSTIII"/>
      </w:pPr>
      <w:r w:rsidRPr="00551729">
        <w:t>- të mbajtura në një formë që lejon identifikimin e subjekteve të të dhënave jo më gjatë sesa është e nevojshme për qëllimet për të cilat përpunohen të dhënat personale.</w:t>
      </w:r>
    </w:p>
    <w:p w14:paraId="1BADD000" w14:textId="77777777" w:rsidR="00124F91" w:rsidRPr="00551729" w:rsidRDefault="00124F91" w:rsidP="00124F91">
      <w:pPr>
        <w:pStyle w:val="TEKSTIII"/>
      </w:pPr>
      <w:r w:rsidRPr="00551729">
        <w:t>Të dhënat personale të përfshira në dokumente që duhen mbajtur nga përfituesi i IPA II, në përputhje me nenin 8.5, duhet të fshihen pasi të kenë përfunduar afatet e përcaktuara në nenin 8.5.</w:t>
      </w:r>
    </w:p>
    <w:p w14:paraId="1BADD001" w14:textId="77777777" w:rsidR="00124F91" w:rsidRPr="00551729" w:rsidRDefault="00124F91" w:rsidP="00124F91">
      <w:pPr>
        <w:pStyle w:val="TEKSTIII"/>
        <w:jc w:val="center"/>
        <w:rPr>
          <w:bCs/>
        </w:rPr>
      </w:pPr>
      <w:r w:rsidRPr="00551729">
        <w:rPr>
          <w:bCs/>
        </w:rPr>
        <w:t>Neni 3</w:t>
      </w:r>
    </w:p>
    <w:p w14:paraId="1BADD002" w14:textId="77777777" w:rsidR="00124F91" w:rsidRPr="00551729" w:rsidRDefault="00124F91" w:rsidP="00124F91">
      <w:pPr>
        <w:pStyle w:val="TEKSTIII"/>
        <w:jc w:val="center"/>
      </w:pPr>
      <w:r w:rsidRPr="00551729">
        <w:rPr>
          <w:b/>
          <w:bCs/>
        </w:rPr>
        <w:t>Kërkesat e raportimit</w:t>
      </w:r>
    </w:p>
    <w:p w14:paraId="1BADD003" w14:textId="77777777" w:rsidR="00124F91" w:rsidRPr="00551729" w:rsidRDefault="00124F91" w:rsidP="00124F91">
      <w:pPr>
        <w:pStyle w:val="TEKSTIII"/>
      </w:pPr>
    </w:p>
    <w:p w14:paraId="1BADD004" w14:textId="07E66B7A" w:rsidR="00124F91" w:rsidRPr="00551729" w:rsidRDefault="00CF14DF" w:rsidP="00124F91">
      <w:pPr>
        <w:pStyle w:val="TEKSTIII"/>
      </w:pPr>
      <w:r>
        <w:t>1.</w:t>
      </w:r>
      <w:r w:rsidR="00124F91" w:rsidRPr="00551729">
        <w:t xml:space="preserve"> Për qëllimet e kërkesave të raport</w:t>
      </w:r>
      <w:r w:rsidR="0047694F">
        <w:t>imit të përcaktuara në nenin 80</w:t>
      </w:r>
      <w:r w:rsidR="00124F91" w:rsidRPr="00551729">
        <w:t xml:space="preserve">(1) të Marrëveshjeve Kuadër përkatëse, strukturat operuese do të përdorin modelin e parashikuar në </w:t>
      </w:r>
      <w:r w:rsidR="00D6063D" w:rsidRPr="00551729">
        <w:t xml:space="preserve">shtojcën </w:t>
      </w:r>
      <w:r w:rsidR="00124F91" w:rsidRPr="00551729">
        <w:t xml:space="preserve">III të kësaj Marrëveshje Financimi. </w:t>
      </w:r>
    </w:p>
    <w:p w14:paraId="1BADD005" w14:textId="77777777" w:rsidR="00124F91" w:rsidRPr="00551729" w:rsidRDefault="00124F91" w:rsidP="00124F91">
      <w:pPr>
        <w:pStyle w:val="TEKSTIII"/>
      </w:pPr>
    </w:p>
    <w:p w14:paraId="1BADD006" w14:textId="6CA929B2" w:rsidR="00124F91" w:rsidRPr="00551729" w:rsidRDefault="00124F91" w:rsidP="00124F91">
      <w:pPr>
        <w:pStyle w:val="TEKSTIII"/>
      </w:pPr>
      <w:r w:rsidRPr="00551729">
        <w:t>2</w:t>
      </w:r>
      <w:r w:rsidR="00D6063D">
        <w:t>.</w:t>
      </w:r>
      <w:r w:rsidRPr="00551729">
        <w:t xml:space="preserve"> Për qëllim të kërkesave të përgjithshme të raportimit në Komision, të përcaktuara në nenin 58 të Marrëveshjes Kuadër dhe kërkesat specifike të raportimit nën menaxhimin e tërthortë të përcaktuara në nenin 59 (1) të Marrëveshjes Kuadër përkatëse në raportin vjetor për zbatimin e asistencës IPA II, KKIPA (NIPAC) do të përdorë modelin e dhënë në Shtojcën IIIA të kësaj marrëveshjeje financimi. </w:t>
      </w:r>
    </w:p>
    <w:p w14:paraId="1BADD007" w14:textId="0F8FCD4B" w:rsidR="00124F91" w:rsidRPr="00551729" w:rsidRDefault="00124F91" w:rsidP="00124F91">
      <w:pPr>
        <w:pStyle w:val="TEKSTIII"/>
      </w:pPr>
      <w:r w:rsidRPr="00551729">
        <w:t>3</w:t>
      </w:r>
      <w:r w:rsidR="00D6063D">
        <w:t>.</w:t>
      </w:r>
      <w:r w:rsidRPr="00551729">
        <w:t xml:space="preserve"> Për qëllim të kërkesave specifike të raportimit sipas menaxhimit të tërthortë të përcakt</w:t>
      </w:r>
      <w:r w:rsidR="00D6063D">
        <w:t>uar në pikën “a”, të nenit 59</w:t>
      </w:r>
      <w:r w:rsidRPr="00551729">
        <w:t>(2) të Marrëveshjes Kuadër mbi raportin vjetor financiar apo deklaratat, ZKA (NAO) si përfitues i IPA II që është Autoriteti Kontraktues, do të përdorë modelin e parashikuar në Shtojcën IV të kësaj marrëveshjeje financimi.</w:t>
      </w:r>
    </w:p>
    <w:p w14:paraId="1BADD008" w14:textId="5933E7EA" w:rsidR="00124F91" w:rsidRPr="00551729" w:rsidRDefault="00124F91" w:rsidP="00124F91">
      <w:pPr>
        <w:pStyle w:val="TEKSTIII"/>
      </w:pPr>
      <w:r w:rsidRPr="00551729">
        <w:t>4</w:t>
      </w:r>
      <w:r w:rsidR="00D6063D">
        <w:t>.</w:t>
      </w:r>
      <w:r w:rsidRPr="00551729">
        <w:t xml:space="preserve"> Për qëllim të nenit 59 (4) të Marrëveshjes Kuadër, NIPAC (KKIPA) i përfituesit</w:t>
      </w:r>
      <w:r w:rsidR="00C521D5" w:rsidRPr="00551729">
        <w:t xml:space="preserve"> </w:t>
      </w:r>
      <w:r w:rsidRPr="00551729">
        <w:t>IPA II që është Autoriteti Kontraktues, do t’i paraqesë Komisionit një raport përfundimtar mbi zbatimin e asistencës së IPA II të Programit të Veprimit jo më vonë se katër muaj pas disbursimit (pagesës) të fundit për kontraktuesit e saj ose përfituesit e granteve.</w:t>
      </w:r>
    </w:p>
    <w:p w14:paraId="1BADD009" w14:textId="0CC0F51C" w:rsidR="00124F91" w:rsidRPr="00551729" w:rsidRDefault="00124F91" w:rsidP="00124F91">
      <w:pPr>
        <w:pStyle w:val="TEKSTIII"/>
      </w:pPr>
      <w:r w:rsidRPr="00551729">
        <w:t>5</w:t>
      </w:r>
      <w:r w:rsidR="00D6063D">
        <w:t xml:space="preserve">. </w:t>
      </w:r>
      <w:r w:rsidR="00DD3AA6">
        <w:t>Për qëllim të nenit 59</w:t>
      </w:r>
      <w:r w:rsidRPr="00551729">
        <w:t>(6) të Marrëveshjes Kuadër, ZKA (NAO) i përfituesit IPA II ku është Autoriteti Kontraktues, do të sigurojë deri në datën 15 janar të vitit financiar vijues, në format elektronik, një kopje të të dhënave të mbajtura në sistemin e kontabilitetit, të krijuar</w:t>
      </w:r>
      <w:r w:rsidR="00C521D5" w:rsidRPr="00551729">
        <w:t xml:space="preserve"> </w:t>
      </w:r>
      <w:r w:rsidRPr="00551729">
        <w:t xml:space="preserve">sipas nenit 10(5). Kjo duhet të mbështetet nga një raport i nënshkruar i paaudituar përmbledhës financiar, në përputhje me pikën </w:t>
      </w:r>
      <w:r w:rsidR="00D6063D">
        <w:t>“</w:t>
      </w:r>
      <w:r w:rsidRPr="00551729">
        <w:t>c</w:t>
      </w:r>
      <w:r w:rsidR="00D6063D">
        <w:t>”</w:t>
      </w:r>
      <w:r w:rsidRPr="00551729">
        <w:t xml:space="preserve"> të </w:t>
      </w:r>
      <w:r w:rsidR="00D6063D" w:rsidRPr="00551729">
        <w:t xml:space="preserve">shtojcën </w:t>
      </w:r>
      <w:r w:rsidRPr="00551729">
        <w:t xml:space="preserve">IV. </w:t>
      </w:r>
    </w:p>
    <w:p w14:paraId="1BADD00A" w14:textId="77777777" w:rsidR="00124F91" w:rsidRPr="00551729" w:rsidRDefault="00124F91" w:rsidP="00124F91">
      <w:pPr>
        <w:pStyle w:val="TEKSTIII"/>
      </w:pPr>
    </w:p>
    <w:p w14:paraId="1BADD00B" w14:textId="77777777" w:rsidR="00124F91" w:rsidRPr="00551729" w:rsidRDefault="00124F91" w:rsidP="00124F91">
      <w:pPr>
        <w:pStyle w:val="TEKSTIII"/>
        <w:jc w:val="center"/>
        <w:rPr>
          <w:bCs/>
        </w:rPr>
      </w:pPr>
      <w:r w:rsidRPr="00551729">
        <w:rPr>
          <w:bCs/>
        </w:rPr>
        <w:t>Neni 4</w:t>
      </w:r>
    </w:p>
    <w:p w14:paraId="1BADD00C" w14:textId="77777777" w:rsidR="00124F91" w:rsidRPr="00551729" w:rsidRDefault="00124F91" w:rsidP="00124F91">
      <w:pPr>
        <w:pStyle w:val="TEKSTIII"/>
        <w:jc w:val="center"/>
      </w:pPr>
      <w:r w:rsidRPr="00551729">
        <w:rPr>
          <w:b/>
          <w:bCs/>
        </w:rPr>
        <w:t>Vizibiliteti dhe Komunikimi</w:t>
      </w:r>
    </w:p>
    <w:p w14:paraId="1BADD00D" w14:textId="77777777" w:rsidR="00124F91" w:rsidRPr="00551729" w:rsidRDefault="00124F91" w:rsidP="00124F91">
      <w:pPr>
        <w:pStyle w:val="TEKSTIII"/>
      </w:pPr>
    </w:p>
    <w:p w14:paraId="1BADD00E" w14:textId="1A546270" w:rsidR="00124F91" w:rsidRPr="00551729" w:rsidRDefault="00124F91" w:rsidP="00124F91">
      <w:pPr>
        <w:pStyle w:val="TEKSTIII"/>
      </w:pPr>
      <w:r w:rsidRPr="00551729">
        <w:t>1</w:t>
      </w:r>
      <w:r w:rsidR="00EA277B">
        <w:t>.</w:t>
      </w:r>
      <w:r w:rsidRPr="00551729">
        <w:t xml:space="preserve"> Siç parashikohet në dispozitat e nenit 24(1), 76(3)(k), dhe nenit 78(8)(f) të Marrëveshjes Kuadër përkatëse, përfituesit e IPA II duhet të përgatisin një plan koherent të aktiviteteve të vizibilitetit dhe të komunikimit, të cilat do t’i paraqiten Komisionit për një marrëveshje, brenda 6 muajve nga hyrja në fuqi e kësaj Marrëveshjeje Financimi. </w:t>
      </w:r>
    </w:p>
    <w:p w14:paraId="1BADD00F" w14:textId="7CB13FF2" w:rsidR="00124F91" w:rsidRPr="00551729" w:rsidRDefault="00124F91" w:rsidP="00124F91">
      <w:pPr>
        <w:pStyle w:val="TEKSTIII"/>
      </w:pPr>
      <w:r w:rsidRPr="00551729">
        <w:t>2</w:t>
      </w:r>
      <w:r w:rsidR="00EA277B">
        <w:t>.</w:t>
      </w:r>
      <w:r w:rsidRPr="00551729">
        <w:t xml:space="preserve"> Këto aktivitete të vizibilitetit dhe komunikimit duhet të jenë në përputhje me Manualin e Komunikimeve dhe </w:t>
      </w:r>
      <w:r w:rsidR="00D6063D" w:rsidRPr="00551729">
        <w:t xml:space="preserve">vizibilitetit </w:t>
      </w:r>
      <w:r w:rsidRPr="00551729">
        <w:t xml:space="preserve">për veprimet e jashtme të BE-së, të përcaktuara dhe të publikuara nga Komisioni, të cilat janë në fuqi në kohën e aktiviteteve. </w:t>
      </w:r>
    </w:p>
    <w:p w14:paraId="1BADD010" w14:textId="77777777" w:rsidR="00124F91" w:rsidRPr="00551729" w:rsidRDefault="00124F91" w:rsidP="00124F91">
      <w:pPr>
        <w:pStyle w:val="TEKSTIII"/>
      </w:pPr>
    </w:p>
    <w:p w14:paraId="1BADD011" w14:textId="77777777" w:rsidR="00124F91" w:rsidRPr="00551729" w:rsidRDefault="00124F91" w:rsidP="00124F91">
      <w:pPr>
        <w:pStyle w:val="TEKSTIII"/>
        <w:jc w:val="center"/>
        <w:rPr>
          <w:bCs/>
        </w:rPr>
      </w:pPr>
      <w:r w:rsidRPr="00551729">
        <w:rPr>
          <w:bCs/>
        </w:rPr>
        <w:t>Neni 5</w:t>
      </w:r>
    </w:p>
    <w:p w14:paraId="1BADD012" w14:textId="77777777" w:rsidR="00124F91" w:rsidRPr="00551729" w:rsidRDefault="00124F91" w:rsidP="00124F91">
      <w:pPr>
        <w:pStyle w:val="TEKSTIII"/>
        <w:jc w:val="center"/>
      </w:pPr>
      <w:r w:rsidRPr="00551729">
        <w:rPr>
          <w:b/>
          <w:bCs/>
        </w:rPr>
        <w:t>Të drejtat e pronësisë intelektuale</w:t>
      </w:r>
    </w:p>
    <w:p w14:paraId="1BADD013" w14:textId="77777777" w:rsidR="00124F91" w:rsidRPr="00551729" w:rsidRDefault="00124F91" w:rsidP="00124F91">
      <w:pPr>
        <w:pStyle w:val="TEKSTIII"/>
      </w:pPr>
    </w:p>
    <w:p w14:paraId="1BADD014" w14:textId="6187EE83" w:rsidR="00124F91" w:rsidRPr="00551729" w:rsidRDefault="00124F91" w:rsidP="00124F91">
      <w:pPr>
        <w:pStyle w:val="TEKSTIII"/>
      </w:pPr>
      <w:r w:rsidRPr="00551729">
        <w:t>1</w:t>
      </w:r>
      <w:r w:rsidR="006A550D">
        <w:t>.</w:t>
      </w:r>
      <w:r w:rsidRPr="00551729">
        <w:t xml:space="preserve"> Kontratat e financuara sipas kësaj Marrëveshje</w:t>
      </w:r>
      <w:r w:rsidR="00D6063D">
        <w:t xml:space="preserve"> </w:t>
      </w:r>
      <w:r w:rsidRPr="00551729">
        <w:t xml:space="preserve">Financimi, duhet të garantojnë që përfituesit e IPA II të fitojnë të gjitha të drejtat e nevojshme të pronësisë intelektuale në lidhje me teknologjinë e informacionit, studimet, skicat, planet, publicitetin dhe çdo material tjetër të përgatitur për qëllime të planifikimit, zbatimit, monitorimit dhe vlerësimit. </w:t>
      </w:r>
    </w:p>
    <w:p w14:paraId="1BADD015" w14:textId="36D61266" w:rsidR="00124F91" w:rsidRPr="00551729" w:rsidRDefault="00DD3AA6" w:rsidP="00124F91">
      <w:pPr>
        <w:pStyle w:val="TEKSTIII"/>
      </w:pPr>
      <w:r>
        <w:t xml:space="preserve"> </w:t>
      </w:r>
      <w:r w:rsidR="00124F91" w:rsidRPr="00551729">
        <w:t>2</w:t>
      </w:r>
      <w:r w:rsidR="006A550D">
        <w:t>.</w:t>
      </w:r>
      <w:r w:rsidR="00124F91" w:rsidRPr="00551729">
        <w:t xml:space="preserve"> Përfituesi IPA II ku ndodhet</w:t>
      </w:r>
      <w:r w:rsidR="00D6063D">
        <w:t xml:space="preserve"> </w:t>
      </w:r>
      <w:r w:rsidR="00124F91" w:rsidRPr="00551729">
        <w:t xml:space="preserve">Autoriteti Kontraktues, do të garantojë që Komisioni ose personi i autorizuar nga Komisioni dhe vendi tjetër përfituesi IPA II, do të kenë qasje dhe të drejtën për të përdorur një material të tillë. Komisioni do ta përdorë një material të tillë vetëm për qëllimet e veta. </w:t>
      </w:r>
    </w:p>
    <w:p w14:paraId="1BADD016" w14:textId="77777777" w:rsidR="00124F91" w:rsidRPr="00551729" w:rsidRDefault="00124F91" w:rsidP="00124F91">
      <w:pPr>
        <w:pStyle w:val="TEKSTIII"/>
      </w:pPr>
    </w:p>
    <w:p w14:paraId="1BADD017" w14:textId="77777777" w:rsidR="00124F91" w:rsidRPr="00551729" w:rsidRDefault="00124F91" w:rsidP="00124F91">
      <w:pPr>
        <w:pStyle w:val="TEKSTIII"/>
        <w:jc w:val="center"/>
        <w:rPr>
          <w:bCs/>
        </w:rPr>
      </w:pPr>
      <w:r w:rsidRPr="00551729">
        <w:rPr>
          <w:bCs/>
        </w:rPr>
        <w:t>Neni 6</w:t>
      </w:r>
    </w:p>
    <w:p w14:paraId="1BADD018" w14:textId="77777777" w:rsidR="00124F91" w:rsidRPr="00551729" w:rsidRDefault="00124F91" w:rsidP="00124F91">
      <w:pPr>
        <w:pStyle w:val="TEKSTIII"/>
        <w:jc w:val="center"/>
      </w:pPr>
      <w:r w:rsidRPr="00551729">
        <w:rPr>
          <w:b/>
          <w:bCs/>
        </w:rPr>
        <w:t>Pranueshmëria e shpenzimeve</w:t>
      </w:r>
    </w:p>
    <w:p w14:paraId="1BADD019" w14:textId="77777777" w:rsidR="00124F91" w:rsidRPr="00551729" w:rsidRDefault="00124F91" w:rsidP="00124F91">
      <w:pPr>
        <w:pStyle w:val="TEKSTIII"/>
      </w:pPr>
    </w:p>
    <w:p w14:paraId="1BADD01A" w14:textId="563F451A" w:rsidR="00124F91" w:rsidRPr="00551729" w:rsidRDefault="00124F91" w:rsidP="00124F91">
      <w:pPr>
        <w:pStyle w:val="TEKSTIII"/>
      </w:pPr>
      <w:r w:rsidRPr="00551729">
        <w:t>1</w:t>
      </w:r>
      <w:r w:rsidR="006A550D">
        <w:t>.</w:t>
      </w:r>
      <w:r w:rsidRPr="00551729">
        <w:t xml:space="preserve"> Shpenzimet e mëposhtme nuk do të jenë të pranueshme për financim sipas kësaj Marrëveshje Financimi: </w:t>
      </w:r>
    </w:p>
    <w:p w14:paraId="1BADD01B" w14:textId="0B78C7B6" w:rsidR="00124F91" w:rsidRPr="00551729" w:rsidRDefault="00124F91" w:rsidP="00124F91">
      <w:pPr>
        <w:pStyle w:val="TEKSTIII"/>
      </w:pPr>
      <w:r w:rsidRPr="00551729">
        <w:t>a</w:t>
      </w:r>
      <w:r w:rsidR="00DD3AA6">
        <w:t>)</w:t>
      </w:r>
      <w:r w:rsidRPr="00551729">
        <w:t xml:space="preserve"> borxhet dhe pagesat e shërbimit të borxhit (interesi); </w:t>
      </w:r>
    </w:p>
    <w:p w14:paraId="1BADD01C" w14:textId="0E4A024A" w:rsidR="00124F91" w:rsidRPr="00551729" w:rsidRDefault="00124F91" w:rsidP="00124F91">
      <w:pPr>
        <w:pStyle w:val="TEKSTIII"/>
      </w:pPr>
      <w:r w:rsidRPr="00551729">
        <w:t>b</w:t>
      </w:r>
      <w:r w:rsidR="00DD3AA6">
        <w:t>)</w:t>
      </w:r>
      <w:r w:rsidRPr="00551729">
        <w:t xml:space="preserve"> provizionet për humbje ose detyrime të mundshme në të ardhmen; </w:t>
      </w:r>
    </w:p>
    <w:p w14:paraId="1BADD01D" w14:textId="5EF9AA4E" w:rsidR="00124F91" w:rsidRPr="00551729" w:rsidRDefault="00124F91" w:rsidP="00124F91">
      <w:pPr>
        <w:pStyle w:val="TEKSTIII"/>
      </w:pPr>
      <w:r w:rsidRPr="00551729">
        <w:t>c</w:t>
      </w:r>
      <w:r w:rsidR="00DD3AA6">
        <w:t>)</w:t>
      </w:r>
      <w:r w:rsidRPr="00551729">
        <w:t xml:space="preserve"> kostoja e deklaruar nga përfituesi</w:t>
      </w:r>
      <w:r w:rsidR="00032B37">
        <w:t>/t</w:t>
      </w:r>
      <w:r w:rsidRPr="00551729">
        <w:t xml:space="preserve"> dhe e financuar nga një veprim apo program pune që merr një grant nga Bashkimi; </w:t>
      </w:r>
    </w:p>
    <w:p w14:paraId="1BADD01E" w14:textId="31B5E8B5" w:rsidR="00124F91" w:rsidRPr="00551729" w:rsidRDefault="00124F91" w:rsidP="00124F91">
      <w:pPr>
        <w:pStyle w:val="TEKSTIII"/>
      </w:pPr>
      <w:r w:rsidRPr="00551729">
        <w:t>d</w:t>
      </w:r>
      <w:r w:rsidR="00DD3AA6">
        <w:t>)</w:t>
      </w:r>
      <w:r w:rsidRPr="00551729">
        <w:t xml:space="preserve"> humbjet e këmbimit valutor; </w:t>
      </w:r>
    </w:p>
    <w:p w14:paraId="1BADD01F" w14:textId="5C79FBC4" w:rsidR="00124F91" w:rsidRPr="00551729" w:rsidRDefault="00124F91" w:rsidP="00124F91">
      <w:pPr>
        <w:pStyle w:val="TEKSTIII"/>
      </w:pPr>
      <w:r w:rsidRPr="00551729">
        <w:t>e</w:t>
      </w:r>
      <w:r w:rsidR="00DD3AA6">
        <w:t xml:space="preserve">) </w:t>
      </w:r>
      <w:r w:rsidRPr="00551729">
        <w:t xml:space="preserve">kreditë për palët e treta; </w:t>
      </w:r>
    </w:p>
    <w:p w14:paraId="1BADD020" w14:textId="3C74C7C1" w:rsidR="00124F91" w:rsidRPr="00551729" w:rsidRDefault="00124F91" w:rsidP="00124F91">
      <w:pPr>
        <w:pStyle w:val="TEKSTIII"/>
      </w:pPr>
      <w:r w:rsidRPr="00551729">
        <w:t>f</w:t>
      </w:r>
      <w:r w:rsidR="00DD3AA6">
        <w:t>)</w:t>
      </w:r>
      <w:r w:rsidRPr="00551729">
        <w:t xml:space="preserve"> gjobat, penalitetet financiare dhe shpenzimet e procesit gjyqësor. </w:t>
      </w:r>
    </w:p>
    <w:p w14:paraId="1BADD021" w14:textId="25DABCF1" w:rsidR="00124F91" w:rsidRPr="00551729" w:rsidRDefault="00124F91" w:rsidP="00124F91">
      <w:pPr>
        <w:pStyle w:val="TEKSTIII"/>
      </w:pPr>
      <w:r w:rsidRPr="00551729">
        <w:t>2</w:t>
      </w:r>
      <w:r w:rsidR="00EA277B">
        <w:t>.</w:t>
      </w:r>
      <w:r w:rsidRPr="00551729">
        <w:t xml:space="preserve"> Blerja e tokës që nuk është e ndërtuar dhe e tokës me ndërtim në shumën deri</w:t>
      </w:r>
      <w:r w:rsidR="00C521D5" w:rsidRPr="00551729">
        <w:t xml:space="preserve"> </w:t>
      </w:r>
      <w:r w:rsidRPr="00551729">
        <w:t xml:space="preserve">10% të totalit të shpenzimeve të lejueshme për aktivitetin në fjalë, do të jetë e ligjshme/e pranueshme për financim sipas asistencës për bashkëpunim ndërkufitar IPA II, nëse është e justifikuar nga natyra e veprimit dhe të dhënat në </w:t>
      </w:r>
      <w:r w:rsidR="00032B37" w:rsidRPr="00551729">
        <w:t xml:space="preserve">shtojcën </w:t>
      </w:r>
      <w:r w:rsidRPr="00551729">
        <w:t xml:space="preserve">I. </w:t>
      </w:r>
    </w:p>
    <w:p w14:paraId="1BADD022" w14:textId="77777777" w:rsidR="00124F91" w:rsidRPr="00551729" w:rsidRDefault="00124F91" w:rsidP="00124F91">
      <w:pPr>
        <w:pStyle w:val="TEKSTIII"/>
      </w:pPr>
    </w:p>
    <w:p w14:paraId="4FE601FD" w14:textId="17EC22F8" w:rsidR="00DD3AA6" w:rsidRPr="00DD3AA6" w:rsidRDefault="00DD3AA6" w:rsidP="00124F91">
      <w:pPr>
        <w:pStyle w:val="TEKSTIII"/>
        <w:jc w:val="center"/>
      </w:pPr>
      <w:r w:rsidRPr="00DD3AA6">
        <w:t>PJESA E DYTË</w:t>
      </w:r>
    </w:p>
    <w:p w14:paraId="1BADD023" w14:textId="35D6AAD4" w:rsidR="00124F91" w:rsidRPr="00DD3AA6" w:rsidRDefault="00DD3AA6" w:rsidP="00124F91">
      <w:pPr>
        <w:pStyle w:val="TEKSTIII"/>
        <w:jc w:val="center"/>
      </w:pPr>
      <w:r w:rsidRPr="00DD3AA6">
        <w:t>DISPOZITAT E ZBATUESHME TË MENAXHIMIT TË TËRTHORTË NGA PËRFITUESI IPA II</w:t>
      </w:r>
    </w:p>
    <w:p w14:paraId="1BADD024" w14:textId="77777777" w:rsidR="00124F91" w:rsidRPr="00DD3AA6" w:rsidRDefault="00124F91" w:rsidP="00124F91">
      <w:pPr>
        <w:pStyle w:val="TEKSTIII"/>
        <w:jc w:val="center"/>
      </w:pPr>
    </w:p>
    <w:p w14:paraId="1BADD025" w14:textId="77777777" w:rsidR="00124F91" w:rsidRPr="00551729" w:rsidRDefault="00124F91" w:rsidP="00124F91">
      <w:pPr>
        <w:pStyle w:val="TEKSTIII"/>
        <w:jc w:val="center"/>
      </w:pPr>
      <w:r w:rsidRPr="00551729">
        <w:t>Neni 7</w:t>
      </w:r>
    </w:p>
    <w:p w14:paraId="1BADD026" w14:textId="77777777" w:rsidR="00124F91" w:rsidRPr="00551729" w:rsidRDefault="00124F91" w:rsidP="00124F91">
      <w:pPr>
        <w:pStyle w:val="TEKSTIII"/>
        <w:jc w:val="center"/>
        <w:rPr>
          <w:b/>
        </w:rPr>
      </w:pPr>
      <w:r w:rsidRPr="00551729">
        <w:rPr>
          <w:b/>
        </w:rPr>
        <w:t>Parime të përgjithshme</w:t>
      </w:r>
    </w:p>
    <w:p w14:paraId="1BADD027" w14:textId="77777777" w:rsidR="00124F91" w:rsidRPr="00551729" w:rsidRDefault="00124F91" w:rsidP="00124F91">
      <w:pPr>
        <w:pStyle w:val="TEKSTIII"/>
      </w:pPr>
    </w:p>
    <w:p w14:paraId="1BADD028" w14:textId="77777777" w:rsidR="00124F91" w:rsidRPr="00551729" w:rsidRDefault="00124F91" w:rsidP="00124F91">
      <w:pPr>
        <w:pStyle w:val="TEKSTIII"/>
      </w:pPr>
      <w:r w:rsidRPr="00551729">
        <w:t xml:space="preserve">1. Qëllimi i pjesës së dytë është të vendosë rregullat për zbatimin e Programit të Veprimit nën menaxhimin e tërthortë dhe në veçanti rregullat që lidhen me detyrat që i janë besuar zbatimit të buxhetit, siç përshkruhet në Shtojcën I dhe për të përcaktuar të drejtat dhe detyrimet e përfituesit të IPA II që është Autoriteti Kontraktues dhe Komisioni në kryerjen e këtyre detyrave. </w:t>
      </w:r>
    </w:p>
    <w:p w14:paraId="1BADD029" w14:textId="7AF6ED3B" w:rsidR="00124F91" w:rsidRPr="00551729" w:rsidRDefault="00124F91" w:rsidP="00124F91">
      <w:pPr>
        <w:pStyle w:val="TEKSTIII"/>
      </w:pPr>
      <w:r w:rsidRPr="00551729">
        <w:t xml:space="preserve">2. Siç parashikohet në pikën </w:t>
      </w:r>
      <w:r w:rsidR="00132731">
        <w:t>“</w:t>
      </w:r>
      <w:r w:rsidRPr="00551729">
        <w:t>b</w:t>
      </w:r>
      <w:r w:rsidR="00132731">
        <w:t>”</w:t>
      </w:r>
      <w:r w:rsidRPr="00551729">
        <w:t xml:space="preserve"> të nenit 76(3) të Marrëveshjes Kuadër përkatëse, përfituesit e IPA II, bashkërisht, duhet të përgatisin një marrëveshje dypalëshe dhe të sigurojnë zbatimin e saj. </w:t>
      </w:r>
    </w:p>
    <w:p w14:paraId="1BADD02A" w14:textId="77777777" w:rsidR="00124F91" w:rsidRPr="00551729" w:rsidRDefault="00124F91" w:rsidP="00124F91">
      <w:pPr>
        <w:pStyle w:val="TEKSTIII"/>
      </w:pPr>
      <w:r w:rsidRPr="00551729">
        <w:t xml:space="preserve">3. Përfituesi i IPA II që nuk është Autoritet Kontraktues, do të bashkëpunojë me përfituesin e IPA II që është Autoritet Kontraktues, për të siguruar se detyrat në vijim janë plotësuar: </w:t>
      </w:r>
    </w:p>
    <w:p w14:paraId="1BADD02B" w14:textId="399815DC" w:rsidR="00124F91" w:rsidRPr="00551729" w:rsidRDefault="00124F91" w:rsidP="00124F91">
      <w:pPr>
        <w:pStyle w:val="TEKSTIII"/>
      </w:pPr>
      <w:r w:rsidRPr="00551729">
        <w:t>a</w:t>
      </w:r>
      <w:r w:rsidR="00D20DC6">
        <w:t>)</w:t>
      </w:r>
      <w:r w:rsidRPr="00551729">
        <w:t xml:space="preserve"> të kryejë ndjekjen operative dhe menaxhimin e operacioneve, siç parashikohet në pikën </w:t>
      </w:r>
      <w:r w:rsidR="00132731">
        <w:t>“</w:t>
      </w:r>
      <w:r w:rsidRPr="00551729">
        <w:t>b</w:t>
      </w:r>
      <w:r w:rsidR="00132731">
        <w:t xml:space="preserve">” </w:t>
      </w:r>
      <w:r w:rsidRPr="00551729">
        <w:t xml:space="preserve">të nenit 76(4) të Marrëveshjes Kuadër; </w:t>
      </w:r>
    </w:p>
    <w:p w14:paraId="1BADD02C" w14:textId="33FA600C" w:rsidR="00124F91" w:rsidRPr="00551729" w:rsidRDefault="00124F91" w:rsidP="00124F91">
      <w:pPr>
        <w:pStyle w:val="TEKSTIII"/>
      </w:pPr>
      <w:r w:rsidRPr="00551729">
        <w:t>b</w:t>
      </w:r>
      <w:r w:rsidR="00D20DC6">
        <w:t>)</w:t>
      </w:r>
      <w:r w:rsidRPr="00551729">
        <w:t xml:space="preserve"> të kryejë veri</w:t>
      </w:r>
      <w:r w:rsidR="00132731">
        <w:t>fikime në përputhje me nenin 76</w:t>
      </w:r>
      <w:r w:rsidRPr="00551729">
        <w:t xml:space="preserve">(5) të Marrëveshjes Kuadër; </w:t>
      </w:r>
    </w:p>
    <w:p w14:paraId="1BADD02D" w14:textId="27A68A07" w:rsidR="00124F91" w:rsidRPr="00551729" w:rsidRDefault="00124F91" w:rsidP="00124F91">
      <w:pPr>
        <w:pStyle w:val="TEKSTIII"/>
      </w:pPr>
      <w:r w:rsidRPr="00551729">
        <w:t>c</w:t>
      </w:r>
      <w:r w:rsidR="00D20DC6">
        <w:t>)</w:t>
      </w:r>
      <w:r w:rsidRPr="00551729">
        <w:t xml:space="preserve"> të mbrojë interesin financiar të Bashkimit, siç parashikohet në nenin 51 të Marrëveshjes Kuadër. </w:t>
      </w:r>
    </w:p>
    <w:p w14:paraId="1BADD02E" w14:textId="77777777" w:rsidR="00124F91" w:rsidRPr="00551729" w:rsidRDefault="00124F91" w:rsidP="00124F91">
      <w:pPr>
        <w:pStyle w:val="TEKSTIII"/>
      </w:pPr>
    </w:p>
    <w:p w14:paraId="1BADD02F" w14:textId="77777777" w:rsidR="00124F91" w:rsidRPr="00551729" w:rsidRDefault="00124F91" w:rsidP="00124F91">
      <w:pPr>
        <w:pStyle w:val="TEKSTIII"/>
        <w:jc w:val="center"/>
        <w:rPr>
          <w:bCs/>
        </w:rPr>
      </w:pPr>
      <w:r w:rsidRPr="00551729">
        <w:rPr>
          <w:bCs/>
        </w:rPr>
        <w:t>Neni 8</w:t>
      </w:r>
    </w:p>
    <w:p w14:paraId="1BADD030" w14:textId="77777777" w:rsidR="00124F91" w:rsidRPr="00551729" w:rsidRDefault="00124F91" w:rsidP="00124F91">
      <w:pPr>
        <w:pStyle w:val="TEKSTIII"/>
        <w:jc w:val="center"/>
      </w:pPr>
      <w:r w:rsidRPr="00551729">
        <w:rPr>
          <w:b/>
          <w:bCs/>
        </w:rPr>
        <w:t>Procedurat e dhënies së prokurimit dhe granteve</w:t>
      </w:r>
    </w:p>
    <w:p w14:paraId="1BADD031" w14:textId="77777777" w:rsidR="00124F91" w:rsidRPr="00551729" w:rsidRDefault="00124F91" w:rsidP="00124F91">
      <w:pPr>
        <w:pStyle w:val="TEKSTIII"/>
      </w:pPr>
    </w:p>
    <w:p w14:paraId="1BADD032" w14:textId="6B9E574C" w:rsidR="00124F91" w:rsidRPr="00551729" w:rsidRDefault="00124F91" w:rsidP="00124F91">
      <w:pPr>
        <w:pStyle w:val="TEKSTIII"/>
      </w:pPr>
      <w:r w:rsidRPr="00551729">
        <w:t>1</w:t>
      </w:r>
      <w:r w:rsidR="00D20DC6">
        <w:t>.</w:t>
      </w:r>
      <w:r w:rsidRPr="00551729">
        <w:t xml:space="preserve"> </w:t>
      </w:r>
      <w:r w:rsidR="00D20DC6">
        <w:t>Detyrat e përmendura në nenin 7</w:t>
      </w:r>
      <w:r w:rsidRPr="00551729">
        <w:t>(3) duhet të kryhen nga përfituesi i IPA II që është Autoritet Kontraktues, në përputhje me procedurat dhe dokumentet standarde të përcaktuara dhe të publikuara nga Komisioni për dhënien e prokurimit dhe kontratave të granteve, në veprimet e jashtme, të cilat janë në fuqi në kohën e fillimit të procedurës në fjalë (PRAG), si dhe në përputhje me standardet e kërkuara të Vizibilitetit dhe Komuni</w:t>
      </w:r>
      <w:r w:rsidR="0070098F">
        <w:t>kimit, të përmendura në Nenin 4</w:t>
      </w:r>
      <w:r w:rsidRPr="00551729">
        <w:t xml:space="preserve">(2). </w:t>
      </w:r>
    </w:p>
    <w:p w14:paraId="1BADD033" w14:textId="4DBFDF8F" w:rsidR="00124F91" w:rsidRPr="00551729" w:rsidRDefault="00124F91" w:rsidP="00124F91">
      <w:pPr>
        <w:pStyle w:val="TEKSTIII"/>
      </w:pPr>
      <w:r w:rsidRPr="00551729">
        <w:t>2</w:t>
      </w:r>
      <w:r w:rsidR="00D20DC6">
        <w:t>.</w:t>
      </w:r>
      <w:r w:rsidRPr="00551729">
        <w:t xml:space="preserve"> Në përputhje me nenin 18(2) të Marrëveshjes Kuadër, Komisioni do të pajisë përfituesin e IPA-II që është Autoritet Kontraktues, me udhëzime të mëtejshme për përshtatjen e procedurave dhe dokumenteve standarde, të përcaktuara dhe të publikuara nga Komisioni për dhënien e kontratave të prokurimit dhe granteve në veprimet e jashtme, në rastin specifik të bashkëpunimit ndërkufitar. </w:t>
      </w:r>
    </w:p>
    <w:p w14:paraId="1BADD034" w14:textId="1EBED3B6" w:rsidR="00124F91" w:rsidRPr="00551729" w:rsidRDefault="00124F91" w:rsidP="00124F91">
      <w:pPr>
        <w:pStyle w:val="TEKSTIII"/>
      </w:pPr>
      <w:r w:rsidRPr="00551729">
        <w:t>3) Përfituesi IPA II që është Autoritet Kontraktues, do të kryejë procedurat e prokurimit dhe dhënies së grantit, të lidhë kontratat që pasojnë dhe të sigurojë që të gjitha dokumentet përkatëse për gjurmët e auditimit janë në gjuhën e kësaj Marrëveshjeje Financimi. Në zbatim të pjesës së dytë të kësaj Marrëveshjeje Financimi, çdo referencë për</w:t>
      </w:r>
      <w:r w:rsidR="00C521D5" w:rsidRPr="00551729">
        <w:t xml:space="preserve"> </w:t>
      </w:r>
      <w:r w:rsidRPr="00551729">
        <w:t xml:space="preserve">kontratat e granteve duhet të përfshijë gjithashtu kontratën e kontributit dhe çdo referencë për përfituesit e granteve do të përfshijë edhe organizatat që kanë nënshkruar marrëveshje kontributi. </w:t>
      </w:r>
    </w:p>
    <w:p w14:paraId="1BADD035" w14:textId="2F126684" w:rsidR="00124F91" w:rsidRPr="00551729" w:rsidRDefault="00124F91" w:rsidP="00124F91">
      <w:pPr>
        <w:pStyle w:val="TEKSTIII"/>
      </w:pPr>
      <w:r w:rsidRPr="00551729">
        <w:t>4</w:t>
      </w:r>
      <w:r w:rsidR="00EA277B">
        <w:t xml:space="preserve">. </w:t>
      </w:r>
      <w:r w:rsidRPr="00551729">
        <w:t>Përfituesit e IPA II do të bashkëpunojnë plotësisht në ngritjen e komisioneve të vlerësimit, siç parash</w:t>
      </w:r>
      <w:r w:rsidR="0070098F">
        <w:t>ikohet në pikën “a” të nenit 76</w:t>
      </w:r>
      <w:r w:rsidRPr="00551729">
        <w:t>(4) i Marrëveshjes</w:t>
      </w:r>
      <w:r w:rsidR="00C521D5" w:rsidRPr="00551729">
        <w:t xml:space="preserve"> </w:t>
      </w:r>
      <w:r w:rsidRPr="00551729">
        <w:t xml:space="preserve">Kuadër përkatëse. </w:t>
      </w:r>
    </w:p>
    <w:p w14:paraId="1BADD036" w14:textId="736F479F" w:rsidR="00124F91" w:rsidRPr="00551729" w:rsidRDefault="00124F91" w:rsidP="00124F91">
      <w:pPr>
        <w:pStyle w:val="TEKSTIII"/>
      </w:pPr>
      <w:r w:rsidRPr="00551729">
        <w:t>5</w:t>
      </w:r>
      <w:r w:rsidR="00EA277B">
        <w:t>.</w:t>
      </w:r>
      <w:r w:rsidRPr="00551729">
        <w:t xml:space="preserve"> Përfituesi i IPA II që është Autoritet Kontraktues, do të mbajë të gjitha dokumentet mbështetëse financiare dhe kontraktuale përkatëse, nga data e hyrjes në fuqi të kësaj Marrëveshjeje Financiare ose nga një datë më e hershme, në rast se procedurat e prokurimit, thirrjet për projekt propozime, ose </w:t>
      </w:r>
      <w:r w:rsidR="0070098F" w:rsidRPr="00551729">
        <w:t>procedurat</w:t>
      </w:r>
      <w:r w:rsidRPr="00551729">
        <w:t xml:space="preserve"> e dhënies së granteve të drejtpërdrejta, kanë filluar para hyrjes në fuqi të kësaj Marrëveshjeje të Financimit: </w:t>
      </w:r>
    </w:p>
    <w:p w14:paraId="1BADD037" w14:textId="182A692D" w:rsidR="00124F91" w:rsidRPr="00551729" w:rsidRDefault="0070098F" w:rsidP="00124F91">
      <w:pPr>
        <w:pStyle w:val="TEKSTIII"/>
      </w:pPr>
      <w:r>
        <w:rPr>
          <w:b/>
        </w:rPr>
        <w:t>a)</w:t>
      </w:r>
      <w:r w:rsidR="00124F91" w:rsidRPr="00551729">
        <w:t xml:space="preserve"> Për procedurat e prokurimit në veçanti: </w:t>
      </w:r>
    </w:p>
    <w:p w14:paraId="1BADD038" w14:textId="77777777" w:rsidR="00124F91" w:rsidRPr="00551729" w:rsidRDefault="00124F91" w:rsidP="00124F91">
      <w:pPr>
        <w:pStyle w:val="TEKSTIII"/>
      </w:pPr>
      <w:r w:rsidRPr="00551729">
        <w:t xml:space="preserve">a) Njoftim i mëparshëm me dëshminë e publikimit të njoftimit të prokurimit dhe të çdo korrigjimi; </w:t>
      </w:r>
    </w:p>
    <w:p w14:paraId="1BADD039" w14:textId="77777777" w:rsidR="00124F91" w:rsidRPr="00551729" w:rsidRDefault="00124F91" w:rsidP="00124F91">
      <w:pPr>
        <w:pStyle w:val="TEKSTIII"/>
      </w:pPr>
      <w:r w:rsidRPr="00551729">
        <w:t xml:space="preserve">b) Caktimi i panelit të zgjedhur; </w:t>
      </w:r>
    </w:p>
    <w:p w14:paraId="1BADD03A" w14:textId="64DCA31B" w:rsidR="00124F91" w:rsidRPr="00551729" w:rsidRDefault="00124F91" w:rsidP="00124F91">
      <w:pPr>
        <w:pStyle w:val="TEKSTIII"/>
      </w:pPr>
      <w:r w:rsidRPr="00551729">
        <w:t>c) Raporti i listës së të përzgjedhurve</w:t>
      </w:r>
      <w:r w:rsidR="00C521D5" w:rsidRPr="00551729">
        <w:t xml:space="preserve"> </w:t>
      </w:r>
      <w:r w:rsidRPr="00551729">
        <w:t xml:space="preserve">(duke përfshirë anekset) dhe aplikimet; </w:t>
      </w:r>
    </w:p>
    <w:p w14:paraId="1BADD03B" w14:textId="77777777" w:rsidR="00124F91" w:rsidRPr="00551729" w:rsidRDefault="00124F91" w:rsidP="00124F91">
      <w:pPr>
        <w:pStyle w:val="TEKSTIII"/>
      </w:pPr>
      <w:r w:rsidRPr="00551729">
        <w:t xml:space="preserve">d) Dëshmi e publikimit të njoftimit të listës së përzgjedhurve </w:t>
      </w:r>
    </w:p>
    <w:p w14:paraId="1BADD03C" w14:textId="77777777" w:rsidR="00124F91" w:rsidRPr="00551729" w:rsidRDefault="00124F91" w:rsidP="00124F91">
      <w:pPr>
        <w:pStyle w:val="TEKSTIII"/>
      </w:pPr>
      <w:r w:rsidRPr="00551729">
        <w:t xml:space="preserve">e) Letra e kandidatëve jo-të përzgjedhur; </w:t>
      </w:r>
    </w:p>
    <w:p w14:paraId="1BADD03D" w14:textId="77777777" w:rsidR="00124F91" w:rsidRPr="00551729" w:rsidRDefault="00124F91" w:rsidP="00124F91">
      <w:pPr>
        <w:pStyle w:val="TEKSTIII"/>
      </w:pPr>
      <w:r w:rsidRPr="00551729">
        <w:t xml:space="preserve">f) Ftesë për tender ose ekuivalente e saj; </w:t>
      </w:r>
    </w:p>
    <w:p w14:paraId="1BADD03E" w14:textId="77777777" w:rsidR="00124F91" w:rsidRPr="00551729" w:rsidRDefault="00124F91" w:rsidP="00124F91">
      <w:pPr>
        <w:pStyle w:val="TEKSTIII"/>
      </w:pPr>
      <w:r w:rsidRPr="00551729">
        <w:t xml:space="preserve">g) Dosja e tenderit, duke përfshirë anekset, sqarime, procesverbalet e mbledhjeve, dëshmitë e publikimit; </w:t>
      </w:r>
    </w:p>
    <w:p w14:paraId="1BADD03F" w14:textId="77777777" w:rsidR="00124F91" w:rsidRPr="00551729" w:rsidRDefault="00124F91" w:rsidP="00124F91">
      <w:pPr>
        <w:pStyle w:val="TEKSTIII"/>
      </w:pPr>
      <w:r w:rsidRPr="00551729">
        <w:t xml:space="preserve">h) Caktimi i komisionit të vlerësimit; </w:t>
      </w:r>
    </w:p>
    <w:p w14:paraId="1BADD040" w14:textId="77777777" w:rsidR="00124F91" w:rsidRPr="00551729" w:rsidRDefault="00124F91" w:rsidP="00124F91">
      <w:pPr>
        <w:pStyle w:val="TEKSTIII"/>
      </w:pPr>
      <w:r w:rsidRPr="00551729">
        <w:t xml:space="preserve">i) Raporti për hapjen e tenderave, duke përfshirë anekset; </w:t>
      </w:r>
    </w:p>
    <w:p w14:paraId="1BADD041" w14:textId="77777777" w:rsidR="00124F91" w:rsidRPr="00551729" w:rsidRDefault="00124F91" w:rsidP="00124F91">
      <w:pPr>
        <w:pStyle w:val="TEKSTIII"/>
      </w:pPr>
      <w:r w:rsidRPr="00551729">
        <w:t>j) Raporti i vlerësimit/negocimit, duke përfshirë anekset dhe ofertat e pranuara;</w:t>
      </w:r>
      <w:r w:rsidR="007342D6" w:rsidRPr="00551729">
        <w:rPr>
          <w:rStyle w:val="FootnoteReference"/>
        </w:rPr>
        <w:footnoteReference w:id="91"/>
      </w:r>
      <w:r w:rsidRPr="00551729">
        <w:t xml:space="preserve"> </w:t>
      </w:r>
    </w:p>
    <w:p w14:paraId="1BADD042" w14:textId="77777777" w:rsidR="00124F91" w:rsidRPr="00551729" w:rsidRDefault="00124F91" w:rsidP="00124F91">
      <w:pPr>
        <w:pStyle w:val="TEKSTIII"/>
      </w:pPr>
      <w:r w:rsidRPr="00551729">
        <w:t xml:space="preserve">k) Letra e njoftimit; </w:t>
      </w:r>
    </w:p>
    <w:p w14:paraId="1BADD043" w14:textId="77777777" w:rsidR="00124F91" w:rsidRPr="00551729" w:rsidRDefault="00124F91" w:rsidP="00124F91">
      <w:pPr>
        <w:pStyle w:val="TEKSTIII"/>
      </w:pPr>
      <w:r w:rsidRPr="00551729">
        <w:t xml:space="preserve">l) Shkresë për dorëzimin e kontratës; </w:t>
      </w:r>
    </w:p>
    <w:p w14:paraId="1BADD044" w14:textId="77777777" w:rsidR="00124F91" w:rsidRPr="00551729" w:rsidRDefault="00124F91" w:rsidP="00124F91">
      <w:pPr>
        <w:pStyle w:val="TEKSTIII"/>
      </w:pPr>
      <w:r w:rsidRPr="00551729">
        <w:t xml:space="preserve">m) Letrat për kandidatët e pasuksesshëm; </w:t>
      </w:r>
    </w:p>
    <w:p w14:paraId="1BADD045" w14:textId="77777777" w:rsidR="00124F91" w:rsidRPr="00551729" w:rsidRDefault="00124F91" w:rsidP="00124F91">
      <w:pPr>
        <w:pStyle w:val="TEKSTIII"/>
      </w:pPr>
      <w:r w:rsidRPr="00551729">
        <w:t xml:space="preserve">n) Dhënia /njoftimi i anulimit, përfshirë dëshminë e publikimit; </w:t>
      </w:r>
    </w:p>
    <w:p w14:paraId="1BADD046" w14:textId="77777777" w:rsidR="00124F91" w:rsidRPr="00551729" w:rsidRDefault="00124F91" w:rsidP="00124F91">
      <w:pPr>
        <w:pStyle w:val="TEKSTIII"/>
      </w:pPr>
      <w:r w:rsidRPr="00551729">
        <w:t xml:space="preserve">o) Kontratat e nënshkruara, ndryshimet, dispozitat shtesë, raportet e zbatimit, dhe korrespondenca përkatëse. </w:t>
      </w:r>
    </w:p>
    <w:p w14:paraId="1BADD047" w14:textId="77777777" w:rsidR="00124F91" w:rsidRPr="00551729" w:rsidRDefault="00124F91" w:rsidP="00124F91">
      <w:pPr>
        <w:pStyle w:val="TEKSTIII"/>
      </w:pPr>
      <w:r w:rsidRPr="00551729">
        <w:t xml:space="preserve">b. Për thirrjet për propozime dhe dhënien e drejtpërdrejtë të granteve në veçanti: </w:t>
      </w:r>
    </w:p>
    <w:p w14:paraId="1BADD048" w14:textId="1F61AD2C" w:rsidR="00124F91" w:rsidRPr="00551729" w:rsidRDefault="00124F91" w:rsidP="00124F91">
      <w:pPr>
        <w:pStyle w:val="TEKSTIII"/>
      </w:pPr>
      <w:r w:rsidRPr="00551729">
        <w:t>a</w:t>
      </w:r>
      <w:r w:rsidR="00D20DC6">
        <w:t>)</w:t>
      </w:r>
      <w:r w:rsidRPr="00551729">
        <w:t xml:space="preserve"> Emërimi i komisionit të vlerësimit; </w:t>
      </w:r>
    </w:p>
    <w:p w14:paraId="1BADD049" w14:textId="5DB0EFD7" w:rsidR="00124F91" w:rsidRPr="00551729" w:rsidRDefault="00124F91" w:rsidP="00124F91">
      <w:pPr>
        <w:pStyle w:val="TEKSTIII"/>
      </w:pPr>
      <w:r w:rsidRPr="00551729">
        <w:t>b</w:t>
      </w:r>
      <w:r w:rsidR="00D20DC6">
        <w:t>)</w:t>
      </w:r>
      <w:r w:rsidRPr="00551729">
        <w:t xml:space="preserve"> Raporti i hapjes dhe raporti administrativ, duke përfshirë shtojcat dhe aplikimet e marra;</w:t>
      </w:r>
      <w:r w:rsidR="007342D6" w:rsidRPr="00551729">
        <w:rPr>
          <w:rStyle w:val="FootnoteReference"/>
        </w:rPr>
        <w:footnoteReference w:id="92"/>
      </w:r>
    </w:p>
    <w:p w14:paraId="1BADD04A" w14:textId="50330F60" w:rsidR="00124F91" w:rsidRPr="00551729" w:rsidRDefault="00124F91" w:rsidP="00124F91">
      <w:pPr>
        <w:pStyle w:val="TEKSTIII"/>
      </w:pPr>
      <w:r w:rsidRPr="00551729">
        <w:t>c</w:t>
      </w:r>
      <w:r w:rsidR="00D20DC6">
        <w:t>)</w:t>
      </w:r>
      <w:r w:rsidRPr="00551729">
        <w:t xml:space="preserve"> Letrat për aplikantët e suksesshëm dhe të pasuksesshëm, pas vlerësimit të </w:t>
      </w:r>
      <w:r w:rsidR="00092CAE">
        <w:t>k</w:t>
      </w:r>
      <w:r w:rsidRPr="00551729">
        <w:t xml:space="preserve">oncept note; </w:t>
      </w:r>
    </w:p>
    <w:p w14:paraId="1BADD04B" w14:textId="2195616E" w:rsidR="00124F91" w:rsidRPr="00551729" w:rsidRDefault="00124F91" w:rsidP="00124F91">
      <w:pPr>
        <w:pStyle w:val="TEKSTIII"/>
      </w:pPr>
      <w:r w:rsidRPr="00551729">
        <w:t>d</w:t>
      </w:r>
      <w:r w:rsidR="00D20DC6">
        <w:t>)</w:t>
      </w:r>
      <w:r w:rsidRPr="00551729">
        <w:t xml:space="preserve"> Raporti i vlerësimit të</w:t>
      </w:r>
      <w:r w:rsidR="00D20DC6">
        <w:t xml:space="preserve"> </w:t>
      </w:r>
      <w:r w:rsidR="00092CAE">
        <w:t>k</w:t>
      </w:r>
      <w:r w:rsidRPr="00551729">
        <w:t xml:space="preserve">oncept notes; </w:t>
      </w:r>
    </w:p>
    <w:p w14:paraId="1BADD04C" w14:textId="28850840" w:rsidR="00124F91" w:rsidRPr="00551729" w:rsidRDefault="00124F91" w:rsidP="00124F91">
      <w:pPr>
        <w:pStyle w:val="TEKSTIII"/>
      </w:pPr>
      <w:r w:rsidRPr="00551729">
        <w:t>e</w:t>
      </w:r>
      <w:r w:rsidR="00D20DC6">
        <w:t>)</w:t>
      </w:r>
      <w:r w:rsidRPr="00551729">
        <w:t xml:space="preserve"> Raporti i vlerësimit të aplikimit të plotë ose raportit të negocimit me shtojcat përkatëse; </w:t>
      </w:r>
    </w:p>
    <w:p w14:paraId="1BADD04D" w14:textId="44C62B22" w:rsidR="00124F91" w:rsidRPr="00551729" w:rsidRDefault="00124F91" w:rsidP="00124F91">
      <w:pPr>
        <w:pStyle w:val="TEKSTIII"/>
      </w:pPr>
      <w:r w:rsidRPr="00551729">
        <w:t>f</w:t>
      </w:r>
      <w:r w:rsidR="00D20DC6">
        <w:t>)</w:t>
      </w:r>
      <w:r w:rsidRPr="00551729">
        <w:t xml:space="preserve"> Kontrolli i pranueshmërisë dhe dokumentet e tjera shoqëruese; </w:t>
      </w:r>
    </w:p>
    <w:p w14:paraId="1BADD04E" w14:textId="7D0414A9" w:rsidR="00124F91" w:rsidRPr="00551729" w:rsidRDefault="00124F91" w:rsidP="00124F91">
      <w:pPr>
        <w:pStyle w:val="TEKSTIII"/>
      </w:pPr>
      <w:r w:rsidRPr="00551729">
        <w:t>g</w:t>
      </w:r>
      <w:r w:rsidR="00D20DC6">
        <w:t>)</w:t>
      </w:r>
      <w:r w:rsidRPr="00551729">
        <w:t xml:space="preserve"> Letrat për aplikantët e suksesshëm dhe të pasuksesshëm me listën e miratuar rezervë, pas vlerësimit të aplikimit të plotë; </w:t>
      </w:r>
    </w:p>
    <w:p w14:paraId="1BADD04F" w14:textId="3C62C803" w:rsidR="00124F91" w:rsidRPr="00551729" w:rsidRDefault="00124F91" w:rsidP="00124F91">
      <w:pPr>
        <w:pStyle w:val="TEKSTIII"/>
      </w:pPr>
      <w:r w:rsidRPr="00551729">
        <w:t>h</w:t>
      </w:r>
      <w:r w:rsidR="00D20DC6">
        <w:t>)</w:t>
      </w:r>
      <w:r w:rsidRPr="00551729">
        <w:t xml:space="preserve"> Shkresa përcjellëse për dorëzimin e kontratës së grantit; </w:t>
      </w:r>
    </w:p>
    <w:p w14:paraId="1BADD050" w14:textId="4AAE179F" w:rsidR="00124F91" w:rsidRPr="00551729" w:rsidRDefault="00124F91" w:rsidP="00124F91">
      <w:pPr>
        <w:pStyle w:val="TEKSTIII"/>
      </w:pPr>
      <w:r w:rsidRPr="00551729">
        <w:t>i</w:t>
      </w:r>
      <w:r w:rsidR="00D20DC6">
        <w:t xml:space="preserve">) </w:t>
      </w:r>
      <w:r w:rsidRPr="00551729">
        <w:t xml:space="preserve">Dhënia/njoftimi i anulimit, me dëshmi të publikimit; </w:t>
      </w:r>
    </w:p>
    <w:p w14:paraId="1BADD051" w14:textId="3D063FA7" w:rsidR="00124F91" w:rsidRPr="00551729" w:rsidRDefault="00124F91" w:rsidP="00124F91">
      <w:pPr>
        <w:pStyle w:val="TEKSTIII"/>
      </w:pPr>
      <w:r w:rsidRPr="00551729">
        <w:t>j</w:t>
      </w:r>
      <w:r w:rsidR="00D20DC6">
        <w:t>)</w:t>
      </w:r>
      <w:r w:rsidRPr="00551729">
        <w:t xml:space="preserve"> Kontratat e nënshkruara, ndryshimet, dispozitat shtesë dhe korrespondencat përkatëse. </w:t>
      </w:r>
    </w:p>
    <w:p w14:paraId="1BADD052" w14:textId="2F66DCD8" w:rsidR="00124F91" w:rsidRPr="00551729" w:rsidRDefault="00124F91" w:rsidP="00124F91">
      <w:pPr>
        <w:pStyle w:val="TEKSTIII"/>
      </w:pPr>
      <w:r w:rsidRPr="00551729">
        <w:t xml:space="preserve">Përveç kësaj, dokumentet financiare dhe kontraktuale të përmendura në paragrafin 5(a) dhe (b) të këtij neni, do të plotësohen nga të gjitha dokumentet e tjera shoqëruese përkatëse, siç kërkohen nga </w:t>
      </w:r>
      <w:r w:rsidR="00F155B0" w:rsidRPr="00551729">
        <w:t>procedurat</w:t>
      </w:r>
      <w:r w:rsidRPr="00551729">
        <w:t xml:space="preserve"> e përmendura në pikën 1 të këtij neni, si dhe të gjithë dokumentacionin përkatës në lidhje me pagesat, rikuperimin dhe shpenzimet operative, për shembull raportet e projektit dhe raportet e kontrolleve në vend, pranimi i furnizimeve dhe punëve, sigurimet dhe garancitë, raportet e inxhinierëve të mbikëqyrjes. </w:t>
      </w:r>
    </w:p>
    <w:p w14:paraId="1BADD053" w14:textId="77777777" w:rsidR="00124F91" w:rsidRPr="00551729" w:rsidRDefault="00124F91" w:rsidP="00124F91">
      <w:pPr>
        <w:pStyle w:val="TEKSTIII"/>
      </w:pPr>
      <w:r w:rsidRPr="00551729">
        <w:t>Të gjitha dokumentet përkatëse financiare dhe kontraktuale do të mbahen për të njëjtën kohëzgjatje, në përputhje me nenin 49 të Marrëveshjes Kuadër.</w:t>
      </w:r>
    </w:p>
    <w:p w14:paraId="1BADD054" w14:textId="77777777" w:rsidR="00124F91" w:rsidRPr="00551729" w:rsidRDefault="00124F91" w:rsidP="00124F91">
      <w:pPr>
        <w:pStyle w:val="TEKSTIII"/>
      </w:pPr>
    </w:p>
    <w:p w14:paraId="2DB5DF38" w14:textId="77777777" w:rsidR="00CF14DF" w:rsidRDefault="00CF14DF" w:rsidP="00124F91">
      <w:pPr>
        <w:pStyle w:val="TEKSTIII"/>
        <w:jc w:val="center"/>
        <w:rPr>
          <w:bCs/>
        </w:rPr>
      </w:pPr>
    </w:p>
    <w:p w14:paraId="35412E27" w14:textId="77777777" w:rsidR="00CF14DF" w:rsidRDefault="00CF14DF" w:rsidP="00124F91">
      <w:pPr>
        <w:pStyle w:val="TEKSTIII"/>
        <w:jc w:val="center"/>
        <w:rPr>
          <w:bCs/>
        </w:rPr>
      </w:pPr>
    </w:p>
    <w:p w14:paraId="20945A99" w14:textId="77777777" w:rsidR="00CF14DF" w:rsidRDefault="00CF14DF" w:rsidP="00124F91">
      <w:pPr>
        <w:pStyle w:val="TEKSTIII"/>
        <w:jc w:val="center"/>
        <w:rPr>
          <w:bCs/>
        </w:rPr>
      </w:pPr>
    </w:p>
    <w:p w14:paraId="1BADD055" w14:textId="77777777" w:rsidR="00124F91" w:rsidRPr="00551729" w:rsidRDefault="00124F91" w:rsidP="00124F91">
      <w:pPr>
        <w:pStyle w:val="TEKSTIII"/>
        <w:jc w:val="center"/>
        <w:rPr>
          <w:bCs/>
        </w:rPr>
      </w:pPr>
      <w:r w:rsidRPr="00551729">
        <w:rPr>
          <w:bCs/>
        </w:rPr>
        <w:t>Neni 8a</w:t>
      </w:r>
    </w:p>
    <w:p w14:paraId="1BADD056" w14:textId="77777777" w:rsidR="00124F91" w:rsidRPr="00551729" w:rsidRDefault="00124F91" w:rsidP="00124F91">
      <w:pPr>
        <w:pStyle w:val="TEKSTIII"/>
        <w:jc w:val="center"/>
        <w:rPr>
          <w:b/>
          <w:bCs/>
        </w:rPr>
      </w:pPr>
      <w:r w:rsidRPr="00551729">
        <w:rPr>
          <w:b/>
          <w:bCs/>
        </w:rPr>
        <w:t>Detyrimi për të informuar, sanksionet administrative dhe mosveprimi</w:t>
      </w:r>
    </w:p>
    <w:p w14:paraId="1BADD057" w14:textId="77777777" w:rsidR="00124F91" w:rsidRPr="00551729" w:rsidRDefault="00124F91" w:rsidP="00124F91">
      <w:pPr>
        <w:pStyle w:val="TEKSTIII"/>
      </w:pPr>
    </w:p>
    <w:p w14:paraId="1BADD058" w14:textId="5B32C4BC" w:rsidR="00124F91" w:rsidRPr="00551729" w:rsidRDefault="00124F91" w:rsidP="00124F91">
      <w:pPr>
        <w:pStyle w:val="TEKSTIII"/>
      </w:pPr>
      <w:r w:rsidRPr="00551729">
        <w:t>1</w:t>
      </w:r>
      <w:r w:rsidR="00092CAE">
        <w:t>.</w:t>
      </w:r>
      <w:r w:rsidRPr="00551729">
        <w:t xml:space="preserve"> Gjatë zbatimit të procedurave dhe dokumenteve standarde të përcaktuara dhe të publikuara nga Komisioni për dhënien e kontratave të prokurimit dhe grantit, përfituesi i IPA II do të sigurojë që asnjë kontratë e prokurimit ose grantit të financuar nga BE nuk i jepet një operatori ekonomik ose aplikanti për grante, nëse operatori ekonomik ose kërkuesi i grantit, personalisht ose një person me kompetenca të përfaqësimit, vendimmarrjes ose kontrollit mbi të, ndodhet në një nga situatat e përjashtimit të parashikuara në procedurat përkatëse dhe dokumentet standarde të Komisionit.</w:t>
      </w:r>
    </w:p>
    <w:p w14:paraId="1BADD059" w14:textId="654FB5A3" w:rsidR="00124F91" w:rsidRPr="00551729" w:rsidRDefault="00124F91" w:rsidP="00124F91">
      <w:pPr>
        <w:pStyle w:val="TEKSTIII"/>
      </w:pPr>
      <w:r w:rsidRPr="00551729">
        <w:t>2</w:t>
      </w:r>
      <w:r w:rsidR="00092CAE">
        <w:t>.</w:t>
      </w:r>
      <w:r w:rsidRPr="00551729">
        <w:t xml:space="preserve"> Përfituesi IPA II që është Autoriteti Kontraktues do të informojë Komisionin, kur një kandidat, ofertues ose aplikant ndodhet në një situatë përjashtimi nga pjesëmarrja në procedurat e dhënies së prokurimit dhe grantit, ka kryer parregullsi dhe mashtrime ose është konstatuar në shkelje të rëndë të detyrimeve të tij kontraktuale. </w:t>
      </w:r>
    </w:p>
    <w:p w14:paraId="1BADD05A" w14:textId="3BB4BAFA" w:rsidR="00124F91" w:rsidRPr="00551729" w:rsidRDefault="00124F91" w:rsidP="00124F91">
      <w:pPr>
        <w:pStyle w:val="TEKSTIII"/>
      </w:pPr>
      <w:r w:rsidRPr="00551729">
        <w:t>3</w:t>
      </w:r>
      <w:r w:rsidR="00092CAE">
        <w:t>.</w:t>
      </w:r>
      <w:r w:rsidRPr="00551729">
        <w:t xml:space="preserve"> Përfituesi IPA II që është Autoritet Kontraktues, do të marrë parasysh informacionin përfshirë në Sistemin e Zbulimit të Parakohshëm dhe të Përjashtimit (EDES) të Komisioni,</w:t>
      </w:r>
      <w:r w:rsidR="00C521D5" w:rsidRPr="00551729">
        <w:t xml:space="preserve"> </w:t>
      </w:r>
      <w:r w:rsidRPr="00551729">
        <w:t>kur nënshkruan kontrata të prokurimit dhe granteve. Aksesi në informacione mund të sigurohet përmes pikës</w:t>
      </w:r>
      <w:r w:rsidR="00092CAE">
        <w:t>/</w:t>
      </w:r>
      <w:r w:rsidRPr="00551729">
        <w:t xml:space="preserve">ve së ndërlidhjes ose nëpërmjet konsultimeve me mënyrat e mëposhtme: (Komisioni Evropian, Drejtoria e Përgjithshme për Buxhetin, nëpunësi i kontabilitetit të Komisionit, BRE2-13/505, B-1049 Bruksel, Belgjikë dhe me </w:t>
      </w:r>
      <w:r w:rsidRPr="00F155B0">
        <w:rPr>
          <w:i/>
        </w:rPr>
        <w:t>email:</w:t>
      </w:r>
      <w:r w:rsidR="00C521D5" w:rsidRPr="00551729">
        <w:t xml:space="preserve"> </w:t>
      </w:r>
      <w:r w:rsidRPr="00551729">
        <w:rPr>
          <w:color w:val="0000FF"/>
        </w:rPr>
        <w:t>BUDG-C01-EXCL-DB@ec.europa.eu</w:t>
      </w:r>
      <w:r w:rsidRPr="00551729">
        <w:t xml:space="preserve"> bashkë me adresën e Komisionit, të identifikuar në nenin 3 të Kushteve të veçanta). </w:t>
      </w:r>
    </w:p>
    <w:p w14:paraId="1BADD05B" w14:textId="0834C2B1" w:rsidR="00124F91" w:rsidRPr="00551729" w:rsidRDefault="00124F91" w:rsidP="00124F91">
      <w:pPr>
        <w:pStyle w:val="TEKSTIII"/>
      </w:pPr>
      <w:r w:rsidRPr="00551729">
        <w:t>4</w:t>
      </w:r>
      <w:r w:rsidR="00092CAE">
        <w:t>.</w:t>
      </w:r>
      <w:r w:rsidRPr="00551729">
        <w:t xml:space="preserve"> Kur përfituesi IPA II që është Autoriteti Kontraktues, është në dijeni për një situatë përjashtimi në zbatimin e detyrave të përshkruara në </w:t>
      </w:r>
      <w:r w:rsidR="007F4192" w:rsidRPr="00551729">
        <w:t xml:space="preserve">shtojcën </w:t>
      </w:r>
      <w:r w:rsidRPr="00551729">
        <w:t>I, përfituesi i IPA II që është Autoriteti Kontraktues, do t</w:t>
      </w:r>
      <w:r w:rsidR="007F4192">
        <w:t>’</w:t>
      </w:r>
      <w:r w:rsidRPr="00551729">
        <w:t xml:space="preserve">i vendosë një operatori ekonomik ose aplikuesi granti përjashtimin nga </w:t>
      </w:r>
      <w:r w:rsidR="00F155B0" w:rsidRPr="00551729">
        <w:t>procedurat</w:t>
      </w:r>
      <w:r w:rsidRPr="00551729">
        <w:t xml:space="preserve"> e ardhshme të prokurimeve dhe dhënies së granteve. Përfituesi i IPA II që është Autoriteti Kontraktues, gjithashtu mund të vendosë një penalitet financiar proporcional me vlerën e kontratës në fjalë. Përjashtimet dhe/ose penalitetet financiare do të vendosen pas një </w:t>
      </w:r>
      <w:r w:rsidR="007F4192" w:rsidRPr="00551729">
        <w:t>procedure</w:t>
      </w:r>
      <w:r w:rsidRPr="00551729">
        <w:t xml:space="preserve"> për gjetjen dhe paraqitje e provave që siguron të drejtën e mbrojtjes së personit në fjalë. Përfituesi IPA II që është Autoriteti Kontraktues, njofton Komisionin në përputhje me paragrafin 1 të këtij Neni.</w:t>
      </w:r>
    </w:p>
    <w:p w14:paraId="1BADD05C" w14:textId="6D80EB39" w:rsidR="00124F91" w:rsidRPr="00551729" w:rsidRDefault="00124F91" w:rsidP="00124F91">
      <w:pPr>
        <w:pStyle w:val="TEKSTIII"/>
      </w:pPr>
      <w:r w:rsidRPr="00551729">
        <w:t>5</w:t>
      </w:r>
      <w:r w:rsidR="00092CAE">
        <w:t>.</w:t>
      </w:r>
      <w:r w:rsidRPr="00551729">
        <w:t xml:space="preserve"> Në lidhje me paragrafin 4 të këtij neni, përfituesi IPA II që është Autoriteti Kontraktues,</w:t>
      </w:r>
      <w:r w:rsidR="00C521D5" w:rsidRPr="00551729">
        <w:t xml:space="preserve"> </w:t>
      </w:r>
      <w:r w:rsidRPr="00551729">
        <w:t>konsiderohet që ndodhet në një situatë mosveprimi, nëse nuk vendos përjashtim dhe/ose një penalitet financiar ndaj operatorit ekonomik ose kërkuesit të grantit.</w:t>
      </w:r>
    </w:p>
    <w:p w14:paraId="1BADD05D" w14:textId="1CA19629" w:rsidR="00124F91" w:rsidRPr="00551729" w:rsidRDefault="00124F91" w:rsidP="00124F91">
      <w:pPr>
        <w:pStyle w:val="TEKSTIII"/>
      </w:pPr>
      <w:r w:rsidRPr="00551729">
        <w:t>6</w:t>
      </w:r>
      <w:r w:rsidR="00092CAE">
        <w:t>.</w:t>
      </w:r>
      <w:r w:rsidRPr="00551729">
        <w:t xml:space="preserve"> Në rastin e mosveprimit, përfituesi IPA II që është Autoriteti Kontraktues, duhet të njoftojë Komisionin për të shpjeguar arsyet për mosveprimin e tij. Komisioni ruan</w:t>
      </w:r>
      <w:r w:rsidR="007F4192">
        <w:t xml:space="preserve"> </w:t>
      </w:r>
      <w:r w:rsidRPr="00551729">
        <w:t xml:space="preserve">të drejtën për të përjashtuar një operator ekonomik ose një aplikues granti nga </w:t>
      </w:r>
      <w:r w:rsidR="007F4192" w:rsidRPr="00551729">
        <w:t>procedurat</w:t>
      </w:r>
      <w:r w:rsidRPr="00551729">
        <w:t xml:space="preserve"> e ardhshme të financimit të BE-së dhe/ose të vendosë një penalitet financiar ndaj operatorit ekonomik ose kërkuesit të grantit ndërmjet 2% dhe 10% të vlerës totale të kontratës në fjalë.</w:t>
      </w:r>
    </w:p>
    <w:p w14:paraId="1BADD05E" w14:textId="77777777" w:rsidR="00124F91" w:rsidRPr="00551729" w:rsidRDefault="00124F91" w:rsidP="00124F91">
      <w:pPr>
        <w:pStyle w:val="TEKSTIII"/>
        <w:rPr>
          <w:b/>
          <w:bCs/>
        </w:rPr>
      </w:pPr>
    </w:p>
    <w:p w14:paraId="1BADD05F" w14:textId="77777777" w:rsidR="00124F91" w:rsidRPr="00551729" w:rsidRDefault="00124F91" w:rsidP="00124F91">
      <w:pPr>
        <w:pStyle w:val="TEKSTIII"/>
        <w:jc w:val="center"/>
        <w:rPr>
          <w:bCs/>
        </w:rPr>
      </w:pPr>
      <w:r w:rsidRPr="00551729">
        <w:rPr>
          <w:bCs/>
        </w:rPr>
        <w:t>Neni 9</w:t>
      </w:r>
    </w:p>
    <w:p w14:paraId="1BADD060" w14:textId="638C3C73" w:rsidR="00124F91" w:rsidRPr="00551729" w:rsidRDefault="00124F91" w:rsidP="00124F91">
      <w:pPr>
        <w:pStyle w:val="TEKSTIII"/>
        <w:jc w:val="center"/>
      </w:pPr>
      <w:r w:rsidRPr="00551729">
        <w:rPr>
          <w:b/>
          <w:bCs/>
        </w:rPr>
        <w:t xml:space="preserve">Kontrollet </w:t>
      </w:r>
      <w:r w:rsidRPr="00551729">
        <w:rPr>
          <w:b/>
          <w:bCs/>
          <w:i/>
          <w:iCs/>
        </w:rPr>
        <w:t>ex ante</w:t>
      </w:r>
      <w:r w:rsidRPr="00551729">
        <w:rPr>
          <w:b/>
          <w:bCs/>
        </w:rPr>
        <w:t xml:space="preserve"> mbi </w:t>
      </w:r>
      <w:r w:rsidR="00F155B0" w:rsidRPr="00551729">
        <w:rPr>
          <w:b/>
          <w:bCs/>
        </w:rPr>
        <w:t>procedurat</w:t>
      </w:r>
      <w:r w:rsidRPr="00551729">
        <w:rPr>
          <w:b/>
          <w:bCs/>
        </w:rPr>
        <w:t xml:space="preserve"> e granteve dhe prokurimeve dhe kontrollet </w:t>
      </w:r>
      <w:r w:rsidRPr="00551729">
        <w:rPr>
          <w:b/>
          <w:bCs/>
          <w:i/>
          <w:iCs/>
        </w:rPr>
        <w:t>ex post</w:t>
      </w:r>
      <w:r w:rsidRPr="00551729">
        <w:rPr>
          <w:b/>
          <w:bCs/>
        </w:rPr>
        <w:t xml:space="preserve"> të kontratave dhe granteve që do të kryhen nga Komisioni</w:t>
      </w:r>
    </w:p>
    <w:p w14:paraId="1BADD061" w14:textId="77777777" w:rsidR="00124F91" w:rsidRPr="00551729" w:rsidRDefault="00124F91" w:rsidP="00124F91">
      <w:pPr>
        <w:pStyle w:val="TEKSTIII"/>
        <w:jc w:val="center"/>
      </w:pPr>
    </w:p>
    <w:p w14:paraId="1BADD062" w14:textId="56358EA8" w:rsidR="00124F91" w:rsidRPr="00551729" w:rsidRDefault="00124F91" w:rsidP="00124F91">
      <w:pPr>
        <w:pStyle w:val="TEKSTIII"/>
      </w:pPr>
      <w:r w:rsidRPr="00551729">
        <w:t>1</w:t>
      </w:r>
      <w:r w:rsidR="00365069">
        <w:t>.</w:t>
      </w:r>
      <w:r w:rsidRPr="00551729">
        <w:t xml:space="preserve"> Komisioni mund të ushtrojë kontrolle paraprake </w:t>
      </w:r>
      <w:r w:rsidRPr="00F155B0">
        <w:rPr>
          <w:i/>
        </w:rPr>
        <w:t>(ex ante)</w:t>
      </w:r>
      <w:r w:rsidRPr="00551729">
        <w:t xml:space="preserve"> për tenderimin e kontratave, hapjen e thirrjeve për propozime dhe dhënien e kontratave dhe granteve për fazat e mëposhtme të prokurimit ose dhënies së granteve: </w:t>
      </w:r>
    </w:p>
    <w:p w14:paraId="1BADD063" w14:textId="7F27A81D" w:rsidR="00124F91" w:rsidRPr="00551729" w:rsidRDefault="00124F91" w:rsidP="00124F91">
      <w:pPr>
        <w:pStyle w:val="TEKSTIII"/>
      </w:pPr>
      <w:r w:rsidRPr="00551729">
        <w:t>a</w:t>
      </w:r>
      <w:r w:rsidR="00F155B0">
        <w:t>)</w:t>
      </w:r>
      <w:r w:rsidRPr="00551729">
        <w:t xml:space="preserve"> për miratimin e njoftimeve të kontratës për prokurim, programet e punës për thirrjet për propozime dhe çdo korrigjim të tij; </w:t>
      </w:r>
    </w:p>
    <w:p w14:paraId="1BADD064" w14:textId="777A925F" w:rsidR="00124F91" w:rsidRPr="00551729" w:rsidRDefault="00124F91" w:rsidP="00124F91">
      <w:pPr>
        <w:pStyle w:val="TEKSTIII"/>
      </w:pPr>
      <w:r w:rsidRPr="00551729">
        <w:t>b</w:t>
      </w:r>
      <w:r w:rsidR="00F155B0">
        <w:t>)</w:t>
      </w:r>
      <w:r w:rsidRPr="00551729">
        <w:t xml:space="preserve"> për miratimin e dosjeve të tenderit dhe udhëzimeve për aplikantët për grante; </w:t>
      </w:r>
    </w:p>
    <w:p w14:paraId="1BADD065" w14:textId="38AB5B6F" w:rsidR="00124F91" w:rsidRPr="00551729" w:rsidRDefault="00124F91" w:rsidP="00124F91">
      <w:pPr>
        <w:pStyle w:val="TEKSTIII"/>
      </w:pPr>
      <w:r w:rsidRPr="00551729">
        <w:t>c</w:t>
      </w:r>
      <w:r w:rsidR="00F155B0">
        <w:t>)</w:t>
      </w:r>
      <w:r w:rsidRPr="00551729">
        <w:t xml:space="preserve"> për miratimin e përbërjes së Komisioneve të Vlerësimit; </w:t>
      </w:r>
    </w:p>
    <w:p w14:paraId="1BADD066" w14:textId="3A74C13C" w:rsidR="00124F91" w:rsidRPr="00551729" w:rsidRDefault="00124F91" w:rsidP="00124F91">
      <w:pPr>
        <w:pStyle w:val="TEKSTIII"/>
      </w:pPr>
      <w:r w:rsidRPr="00551729">
        <w:t>d</w:t>
      </w:r>
      <w:r w:rsidR="00F155B0">
        <w:t>)</w:t>
      </w:r>
      <w:r w:rsidRPr="00551729">
        <w:t xml:space="preserve"> për miratimin e raporteve të vlerësimit dhe vendimet e dhënies së kontratës</w:t>
      </w:r>
      <w:r w:rsidR="00792288" w:rsidRPr="00551729">
        <w:rPr>
          <w:rStyle w:val="FootnoteReference"/>
        </w:rPr>
        <w:footnoteReference w:id="93"/>
      </w:r>
      <w:r w:rsidRPr="00551729">
        <w:t xml:space="preserve">; </w:t>
      </w:r>
    </w:p>
    <w:p w14:paraId="1BADD067" w14:textId="43A8EB1B" w:rsidR="00124F91" w:rsidRPr="00551729" w:rsidRDefault="00124F91" w:rsidP="00124F91">
      <w:pPr>
        <w:pStyle w:val="TEKSTIII"/>
      </w:pPr>
      <w:r w:rsidRPr="00551729">
        <w:t>e</w:t>
      </w:r>
      <w:r w:rsidR="00F155B0">
        <w:t>)</w:t>
      </w:r>
      <w:r w:rsidRPr="00551729">
        <w:t xml:space="preserve"> për miratimin e dosjeve të kontratës dhe shtesën e kontratës. </w:t>
      </w:r>
    </w:p>
    <w:p w14:paraId="1BADD068" w14:textId="4A741549" w:rsidR="00124F91" w:rsidRPr="00551729" w:rsidRDefault="00124F91" w:rsidP="00124F91">
      <w:pPr>
        <w:pStyle w:val="TEKSTIII"/>
      </w:pPr>
      <w:r w:rsidRPr="00551729">
        <w:t>2</w:t>
      </w:r>
      <w:r w:rsidR="00365069">
        <w:t>.</w:t>
      </w:r>
      <w:r w:rsidRPr="00551729">
        <w:t xml:space="preserve"> Lidhur me kontrollin paraprak, komisioni duhet të vendosë:</w:t>
      </w:r>
    </w:p>
    <w:p w14:paraId="1BADD069" w14:textId="1138F904" w:rsidR="00124F91" w:rsidRPr="00551729" w:rsidRDefault="00124F91" w:rsidP="00124F91">
      <w:pPr>
        <w:pStyle w:val="TEKSTIII"/>
      </w:pPr>
      <w:r w:rsidRPr="00551729">
        <w:t>a</w:t>
      </w:r>
      <w:r w:rsidR="00F155B0">
        <w:t>)</w:t>
      </w:r>
      <w:r w:rsidRPr="00551729">
        <w:t xml:space="preserve"> të kryejë kontrolle paraprake (</w:t>
      </w:r>
      <w:r w:rsidRPr="00551729">
        <w:rPr>
          <w:i/>
          <w:iCs/>
        </w:rPr>
        <w:t>ex-ante)</w:t>
      </w:r>
      <w:r w:rsidRPr="00551729">
        <w:t xml:space="preserve"> për të gjitha dosjet, ose </w:t>
      </w:r>
    </w:p>
    <w:p w14:paraId="1BADD06A" w14:textId="48C5EC21" w:rsidR="00124F91" w:rsidRPr="00551729" w:rsidRDefault="00124F91" w:rsidP="00124F91">
      <w:pPr>
        <w:pStyle w:val="TEKSTIII"/>
      </w:pPr>
      <w:r w:rsidRPr="00551729">
        <w:t>b</w:t>
      </w:r>
      <w:r w:rsidR="00F155B0">
        <w:t>)</w:t>
      </w:r>
      <w:r w:rsidRPr="00551729">
        <w:t xml:space="preserve"> të kryejë kontrolle paraprake </w:t>
      </w:r>
      <w:r w:rsidRPr="00551729">
        <w:rPr>
          <w:i/>
          <w:iCs/>
        </w:rPr>
        <w:t>(ex-ante)</w:t>
      </w:r>
      <w:r w:rsidRPr="00551729">
        <w:t xml:space="preserve"> në përzgjedhjen e këtyre dosjeve ose </w:t>
      </w:r>
    </w:p>
    <w:p w14:paraId="1BADD06B" w14:textId="6922FBCF" w:rsidR="00124F91" w:rsidRPr="00551729" w:rsidRDefault="00124F91" w:rsidP="00124F91">
      <w:pPr>
        <w:pStyle w:val="TEKSTIII"/>
      </w:pPr>
      <w:r w:rsidRPr="00551729">
        <w:t>c</w:t>
      </w:r>
      <w:r w:rsidR="00F155B0">
        <w:t>)</w:t>
      </w:r>
      <w:r w:rsidRPr="00551729">
        <w:t xml:space="preserve"> të heqë dorë plotësisht nga kontrollet paraprake </w:t>
      </w:r>
      <w:r w:rsidRPr="00551729">
        <w:rPr>
          <w:i/>
          <w:iCs/>
        </w:rPr>
        <w:t>(ex-ante).</w:t>
      </w:r>
      <w:r w:rsidRPr="00551729">
        <w:t xml:space="preserve"> </w:t>
      </w:r>
    </w:p>
    <w:p w14:paraId="1BADD06C" w14:textId="1B5294BC" w:rsidR="00124F91" w:rsidRPr="00551729" w:rsidRDefault="00124F91" w:rsidP="00124F91">
      <w:pPr>
        <w:pStyle w:val="TEKSTIII"/>
      </w:pPr>
      <w:r w:rsidRPr="00551729">
        <w:t>3</w:t>
      </w:r>
      <w:r w:rsidR="00F01799">
        <w:t>.</w:t>
      </w:r>
      <w:r w:rsidRPr="00551729">
        <w:t xml:space="preserve"> Nëse Komisioni vendos për të kryer kontrolle paraprake </w:t>
      </w:r>
      <w:r w:rsidRPr="00551729">
        <w:rPr>
          <w:i/>
          <w:iCs/>
        </w:rPr>
        <w:t>(ex-ante)</w:t>
      </w:r>
      <w:r w:rsidRPr="00551729">
        <w:t xml:space="preserve"> në përputhje me paragrafin 2, shkronjat (a) ose (b) të këtij neni, ai duhet të informojë përfituesin e IPA II që është Autoriteti Kontraktuespër dosjet e përzgjedhura për kontroll. . Përfituesi i IPA II do të japë të gjithë dokumentacionin dhe informacionin e nevojshëm për Komisionin, pasi të informohet se një dosje është përzgjedhur për kontroll paraprak maksimumi në kohën e dorëzimit të njoftimit të kontratës ose programit të punës për publikim. </w:t>
      </w:r>
    </w:p>
    <w:p w14:paraId="1BADD06D" w14:textId="2A8BD3C2" w:rsidR="00124F91" w:rsidRPr="00551729" w:rsidRDefault="00124F91" w:rsidP="00124F91">
      <w:pPr>
        <w:pStyle w:val="TEKSTIII"/>
      </w:pPr>
      <w:r w:rsidRPr="00551729">
        <w:t>4</w:t>
      </w:r>
      <w:r w:rsidR="00795989">
        <w:t>.</w:t>
      </w:r>
      <w:r w:rsidRPr="00551729">
        <w:t xml:space="preserve"> Komisioni mund të vendosë për të kryer kontrolle të mëpasshme (</w:t>
      </w:r>
      <w:r w:rsidRPr="00551729">
        <w:rPr>
          <w:i/>
          <w:iCs/>
        </w:rPr>
        <w:t>ex-post),</w:t>
      </w:r>
      <w:r w:rsidRPr="00551729">
        <w:t xml:space="preserve"> duke përfshirë auditimet dhe kontrollet në vend, në çdo kohë, për kontrtat ose grantet e dhëna nga përfituesi IPA II që është Autoriteti Kontraktues që rrjedhin nga kjo Marrëveshje Financimi. Përfituesi i IPA II do të të vërë në dispozicion të gjithë dokumentacionin dhe informacionin e nevojshëm për Komisionin, pasi të informohet se kjo dosje është përzgjedhur për kontroll të mëpasshëm (</w:t>
      </w:r>
      <w:r w:rsidRPr="00551729">
        <w:rPr>
          <w:i/>
          <w:iCs/>
        </w:rPr>
        <w:t>ex post</w:t>
      </w:r>
      <w:r w:rsidRPr="00551729">
        <w:t xml:space="preserve">). Komisioni mund të autorizojë një person ose njësi ekonomike për të kryer kontrolle </w:t>
      </w:r>
      <w:r w:rsidRPr="00551729">
        <w:rPr>
          <w:i/>
          <w:iCs/>
        </w:rPr>
        <w:t>ex post</w:t>
      </w:r>
      <w:r w:rsidRPr="00551729">
        <w:t xml:space="preserve"> në emër të tij. </w:t>
      </w:r>
    </w:p>
    <w:p w14:paraId="1BADD06E" w14:textId="77777777" w:rsidR="00124F91" w:rsidRPr="00551729" w:rsidRDefault="00124F91" w:rsidP="00124F91">
      <w:pPr>
        <w:pStyle w:val="TEKSTIII"/>
      </w:pPr>
    </w:p>
    <w:p w14:paraId="1BADD06F" w14:textId="77777777" w:rsidR="00124F91" w:rsidRPr="00551729" w:rsidRDefault="00124F91" w:rsidP="00124F91">
      <w:pPr>
        <w:pStyle w:val="TEKSTIII"/>
        <w:jc w:val="center"/>
        <w:rPr>
          <w:bCs/>
        </w:rPr>
      </w:pPr>
      <w:r w:rsidRPr="00551729">
        <w:rPr>
          <w:bCs/>
        </w:rPr>
        <w:t>Neni 10</w:t>
      </w:r>
    </w:p>
    <w:p w14:paraId="1BADD070" w14:textId="77777777" w:rsidR="00124F91" w:rsidRPr="00551729" w:rsidRDefault="00124F91" w:rsidP="00124F91">
      <w:pPr>
        <w:pStyle w:val="TEKSTIII"/>
        <w:jc w:val="center"/>
      </w:pPr>
      <w:r w:rsidRPr="00551729">
        <w:rPr>
          <w:b/>
          <w:bCs/>
        </w:rPr>
        <w:t>Llogaritë bankare, sistemet e kontabilitetit dhe kostoja e njohur</w:t>
      </w:r>
    </w:p>
    <w:p w14:paraId="1BADD071" w14:textId="77777777" w:rsidR="00124F91" w:rsidRPr="00551729" w:rsidRDefault="00124F91" w:rsidP="00124F91">
      <w:pPr>
        <w:pStyle w:val="TEKSTIII"/>
      </w:pPr>
    </w:p>
    <w:p w14:paraId="1BADD072" w14:textId="4FC5D481" w:rsidR="00124F91" w:rsidRPr="00551729" w:rsidRDefault="00124F91" w:rsidP="00124F91">
      <w:pPr>
        <w:pStyle w:val="TEKSTIII"/>
      </w:pPr>
      <w:r w:rsidRPr="00551729">
        <w:t>1</w:t>
      </w:r>
      <w:r w:rsidR="00F01799">
        <w:t>.</w:t>
      </w:r>
      <w:r w:rsidRPr="00551729">
        <w:t xml:space="preserve"> Pas hyrjes në fuqi të kësaj Marrëveshjeje Financimi, Fondi Kombëtar dhe struktura operative e përfituesit të IPA II që është Autoriteti Kontraktues për Programin e Veprimit, duhet të hapë të paktën një llogari bankare në Euro. Teprica përgjithshme bankare për Programin e Veprimit do të jetë shuma e tepricave në të gjitha llogaritë bankare të Programit të Veprimit, të mbajtura nga Fondi Kombëtar dhe të gjitha strukturat pjesëmarrëse që operojnë tek përfituesi i IPA II që është Autoriteti Kontraktues. </w:t>
      </w:r>
    </w:p>
    <w:p w14:paraId="1BADD073" w14:textId="01C17B3F" w:rsidR="00124F91" w:rsidRPr="00551729" w:rsidRDefault="00124F91" w:rsidP="00124F91">
      <w:pPr>
        <w:pStyle w:val="TEKSTIII"/>
      </w:pPr>
      <w:r w:rsidRPr="00551729">
        <w:t>2</w:t>
      </w:r>
      <w:r w:rsidR="00F01799">
        <w:t>.</w:t>
      </w:r>
      <w:r w:rsidRPr="00551729">
        <w:t xml:space="preserve"> Përfituesi i IPA II që është Autoriteti Kontraktues, do të përgatisë dhe dorëzojë në Komision planet e parashikimit të disbursimit për kohëzgjatjen e periudhës së zbatimit të Programit të Veprimit. Këto parashikime duhet të përditësohen për raportin vjetor fi</w:t>
      </w:r>
      <w:r w:rsidR="00795989">
        <w:t>nanciar të përmendur në nenin 3</w:t>
      </w:r>
      <w:r w:rsidRPr="00551729">
        <w:t>(2) dhe për çdo kërkesë për fonde. Parashikimet do të bazohen në një analizë të dokumentuar dhe të detajuar (duke përfshirë kontraktimet e planifikuara dhe dhe pagesat e planifikuara për kontrata</w:t>
      </w:r>
      <w:r w:rsidR="00795989">
        <w:t xml:space="preserve"> </w:t>
      </w:r>
      <w:r w:rsidRPr="00551729">
        <w:t xml:space="preserve">për dymbëdhjetë muajt në vijim), të cilat do të jenë në dispozicion të Komisionit në bazë të kërkesës. </w:t>
      </w:r>
    </w:p>
    <w:p w14:paraId="1BADD074" w14:textId="65099E25" w:rsidR="00124F91" w:rsidRPr="00551729" w:rsidRDefault="00124F91" w:rsidP="00124F91">
      <w:pPr>
        <w:pStyle w:val="TEKSTIII"/>
      </w:pPr>
      <w:r w:rsidRPr="00551729">
        <w:t>3</w:t>
      </w:r>
      <w:r w:rsidR="00F01799">
        <w:t>.</w:t>
      </w:r>
      <w:r w:rsidRPr="00551729">
        <w:t xml:space="preserve"> Plani fillestar i parashikimit të disbursimit duhet të përmbajë përmbledhjen e parashikimit vjetor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të disbursimit për katërmbëdhjetë muajt në vijim. </w:t>
      </w:r>
    </w:p>
    <w:p w14:paraId="1BADD075" w14:textId="6AE1CFF7" w:rsidR="00124F91" w:rsidRPr="00551729" w:rsidRDefault="00124F91" w:rsidP="00124F91">
      <w:pPr>
        <w:pStyle w:val="TEKSTIII"/>
      </w:pPr>
      <w:r w:rsidRPr="00551729">
        <w:t>4</w:t>
      </w:r>
      <w:r w:rsidR="00F01799">
        <w:t>.</w:t>
      </w:r>
      <w:r w:rsidRPr="00551729">
        <w:t xml:space="preserve"> Përfituesi i IPA II që është Autoriteti Kontraktues, është i detyruar të krijojë dhe mirëmbajë një sistem të kontabilite</w:t>
      </w:r>
      <w:r w:rsidR="00993F70">
        <w:t>tit në përputhje me pikën 2(3)</w:t>
      </w:r>
      <w:r w:rsidRPr="00551729">
        <w:t xml:space="preserve">(b) të </w:t>
      </w:r>
      <w:r w:rsidR="00993F70" w:rsidRPr="00551729">
        <w:t xml:space="preserve">shtojcës </w:t>
      </w:r>
      <w:r w:rsidRPr="00551729">
        <w:t xml:space="preserve">A të Marrëveshjes Kuadër, i cili do të mbajë të paktën informacionin për kontratat që menaxhohen nën Programin e Veprimit të treguar në </w:t>
      </w:r>
      <w:r w:rsidR="00993F70" w:rsidRPr="00551729">
        <w:t xml:space="preserve">shtojcën </w:t>
      </w:r>
      <w:r w:rsidRPr="00551729">
        <w:t xml:space="preserve">V. </w:t>
      </w:r>
    </w:p>
    <w:p w14:paraId="1BADD076" w14:textId="6C23495E" w:rsidR="00124F91" w:rsidRPr="00551729" w:rsidRDefault="00124F91" w:rsidP="00124F91">
      <w:pPr>
        <w:pStyle w:val="TEKSTIII"/>
      </w:pPr>
      <w:r w:rsidRPr="00551729">
        <w:t>5</w:t>
      </w:r>
      <w:r w:rsidR="00F01799">
        <w:t>.</w:t>
      </w:r>
      <w:r w:rsidRPr="00551729">
        <w:t xml:space="preserve"> Kostot e njohura në sistemin e kontabilitetit të mbajtur siç parashikohet </w:t>
      </w:r>
      <w:r w:rsidR="00F155B0">
        <w:t>n</w:t>
      </w:r>
      <w:r w:rsidRPr="00551729">
        <w:t>ë</w:t>
      </w:r>
      <w:r w:rsidR="00F155B0">
        <w:t xml:space="preserve"> </w:t>
      </w:r>
      <w:r w:rsidRPr="00551729">
        <w:t>seksionin 4 të këtij neni, duhet të jenë kryer, paguar dhe</w:t>
      </w:r>
      <w:r w:rsidR="00C521D5" w:rsidRPr="00551729">
        <w:t xml:space="preserve"> </w:t>
      </w:r>
      <w:r w:rsidRPr="00551729">
        <w:t xml:space="preserve">pranuar dhe të korrespondojë me kostot aktuale të provuara nga dokumentet mbështetëse dhe të përdoren kur është e përshtatshme, për të nisur </w:t>
      </w:r>
      <w:r w:rsidR="00B17AA1">
        <w:t>para</w:t>
      </w:r>
      <w:r w:rsidRPr="00551729">
        <w:t xml:space="preserve">financimin e paguar nga përfituesi i IPA II që është Autoriteti Kontraktues sipas kontratave lokale. </w:t>
      </w:r>
    </w:p>
    <w:p w14:paraId="1BADD077" w14:textId="618FE2E4" w:rsidR="00124F91" w:rsidRPr="00551729" w:rsidRDefault="00124F91" w:rsidP="00124F91">
      <w:pPr>
        <w:pStyle w:val="TEKSTIII"/>
      </w:pPr>
      <w:r w:rsidRPr="00551729">
        <w:t>6</w:t>
      </w:r>
      <w:r w:rsidR="00F01799">
        <w:t>.</w:t>
      </w:r>
      <w:r w:rsidRPr="00551729">
        <w:t xml:space="preserve"> Kostot e njohura në sistemin e kontabilitetit do të shfrytëzohet nga Komisioni për nevojat e tij gjatë provizionimit të njohjes së kostove, gjatë zbatimit të Programit të Veprimit (duke përfshirë autorizimin e </w:t>
      </w:r>
      <w:r w:rsidR="00B17AA1">
        <w:t>para</w:t>
      </w:r>
      <w:r w:rsidRPr="00551729">
        <w:t xml:space="preserve">financimit që i paguhet përfituesit të IPA II i cili është Autoriteti Kontraktues) për procesin e miratimit për pagesat, autorizimin përfundimtar të procedurës së llogarive në fund të Programit të Veprimit, praktikat vjetore të ndërprera dhe çdo zbatim tjetër të menaxhimit dhe të vlerësimit të performancës. </w:t>
      </w:r>
    </w:p>
    <w:p w14:paraId="1BADD078" w14:textId="046EA8A8" w:rsidR="00124F91" w:rsidRPr="00551729" w:rsidRDefault="00124F91" w:rsidP="00124F91">
      <w:pPr>
        <w:pStyle w:val="TEKSTIII"/>
      </w:pPr>
      <w:r w:rsidRPr="00551729">
        <w:t>7</w:t>
      </w:r>
      <w:r w:rsidR="00F01799">
        <w:t>.</w:t>
      </w:r>
      <w:r w:rsidRPr="00551729">
        <w:t xml:space="preserve"> Përfituesi i IPA-II që është Autoriteti Kontraktues, do t’i sigurojë Komisionit raportet në vijim: </w:t>
      </w:r>
    </w:p>
    <w:p w14:paraId="1BADD079" w14:textId="71FDE06B" w:rsidR="00124F91" w:rsidRPr="00551729" w:rsidRDefault="00124F91" w:rsidP="00124F91">
      <w:pPr>
        <w:pStyle w:val="TEKSTIII"/>
      </w:pPr>
      <w:r w:rsidRPr="00551729">
        <w:t>a</w:t>
      </w:r>
      <w:r w:rsidR="00F155B0">
        <w:t>)</w:t>
      </w:r>
      <w:r w:rsidRPr="00551729">
        <w:t xml:space="preserve"> Raportin Përmbledhës </w:t>
      </w:r>
      <w:r w:rsidR="0080238D">
        <w:t>–</w:t>
      </w:r>
      <w:r w:rsidRPr="00551729">
        <w:t xml:space="preserve"> s</w:t>
      </w:r>
      <w:r w:rsidR="0080238D">
        <w:t>iç është përcaktuar në nenin 3</w:t>
      </w:r>
      <w:r w:rsidRPr="00551729">
        <w:t xml:space="preserve">(5); </w:t>
      </w:r>
    </w:p>
    <w:p w14:paraId="1BADD07A" w14:textId="6EF04135" w:rsidR="00124F91" w:rsidRPr="00551729" w:rsidRDefault="00124F91" w:rsidP="00124F91">
      <w:pPr>
        <w:pStyle w:val="TEKSTIII"/>
      </w:pPr>
      <w:r w:rsidRPr="00551729">
        <w:t>b</w:t>
      </w:r>
      <w:r w:rsidR="00F155B0">
        <w:t>)</w:t>
      </w:r>
      <w:r w:rsidRPr="00551729">
        <w:t xml:space="preserve"> Raportet vjetore siç</w:t>
      </w:r>
      <w:r w:rsidR="0080238D">
        <w:t xml:space="preserve"> janë përcaktuar në paragrafët 2 deri 4</w:t>
      </w:r>
      <w:r w:rsidRPr="00551729">
        <w:t xml:space="preserve"> të nenit 3; </w:t>
      </w:r>
    </w:p>
    <w:p w14:paraId="1BADD07B" w14:textId="6280DEAE" w:rsidR="00124F91" w:rsidRPr="00551729" w:rsidRDefault="00124F91" w:rsidP="00124F91">
      <w:pPr>
        <w:pStyle w:val="TEKSTIII"/>
      </w:pPr>
      <w:r w:rsidRPr="00551729">
        <w:t>c</w:t>
      </w:r>
      <w:r w:rsidR="00F155B0">
        <w:t>)</w:t>
      </w:r>
      <w:r w:rsidRPr="00551729">
        <w:t xml:space="preserve"> Kërkesa për raportet e fondeve, siç përmenden në nenin 11. </w:t>
      </w:r>
    </w:p>
    <w:p w14:paraId="1BADD07C" w14:textId="77777777" w:rsidR="00124F91" w:rsidRPr="00551729" w:rsidRDefault="00124F91" w:rsidP="00124F91">
      <w:pPr>
        <w:pStyle w:val="TEKSTIII"/>
      </w:pPr>
    </w:p>
    <w:p w14:paraId="1BADD07D" w14:textId="77777777" w:rsidR="00124F91" w:rsidRPr="00551729" w:rsidRDefault="00124F91" w:rsidP="00124F91">
      <w:pPr>
        <w:pStyle w:val="TEKSTIII"/>
        <w:jc w:val="center"/>
        <w:rPr>
          <w:bCs/>
        </w:rPr>
      </w:pPr>
      <w:r w:rsidRPr="00551729">
        <w:rPr>
          <w:bCs/>
        </w:rPr>
        <w:t>Neni 11</w:t>
      </w:r>
    </w:p>
    <w:p w14:paraId="1BADD07E" w14:textId="77777777" w:rsidR="00124F91" w:rsidRPr="00551729" w:rsidRDefault="00124F91" w:rsidP="00124F91">
      <w:pPr>
        <w:pStyle w:val="TEKSTIII"/>
        <w:jc w:val="center"/>
      </w:pPr>
      <w:r w:rsidRPr="00551729">
        <w:rPr>
          <w:b/>
          <w:bCs/>
        </w:rPr>
        <w:t>Dispozita për pagesat e kryera nga Komisioni për përfituesit IPA II që është Autoriteti Kontraktues</w:t>
      </w:r>
    </w:p>
    <w:p w14:paraId="1BADD07F" w14:textId="77777777" w:rsidR="00124F91" w:rsidRPr="00551729" w:rsidRDefault="00124F91" w:rsidP="00124F91">
      <w:pPr>
        <w:pStyle w:val="TEKSTIII"/>
      </w:pPr>
    </w:p>
    <w:p w14:paraId="1BADD080" w14:textId="5E98061A" w:rsidR="00124F91" w:rsidRPr="00551729" w:rsidRDefault="00124F91" w:rsidP="00124F91">
      <w:pPr>
        <w:pStyle w:val="TEKSTIII"/>
      </w:pPr>
      <w:r w:rsidRPr="00551729">
        <w:t>1</w:t>
      </w:r>
      <w:r w:rsidR="00F155B0">
        <w:t>.</w:t>
      </w:r>
      <w:r w:rsidRPr="00551729">
        <w:t xml:space="preserve"> Përfituesi IPA II që është Autoriteti Kontraktues, duhet të paraqesë parashikimin e tij fillestar të disbursimit (pagesës) për Programin e Veprimit, të përgatitur në përputhje me nenin 10 (2), me kërkesën e parë për pagesë të </w:t>
      </w:r>
      <w:r w:rsidR="00B17AA1">
        <w:t>para</w:t>
      </w:r>
      <w:r w:rsidRPr="00551729">
        <w:t xml:space="preserve">financuar. Pagesa e parë e </w:t>
      </w:r>
      <w:r w:rsidR="00B17AA1">
        <w:t>para</w:t>
      </w:r>
      <w:r w:rsidRPr="00551729">
        <w:t xml:space="preserve">financimit do të bëhet për 100% të pagesës së parashikuar për vitin e parë të planit të parashikuar për disbursim. </w:t>
      </w:r>
    </w:p>
    <w:p w14:paraId="1BADD081" w14:textId="684EFB52" w:rsidR="00124F91" w:rsidRPr="00551729" w:rsidRDefault="00124F91" w:rsidP="00124F91">
      <w:pPr>
        <w:pStyle w:val="TEKSTIII"/>
      </w:pPr>
      <w:r w:rsidRPr="00551729">
        <w:t>2</w:t>
      </w:r>
      <w:r w:rsidR="00F155B0">
        <w:t>.</w:t>
      </w:r>
      <w:r w:rsidRPr="00551729">
        <w:t xml:space="preserve"> Përfituesi IPA II që është Autoriteti Kontraktues, do të paraqesë kërkesa të vazhdueshme të pagesës së </w:t>
      </w:r>
      <w:r w:rsidR="00B17AA1">
        <w:t>para</w:t>
      </w:r>
      <w:r w:rsidRPr="00551729">
        <w:t xml:space="preserve">financimit kur vlera e tepricës së përgjithshme bankare për Programin e Veprimit bie nën vlerën e pagesës së parashikuar për pesë muajt në vazhdim të Programit të Veprimit. </w:t>
      </w:r>
    </w:p>
    <w:p w14:paraId="1BADD082" w14:textId="295795D3" w:rsidR="00124F91" w:rsidRPr="00551729" w:rsidRDefault="00124F91" w:rsidP="00124F91">
      <w:pPr>
        <w:pStyle w:val="TEKSTIII"/>
      </w:pPr>
      <w:r w:rsidRPr="00551729">
        <w:t>3</w:t>
      </w:r>
      <w:r w:rsidR="00F155B0">
        <w:t>.</w:t>
      </w:r>
      <w:r w:rsidRPr="00551729">
        <w:t xml:space="preserve"> Çdo kërkesë për </w:t>
      </w:r>
      <w:r w:rsidR="00B17AA1">
        <w:t>para</w:t>
      </w:r>
      <w:r w:rsidRPr="00551729">
        <w:t xml:space="preserve">financim shtesë do të mbështetet nga dokumentet e mëposhtme: </w:t>
      </w:r>
    </w:p>
    <w:p w14:paraId="1BADD083" w14:textId="0EF6A23E" w:rsidR="00124F91" w:rsidRPr="00551729" w:rsidRDefault="00124F91" w:rsidP="00124F91">
      <w:pPr>
        <w:pStyle w:val="TEKSTIII"/>
      </w:pPr>
      <w:r w:rsidRPr="00551729">
        <w:t>a</w:t>
      </w:r>
      <w:r w:rsidR="00CD6BF8">
        <w:t>)</w:t>
      </w:r>
      <w:r w:rsidRPr="00551729">
        <w:t xml:space="preserve"> Një deklaratë përmbledhëse të të gjitha pagesave të kryera për Programin e Veprimit; </w:t>
      </w:r>
    </w:p>
    <w:p w14:paraId="1BADD084" w14:textId="68FA69CD" w:rsidR="00124F91" w:rsidRPr="00551729" w:rsidRDefault="00124F91" w:rsidP="00124F91">
      <w:pPr>
        <w:pStyle w:val="TEKSTIII"/>
      </w:pPr>
      <w:r w:rsidRPr="00551729">
        <w:t>b</w:t>
      </w:r>
      <w:r w:rsidR="00CD6BF8">
        <w:t>)</w:t>
      </w:r>
      <w:r w:rsidRPr="00551729">
        <w:t xml:space="preserve"> Tepricat bankare për Programin e Veprimit në datën e përcaktuar të kërkesës; </w:t>
      </w:r>
    </w:p>
    <w:p w14:paraId="1BADD085" w14:textId="15472366" w:rsidR="00124F91" w:rsidRPr="00551729" w:rsidRDefault="00124F91" w:rsidP="00124F91">
      <w:pPr>
        <w:pStyle w:val="TEKSTIII"/>
      </w:pPr>
      <w:r w:rsidRPr="00551729">
        <w:t>c</w:t>
      </w:r>
      <w:r w:rsidR="00CD6BF8">
        <w:t>)</w:t>
      </w:r>
      <w:r w:rsidRPr="00551729">
        <w:t xml:space="preserve"> Një parashikim të pagesave për Programin e Veprimit për katërmbëdhjetë muajt në vazhdim në datën e përcaktuar të kërkesës. </w:t>
      </w:r>
    </w:p>
    <w:p w14:paraId="1BADD086" w14:textId="5C46FAAE" w:rsidR="00124F91" w:rsidRPr="00551729" w:rsidRDefault="00124F91" w:rsidP="00124F91">
      <w:pPr>
        <w:pStyle w:val="TEKSTIII"/>
      </w:pPr>
      <w:r w:rsidRPr="00551729">
        <w:t>4</w:t>
      </w:r>
      <w:r w:rsidR="00CD6BF8">
        <w:t>.</w:t>
      </w:r>
      <w:r w:rsidRPr="00551729">
        <w:t xml:space="preserve"> Përfituesi IPA II që është Autoriteti Kontraktues, mund të kërkojë për çdo </w:t>
      </w:r>
      <w:r w:rsidR="00B17AA1">
        <w:t>para</w:t>
      </w:r>
      <w:r w:rsidRPr="00551729">
        <w:t>financim pasues, shumën e totalit të disbursimeve të parashikimit për katërmbëdhjetë muaj, pas datës së përcaktuar të kërkesës, përveç balancës</w:t>
      </w:r>
      <w:r w:rsidR="009A6BD5">
        <w:t xml:space="preserve"> referuar në nenin 3</w:t>
      </w:r>
      <w:r w:rsidRPr="00551729">
        <w:t xml:space="preserve">(b) të këtij neni në datën e përcaktuar të kërkesës edhe fonde të rritura nga ndonjë shumë e financuar nga përfituesi IPA II sipas paragrafit 5 të këtij neni dhe që nuk është rimbursuar ende. </w:t>
      </w:r>
    </w:p>
    <w:p w14:paraId="1BADD087" w14:textId="20737E79" w:rsidR="00124F91" w:rsidRPr="00551729" w:rsidRDefault="00124F91" w:rsidP="00124F91">
      <w:pPr>
        <w:pStyle w:val="TEKSTIII"/>
      </w:pPr>
      <w:r w:rsidRPr="00551729">
        <w:t xml:space="preserve">Komisioni gëzon të drejtën për të reduktuar çdo pagesë pasuese të </w:t>
      </w:r>
      <w:r w:rsidR="00B17AA1">
        <w:t>para</w:t>
      </w:r>
      <w:r w:rsidRPr="00551729">
        <w:t>financimit, nëse tepricat totale bankare të mbajtura nga përfituesi i IPA II që është Autoriteti Kontraktues</w:t>
      </w:r>
      <w:r w:rsidR="00C521D5" w:rsidRPr="00551729">
        <w:t xml:space="preserve"> </w:t>
      </w:r>
      <w:r w:rsidRPr="00551729">
        <w:t xml:space="preserve">në këtë program dhe në të gjitha programet e tjera të IPA I apo IPA II që menaxhohen nga përfituesi i IPA II që është Autoriteti Kontraktues, tejkalon parashikimin e disbursimit për katërmbëdhjetë muajt e ardhshëm. </w:t>
      </w:r>
    </w:p>
    <w:p w14:paraId="1BADD088" w14:textId="314A9885" w:rsidR="00124F91" w:rsidRPr="00551729" w:rsidRDefault="00124F91" w:rsidP="00124F91">
      <w:pPr>
        <w:pStyle w:val="TEKSTIII"/>
      </w:pPr>
      <w:r w:rsidRPr="00551729">
        <w:t>5</w:t>
      </w:r>
      <w:r w:rsidR="009A6BD5">
        <w:t>.</w:t>
      </w:r>
      <w:r w:rsidRPr="00551729">
        <w:t xml:space="preserve"> Në rastet kur pagesa është reduktuar sipas paragrafit 4 të këtij neni, përfituesi i IPA II që është Autoriteti Kontraktues, duhet ta financojë programin nga burimet e veta, deri në shumën e reduktimit. Përfituesi i IPA II që është </w:t>
      </w:r>
      <w:r w:rsidR="00FE394E" w:rsidRPr="00551729">
        <w:t xml:space="preserve">autoriteti </w:t>
      </w:r>
      <w:r w:rsidRPr="00551729">
        <w:t xml:space="preserve">kontraktues, më pas mund të kërkojë rimbursimin e këtij financimi, si pjesë e kërkesës së ardhshme për fonde të përcaktuara në paragrafin 4 të këtij neni. </w:t>
      </w:r>
    </w:p>
    <w:p w14:paraId="1BADD089" w14:textId="005268F2" w:rsidR="00124F91" w:rsidRPr="00551729" w:rsidRDefault="00124F91" w:rsidP="00124F91">
      <w:pPr>
        <w:pStyle w:val="TEKSTIII"/>
      </w:pPr>
      <w:r w:rsidRPr="00551729">
        <w:t>6</w:t>
      </w:r>
      <w:r w:rsidR="009A6BD5">
        <w:t>.</w:t>
      </w:r>
      <w:r w:rsidRPr="00551729">
        <w:t xml:space="preserve"> Komisioni ka të drejtë për të rikuperuar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14:paraId="1BADD08A" w14:textId="4F5AF98C" w:rsidR="00124F91" w:rsidRPr="00551729" w:rsidRDefault="00124F91" w:rsidP="00124F91">
      <w:pPr>
        <w:pStyle w:val="TEKSTIII"/>
      </w:pPr>
      <w:r w:rsidRPr="00551729">
        <w:t>7</w:t>
      </w:r>
      <w:r w:rsidR="009A6BD5">
        <w:t>.</w:t>
      </w:r>
      <w:r w:rsidRPr="00551729">
        <w:t xml:space="preserve"> Interesi i gjeneruar nga llogaritë bankare të përdorura për këtë Program nuk njihet nga Komisioni. </w:t>
      </w:r>
    </w:p>
    <w:p w14:paraId="1BADD08B" w14:textId="3BA6B485" w:rsidR="00124F91" w:rsidRPr="00551729" w:rsidRDefault="00124F91" w:rsidP="00124F91">
      <w:pPr>
        <w:pStyle w:val="TEKSTIII"/>
      </w:pPr>
      <w:r w:rsidRPr="00551729">
        <w:t>8</w:t>
      </w:r>
      <w:r w:rsidR="009A6BD5">
        <w:t>.</w:t>
      </w:r>
      <w:r w:rsidRPr="00551729">
        <w:t xml:space="preserve"> Sipas </w:t>
      </w:r>
      <w:r w:rsidR="009A6BD5" w:rsidRPr="00551729">
        <w:t xml:space="preserve">nenit </w:t>
      </w:r>
      <w:r w:rsidRPr="00551729">
        <w:t xml:space="preserve">33(4) të Marrëveshjes Kuadër, kur ndërprerja e afatit për kërkesën për pagesë tejkalon dy muaj, përfituesi i IPA II që është Autoriteti Kontraktues mund të kërkojë një vendim nga Komisioni, nëse ndërprerja e afatit duhet vazhdojë. </w:t>
      </w:r>
    </w:p>
    <w:p w14:paraId="1BADD08C" w14:textId="7A8D74FD" w:rsidR="00124F91" w:rsidRPr="00551729" w:rsidRDefault="00124F91" w:rsidP="00124F91">
      <w:pPr>
        <w:pStyle w:val="TEKSTIII"/>
      </w:pPr>
      <w:r w:rsidRPr="00551729">
        <w:t>9</w:t>
      </w:r>
      <w:r w:rsidR="009A6BD5">
        <w:t>.</w:t>
      </w:r>
      <w:r w:rsidRPr="00551729">
        <w:t xml:space="preserve"> Pasqyra financiare përfun</w:t>
      </w:r>
      <w:r w:rsidR="000170EC">
        <w:t>dimtare e përmendur në nenin 37</w:t>
      </w:r>
      <w:r w:rsidRPr="00551729">
        <w:t xml:space="preserve">(2) të Marrëveshjes Kuadër do të dorëzohet nga NAO (ZKA) jo më vonë se 16 muaj pas përfundimit të periudhës së zbatimit operacional. </w:t>
      </w:r>
    </w:p>
    <w:p w14:paraId="1BADD08D" w14:textId="77777777" w:rsidR="00124F91" w:rsidRPr="00551729" w:rsidRDefault="00124F91" w:rsidP="00124F91">
      <w:pPr>
        <w:pStyle w:val="TEKSTIII"/>
      </w:pPr>
    </w:p>
    <w:p w14:paraId="1BADD08E" w14:textId="77777777" w:rsidR="00124F91" w:rsidRPr="00551729" w:rsidRDefault="00124F91" w:rsidP="00124F91">
      <w:pPr>
        <w:pStyle w:val="TEKSTIII"/>
        <w:jc w:val="center"/>
        <w:rPr>
          <w:bCs/>
        </w:rPr>
      </w:pPr>
      <w:r w:rsidRPr="00551729">
        <w:rPr>
          <w:bCs/>
        </w:rPr>
        <w:t>Neni 12</w:t>
      </w:r>
    </w:p>
    <w:p w14:paraId="1BADD08F" w14:textId="77777777" w:rsidR="00124F91" w:rsidRPr="00551729" w:rsidRDefault="00124F91" w:rsidP="00124F91">
      <w:pPr>
        <w:pStyle w:val="TEKSTIII"/>
        <w:jc w:val="center"/>
      </w:pPr>
      <w:r w:rsidRPr="00551729">
        <w:rPr>
          <w:b/>
          <w:bCs/>
        </w:rPr>
        <w:t>Ndërprerja e pagesave</w:t>
      </w:r>
    </w:p>
    <w:p w14:paraId="1BADD090" w14:textId="77777777" w:rsidR="00124F91" w:rsidRPr="00551729" w:rsidRDefault="00124F91" w:rsidP="00124F91">
      <w:pPr>
        <w:pStyle w:val="TEKSTIII"/>
      </w:pPr>
    </w:p>
    <w:p w14:paraId="1BADD091" w14:textId="7E7B43C5" w:rsidR="00124F91" w:rsidRPr="00551729" w:rsidRDefault="00124F91" w:rsidP="00124F91">
      <w:pPr>
        <w:pStyle w:val="TEKSTIII"/>
      </w:pPr>
      <w:r w:rsidRPr="00551729">
        <w:t>1</w:t>
      </w:r>
      <w:r w:rsidR="009A6BD5">
        <w:t>.</w:t>
      </w:r>
      <w:r w:rsidRPr="00551729">
        <w:t xml:space="preserve"> Pa </w:t>
      </w:r>
      <w:r w:rsidR="009A6BD5" w:rsidRPr="00551729">
        <w:t>cenuar</w:t>
      </w:r>
      <w:r w:rsidRPr="00551729">
        <w:t xml:space="preserve"> pezullimin ose përfundimin e kësaj Marrëveshjeje Financimi përkatësisht sipas neneve 16 dhe 17 dhe në zbatim të nenit 39 të Marrëveshjes Kuadër, Komisioni mund të ndërpresë pagesat pjesërisht ose plotësisht, në qoftë se: </w:t>
      </w:r>
    </w:p>
    <w:p w14:paraId="1BADD093" w14:textId="1FCE17A1" w:rsidR="00124F91" w:rsidRPr="00551729" w:rsidRDefault="00124F91" w:rsidP="00124F91">
      <w:pPr>
        <w:pStyle w:val="TEKSTIII"/>
      </w:pPr>
      <w:r w:rsidRPr="00551729">
        <w:t>a</w:t>
      </w:r>
      <w:r w:rsidR="009A6BD5">
        <w:t>)</w:t>
      </w:r>
      <w:r w:rsidRPr="00551729">
        <w:t xml:space="preserve"> Komisioni ka vendosur ose paraqet shqetësime serioze, pasi përfituesi IPA II që është Autoriteti Kontraktues ka bërë gabime të konsiderueshme, ka parregullsi apo mashtrime që vënë në dyshim ligjshmërinë ose rregullsinë e transaksioneve në fjalë, në implementimin e Programit të Veprimit, ose nuk ka përmbushur detyrimet e tij sipas kësaj Marrëveshjeje Financiare; </w:t>
      </w:r>
    </w:p>
    <w:p w14:paraId="1BADD094" w14:textId="72B071B1" w:rsidR="00124F91" w:rsidRPr="00551729" w:rsidRDefault="00124F91" w:rsidP="00124F91">
      <w:pPr>
        <w:pStyle w:val="TEKSTIII"/>
      </w:pPr>
      <w:r w:rsidRPr="00551729">
        <w:t>b</w:t>
      </w:r>
      <w:r w:rsidR="009A6BD5">
        <w:t>)</w:t>
      </w:r>
      <w:r w:rsidRPr="00551729">
        <w:t xml:space="preserve"> Komisioni ka vendosur ose paraqet shqetësime serioze, nëse përfituesi IPA II që është Autoriteti Kontraktues ka kryer gabime sistemike ose të përsëritura, ose ka parregullsi, mashtrime apo shkelje të detyrimeve në këtë ose në të tjera Marrëveshje Financimi, me kusht që ato gabime, parregullsi, mashtrime, ose shkelje të detyrimeve të kenë ndikim material në zbatimin e kësaj Marrëveshjeje Financiare apo vënë në dyshim besueshmërinë e sistemit të kontrollit të brendshëm të përfituesit të IPA II ose ligjshmërinë dhe rregullsinë e shpenzimeve bazë</w:t>
      </w:r>
      <w:r w:rsidR="005F5509">
        <w:t>.</w:t>
      </w:r>
      <w:r w:rsidRPr="00551729">
        <w:t xml:space="preserve"> </w:t>
      </w:r>
    </w:p>
    <w:p w14:paraId="1BADD095" w14:textId="77777777" w:rsidR="00124F91" w:rsidRPr="00551729" w:rsidRDefault="00124F91" w:rsidP="00124F91">
      <w:pPr>
        <w:pStyle w:val="TEKSTIII"/>
      </w:pPr>
    </w:p>
    <w:p w14:paraId="1BADD096" w14:textId="77777777" w:rsidR="00124F91" w:rsidRPr="00551729" w:rsidRDefault="00124F91" w:rsidP="00124F91">
      <w:pPr>
        <w:pStyle w:val="TEKSTIII"/>
        <w:jc w:val="center"/>
        <w:rPr>
          <w:bCs/>
        </w:rPr>
      </w:pPr>
      <w:r w:rsidRPr="00551729">
        <w:rPr>
          <w:bCs/>
        </w:rPr>
        <w:t>Neni 13</w:t>
      </w:r>
    </w:p>
    <w:p w14:paraId="1BADD097" w14:textId="77777777" w:rsidR="00124F91" w:rsidRPr="00551729" w:rsidRDefault="00124F91" w:rsidP="00124F91">
      <w:pPr>
        <w:pStyle w:val="TEKSTIII"/>
        <w:jc w:val="center"/>
      </w:pPr>
      <w:r w:rsidRPr="00551729">
        <w:rPr>
          <w:b/>
          <w:bCs/>
        </w:rPr>
        <w:t>Kthimi i fondeve</w:t>
      </w:r>
    </w:p>
    <w:p w14:paraId="1BADD098" w14:textId="77777777" w:rsidR="00124F91" w:rsidRPr="00551729" w:rsidRDefault="00124F91" w:rsidP="00124F91">
      <w:pPr>
        <w:pStyle w:val="TEKSTIII"/>
      </w:pPr>
    </w:p>
    <w:p w14:paraId="1BADD099" w14:textId="1CBC903A" w:rsidR="00124F91" w:rsidRPr="00551729" w:rsidRDefault="00124F91" w:rsidP="00124F91">
      <w:pPr>
        <w:pStyle w:val="TEKSTIII"/>
      </w:pPr>
      <w:r w:rsidRPr="00551729">
        <w:t>1</w:t>
      </w:r>
      <w:r w:rsidR="00C25056">
        <w:t>.</w:t>
      </w:r>
      <w:r w:rsidRPr="00551729">
        <w:t xml:space="preserve"> Përveç rasteve të përmendura në nenin 41 të Marrëveshjes Kuadër, Komisioni mund të rimarrë fondet nga përfituesi i IPA II që është Autoriteti Kontraktues, siç parashikohet në Rregulloren Financiare, veçanërisht në rast se: </w:t>
      </w:r>
    </w:p>
    <w:p w14:paraId="1BADD09A" w14:textId="040182CC" w:rsidR="00124F91" w:rsidRPr="00551729" w:rsidRDefault="00124F91" w:rsidP="00124F91">
      <w:pPr>
        <w:pStyle w:val="TEKSTIII"/>
      </w:pPr>
      <w:r w:rsidRPr="00551729">
        <w:t>a</w:t>
      </w:r>
      <w:r w:rsidR="009A6BD5">
        <w:t>)</w:t>
      </w:r>
      <w:r w:rsidRPr="00551729">
        <w:t xml:space="preserve"> Komisioni vlerëson se objektivat e Programit të Veprimit të përcaktuara në Shtojcën I nuk janë arritur; </w:t>
      </w:r>
    </w:p>
    <w:p w14:paraId="1BADD09B" w14:textId="2881554D" w:rsidR="00124F91" w:rsidRPr="00551729" w:rsidRDefault="00124F91" w:rsidP="00124F91">
      <w:pPr>
        <w:pStyle w:val="TEKSTIII"/>
      </w:pPr>
      <w:r w:rsidRPr="00551729">
        <w:t>b</w:t>
      </w:r>
      <w:r w:rsidR="009A6BD5">
        <w:t>)</w:t>
      </w:r>
      <w:r w:rsidRPr="00551729">
        <w:t xml:space="preserve"> shpenzimet janë të papranueshme; </w:t>
      </w:r>
    </w:p>
    <w:p w14:paraId="1BADD09C" w14:textId="432C9215" w:rsidR="00124F91" w:rsidRPr="00551729" w:rsidRDefault="00124F91" w:rsidP="00124F91">
      <w:pPr>
        <w:pStyle w:val="TEKSTIII"/>
      </w:pPr>
      <w:r w:rsidRPr="00551729">
        <w:t>c</w:t>
      </w:r>
      <w:r w:rsidR="009A6BD5">
        <w:t>)</w:t>
      </w:r>
      <w:r w:rsidRPr="00551729">
        <w:t xml:space="preserve"> shpenzimet janë shkaktuar si rezultat i gabimeve, parregullsive, mashtrimeve apo shkeljeve të detyrimeve në zbatimin e Programit të Veprimit, në veçanti në procedurën e prokurimit dhe dhënies së granteve. </w:t>
      </w:r>
    </w:p>
    <w:p w14:paraId="1BADD09D" w14:textId="1DF87CCA" w:rsidR="00124F91" w:rsidRPr="00551729" w:rsidRDefault="00124F91" w:rsidP="00124F91">
      <w:pPr>
        <w:pStyle w:val="TEKSTIII"/>
      </w:pPr>
      <w:r w:rsidRPr="00551729">
        <w:t>2</w:t>
      </w:r>
      <w:r w:rsidR="009A6BD5">
        <w:t>.</w:t>
      </w:r>
      <w:r w:rsidRPr="00551729">
        <w:t xml:space="preserve"> Në përputhje me legjislacionin kombëtar, përfituesi i IPA II që është Autoriteti Kontraktues do të rimarrë kontributin e Bashkimit që i paguhet përfituesit të IPA II i cili është Autoriteti Kontraktues nga marrësit të cilët ndodhen në një prej situatave të përcaktuara në paragrafin 1 pika b) ose c) të këtij neni ose të referuara në nenin 41 të Marrëveshjes Kuadër. Fakti se përfituesi IPA II që është Autoriteti Kontraktues nuk ka sukses në kthimin e të gjithë ose një pjese të fondeve nuk do ta pengojë Komisionin për rikuperimin e fondeve nga përfituesi i IPA II që është Autoriteti Kontraktues. </w:t>
      </w:r>
    </w:p>
    <w:p w14:paraId="1BADD09E" w14:textId="3C5B8A97" w:rsidR="00124F91" w:rsidRPr="00551729" w:rsidRDefault="00124F91" w:rsidP="00124F91">
      <w:pPr>
        <w:pStyle w:val="TEKSTIII"/>
      </w:pPr>
      <w:r w:rsidRPr="00551729">
        <w:t>3</w:t>
      </w:r>
      <w:r w:rsidR="009A6BD5">
        <w:t>.</w:t>
      </w:r>
      <w:r w:rsidRPr="00551729">
        <w:t xml:space="preserve"> Përfituesi i IPA II që nuk është Autoriteti Kontraktues, do të bëjë përpjekje maksimale për të mbështetur përfituesin e IPA-II që është Autoriteti Kontraktues, në rikuperimin e fondeve, kur përfituesi është i vendosur në territorin e tij. Marrëveshja për rikuperimin do të parashikohet në</w:t>
      </w:r>
      <w:r w:rsidR="00C521D5" w:rsidRPr="00551729">
        <w:t xml:space="preserve"> </w:t>
      </w:r>
      <w:r w:rsidRPr="00551729">
        <w:t xml:space="preserve">marrëveshjen dypalëshe që do të lidhet në përputhje me nenin 69 të Marrëveshjeve Kuadër përkatëse. </w:t>
      </w:r>
    </w:p>
    <w:p w14:paraId="1BADD09F" w14:textId="71BDBC14" w:rsidR="00124F91" w:rsidRPr="00551729" w:rsidRDefault="00124F91" w:rsidP="00124F91">
      <w:pPr>
        <w:pStyle w:val="TEKSTIII"/>
      </w:pPr>
      <w:r w:rsidRPr="00551729">
        <w:t>4</w:t>
      </w:r>
      <w:r w:rsidR="001664AB">
        <w:t>.</w:t>
      </w:r>
      <w:r w:rsidRPr="00551729">
        <w:t xml:space="preserve"> Shumat e paguara padrejtësisht apo të kthyera nga përfituesi IPA II që është Autoriteti Kontraktues, shumat e garancive financiare, performancës dhe </w:t>
      </w:r>
      <w:r w:rsidR="00B17AA1">
        <w:t>para</w:t>
      </w:r>
      <w:r w:rsidRPr="00551729">
        <w:t xml:space="preserve">financimit, të paraqitura në bazë të </w:t>
      </w:r>
      <w:r w:rsidR="001664AB" w:rsidRPr="00551729">
        <w:t>procedurave</w:t>
      </w:r>
      <w:r w:rsidRPr="00551729">
        <w:t xml:space="preserve"> të prokurimit dhe dhënies së</w:t>
      </w:r>
      <w:r w:rsidR="00C521D5" w:rsidRPr="00551729">
        <w:t xml:space="preserve"> </w:t>
      </w:r>
      <w:r w:rsidRPr="00551729">
        <w:t>granteve, shumat nga gjobat e vendosura nga përfituesi IPA II që është Autoriteti Kontraktues për kandidatët, ofertuesit, aplikantët, kontraktuesit ose përfituesit e granteve, të paguara për përfituesit e IPA II që është Autor</w:t>
      </w:r>
      <w:r w:rsidR="00327C8B">
        <w:t>iteti Kontraktues, ose do të ri</w:t>
      </w:r>
      <w:r w:rsidRPr="00551729">
        <w:t>përdoren për Programin e Veprimit, ose do t’i kthehen Komisionit.</w:t>
      </w:r>
    </w:p>
    <w:p w14:paraId="1BADD0A0" w14:textId="77777777" w:rsidR="00124F91" w:rsidRPr="00551729" w:rsidRDefault="00124F91" w:rsidP="00124F91">
      <w:pPr>
        <w:pStyle w:val="TEKSTIII"/>
        <w:rPr>
          <w:b/>
          <w:bCs/>
        </w:rPr>
      </w:pPr>
    </w:p>
    <w:p w14:paraId="7673EBDF" w14:textId="29AE1351" w:rsidR="001664AB" w:rsidRPr="001664AB" w:rsidRDefault="001664AB" w:rsidP="00124F91">
      <w:pPr>
        <w:pStyle w:val="TEKSTIII"/>
        <w:jc w:val="center"/>
      </w:pPr>
      <w:r w:rsidRPr="001664AB">
        <w:t>PJESA E TRETË</w:t>
      </w:r>
    </w:p>
    <w:p w14:paraId="1BADD0A1" w14:textId="706CFC9D" w:rsidR="00124F91" w:rsidRPr="001664AB" w:rsidRDefault="001664AB" w:rsidP="00124F91">
      <w:pPr>
        <w:pStyle w:val="TEKSTIII"/>
        <w:jc w:val="center"/>
      </w:pPr>
      <w:r w:rsidRPr="001664AB">
        <w:t>DISPOZITAT PËRFUNDIMTARE</w:t>
      </w:r>
    </w:p>
    <w:p w14:paraId="1BADD0A2" w14:textId="77777777" w:rsidR="00124F91" w:rsidRPr="00551729" w:rsidRDefault="00124F91" w:rsidP="00124F91">
      <w:pPr>
        <w:pStyle w:val="TEKSTIII"/>
        <w:jc w:val="center"/>
      </w:pPr>
    </w:p>
    <w:p w14:paraId="1BADD0A3" w14:textId="77777777" w:rsidR="00124F91" w:rsidRPr="00551729" w:rsidRDefault="00124F91" w:rsidP="00124F91">
      <w:pPr>
        <w:pStyle w:val="TEKSTIII"/>
        <w:jc w:val="center"/>
      </w:pPr>
      <w:r w:rsidRPr="00551729">
        <w:t xml:space="preserve">Neni 14 </w:t>
      </w:r>
    </w:p>
    <w:p w14:paraId="1BADD0A4" w14:textId="77777777" w:rsidR="00124F91" w:rsidRPr="00551729" w:rsidRDefault="00124F91" w:rsidP="00124F91">
      <w:pPr>
        <w:pStyle w:val="TEKSTIII"/>
        <w:jc w:val="center"/>
        <w:rPr>
          <w:b/>
        </w:rPr>
      </w:pPr>
      <w:r w:rsidRPr="00551729">
        <w:rPr>
          <w:b/>
        </w:rPr>
        <w:t>Konsultime ndërmjet përfituesve të IPA II dhe Komisionit</w:t>
      </w:r>
    </w:p>
    <w:p w14:paraId="1BADD0A5" w14:textId="77777777" w:rsidR="00124F91" w:rsidRPr="00551729" w:rsidRDefault="00124F91" w:rsidP="00124F91">
      <w:pPr>
        <w:pStyle w:val="TEKSTIII"/>
      </w:pPr>
    </w:p>
    <w:p w14:paraId="1BADD0A6" w14:textId="6000D74B" w:rsidR="00124F91" w:rsidRPr="00551729" w:rsidRDefault="00124F91" w:rsidP="00124F91">
      <w:pPr>
        <w:pStyle w:val="TEKSTIII"/>
      </w:pPr>
      <w:r w:rsidRPr="00551729">
        <w:t>1</w:t>
      </w:r>
      <w:r w:rsidR="002F2528">
        <w:t xml:space="preserve">. </w:t>
      </w:r>
      <w:r w:rsidRPr="00551729">
        <w:t xml:space="preserve">Përfituesit e IPA II dhe Komisioni do të konsultohen me njëri tjetrin para se të krijojnë mosmarrëveshje në lidhje me zbatimin ose interpretimin e mëtejshëm të kësaj Marrëveshjeje Financimi, në përputhje me nenin 18 të këtyre Kushteve të Përgjithshme. </w:t>
      </w:r>
    </w:p>
    <w:p w14:paraId="1BADD0A7" w14:textId="17808BD3" w:rsidR="00124F91" w:rsidRPr="00551729" w:rsidRDefault="00124F91" w:rsidP="00124F91">
      <w:pPr>
        <w:pStyle w:val="TEKSTIII"/>
      </w:pPr>
      <w:r w:rsidRPr="00551729">
        <w:t>2</w:t>
      </w:r>
      <w:r w:rsidR="002F2528">
        <w:t>.</w:t>
      </w:r>
      <w:r w:rsidRPr="00551729">
        <w:t xml:space="preserve"> Kur Komisioni vihet në dijeni për problemet në kryerjen e </w:t>
      </w:r>
      <w:r w:rsidR="002F2528" w:rsidRPr="00551729">
        <w:t>procedurave</w:t>
      </w:r>
      <w:r w:rsidRPr="00551729">
        <w:t xml:space="preserve"> që lidhen me zbatimin e kësaj Marrëveshje Financimi, ai duhet të krijojë të gjitha kontaktet e nevojshme me përfituesit e IPA II për të korrigjuar situatën dhe ndërmarrë hapat e nevojshëm. </w:t>
      </w:r>
    </w:p>
    <w:p w14:paraId="1BADD0A8" w14:textId="277E91F1" w:rsidR="00124F91" w:rsidRPr="00551729" w:rsidRDefault="00124F91" w:rsidP="00124F91">
      <w:pPr>
        <w:pStyle w:val="TEKSTIII"/>
      </w:pPr>
      <w:r w:rsidRPr="00551729">
        <w:t>3</w:t>
      </w:r>
      <w:r w:rsidR="002F2528">
        <w:t>.</w:t>
      </w:r>
      <w:r w:rsidRPr="00551729">
        <w:t xml:space="preserve"> Konsultimi mund të çojë në një ndryshim, në pezullimin ose përfundimin e kësaj Marrëveshje Financimi. </w:t>
      </w:r>
    </w:p>
    <w:p w14:paraId="1BADD0A9" w14:textId="73A86F5E" w:rsidR="00124F91" w:rsidRPr="00551729" w:rsidRDefault="00124F91" w:rsidP="00124F91">
      <w:pPr>
        <w:pStyle w:val="TEKSTIII"/>
      </w:pPr>
      <w:r w:rsidRPr="00551729">
        <w:t>4</w:t>
      </w:r>
      <w:r w:rsidR="002F2528">
        <w:t>.</w:t>
      </w:r>
      <w:r w:rsidRPr="00551729">
        <w:t xml:space="preserve"> Komisioni do të informojë rregullisht përfituesit e IPA II për zbatimin e aktiviteteve të përshkruara në </w:t>
      </w:r>
      <w:r w:rsidR="00FE25B0" w:rsidRPr="00551729">
        <w:t xml:space="preserve">shtojcën </w:t>
      </w:r>
      <w:r w:rsidRPr="00551729">
        <w:t xml:space="preserve">I, të cilat nuk përfshihen në </w:t>
      </w:r>
      <w:r w:rsidR="00FE25B0" w:rsidRPr="00551729">
        <w:t xml:space="preserve">pjesën </w:t>
      </w:r>
      <w:r w:rsidRPr="00551729">
        <w:t xml:space="preserve">e </w:t>
      </w:r>
      <w:r w:rsidR="00FE25B0" w:rsidRPr="00551729">
        <w:t xml:space="preserve">dytë </w:t>
      </w:r>
      <w:r w:rsidRPr="00551729">
        <w:t xml:space="preserve">të këtyre </w:t>
      </w:r>
      <w:r w:rsidR="00FE25B0" w:rsidRPr="00551729">
        <w:t xml:space="preserve">kushteve </w:t>
      </w:r>
      <w:r w:rsidRPr="00551729">
        <w:t xml:space="preserve">të </w:t>
      </w:r>
      <w:r w:rsidR="00FE25B0" w:rsidRPr="00551729">
        <w:t>përgjithshme</w:t>
      </w:r>
      <w:r w:rsidRPr="00551729">
        <w:t xml:space="preserve">. </w:t>
      </w:r>
    </w:p>
    <w:p w14:paraId="1BADD0AA" w14:textId="77777777" w:rsidR="00124F91" w:rsidRPr="00551729" w:rsidRDefault="00124F91" w:rsidP="00124F91">
      <w:pPr>
        <w:pStyle w:val="TEKSTIII"/>
      </w:pPr>
    </w:p>
    <w:p w14:paraId="1BADD0AB" w14:textId="77777777" w:rsidR="00124F91" w:rsidRPr="00551729" w:rsidRDefault="00124F91" w:rsidP="00124F91">
      <w:pPr>
        <w:pStyle w:val="TEKSTIII"/>
        <w:jc w:val="center"/>
        <w:rPr>
          <w:bCs/>
        </w:rPr>
      </w:pPr>
      <w:r w:rsidRPr="00551729">
        <w:rPr>
          <w:bCs/>
        </w:rPr>
        <w:t>Neni 15</w:t>
      </w:r>
    </w:p>
    <w:p w14:paraId="1BADD0AC" w14:textId="77777777" w:rsidR="00124F91" w:rsidRPr="00551729" w:rsidRDefault="00124F91" w:rsidP="00124F91">
      <w:pPr>
        <w:pStyle w:val="TEKSTIII"/>
        <w:jc w:val="center"/>
      </w:pPr>
      <w:r w:rsidRPr="00551729">
        <w:rPr>
          <w:b/>
          <w:bCs/>
        </w:rPr>
        <w:t>Ndryshimi i kësaj Marrëveshjeje Financimi</w:t>
      </w:r>
    </w:p>
    <w:p w14:paraId="1BADD0AD" w14:textId="77777777" w:rsidR="00124F91" w:rsidRPr="00551729" w:rsidRDefault="00124F91" w:rsidP="00124F91">
      <w:pPr>
        <w:pStyle w:val="TEKSTIII"/>
      </w:pPr>
    </w:p>
    <w:p w14:paraId="1BADD0AE" w14:textId="77777777" w:rsidR="00124F91" w:rsidRPr="00551729" w:rsidRDefault="00124F91" w:rsidP="00124F91">
      <w:pPr>
        <w:pStyle w:val="TEKSTIII"/>
      </w:pPr>
      <w:r w:rsidRPr="00551729">
        <w:t xml:space="preserve">1. Çdo amendim i kësaj Marrëveshje Financimi duhet të bëhet me shkrim, duke përfshirë dhe shkëmbimin e shkresave. </w:t>
      </w:r>
    </w:p>
    <w:p w14:paraId="1BADD0AF" w14:textId="77777777" w:rsidR="00124F91" w:rsidRPr="00551729" w:rsidRDefault="00124F91" w:rsidP="00124F91">
      <w:pPr>
        <w:pStyle w:val="TEKSTIII"/>
      </w:pPr>
      <w:r w:rsidRPr="00551729">
        <w:t xml:space="preserve">2. Nëse përfituesit e IPA II, kërkojnë një amendim, kërkesa duhet t’i paraqitet bashkërisht Komisionit të paktën gjashtë muaj para se ndryshimi që kërkohet të hyjë në fuqi. </w:t>
      </w:r>
    </w:p>
    <w:p w14:paraId="1BADD0B0" w14:textId="16362002" w:rsidR="00124F91" w:rsidRPr="00551729" w:rsidRDefault="00124F91" w:rsidP="00124F91">
      <w:pPr>
        <w:pStyle w:val="TEKSTIII"/>
      </w:pPr>
      <w:r w:rsidRPr="00551729">
        <w:t xml:space="preserve">3. Komisioni mund të amendojë </w:t>
      </w:r>
      <w:r w:rsidR="00871993" w:rsidRPr="00551729">
        <w:rPr>
          <w:i/>
          <w:iCs/>
        </w:rPr>
        <w:t>dokumentet model</w:t>
      </w:r>
      <w:r w:rsidR="00871993" w:rsidRPr="00551729">
        <w:t xml:space="preserve"> </w:t>
      </w:r>
      <w:r w:rsidRPr="00551729">
        <w:t xml:space="preserve">në </w:t>
      </w:r>
      <w:r w:rsidR="007A53D2" w:rsidRPr="00551729">
        <w:t xml:space="preserve">shtojcën </w:t>
      </w:r>
      <w:r w:rsidRPr="00551729">
        <w:t xml:space="preserve">III, IIIA, IV dhe V, pa nevojën e një </w:t>
      </w:r>
      <w:r w:rsidRPr="001E665A">
        <w:t>amend</w:t>
      </w:r>
      <w:r w:rsidR="00293FE3" w:rsidRPr="001E665A">
        <w:t>imi</w:t>
      </w:r>
      <w:r w:rsidRPr="00551729">
        <w:t xml:space="preserve"> të kësaj Marrëveshje Financimi. Përfituesit e IPA II do të informohen me shkrim për çdo </w:t>
      </w:r>
      <w:r w:rsidRPr="00293FE3">
        <w:t>amendim</w:t>
      </w:r>
      <w:r w:rsidRPr="00551729">
        <w:t xml:space="preserve"> të tillë dhe për hyrjen e tij në fuqi.</w:t>
      </w:r>
    </w:p>
    <w:p w14:paraId="1BADD0B1" w14:textId="77777777" w:rsidR="00124F91" w:rsidRPr="00551729" w:rsidRDefault="00124F91" w:rsidP="00124F91">
      <w:pPr>
        <w:pStyle w:val="TEKSTIII"/>
      </w:pPr>
    </w:p>
    <w:p w14:paraId="1BADD0B2" w14:textId="77777777" w:rsidR="00124F91" w:rsidRPr="00551729" w:rsidRDefault="00124F91" w:rsidP="00124F91">
      <w:pPr>
        <w:pStyle w:val="TEKSTIII"/>
        <w:jc w:val="center"/>
        <w:rPr>
          <w:bCs/>
        </w:rPr>
      </w:pPr>
      <w:r w:rsidRPr="00551729">
        <w:rPr>
          <w:bCs/>
        </w:rPr>
        <w:t>Neni 16</w:t>
      </w:r>
    </w:p>
    <w:p w14:paraId="1BADD0B3" w14:textId="77777777" w:rsidR="00124F91" w:rsidRPr="00551729" w:rsidRDefault="00124F91" w:rsidP="00124F91">
      <w:pPr>
        <w:pStyle w:val="TEKSTIII"/>
        <w:jc w:val="center"/>
      </w:pPr>
      <w:r w:rsidRPr="00551729">
        <w:rPr>
          <w:b/>
          <w:bCs/>
        </w:rPr>
        <w:t>Pezullimi i kësaj Marrëveshjeje Financimi</w:t>
      </w:r>
    </w:p>
    <w:p w14:paraId="1BADD0B4" w14:textId="77777777" w:rsidR="00124F91" w:rsidRPr="00551729" w:rsidRDefault="00124F91" w:rsidP="00124F91">
      <w:pPr>
        <w:pStyle w:val="TEKSTIII"/>
        <w:jc w:val="center"/>
      </w:pPr>
    </w:p>
    <w:p w14:paraId="1BADD0B5" w14:textId="3C68329B" w:rsidR="00124F91" w:rsidRPr="00551729" w:rsidRDefault="00124F91" w:rsidP="00124F91">
      <w:pPr>
        <w:pStyle w:val="TEKSTIII"/>
      </w:pPr>
      <w:r w:rsidRPr="00551729">
        <w:t>1</w:t>
      </w:r>
      <w:r w:rsidR="00870AE8">
        <w:t>.</w:t>
      </w:r>
      <w:r w:rsidRPr="00551729">
        <w:t xml:space="preserve"> Zbatimi i kësaj Marrëveshje Financimi mund të pezullohet në rastet e mëposhtme: </w:t>
      </w:r>
    </w:p>
    <w:p w14:paraId="1BADD0B6" w14:textId="0B651B01" w:rsidR="00124F91" w:rsidRPr="00551729" w:rsidRDefault="00124F91" w:rsidP="00124F91">
      <w:pPr>
        <w:pStyle w:val="TEKSTIII"/>
      </w:pPr>
      <w:r w:rsidRPr="00551729">
        <w:t>a</w:t>
      </w:r>
      <w:r w:rsidR="0019581C">
        <w:t>)</w:t>
      </w:r>
      <w:r w:rsidRPr="00551729">
        <w:t xml:space="preserve"> </w:t>
      </w:r>
      <w:r w:rsidR="00741EAA" w:rsidRPr="00551729">
        <w:t xml:space="preserve">nëse </w:t>
      </w:r>
      <w:r w:rsidRPr="00551729">
        <w:t xml:space="preserve">ndonjë përfitues IPA II shkel një detyrim sipas kësaj Marrëveshje Financimi. </w:t>
      </w:r>
    </w:p>
    <w:p w14:paraId="1BADD0B7" w14:textId="5BE4D641" w:rsidR="00124F91" w:rsidRPr="00551729" w:rsidRDefault="00124F91" w:rsidP="00124F91">
      <w:pPr>
        <w:pStyle w:val="TEKSTIII"/>
      </w:pPr>
      <w:r w:rsidRPr="00551729">
        <w:t>b</w:t>
      </w:r>
      <w:r w:rsidR="0019581C">
        <w:t>)</w:t>
      </w:r>
      <w:r w:rsidRPr="00551729">
        <w:t xml:space="preserve"> </w:t>
      </w:r>
      <w:r w:rsidR="00741EAA" w:rsidRPr="00551729">
        <w:t xml:space="preserve">nëse </w:t>
      </w:r>
      <w:r w:rsidRPr="00551729">
        <w:t>përfituesi i IPA II që është Autoriteti Kontraktues shkel ndonjë detyrim të përcaktuar në bazë të proçedurave dhe dokumenteve standarde të përmendura në nenin 18(2) të Marrëveshjes Kuadër përkatëse, pa cenuar dispozitat e nenit 8(2)</w:t>
      </w:r>
      <w:r w:rsidR="00741EAA">
        <w:t>;</w:t>
      </w:r>
      <w:r w:rsidRPr="00551729">
        <w:t xml:space="preserve"> </w:t>
      </w:r>
    </w:p>
    <w:p w14:paraId="1BADD0B8" w14:textId="1346C833" w:rsidR="00124F91" w:rsidRPr="00551729" w:rsidRDefault="00124F91" w:rsidP="00124F91">
      <w:pPr>
        <w:pStyle w:val="TEKSTIII"/>
      </w:pPr>
      <w:r w:rsidRPr="00551729">
        <w:t>c</w:t>
      </w:r>
      <w:r w:rsidR="0019581C">
        <w:t>)</w:t>
      </w:r>
      <w:r w:rsidRPr="00551729">
        <w:t xml:space="preserve"> </w:t>
      </w:r>
      <w:r w:rsidR="00741EAA" w:rsidRPr="00551729">
        <w:t xml:space="preserve">nëse </w:t>
      </w:r>
      <w:r w:rsidRPr="00551729">
        <w:t>përfituesi i IPA II që është Autoriteti Kontraktues, nuk i plotëson kërkesat për zbatimin e detyrave të besuara të buxhetit</w:t>
      </w:r>
      <w:r w:rsidR="00741EAA">
        <w:t>;</w:t>
      </w:r>
      <w:r w:rsidRPr="00551729">
        <w:t xml:space="preserve"> </w:t>
      </w:r>
    </w:p>
    <w:p w14:paraId="1BADD0B9" w14:textId="12547CB2" w:rsidR="00124F91" w:rsidRPr="00551729" w:rsidRDefault="00124F91" w:rsidP="00124F91">
      <w:pPr>
        <w:pStyle w:val="TEKSTIII"/>
      </w:pPr>
      <w:r w:rsidRPr="00551729">
        <w:t>d</w:t>
      </w:r>
      <w:r w:rsidR="0019581C">
        <w:t>)</w:t>
      </w:r>
      <w:r w:rsidRPr="00551729">
        <w:t xml:space="preserve"> </w:t>
      </w:r>
      <w:r w:rsidR="00741EAA" w:rsidRPr="00551729">
        <w:t xml:space="preserve">nëse </w:t>
      </w:r>
      <w:r w:rsidRPr="00551729">
        <w:t xml:space="preserve">përfituesit e IPA II nuk i përmbushin bashkërisht funksionet dhe përgjegjësitë e përmendura në </w:t>
      </w:r>
      <w:r w:rsidR="0019581C" w:rsidRPr="00551729">
        <w:t xml:space="preserve">nenin </w:t>
      </w:r>
      <w:r w:rsidRPr="00551729">
        <w:t>2 (1) dhe kur është e mundur edhe menaxhimin e tërthortë sipas nenit 7(3)</w:t>
      </w:r>
      <w:r w:rsidR="00741EAA">
        <w:t>;</w:t>
      </w:r>
    </w:p>
    <w:p w14:paraId="1BADD0BA" w14:textId="0F88494D" w:rsidR="00124F91" w:rsidRPr="00551729" w:rsidRDefault="00124F91" w:rsidP="00124F91">
      <w:pPr>
        <w:pStyle w:val="TEKSTIII"/>
      </w:pPr>
      <w:r w:rsidRPr="00551729">
        <w:t>e</w:t>
      </w:r>
      <w:r w:rsidR="00747DE1">
        <w:t>)</w:t>
      </w:r>
      <w:r w:rsidRPr="00551729">
        <w:t xml:space="preserve"> Nëse ndonjë përfitues i IPA II vendos të pezullojë ose ndërpresë </w:t>
      </w:r>
      <w:r w:rsidR="00870AE8" w:rsidRPr="00551729">
        <w:t>procesin</w:t>
      </w:r>
      <w:r w:rsidRPr="00551729">
        <w:t xml:space="preserve"> e aderimit</w:t>
      </w:r>
      <w:r w:rsidR="00870AE8">
        <w:t xml:space="preserve"> </w:t>
      </w:r>
      <w:r w:rsidRPr="00551729">
        <w:t>në BE</w:t>
      </w:r>
      <w:r w:rsidR="00741EAA">
        <w:t>;</w:t>
      </w:r>
    </w:p>
    <w:p w14:paraId="1BADD0BB" w14:textId="2FE9DEFB" w:rsidR="00124F91" w:rsidRPr="00551729" w:rsidRDefault="00124F91" w:rsidP="00124F91">
      <w:pPr>
        <w:pStyle w:val="TEKSTIII"/>
      </w:pPr>
      <w:r w:rsidRPr="00551729">
        <w:t>f</w:t>
      </w:r>
      <w:r w:rsidR="0019581C">
        <w:t>)</w:t>
      </w:r>
      <w:r w:rsidRPr="00551729">
        <w:t xml:space="preserve"> Nëse ndonjë përfitues i IPA II shkel një detyrim në lidhje me respektimin e të drejtave të njeriut, parimet demokratike dhe sundimin e ligjit, si dhe në raste të rënda të korrupsionit ose nëse përfituesi IPA II është fajtor për sjellje të rëndë profesionale të provuar me ndonjë mënyrë të justifikuar. Shkelje e rëndë profesionale nënkupton një nga sa më poshtë:</w:t>
      </w:r>
    </w:p>
    <w:p w14:paraId="1BADD0BC" w14:textId="60167563" w:rsidR="00124F91" w:rsidRPr="00551729" w:rsidRDefault="00124F91" w:rsidP="00124F91">
      <w:pPr>
        <w:pStyle w:val="TEKSTIII"/>
      </w:pPr>
      <w:r w:rsidRPr="00551729">
        <w:t>-</w:t>
      </w:r>
      <w:r w:rsidR="0019581C">
        <w:t xml:space="preserve"> </w:t>
      </w:r>
      <w:r w:rsidRPr="00551729">
        <w:t>shkelje e ligjeve ose rregulloreve në fuqi ose e standardeve etike të profesionit të cilit i përket një person ose subjekt</w:t>
      </w:r>
      <w:r w:rsidR="00870AE8">
        <w:t>;</w:t>
      </w:r>
      <w:r w:rsidRPr="00551729">
        <w:t xml:space="preserve"> ose</w:t>
      </w:r>
    </w:p>
    <w:p w14:paraId="1BADD0BD" w14:textId="5FF1CA9F" w:rsidR="00124F91" w:rsidRPr="00551729" w:rsidRDefault="00124F91" w:rsidP="00124F91">
      <w:pPr>
        <w:pStyle w:val="TEKSTIII"/>
      </w:pPr>
      <w:r w:rsidRPr="00551729">
        <w:t>-</w:t>
      </w:r>
      <w:r w:rsidR="0019581C">
        <w:t xml:space="preserve"> </w:t>
      </w:r>
      <w:r w:rsidRPr="00551729">
        <w:t>çdo sjellje e gabuar e një personi ose subjekti që ka ndikim në kredibilitetin e tij profesional, kur sjellja e tillë nënkupton qëllimin e gabuar ose neglizhencën e rëndë.</w:t>
      </w:r>
    </w:p>
    <w:p w14:paraId="1BADD0BE" w14:textId="2E8847BF" w:rsidR="00124F91" w:rsidRPr="00551729" w:rsidRDefault="00124F91" w:rsidP="00124F91">
      <w:pPr>
        <w:pStyle w:val="TEKSTIII"/>
      </w:pPr>
      <w:r w:rsidRPr="00551729">
        <w:t>g</w:t>
      </w:r>
      <w:r w:rsidR="0019581C">
        <w:t>)</w:t>
      </w:r>
      <w:r w:rsidRPr="00551729">
        <w:t xml:space="preserve"> Në rastet e forcave madhore, siç përcaktohet më poshtë. </w:t>
      </w:r>
      <w:r w:rsidR="00C521D5" w:rsidRPr="00551729">
        <w:t>“</w:t>
      </w:r>
      <w:r w:rsidRPr="00551729">
        <w:t xml:space="preserve">Forcë </w:t>
      </w:r>
      <w:r w:rsidR="00E24472" w:rsidRPr="00551729">
        <w:t>madhore</w:t>
      </w:r>
      <w:r w:rsidR="00C521D5" w:rsidRPr="00551729">
        <w:t>”</w:t>
      </w:r>
      <w:r w:rsidRPr="00551729">
        <w:t xml:space="preserve"> do të thotë çdo situatë e paparashikueshme dhe e jashtëzakonshme ose ngjarje përtej kontrollit të palëve, e cila pengon secilën prej tyre në përmbushjen e ndonjë prej detyrimeve të tyre, gjë që nuk i atribuohet gabimit ose neglizhencës nga ana e tyre (ose pjesës së kontraktuesve të tyre, agjentëve ose të punësuarve) dhe vërteton pakapërcyeshmërinë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detyrimeve të saj, nëse është penguar nga përmbushja e tyre për shkak të një force madhore për të cilën pala tjetër është informuar siç duhet. Një palë që përballet me një forcë madhore duhet ta informojë palën tjetër pa vonesë, duke deklaruar natyrën, kohëzgjatjen e mundshme dhe efektet e parashikueshme të problemit, dhe të marrë çdo masë për të minimizuar dëmet e mundshme. </w:t>
      </w:r>
    </w:p>
    <w:p w14:paraId="1BADD0BF" w14:textId="77777777" w:rsidR="00124F91" w:rsidRPr="00551729" w:rsidRDefault="00124F91" w:rsidP="00124F91">
      <w:pPr>
        <w:pStyle w:val="TEKSTIII"/>
      </w:pPr>
      <w:r w:rsidRPr="00551729">
        <w:t xml:space="preserve">Asnjëra prej palëve nuk do të konsiderohet përgjegjëse për shkelje të detyrimeve të veta sipas kësaj Marrëveshje Financimi, nëse është penguar nga përmbushja e tyre nga forca madhore, me kusht që ajo palë të marrë masa për të minimizuar dëmtimet e mundshme. </w:t>
      </w:r>
    </w:p>
    <w:p w14:paraId="1BADD0C0" w14:textId="019283C3" w:rsidR="00124F91" w:rsidRPr="00551729" w:rsidRDefault="00124F91" w:rsidP="00124F91">
      <w:pPr>
        <w:pStyle w:val="TEKSTIII"/>
      </w:pPr>
      <w:r w:rsidRPr="00551729">
        <w:t>2</w:t>
      </w:r>
      <w:r w:rsidR="00870AE8">
        <w:t>.</w:t>
      </w:r>
      <w:r w:rsidRPr="00551729">
        <w:t xml:space="preserve"> Komisioni mund ta pezullojë këtë Marrëveshje Financimi pa njoftim paraprak. </w:t>
      </w:r>
    </w:p>
    <w:p w14:paraId="1BADD0C1" w14:textId="558612D3" w:rsidR="00124F91" w:rsidRPr="00551729" w:rsidRDefault="00124F91" w:rsidP="00124F91">
      <w:pPr>
        <w:pStyle w:val="TEKSTIII"/>
      </w:pPr>
      <w:r w:rsidRPr="00551729">
        <w:t>3</w:t>
      </w:r>
      <w:r w:rsidR="00870AE8">
        <w:t>.</w:t>
      </w:r>
      <w:r w:rsidRPr="00551729">
        <w:t xml:space="preserve"> Komisioni mund të marrë masat e duhura parandaluese para se të bëhet pezullimi. </w:t>
      </w:r>
    </w:p>
    <w:p w14:paraId="1BADD0C2" w14:textId="6808CE0E" w:rsidR="00124F91" w:rsidRPr="00551729" w:rsidRDefault="00124F91" w:rsidP="00124F91">
      <w:pPr>
        <w:pStyle w:val="TEKSTIII"/>
      </w:pPr>
      <w:r w:rsidRPr="00551729">
        <w:t>4</w:t>
      </w:r>
      <w:r w:rsidR="00870AE8">
        <w:t>.</w:t>
      </w:r>
      <w:r w:rsidRPr="00551729">
        <w:t xml:space="preserve"> Kur pezullimi është njoftuar, duhet të tregohen pasojat për prokurimet dhe </w:t>
      </w:r>
      <w:r w:rsidRPr="00C562C7">
        <w:t>kontrat</w:t>
      </w:r>
      <w:r w:rsidR="00950449" w:rsidRPr="00C562C7">
        <w:t>at</w:t>
      </w:r>
      <w:r w:rsidRPr="00551729">
        <w:t xml:space="preserve"> e granteve dhe marrëveshjeve të kontributit që janë në vazhdim dhe për këto kontrata, duhet të tregohet marrëveshjet e kontributit që duhen nënshkruar. </w:t>
      </w:r>
    </w:p>
    <w:p w14:paraId="1BADD0C3" w14:textId="04A6AB17" w:rsidR="00124F91" w:rsidRPr="00551729" w:rsidRDefault="00124F91" w:rsidP="00124F91">
      <w:pPr>
        <w:pStyle w:val="TEKSTIII"/>
      </w:pPr>
      <w:r w:rsidRPr="00551729">
        <w:t>5</w:t>
      </w:r>
      <w:r w:rsidR="00870AE8">
        <w:t>.</w:t>
      </w:r>
      <w:r w:rsidRPr="00551729">
        <w:t xml:space="preserve"> Pezullimi i kësaj Marrëveshje Financimi nuk e </w:t>
      </w:r>
      <w:r w:rsidR="00293FE3" w:rsidRPr="00551729">
        <w:t>cenon</w:t>
      </w:r>
      <w:r w:rsidRPr="00551729">
        <w:t xml:space="preserve"> ndërprerjen e kësaj Marrëveshje Financimi nga Komisioni, në përputhje me nenin 17. </w:t>
      </w:r>
    </w:p>
    <w:p w14:paraId="1BADD0C4" w14:textId="14E49CAB" w:rsidR="00124F91" w:rsidRPr="00551729" w:rsidRDefault="00124F91" w:rsidP="00124F91">
      <w:pPr>
        <w:pStyle w:val="TEKSTIII"/>
      </w:pPr>
      <w:r w:rsidRPr="00551729">
        <w:t>6</w:t>
      </w:r>
      <w:r w:rsidR="00870AE8">
        <w:t xml:space="preserve">. </w:t>
      </w:r>
      <w:r w:rsidRPr="00551729">
        <w:t xml:space="preserve">Palët do të rifillojnë zbatimin e Marrëveshjes së </w:t>
      </w:r>
      <w:r w:rsidR="00293FE3" w:rsidRPr="00551729">
        <w:t>Financimit</w:t>
      </w:r>
      <w:r w:rsidRPr="00551729">
        <w:t xml:space="preserve"> sapo kushtet ta lejojnë, me miratimin paraprak me shkrim të Komisionit. Kjo nuk cenon asnjë amendim të kësaj Marrëveshje Financimi që mund të jetë i nevojshme për të përshtatur Programin e Veprimit me kushtet e reja zbatuese, duke përfshirë, nëse është e mundur, zgjatjen e periudhës së zbatimit ose përfundimin e kësaj Marrëveshje Financimi në përputhje me nenin 17.</w:t>
      </w:r>
    </w:p>
    <w:p w14:paraId="1BADD0C5" w14:textId="77777777" w:rsidR="00124F91" w:rsidRPr="00551729" w:rsidRDefault="00124F91" w:rsidP="00124F91">
      <w:pPr>
        <w:pStyle w:val="TEKSTIII"/>
      </w:pPr>
    </w:p>
    <w:p w14:paraId="1BADD0C6" w14:textId="77777777" w:rsidR="00124F91" w:rsidRPr="00551729" w:rsidRDefault="00124F91" w:rsidP="00124F91">
      <w:pPr>
        <w:pStyle w:val="TEKSTIII"/>
        <w:jc w:val="center"/>
      </w:pPr>
      <w:r w:rsidRPr="00551729">
        <w:t>Neni 17</w:t>
      </w:r>
    </w:p>
    <w:p w14:paraId="1BADD0C7" w14:textId="77777777" w:rsidR="00124F91" w:rsidRPr="00551729" w:rsidRDefault="00124F91" w:rsidP="00124F91">
      <w:pPr>
        <w:pStyle w:val="TEKSTIII"/>
        <w:jc w:val="center"/>
        <w:rPr>
          <w:b/>
        </w:rPr>
      </w:pPr>
      <w:r w:rsidRPr="00551729">
        <w:rPr>
          <w:b/>
        </w:rPr>
        <w:t>Përfundimi i kësaj Marrëveshje Financimi</w:t>
      </w:r>
    </w:p>
    <w:p w14:paraId="1BADD0C8" w14:textId="77777777" w:rsidR="00124F91" w:rsidRPr="00551729" w:rsidRDefault="00124F91" w:rsidP="00124F91">
      <w:pPr>
        <w:pStyle w:val="TEKSTIII"/>
      </w:pPr>
    </w:p>
    <w:p w14:paraId="1BADD0C9" w14:textId="778A2058" w:rsidR="00124F91" w:rsidRPr="00551729" w:rsidRDefault="00124F91" w:rsidP="00124F91">
      <w:pPr>
        <w:pStyle w:val="TEKSTIII"/>
      </w:pPr>
      <w:r w:rsidRPr="00551729">
        <w:t>1</w:t>
      </w:r>
      <w:r w:rsidR="00A0266A">
        <w:t>.</w:t>
      </w:r>
      <w:r w:rsidRPr="00551729">
        <w:t xml:space="preserve"> Nëse çështjet të cilat çuan në pezullimin e Marrëveshjes së Financimit nuk janë zgjidhur br</w:t>
      </w:r>
      <w:r w:rsidR="008E5481">
        <w:t>enda një periudhe maksimale 180-</w:t>
      </w:r>
      <w:r w:rsidRPr="00551729">
        <w:t xml:space="preserve">ditore, secila palë mund ta përfundojë Marrëveshjen e Financimit me njoftim 30 ditë para. </w:t>
      </w:r>
    </w:p>
    <w:p w14:paraId="1BADD0CA" w14:textId="2492E5B9" w:rsidR="00124F91" w:rsidRPr="00551729" w:rsidRDefault="00124F91" w:rsidP="00124F91">
      <w:pPr>
        <w:pStyle w:val="TEKSTIII"/>
      </w:pPr>
      <w:r w:rsidRPr="00551729">
        <w:t>2</w:t>
      </w:r>
      <w:r w:rsidR="00A0266A">
        <w:t>.</w:t>
      </w:r>
      <w:r w:rsidRPr="00551729">
        <w:t xml:space="preserve"> Kur ndërprerja është njoftuar, duhet të tregohen pasoja e prokurimeve dhe kontratave të granteve në vazhdim dhe kontratat ose grantet e tilla që duhen nënshkruar. </w:t>
      </w:r>
    </w:p>
    <w:p w14:paraId="1BADD0CB" w14:textId="7EF18C7C" w:rsidR="00124F91" w:rsidRPr="00551729" w:rsidRDefault="00124F91" w:rsidP="00124F91">
      <w:pPr>
        <w:pStyle w:val="TEKSTIII"/>
      </w:pPr>
      <w:r w:rsidRPr="00551729">
        <w:t>3</w:t>
      </w:r>
      <w:r w:rsidR="00A0266A">
        <w:t>.</w:t>
      </w:r>
      <w:r w:rsidRPr="00551729">
        <w:t xml:space="preserve"> Përfundimi i kësaj Marrëveshjeje Financimi nuk do të përjashtojë mundësinë e Komisionit që të kryejë korrigjime financiare në përputhje me nenet 43 dhe 44 të Marrëveshjes Kuadër. </w:t>
      </w:r>
    </w:p>
    <w:p w14:paraId="1BADD0CC" w14:textId="77777777" w:rsidR="00124F91" w:rsidRPr="00551729" w:rsidRDefault="00124F91" w:rsidP="00124F91">
      <w:pPr>
        <w:pStyle w:val="TEKSTIII"/>
      </w:pPr>
    </w:p>
    <w:p w14:paraId="08473FEE" w14:textId="77777777" w:rsidR="006D0C46" w:rsidRDefault="006D0C46" w:rsidP="00124F91">
      <w:pPr>
        <w:pStyle w:val="TEKSTIII"/>
        <w:jc w:val="center"/>
        <w:rPr>
          <w:bCs/>
        </w:rPr>
      </w:pPr>
    </w:p>
    <w:p w14:paraId="306C3673" w14:textId="77777777" w:rsidR="006D0C46" w:rsidRDefault="006D0C46" w:rsidP="00124F91">
      <w:pPr>
        <w:pStyle w:val="TEKSTIII"/>
        <w:jc w:val="center"/>
        <w:rPr>
          <w:bCs/>
        </w:rPr>
      </w:pPr>
    </w:p>
    <w:p w14:paraId="1BADD0CD" w14:textId="77777777" w:rsidR="00124F91" w:rsidRPr="00551729" w:rsidRDefault="00124F91" w:rsidP="00124F91">
      <w:pPr>
        <w:pStyle w:val="TEKSTIII"/>
        <w:jc w:val="center"/>
        <w:rPr>
          <w:bCs/>
        </w:rPr>
      </w:pPr>
      <w:r w:rsidRPr="00551729">
        <w:rPr>
          <w:bCs/>
        </w:rPr>
        <w:t>Neni 18</w:t>
      </w:r>
    </w:p>
    <w:p w14:paraId="1BADD0CE" w14:textId="77777777" w:rsidR="00124F91" w:rsidRPr="00551729" w:rsidRDefault="00124F91" w:rsidP="00124F91">
      <w:pPr>
        <w:pStyle w:val="TEKSTIII"/>
        <w:jc w:val="center"/>
      </w:pPr>
      <w:r w:rsidRPr="00551729">
        <w:rPr>
          <w:b/>
          <w:bCs/>
        </w:rPr>
        <w:t>Rregullimet për zgjidhjen e mosmarrëveshjeve</w:t>
      </w:r>
    </w:p>
    <w:p w14:paraId="1BADD0CF" w14:textId="77777777" w:rsidR="00124F91" w:rsidRPr="00551729" w:rsidRDefault="00124F91" w:rsidP="00124F91">
      <w:pPr>
        <w:pStyle w:val="TEKSTIII"/>
      </w:pPr>
    </w:p>
    <w:p w14:paraId="1BADD0D0" w14:textId="170FD443" w:rsidR="00124F91" w:rsidRPr="00551729" w:rsidRDefault="00124F91" w:rsidP="00124F91">
      <w:pPr>
        <w:pStyle w:val="TEKSTIII"/>
      </w:pPr>
      <w:r w:rsidRPr="00551729">
        <w:t>1</w:t>
      </w:r>
      <w:r w:rsidR="00A0266A">
        <w:t>.</w:t>
      </w:r>
      <w:r w:rsidRPr="00551729">
        <w:t xml:space="preserve"> Çdo mosmarrëveshje në lidhje me Marrëveshjen e Financimit që nuk mund të zgjidhet brenda një periudhe gjashtëmujore nga konsultimet midis palëve, të parashikuar në nenin 14, mund të zgjidhet nga arbitrazhi me kërkesën e njërës prej palëve. </w:t>
      </w:r>
    </w:p>
    <w:p w14:paraId="1BADD0D1" w14:textId="4B318C4B" w:rsidR="00124F91" w:rsidRPr="00551729" w:rsidRDefault="00124F91" w:rsidP="00124F91">
      <w:pPr>
        <w:pStyle w:val="TEKSTIII"/>
      </w:pPr>
      <w:r w:rsidRPr="00551729">
        <w:t>2</w:t>
      </w:r>
      <w:r w:rsidR="00A0266A">
        <w:t>.</w:t>
      </w:r>
      <w:r w:rsidRPr="00551729">
        <w:t xml:space="preserve"> Secila palë do të caktojë një arbitër brenda 30 ditëve nga data e kërkesës për arbitrazh. Nëse kjo nuk arrihet, secila palë mund t’i kërkojë Sekretarit të Përgjithshëm të Gjykatës së Përhershme të Arbitrazhit (Hagë) të caktojë një arbitër të dytë. Të dy arbitrat, nga ana e tyre, caktojnë një arbitër të tretë brenda 30 ditëve. Nëse kjo nuk arrihet, secila palë mund t’i kërkojë Sekretarit të Përgjithshëm të Gjykatës së Përhershme të Arbitrazhit të caktojë arbitrin e tretë.</w:t>
      </w:r>
    </w:p>
    <w:p w14:paraId="1BADD0D2" w14:textId="363CE93C" w:rsidR="00124F91" w:rsidRPr="00551729" w:rsidRDefault="00124F91" w:rsidP="00124F91">
      <w:pPr>
        <w:pStyle w:val="TEKSTIII"/>
      </w:pPr>
      <w:r w:rsidRPr="00551729">
        <w:t>3</w:t>
      </w:r>
      <w:r w:rsidR="004A4957">
        <w:t>.</w:t>
      </w:r>
      <w:r w:rsidRPr="00551729">
        <w:t xml:space="preserve"> Përveç kur arbitrat vendosin ndryshe, do të zbatohen </w:t>
      </w:r>
      <w:r w:rsidR="001E5AF6" w:rsidRPr="00551729">
        <w:t>procedurat</w:t>
      </w:r>
      <w:r w:rsidRPr="00551729">
        <w:t xml:space="preserve"> e parashikuara në Gjykatën e Përhershme të Arbitrazhit, rregullat opsionale për Arbitrazhin që përfshijnë organizatat ndërkombëtare dhe shtetet.</w:t>
      </w:r>
      <w:r w:rsidRPr="00551729">
        <w:rPr>
          <w:rFonts w:ascii="Calibri" w:hAnsi="Calibri" w:cs="Calibri"/>
        </w:rPr>
        <w:t xml:space="preserve"> </w:t>
      </w:r>
      <w:r w:rsidRPr="00551729">
        <w:t>Vendimet e arbitrave merren me shumicë brenda një periudhe tremujore.</w:t>
      </w:r>
    </w:p>
    <w:p w14:paraId="1BADD0D3" w14:textId="14437233" w:rsidR="00124F91" w:rsidRPr="00551729" w:rsidRDefault="00124F91" w:rsidP="00124F91">
      <w:pPr>
        <w:pStyle w:val="TEKSTIII"/>
      </w:pPr>
      <w:r w:rsidRPr="00551729">
        <w:t>4</w:t>
      </w:r>
      <w:r w:rsidR="004A4957">
        <w:t>.</w:t>
      </w:r>
      <w:r w:rsidRPr="00551729">
        <w:t xml:space="preserve"> Secila palë do të jetë e detyruar të marrë masat e nevojshme për zbatimin e vendimit të arbitrave.</w:t>
      </w:r>
    </w:p>
    <w:p w14:paraId="1FEE16AB" w14:textId="77777777" w:rsidR="005E59ED" w:rsidRDefault="005E59ED" w:rsidP="005E59ED">
      <w:pPr>
        <w:pStyle w:val="TEKSTIII"/>
        <w:ind w:firstLine="0"/>
      </w:pPr>
    </w:p>
    <w:p w14:paraId="478DAE4B" w14:textId="01AE6F8C" w:rsidR="005E59ED" w:rsidRDefault="005E59ED" w:rsidP="005E59ED">
      <w:pPr>
        <w:pStyle w:val="TEKSTIII"/>
        <w:ind w:firstLine="0"/>
        <w:jc w:val="center"/>
      </w:pPr>
      <w:r w:rsidRPr="00551729">
        <w:t xml:space="preserve">SHTOJCA III </w:t>
      </w:r>
      <w:r w:rsidRPr="006D0C46">
        <w:t>A</w:t>
      </w:r>
    </w:p>
    <w:p w14:paraId="1BADD0D5" w14:textId="6AC77A5F" w:rsidR="00F27478" w:rsidRPr="00551729" w:rsidRDefault="005E59ED" w:rsidP="005E59ED">
      <w:pPr>
        <w:pStyle w:val="TEKSTIII"/>
        <w:ind w:firstLine="0"/>
        <w:jc w:val="center"/>
      </w:pPr>
      <w:r w:rsidRPr="00551729">
        <w:t>MODELI I RAPORTIMIT VJETOR</w:t>
      </w:r>
    </w:p>
    <w:p w14:paraId="1BADD0D6" w14:textId="77777777" w:rsidR="00F27478" w:rsidRPr="00551729" w:rsidRDefault="00F27478" w:rsidP="00F27478">
      <w:pPr>
        <w:pStyle w:val="TEKSTIII"/>
        <w:rPr>
          <w:rFonts w:cs="Times New Roman"/>
        </w:rPr>
      </w:pPr>
    </w:p>
    <w:p w14:paraId="1BADD0D7" w14:textId="77777777" w:rsidR="00F27478" w:rsidRPr="00551729" w:rsidRDefault="00F27478" w:rsidP="00F27478">
      <w:pPr>
        <w:pStyle w:val="TEKSTIII"/>
        <w:jc w:val="right"/>
        <w:rPr>
          <w:rFonts w:cs="Times New Roman"/>
        </w:rPr>
      </w:pPr>
      <w:r w:rsidRPr="00551729">
        <w:rPr>
          <w:rFonts w:cs="Times New Roman"/>
        </w:rPr>
        <w:t xml:space="preserve">Periudha e mbuluar nga raporti: </w:t>
      </w:r>
    </w:p>
    <w:p w14:paraId="1BADD0D8" w14:textId="704E4D17" w:rsidR="00F27478" w:rsidRPr="00551729" w:rsidRDefault="00F27478" w:rsidP="00F27478">
      <w:pPr>
        <w:pStyle w:val="TEKSTIII"/>
        <w:jc w:val="right"/>
        <w:rPr>
          <w:rFonts w:cs="Times New Roman"/>
        </w:rPr>
      </w:pPr>
      <w:r w:rsidRPr="00551729">
        <w:rPr>
          <w:rFonts w:cs="Times New Roman"/>
        </w:rPr>
        <w:t>1</w:t>
      </w:r>
      <w:r w:rsidR="004A4957">
        <w:rPr>
          <w:rFonts w:cs="Times New Roman"/>
        </w:rPr>
        <w:t>.</w:t>
      </w:r>
      <w:r w:rsidRPr="00551729">
        <w:rPr>
          <w:rFonts w:cs="Times New Roman"/>
        </w:rPr>
        <w:t>1</w:t>
      </w:r>
      <w:r w:rsidR="004A4957">
        <w:rPr>
          <w:rFonts w:cs="Times New Roman"/>
        </w:rPr>
        <w:t>.</w:t>
      </w:r>
      <w:r w:rsidRPr="00551729">
        <w:rPr>
          <w:rFonts w:cs="Times New Roman"/>
        </w:rPr>
        <w:t>20XX</w:t>
      </w:r>
      <w:r w:rsidR="004A4957">
        <w:rPr>
          <w:rFonts w:cs="Times New Roman"/>
        </w:rPr>
        <w:t>–</w:t>
      </w:r>
      <w:r w:rsidRPr="00551729">
        <w:rPr>
          <w:rFonts w:cs="Times New Roman"/>
        </w:rPr>
        <w:t>31</w:t>
      </w:r>
      <w:r w:rsidR="004A4957">
        <w:rPr>
          <w:rFonts w:cs="Times New Roman"/>
        </w:rPr>
        <w:t>.</w:t>
      </w:r>
      <w:r w:rsidRPr="00551729">
        <w:rPr>
          <w:rFonts w:cs="Times New Roman"/>
        </w:rPr>
        <w:t>12</w:t>
      </w:r>
      <w:r w:rsidR="004A4957">
        <w:rPr>
          <w:rFonts w:cs="Times New Roman"/>
        </w:rPr>
        <w:t>.</w:t>
      </w:r>
      <w:r w:rsidRPr="00551729">
        <w:rPr>
          <w:rFonts w:cs="Times New Roman"/>
        </w:rPr>
        <w:t>20XX</w:t>
      </w:r>
    </w:p>
    <w:p w14:paraId="1BADD0D9" w14:textId="77777777" w:rsidR="00F27478" w:rsidRPr="00551729" w:rsidRDefault="00F27478" w:rsidP="00F27478">
      <w:pPr>
        <w:pStyle w:val="TEKSTIII"/>
        <w:jc w:val="right"/>
        <w:rPr>
          <w:rFonts w:cs="Times New Roman"/>
        </w:rPr>
      </w:pPr>
      <w:r w:rsidRPr="00551729">
        <w:rPr>
          <w:rFonts w:cs="Times New Roman"/>
        </w:rPr>
        <w:t xml:space="preserve"> </w:t>
      </w:r>
    </w:p>
    <w:p w14:paraId="1BADD0DA" w14:textId="0D1C2FEA" w:rsidR="00F27478" w:rsidRPr="00551729" w:rsidRDefault="00F27478" w:rsidP="00F27478">
      <w:pPr>
        <w:pStyle w:val="TEKSTIII"/>
        <w:jc w:val="right"/>
        <w:rPr>
          <w:rFonts w:cs="Times New Roman"/>
        </w:rPr>
      </w:pPr>
      <w:r w:rsidRPr="00551729">
        <w:rPr>
          <w:rFonts w:cs="Times New Roman"/>
        </w:rPr>
        <w:t>Raport i lëshuar më XX</w:t>
      </w:r>
      <w:r w:rsidR="004A4957">
        <w:rPr>
          <w:rFonts w:cs="Times New Roman"/>
        </w:rPr>
        <w:t>.</w:t>
      </w:r>
      <w:r w:rsidRPr="00551729">
        <w:rPr>
          <w:rFonts w:cs="Times New Roman"/>
        </w:rPr>
        <w:t>XX</w:t>
      </w:r>
      <w:r w:rsidR="004A4957">
        <w:rPr>
          <w:rFonts w:cs="Times New Roman"/>
        </w:rPr>
        <w:t>.</w:t>
      </w:r>
      <w:r w:rsidRPr="00551729">
        <w:rPr>
          <w:rFonts w:cs="Times New Roman"/>
        </w:rPr>
        <w:t>20XX</w:t>
      </w:r>
    </w:p>
    <w:p w14:paraId="1BADD0DB" w14:textId="77777777" w:rsidR="00F27478" w:rsidRPr="00551729" w:rsidRDefault="00F27478" w:rsidP="00F27478">
      <w:pPr>
        <w:pStyle w:val="TEKSTIII"/>
        <w:rPr>
          <w:rFonts w:cs="Times New Roman"/>
        </w:rPr>
      </w:pPr>
      <w:r w:rsidRPr="00551729">
        <w:rPr>
          <w:rFonts w:cs="Times New Roman"/>
        </w:rPr>
        <w:t xml:space="preserve"> </w:t>
      </w:r>
    </w:p>
    <w:p w14:paraId="1BADD0DC" w14:textId="532CFD7B" w:rsidR="00F27478" w:rsidRPr="00551729" w:rsidRDefault="00F27478" w:rsidP="00F27478">
      <w:pPr>
        <w:pStyle w:val="TEKSTIII"/>
        <w:rPr>
          <w:rFonts w:cs="Times New Roman"/>
          <w:b/>
          <w:bCs/>
        </w:rPr>
      </w:pPr>
      <w:r w:rsidRPr="00551729">
        <w:rPr>
          <w:rFonts w:cs="Times New Roman"/>
          <w:b/>
          <w:bCs/>
        </w:rPr>
        <w:t>Raport vjetor mbi zbatimin e asistencës IPA II nën menaxhim e drejtpërdrejtë dhe të tërthortë nga [vendi] të paraqitur nga Koordinatori Kombëtar i IPA-s</w:t>
      </w:r>
      <w:r w:rsidR="000B3C27">
        <w:rPr>
          <w:rFonts w:cs="Times New Roman"/>
          <w:b/>
          <w:bCs/>
        </w:rPr>
        <w:t>ë</w:t>
      </w:r>
    </w:p>
    <w:p w14:paraId="1BADD0DE" w14:textId="77777777" w:rsidR="00F27478" w:rsidRPr="00551729" w:rsidRDefault="00F27478" w:rsidP="00F27478">
      <w:pPr>
        <w:pStyle w:val="TEKSTIII"/>
        <w:rPr>
          <w:rFonts w:cs="Times New Roman"/>
          <w:b/>
          <w:bCs/>
        </w:rPr>
      </w:pPr>
      <w:r w:rsidRPr="00551729">
        <w:rPr>
          <w:rFonts w:cs="Times New Roman"/>
          <w:b/>
          <w:bCs/>
        </w:rPr>
        <w:t xml:space="preserve">I. Përmbledhje ekzekutive </w:t>
      </w:r>
    </w:p>
    <w:p w14:paraId="1BADD0DF" w14:textId="77777777" w:rsidR="00F27478" w:rsidRPr="00551729" w:rsidRDefault="00F27478" w:rsidP="00F27478">
      <w:pPr>
        <w:pStyle w:val="TEKSTIII"/>
        <w:rPr>
          <w:rFonts w:cs="Times New Roman"/>
        </w:rPr>
      </w:pPr>
      <w:r w:rsidRPr="00551729">
        <w:rPr>
          <w:rFonts w:cs="Times New Roman"/>
        </w:rPr>
        <w:t xml:space="preserve">1. Referencë e objektivave të Dokumenteve Strategjikë të Vendit dhe një pasqyrë e shkurtër e sfidave të sektorëve </w:t>
      </w:r>
    </w:p>
    <w:p w14:paraId="1BADD0E0" w14:textId="77777777" w:rsidR="00F27478" w:rsidRPr="00551729" w:rsidRDefault="00F27478" w:rsidP="00F27478">
      <w:pPr>
        <w:pStyle w:val="TEKSTIII"/>
        <w:rPr>
          <w:rFonts w:cs="Times New Roman"/>
        </w:rPr>
      </w:pPr>
      <w:r w:rsidRPr="00551729">
        <w:rPr>
          <w:rFonts w:cs="Times New Roman"/>
        </w:rPr>
        <w:t xml:space="preserve">2. Përfshirja në programim </w:t>
      </w:r>
    </w:p>
    <w:p w14:paraId="1BADD0E1" w14:textId="77777777" w:rsidR="00F27478" w:rsidRPr="00551729" w:rsidRDefault="00F27478" w:rsidP="00F27478">
      <w:pPr>
        <w:pStyle w:val="TEKSTIII"/>
        <w:rPr>
          <w:rFonts w:cs="Times New Roman"/>
        </w:rPr>
      </w:pPr>
      <w:r w:rsidRPr="00551729">
        <w:rPr>
          <w:rFonts w:cs="Times New Roman"/>
        </w:rPr>
        <w:t xml:space="preserve">3. Marrëdhëniet me Komisionin Evropian. </w:t>
      </w:r>
    </w:p>
    <w:p w14:paraId="1BADD0E2" w14:textId="77777777" w:rsidR="00F27478" w:rsidRPr="00551729" w:rsidRDefault="00F27478" w:rsidP="00F27478">
      <w:pPr>
        <w:pStyle w:val="TEKSTIII"/>
        <w:rPr>
          <w:rFonts w:cs="Times New Roman"/>
        </w:rPr>
      </w:pPr>
      <w:r w:rsidRPr="00551729">
        <w:rPr>
          <w:rFonts w:cs="Times New Roman"/>
        </w:rPr>
        <w:t xml:space="preserve">4. Problemet që hasen në përmbushjen e kushteve të nevojshme për zbatimin dhe në sigurimin e qëndrueshmërisë, në lidhje me masat e marra/të planifikuara, rekomandimet për veprime të mëtejshme. </w:t>
      </w:r>
    </w:p>
    <w:p w14:paraId="1BADD0E3" w14:textId="335ABC98" w:rsidR="00F27478" w:rsidRPr="00551729" w:rsidRDefault="00F27478" w:rsidP="00F27478">
      <w:pPr>
        <w:pStyle w:val="TEKSTIII"/>
        <w:rPr>
          <w:rFonts w:cs="Times New Roman"/>
        </w:rPr>
      </w:pPr>
      <w:r w:rsidRPr="00551729">
        <w:rPr>
          <w:rFonts w:cs="Times New Roman"/>
        </w:rPr>
        <w:t xml:space="preserve">5. Çështje të rëndësishme që rrjedhin nga pjesëmarrja e përfituesit të IPA II në komitetin monitorues </w:t>
      </w:r>
      <w:r w:rsidR="00EF729E">
        <w:rPr>
          <w:rFonts w:cs="Times New Roman"/>
        </w:rPr>
        <w:t>të IPA-së</w:t>
      </w:r>
      <w:r w:rsidRPr="00551729">
        <w:rPr>
          <w:rFonts w:cs="Times New Roman"/>
        </w:rPr>
        <w:t xml:space="preserve"> dhe në komisionet sektoriale të monitorimit (duke përfshirë Komitetin e Përbashkët të Monitorimit për BNK-në), nëse ka. </w:t>
      </w:r>
    </w:p>
    <w:p w14:paraId="1BADD0E4" w14:textId="11F7B5F3" w:rsidR="00F27478" w:rsidRPr="00551729" w:rsidRDefault="00B74C4D" w:rsidP="00F27478">
      <w:pPr>
        <w:pStyle w:val="TEKSTIII"/>
        <w:rPr>
          <w:rFonts w:cs="Times New Roman"/>
        </w:rPr>
      </w:pPr>
      <w:r>
        <w:rPr>
          <w:rFonts w:cs="Times New Roman"/>
        </w:rPr>
        <w:t>6. Përfshirja në veprimet shumë</w:t>
      </w:r>
      <w:r w:rsidR="00F27478" w:rsidRPr="00551729">
        <w:rPr>
          <w:rFonts w:cs="Times New Roman"/>
        </w:rPr>
        <w:t xml:space="preserve">vendëshe dhe çdo çështje që ka lidhje me to. </w:t>
      </w:r>
    </w:p>
    <w:p w14:paraId="1BADD0E5" w14:textId="77777777" w:rsidR="00F27478" w:rsidRPr="00551729" w:rsidRDefault="00F27478" w:rsidP="00F27478">
      <w:pPr>
        <w:pStyle w:val="TEKSTIII"/>
        <w:rPr>
          <w:rFonts w:cs="Times New Roman"/>
        </w:rPr>
      </w:pPr>
      <w:r w:rsidRPr="00551729">
        <w:rPr>
          <w:rFonts w:cs="Times New Roman"/>
        </w:rPr>
        <w:t xml:space="preserve">7. Aktivitete monitorimi dhe vlerësimi, mësimet kryesore që janë nxjerrë dhe ndjekja e rekomandimeve. </w:t>
      </w:r>
    </w:p>
    <w:p w14:paraId="1BADD0E6" w14:textId="77777777" w:rsidR="00F27478" w:rsidRPr="00551729" w:rsidRDefault="00F27478" w:rsidP="00F27478">
      <w:pPr>
        <w:pStyle w:val="TEKSTIII"/>
        <w:rPr>
          <w:rFonts w:cs="Times New Roman"/>
        </w:rPr>
      </w:pPr>
      <w:r w:rsidRPr="00551729">
        <w:rPr>
          <w:rFonts w:cs="Times New Roman"/>
        </w:rPr>
        <w:t xml:space="preserve">8. Aktivitetet mbi komunikimin dhe vizibilitetin. </w:t>
      </w:r>
    </w:p>
    <w:p w14:paraId="1BADD0E7" w14:textId="77777777" w:rsidR="00F27478" w:rsidRPr="00551729" w:rsidRDefault="00F27478" w:rsidP="00F27478">
      <w:pPr>
        <w:pStyle w:val="TEKSTIII"/>
        <w:rPr>
          <w:rFonts w:cs="Times New Roman"/>
        </w:rPr>
      </w:pPr>
      <w:r w:rsidRPr="00551729">
        <w:rPr>
          <w:rFonts w:cs="Times New Roman"/>
        </w:rPr>
        <w:t xml:space="preserve">9. Koordinimi i donatorëve </w:t>
      </w:r>
    </w:p>
    <w:p w14:paraId="1BADD0E8" w14:textId="69B5096A" w:rsidR="00F27478" w:rsidRPr="00551729" w:rsidRDefault="00F27478" w:rsidP="00F27478">
      <w:pPr>
        <w:pStyle w:val="TEKSTIII"/>
        <w:rPr>
          <w:rFonts w:cs="Times New Roman"/>
        </w:rPr>
      </w:pPr>
      <w:r w:rsidRPr="00551729">
        <w:rPr>
          <w:rFonts w:cs="Times New Roman"/>
          <w:i/>
          <w:iCs/>
        </w:rPr>
        <w:t>Në rastet e menaxhimit të tërthortë, përmbledhja ekzekutive duhet të përmbajë</w:t>
      </w:r>
      <w:r w:rsidR="00176E0E">
        <w:rPr>
          <w:rFonts w:cs="Times New Roman"/>
          <w:i/>
          <w:iCs/>
        </w:rPr>
        <w:t>,</w:t>
      </w:r>
      <w:r w:rsidRPr="00551729">
        <w:rPr>
          <w:rFonts w:cs="Times New Roman"/>
          <w:i/>
          <w:iCs/>
        </w:rPr>
        <w:t xml:space="preserve"> gjithashtu:</w:t>
      </w:r>
    </w:p>
    <w:p w14:paraId="1BADD0E9" w14:textId="1F873E14" w:rsidR="00F27478" w:rsidRPr="00551729" w:rsidRDefault="00F27478" w:rsidP="00F27478">
      <w:pPr>
        <w:pStyle w:val="TEKSTIII"/>
        <w:rPr>
          <w:rFonts w:cs="Times New Roman"/>
        </w:rPr>
      </w:pPr>
      <w:r w:rsidRPr="00551729">
        <w:rPr>
          <w:rFonts w:cs="Times New Roman"/>
        </w:rPr>
        <w:t>10. Zbatimin gjithëpërfshirës të asistencës së IPA-s</w:t>
      </w:r>
      <w:r w:rsidR="00176E0E">
        <w:rPr>
          <w:rFonts w:cs="Times New Roman"/>
        </w:rPr>
        <w:t>ë</w:t>
      </w:r>
      <w:r w:rsidRPr="00551729">
        <w:rPr>
          <w:rFonts w:cs="Times New Roman"/>
        </w:rPr>
        <w:t xml:space="preserve"> nën menaxhim e tërthortë</w:t>
      </w:r>
      <w:r w:rsidR="00C521D5" w:rsidRPr="00551729">
        <w:rPr>
          <w:rFonts w:cs="Times New Roman"/>
        </w:rPr>
        <w:t xml:space="preserve"> </w:t>
      </w:r>
      <w:r w:rsidRPr="00551729">
        <w:rPr>
          <w:rFonts w:cs="Times New Roman"/>
        </w:rPr>
        <w:t xml:space="preserve">(maksimumi një faqe). </w:t>
      </w:r>
    </w:p>
    <w:p w14:paraId="1BADD0EA" w14:textId="454E91F2" w:rsidR="00F27478" w:rsidRPr="00551729" w:rsidRDefault="00F27478" w:rsidP="00F27478">
      <w:pPr>
        <w:pStyle w:val="TEKSTIII"/>
        <w:rPr>
          <w:rFonts w:cs="Times New Roman"/>
        </w:rPr>
      </w:pPr>
      <w:r w:rsidRPr="00551729">
        <w:rPr>
          <w:rFonts w:cs="Times New Roman"/>
        </w:rPr>
        <w:t>11. Problemet kryesore horizontale të hasura në zbatimin e asistencës së IPA-s</w:t>
      </w:r>
      <w:r w:rsidR="00176E0E">
        <w:rPr>
          <w:rFonts w:cs="Times New Roman"/>
        </w:rPr>
        <w:t>ë dhe masat përkatëse të marra</w:t>
      </w:r>
      <w:r w:rsidRPr="00551729">
        <w:rPr>
          <w:rFonts w:cs="Times New Roman"/>
        </w:rPr>
        <w:t xml:space="preserve">/planifikuara (maksimumi gjysmë faqe). </w:t>
      </w:r>
    </w:p>
    <w:p w14:paraId="1BADD0EB" w14:textId="77777777" w:rsidR="00F27478" w:rsidRPr="00551729" w:rsidRDefault="00F27478" w:rsidP="00F27478">
      <w:pPr>
        <w:pStyle w:val="TEKSTIII"/>
        <w:rPr>
          <w:rFonts w:cs="Times New Roman"/>
        </w:rPr>
      </w:pPr>
      <w:r w:rsidRPr="00551729">
        <w:rPr>
          <w:rFonts w:cs="Times New Roman"/>
        </w:rPr>
        <w:t xml:space="preserve">12. Rekomandimet për veprime të mëtejshme (maksimumi gjysmë faqe). </w:t>
      </w:r>
    </w:p>
    <w:p w14:paraId="1BADD0EC" w14:textId="4E89490D" w:rsidR="00F27478" w:rsidRPr="00551729" w:rsidRDefault="00F27478" w:rsidP="00F27478">
      <w:pPr>
        <w:pStyle w:val="TEKSTIII"/>
        <w:rPr>
          <w:rFonts w:cs="Times New Roman"/>
        </w:rPr>
      </w:pPr>
      <w:r w:rsidRPr="00551729">
        <w:rPr>
          <w:rFonts w:cs="Times New Roman"/>
        </w:rPr>
        <w:t xml:space="preserve">13. Auditimet </w:t>
      </w:r>
      <w:r w:rsidR="001B00B2">
        <w:rPr>
          <w:rFonts w:cs="Times New Roman"/>
        </w:rPr>
        <w:t>–</w:t>
      </w:r>
      <w:r w:rsidRPr="00551729">
        <w:rPr>
          <w:rFonts w:cs="Times New Roman"/>
        </w:rPr>
        <w:t xml:space="preserve"> gjetjet kryesore, rekomandimet dhe veprimet korrigjuese të ndërmarra. </w:t>
      </w:r>
    </w:p>
    <w:p w14:paraId="1BADD0EE" w14:textId="69337F1F" w:rsidR="00F27478" w:rsidRPr="00551729" w:rsidRDefault="00F27478" w:rsidP="00F27478">
      <w:pPr>
        <w:pStyle w:val="TEKSTIII"/>
        <w:rPr>
          <w:rFonts w:cs="Times New Roman"/>
        </w:rPr>
      </w:pPr>
      <w:r w:rsidRPr="00551729">
        <w:rPr>
          <w:rFonts w:cs="Times New Roman"/>
          <w:b/>
          <w:bCs/>
        </w:rPr>
        <w:t xml:space="preserve">II. Informacion sipas </w:t>
      </w:r>
      <w:r w:rsidR="00176E0E" w:rsidRPr="00551729">
        <w:rPr>
          <w:rFonts w:cs="Times New Roman"/>
          <w:b/>
          <w:bCs/>
        </w:rPr>
        <w:t>sektorëve</w:t>
      </w:r>
      <w:r w:rsidR="00176E0E" w:rsidRPr="00551729">
        <w:rPr>
          <w:rFonts w:cs="Times New Roman"/>
        </w:rPr>
        <w:t xml:space="preserve"> </w:t>
      </w:r>
    </w:p>
    <w:p w14:paraId="1BADD0EF" w14:textId="77777777" w:rsidR="00F27478" w:rsidRPr="00551729" w:rsidRDefault="00F27478" w:rsidP="00F27478">
      <w:pPr>
        <w:pStyle w:val="TEKSTIII"/>
        <w:rPr>
          <w:rFonts w:cs="Times New Roman"/>
        </w:rPr>
      </w:pPr>
      <w:r w:rsidRPr="00551729">
        <w:rPr>
          <w:rFonts w:cs="Times New Roman"/>
          <w:b/>
          <w:bCs/>
        </w:rPr>
        <w:t>Titulli i sektorit</w:t>
      </w:r>
      <w:r w:rsidRPr="00551729">
        <w:rPr>
          <w:rStyle w:val="FootnoteReference"/>
          <w:b/>
          <w:bCs/>
        </w:rPr>
        <w:footnoteReference w:id="94"/>
      </w:r>
      <w:r w:rsidRPr="00551729">
        <w:rPr>
          <w:rFonts w:cs="Times New Roman"/>
          <w:b/>
          <w:bCs/>
        </w:rPr>
        <w:t xml:space="preserve">: </w:t>
      </w:r>
      <w:r w:rsidRPr="00551729">
        <w:rPr>
          <w:rFonts w:cs="Times New Roman"/>
        </w:rPr>
        <w:t>[</w:t>
      </w:r>
      <w:r w:rsidRPr="00551729">
        <w:rPr>
          <w:rFonts w:cs="Times New Roman"/>
          <w:i/>
          <w:iCs/>
        </w:rPr>
        <w:t>Transporti</w:t>
      </w:r>
      <w:r w:rsidRPr="00551729">
        <w:rPr>
          <w:rFonts w:cs="Times New Roman"/>
        </w:rPr>
        <w:t>]</w:t>
      </w:r>
    </w:p>
    <w:p w14:paraId="1BADD0F0" w14:textId="77777777" w:rsidR="00F27478" w:rsidRPr="00551729" w:rsidRDefault="00F27478" w:rsidP="00F27478">
      <w:pPr>
        <w:pStyle w:val="TEKSTIII"/>
        <w:rPr>
          <w:rFonts w:cs="Times New Roman"/>
        </w:rPr>
      </w:pPr>
      <w:r w:rsidRPr="00551729">
        <w:rPr>
          <w:rFonts w:cs="Times New Roman"/>
        </w:rPr>
        <w:t>Pjesa përshkruese: përmbledhje mbi sektorin, duke përfshirë informacionin e mëposhtëm:</w:t>
      </w:r>
    </w:p>
    <w:p w14:paraId="1BADD0F1" w14:textId="0226690A" w:rsidR="00F27478" w:rsidRPr="00551729" w:rsidRDefault="00F27478" w:rsidP="00F27478">
      <w:pPr>
        <w:pStyle w:val="TEKSTIII"/>
        <w:rPr>
          <w:rFonts w:cs="Times New Roman"/>
        </w:rPr>
      </w:pPr>
      <w:r w:rsidRPr="00551729">
        <w:rPr>
          <w:rFonts w:cs="Times New Roman"/>
        </w:rPr>
        <w:t>1. Përfshirja në programim</w:t>
      </w:r>
      <w:r w:rsidR="00C662EF">
        <w:rPr>
          <w:rFonts w:cs="Times New Roman"/>
        </w:rPr>
        <w:t>;</w:t>
      </w:r>
      <w:r w:rsidRPr="00551729">
        <w:rPr>
          <w:rFonts w:cs="Times New Roman"/>
        </w:rPr>
        <w:t xml:space="preserve"> </w:t>
      </w:r>
    </w:p>
    <w:p w14:paraId="1BADD0F3" w14:textId="54C2F0CE" w:rsidR="00F27478" w:rsidRPr="00551729" w:rsidRDefault="00F27478" w:rsidP="00F27478">
      <w:pPr>
        <w:pStyle w:val="TEKSTIII"/>
        <w:rPr>
          <w:rFonts w:cs="Times New Roman"/>
        </w:rPr>
      </w:pPr>
      <w:r w:rsidRPr="00551729">
        <w:rPr>
          <w:rFonts w:cs="Times New Roman"/>
        </w:rPr>
        <w:t>2. Përmbledhje e rezultateve të arritura drejt një qasjeje të sektorit me të drejta të plot</w:t>
      </w:r>
      <w:r w:rsidR="00B53F76">
        <w:rPr>
          <w:rFonts w:cs="Times New Roman"/>
        </w:rPr>
        <w:t>a (d.m.th. objektivat e arritur</w:t>
      </w:r>
      <w:r w:rsidRPr="00551729">
        <w:rPr>
          <w:rFonts w:cs="Times New Roman"/>
        </w:rPr>
        <w:t xml:space="preserve"> sipas treguesve të sektorit në dokumentin e planifikimit të </w:t>
      </w:r>
      <w:r w:rsidR="00B05A95" w:rsidRPr="00551729">
        <w:rPr>
          <w:rFonts w:cs="Times New Roman"/>
        </w:rPr>
        <w:t>sektorit</w:t>
      </w:r>
      <w:r w:rsidRPr="00551729">
        <w:rPr>
          <w:rFonts w:cs="Times New Roman"/>
        </w:rPr>
        <w:t>)</w:t>
      </w:r>
      <w:r w:rsidR="00C662EF">
        <w:rPr>
          <w:rFonts w:cs="Times New Roman"/>
        </w:rPr>
        <w:t>;</w:t>
      </w:r>
      <w:r w:rsidRPr="00551729">
        <w:rPr>
          <w:rFonts w:cs="Times New Roman"/>
        </w:rPr>
        <w:t xml:space="preserve"> </w:t>
      </w:r>
    </w:p>
    <w:p w14:paraId="1BADD0F4" w14:textId="67E94762" w:rsidR="00F27478" w:rsidRPr="00551729" w:rsidRDefault="00F27478" w:rsidP="00F27478">
      <w:pPr>
        <w:pStyle w:val="TEKSTIII"/>
        <w:rPr>
          <w:rFonts w:cs="Times New Roman"/>
        </w:rPr>
      </w:pPr>
      <w:r w:rsidRPr="00551729">
        <w:rPr>
          <w:rFonts w:cs="Times New Roman"/>
        </w:rPr>
        <w:t>3. Koordinim</w:t>
      </w:r>
      <w:r w:rsidR="00B05A95">
        <w:rPr>
          <w:rFonts w:cs="Times New Roman"/>
        </w:rPr>
        <w:t>i me instrumente të tjera dhe/ose donatorë/</w:t>
      </w:r>
      <w:r w:rsidRPr="00551729">
        <w:rPr>
          <w:rFonts w:cs="Times New Roman"/>
        </w:rPr>
        <w:t>IFI-të brenda sektorit</w:t>
      </w:r>
      <w:r w:rsidR="00C662EF">
        <w:rPr>
          <w:rFonts w:cs="Times New Roman"/>
        </w:rPr>
        <w:t>;</w:t>
      </w:r>
      <w:r w:rsidRPr="00551729">
        <w:rPr>
          <w:rFonts w:cs="Times New Roman"/>
        </w:rPr>
        <w:t xml:space="preserve"> </w:t>
      </w:r>
    </w:p>
    <w:p w14:paraId="1BADD0F5" w14:textId="77777777" w:rsidR="00F27478" w:rsidRPr="00551729" w:rsidRDefault="00F27478" w:rsidP="00F27478">
      <w:pPr>
        <w:pStyle w:val="TEKSTIII"/>
        <w:rPr>
          <w:rFonts w:cs="Times New Roman"/>
        </w:rPr>
      </w:pPr>
      <w:r w:rsidRPr="00551729">
        <w:rPr>
          <w:rFonts w:cs="Times New Roman"/>
        </w:rPr>
        <w:t xml:space="preserve">4. Ndikimi i veprimeve të IPA II brenda sektorit mbi zhvillimin e kapaciteteve përkatëse kombëtare administrative në atë sektor, në planifikimin strategjik dhe buxhetimin. </w:t>
      </w:r>
    </w:p>
    <w:p w14:paraId="1BADD0F6" w14:textId="77777777" w:rsidR="00F27478" w:rsidRPr="00551729" w:rsidRDefault="00F27478" w:rsidP="00F27478">
      <w:pPr>
        <w:pStyle w:val="TEKSTIII"/>
        <w:rPr>
          <w:rFonts w:cs="Times New Roman"/>
        </w:rPr>
      </w:pPr>
      <w:r w:rsidRPr="00551729">
        <w:rPr>
          <w:rFonts w:cs="Times New Roman"/>
          <w:i/>
          <w:iCs/>
        </w:rPr>
        <w:t>Nën menaxhim e tërthortë duhet të përfshihet dhe informacioni i mëposhtëm:</w:t>
      </w:r>
    </w:p>
    <w:p w14:paraId="1BADD0F7" w14:textId="1719BF2A" w:rsidR="00F27478" w:rsidRPr="00551729" w:rsidRDefault="00F27478" w:rsidP="00F27478">
      <w:pPr>
        <w:pStyle w:val="TEKSTIII"/>
        <w:rPr>
          <w:rFonts w:cs="Times New Roman"/>
        </w:rPr>
      </w:pPr>
      <w:r w:rsidRPr="00551729">
        <w:rPr>
          <w:rFonts w:cs="Times New Roman"/>
        </w:rPr>
        <w:t>5. Struktura/t operuese dhe ndryshimet që kanë lidhje me to, nëse ka: [</w:t>
      </w:r>
      <w:r w:rsidRPr="00551729">
        <w:rPr>
          <w:rFonts w:cs="Times New Roman"/>
          <w:i/>
          <w:iCs/>
        </w:rPr>
        <w:t>Ministria e</w:t>
      </w:r>
      <w:r w:rsidRPr="00551729">
        <w:rPr>
          <w:rFonts w:cs="Times New Roman"/>
        </w:rPr>
        <w:t xml:space="preserve"> </w:t>
      </w:r>
      <w:r w:rsidRPr="00551729">
        <w:rPr>
          <w:rFonts w:cs="Times New Roman"/>
          <w:i/>
          <w:iCs/>
        </w:rPr>
        <w:t>Transportit]</w:t>
      </w:r>
      <w:r w:rsidR="00C662EF">
        <w:rPr>
          <w:rFonts w:cs="Times New Roman"/>
          <w:i/>
          <w:iCs/>
        </w:rPr>
        <w:t>;</w:t>
      </w:r>
      <w:r w:rsidRPr="00551729">
        <w:rPr>
          <w:rFonts w:cs="Times New Roman"/>
          <w:i/>
          <w:iCs/>
        </w:rPr>
        <w:t xml:space="preserve"> </w:t>
      </w:r>
    </w:p>
    <w:p w14:paraId="1BADD0F8" w14:textId="6A935D36" w:rsidR="00F27478" w:rsidRPr="00551729" w:rsidRDefault="00F27478" w:rsidP="00F27478">
      <w:pPr>
        <w:pStyle w:val="TEKSTIII"/>
        <w:rPr>
          <w:rFonts w:cs="Times New Roman"/>
        </w:rPr>
      </w:pPr>
      <w:r w:rsidRPr="00551729">
        <w:rPr>
          <w:rFonts w:cs="Times New Roman"/>
        </w:rPr>
        <w:t>6. Informacion mbi zbatimin e programeve në atë sektor</w:t>
      </w:r>
      <w:r w:rsidR="00C662EF">
        <w:rPr>
          <w:rFonts w:cs="Times New Roman"/>
        </w:rPr>
        <w:t>;</w:t>
      </w:r>
      <w:r w:rsidRPr="00551729">
        <w:rPr>
          <w:rFonts w:cs="Times New Roman"/>
        </w:rPr>
        <w:t xml:space="preserve"> </w:t>
      </w:r>
    </w:p>
    <w:p w14:paraId="1BADD0F9" w14:textId="6B9A7821" w:rsidR="00F27478" w:rsidRPr="00551729" w:rsidRDefault="00F27478" w:rsidP="00F27478">
      <w:pPr>
        <w:pStyle w:val="TEKSTIII"/>
        <w:rPr>
          <w:rFonts w:cs="Times New Roman"/>
        </w:rPr>
      </w:pPr>
      <w:r w:rsidRPr="00551729">
        <w:rPr>
          <w:rFonts w:cs="Times New Roman"/>
        </w:rPr>
        <w:t>7. Arritjet kryesore në atë sektor</w:t>
      </w:r>
      <w:r w:rsidR="00C662EF">
        <w:rPr>
          <w:rFonts w:cs="Times New Roman"/>
        </w:rPr>
        <w:t>;</w:t>
      </w:r>
      <w:r w:rsidRPr="00551729">
        <w:rPr>
          <w:rFonts w:cs="Times New Roman"/>
        </w:rPr>
        <w:t xml:space="preserve"> </w:t>
      </w:r>
    </w:p>
    <w:p w14:paraId="1BADD0FA" w14:textId="254E4716" w:rsidR="00F27478" w:rsidRPr="00551729" w:rsidRDefault="00F27478" w:rsidP="00F27478">
      <w:pPr>
        <w:pStyle w:val="TEKSTIII"/>
        <w:rPr>
          <w:rFonts w:cs="Times New Roman"/>
        </w:rPr>
      </w:pPr>
      <w:r w:rsidRPr="00551729">
        <w:rPr>
          <w:rFonts w:cs="Times New Roman"/>
        </w:rPr>
        <w:t>8. Çdo problem i rëndësishëm që haset gjatë zbatimit të detyrave të besuara, p.sh. vonesat në</w:t>
      </w:r>
      <w:r w:rsidR="00C662EF">
        <w:rPr>
          <w:rFonts w:cs="Times New Roman"/>
        </w:rPr>
        <w:t xml:space="preserve"> kontraktim dhe masat e marra/</w:t>
      </w:r>
      <w:r w:rsidRPr="00551729">
        <w:rPr>
          <w:rFonts w:cs="Times New Roman"/>
        </w:rPr>
        <w:t>planifikuara në vijim</w:t>
      </w:r>
      <w:r w:rsidR="00C662EF">
        <w:rPr>
          <w:rFonts w:cs="Times New Roman"/>
        </w:rPr>
        <w:t>;</w:t>
      </w:r>
      <w:r w:rsidRPr="00551729">
        <w:rPr>
          <w:rFonts w:cs="Times New Roman"/>
        </w:rPr>
        <w:t xml:space="preserve"> </w:t>
      </w:r>
    </w:p>
    <w:p w14:paraId="1BADD0FB" w14:textId="6149A57E" w:rsidR="00F27478" w:rsidRPr="00551729" w:rsidRDefault="00F27478" w:rsidP="00F27478">
      <w:pPr>
        <w:pStyle w:val="TEKSTIII"/>
        <w:rPr>
          <w:rFonts w:cs="Times New Roman"/>
        </w:rPr>
      </w:pPr>
      <w:r w:rsidRPr="00551729">
        <w:rPr>
          <w:rFonts w:cs="Times New Roman"/>
        </w:rPr>
        <w:t>9. Rekomandime për veprime të mëtejshme</w:t>
      </w:r>
      <w:r w:rsidR="00C662EF">
        <w:rPr>
          <w:rFonts w:cs="Times New Roman"/>
        </w:rPr>
        <w:t>;</w:t>
      </w:r>
      <w:r w:rsidRPr="00551729">
        <w:rPr>
          <w:rFonts w:cs="Times New Roman"/>
        </w:rPr>
        <w:t xml:space="preserve"> </w:t>
      </w:r>
    </w:p>
    <w:p w14:paraId="1BADD0FC" w14:textId="40B2F0E1" w:rsidR="00F27478" w:rsidRPr="00551729" w:rsidRDefault="00F27478" w:rsidP="00F27478">
      <w:pPr>
        <w:pStyle w:val="TEKSTIII"/>
        <w:rPr>
          <w:rFonts w:cs="Times New Roman"/>
        </w:rPr>
      </w:pPr>
      <w:r w:rsidRPr="00551729">
        <w:rPr>
          <w:rFonts w:cs="Times New Roman"/>
        </w:rPr>
        <w:t xml:space="preserve">10. Aktivitetet monitoruese dhe vlerësuese të kryera, auditimet </w:t>
      </w:r>
      <w:r w:rsidR="00C662EF">
        <w:rPr>
          <w:rFonts w:cs="Times New Roman"/>
        </w:rPr>
        <w:t>–</w:t>
      </w:r>
      <w:r w:rsidRPr="00551729">
        <w:rPr>
          <w:rFonts w:cs="Times New Roman"/>
        </w:rPr>
        <w:t xml:space="preserve"> gjetjet kryesore dhe mësimet e nxjerra, rekomandimet, ndjekja dhe veprimet korrigjuese të ndërmarra. </w:t>
      </w:r>
    </w:p>
    <w:p w14:paraId="1BADD0FD" w14:textId="31986ED4" w:rsidR="00F27478" w:rsidRPr="00551729" w:rsidRDefault="00F27478" w:rsidP="00F27478">
      <w:pPr>
        <w:pStyle w:val="TEKSTIII"/>
        <w:rPr>
          <w:rFonts w:cs="Times New Roman"/>
        </w:rPr>
      </w:pPr>
      <w:r w:rsidRPr="00551729">
        <w:rPr>
          <w:rFonts w:cs="Times New Roman"/>
          <w:b/>
          <w:bCs/>
        </w:rPr>
        <w:t xml:space="preserve">Titulli i sektorit: Bashkëpunimi </w:t>
      </w:r>
      <w:r w:rsidR="00C662EF" w:rsidRPr="00551729">
        <w:rPr>
          <w:rFonts w:cs="Times New Roman"/>
          <w:b/>
          <w:bCs/>
        </w:rPr>
        <w:t>ndërkufitar</w:t>
      </w:r>
      <w:r w:rsidRPr="00551729">
        <w:rPr>
          <w:rStyle w:val="FootnoteReference"/>
          <w:b/>
          <w:bCs/>
        </w:rPr>
        <w:footnoteReference w:id="95"/>
      </w:r>
    </w:p>
    <w:p w14:paraId="1BADD0FE" w14:textId="77777777" w:rsidR="00F27478" w:rsidRPr="00551729" w:rsidRDefault="00F27478" w:rsidP="00F27478">
      <w:pPr>
        <w:pStyle w:val="TEKSTIII"/>
        <w:rPr>
          <w:rFonts w:cs="Times New Roman"/>
        </w:rPr>
      </w:pPr>
      <w:r w:rsidRPr="00551729">
        <w:rPr>
          <w:rFonts w:cs="Times New Roman"/>
        </w:rPr>
        <w:t>1. Përfshirja në programim, sipas rastit.</w:t>
      </w:r>
    </w:p>
    <w:p w14:paraId="1BADD0FF" w14:textId="4F23BD27" w:rsidR="00F27478" w:rsidRPr="00551729" w:rsidRDefault="00F27478" w:rsidP="00F27478">
      <w:pPr>
        <w:pStyle w:val="TEKSTIII"/>
        <w:rPr>
          <w:rFonts w:cs="Times New Roman"/>
        </w:rPr>
      </w:pPr>
      <w:r w:rsidRPr="00551729">
        <w:rPr>
          <w:rFonts w:cs="Times New Roman"/>
        </w:rPr>
        <w:t>2. Progresi i bërë në zbatimin e Programit Ndërkufitar dhe në veçanti në arritjen e objektivave specifik</w:t>
      </w:r>
      <w:r w:rsidR="00C662EF">
        <w:rPr>
          <w:rFonts w:cs="Times New Roman"/>
        </w:rPr>
        <w:t>ë,</w:t>
      </w:r>
      <w:r w:rsidRPr="00551729">
        <w:rPr>
          <w:rFonts w:cs="Times New Roman"/>
        </w:rPr>
        <w:t xml:space="preserve"> sipas prioriteteve tematike (duke përfshirë edhe elemente sasiore dhe cilësore që tregojnë progres në lidhje me objektivat). </w:t>
      </w:r>
    </w:p>
    <w:p w14:paraId="1BADD100" w14:textId="77777777" w:rsidR="00F27478" w:rsidRPr="00551729" w:rsidRDefault="00F27478" w:rsidP="00F27478">
      <w:pPr>
        <w:pStyle w:val="TEKSTIII"/>
        <w:rPr>
          <w:rFonts w:cs="Times New Roman"/>
        </w:rPr>
      </w:pPr>
      <w:r w:rsidRPr="00551729">
        <w:rPr>
          <w:rFonts w:cs="Times New Roman"/>
        </w:rPr>
        <w:t xml:space="preserve">3. Një përmbledhje e problemeve të hasura në zbatimin e programit të BNK-së dhe çdo veprim korrigjues i ndërmarrë, si dhe rekomandime për veprime të mëtejshme korrigjuese. </w:t>
      </w:r>
    </w:p>
    <w:p w14:paraId="1BADD101" w14:textId="77777777" w:rsidR="00F27478" w:rsidRPr="00551729" w:rsidRDefault="00F27478" w:rsidP="00F27478">
      <w:pPr>
        <w:pStyle w:val="TEKSTIII"/>
        <w:rPr>
          <w:rFonts w:cs="Times New Roman"/>
        </w:rPr>
      </w:pPr>
      <w:r w:rsidRPr="00551729">
        <w:rPr>
          <w:rFonts w:cs="Times New Roman"/>
        </w:rPr>
        <w:t xml:space="preserve">4. Monitorimi, duke përfshirë edhe marrëveshjet për mbledhjen e të dhënave dhe kur është e zbatueshme dhe aktivitete vlerësimi. </w:t>
      </w:r>
    </w:p>
    <w:p w14:paraId="1BADD102" w14:textId="77777777" w:rsidR="00F27478" w:rsidRPr="00551729" w:rsidRDefault="00F27478" w:rsidP="00F27478">
      <w:pPr>
        <w:pStyle w:val="TEKSTIII"/>
        <w:rPr>
          <w:rFonts w:cs="Times New Roman"/>
        </w:rPr>
      </w:pPr>
      <w:r w:rsidRPr="00551729">
        <w:rPr>
          <w:rFonts w:cs="Times New Roman"/>
        </w:rPr>
        <w:t xml:space="preserve">5. Aktivitetet mbi komunikimin dhe vizibilitetin. </w:t>
      </w:r>
    </w:p>
    <w:p w14:paraId="1BADD103" w14:textId="77777777" w:rsidR="00F27478" w:rsidRPr="00551729" w:rsidRDefault="00F27478" w:rsidP="00F27478">
      <w:pPr>
        <w:pStyle w:val="TEKSTIII"/>
        <w:rPr>
          <w:rFonts w:cs="Times New Roman"/>
        </w:rPr>
      </w:pPr>
      <w:r w:rsidRPr="00551729">
        <w:rPr>
          <w:rFonts w:cs="Times New Roman"/>
        </w:rPr>
        <w:t xml:space="preserve">6. Koordinimi me vendin partner. </w:t>
      </w:r>
    </w:p>
    <w:p w14:paraId="1BADD104" w14:textId="77777777" w:rsidR="00F27478" w:rsidRPr="00551729" w:rsidRDefault="00F27478" w:rsidP="00F27478">
      <w:pPr>
        <w:pStyle w:val="TEKSTIII"/>
        <w:rPr>
          <w:rFonts w:cs="Times New Roman"/>
        </w:rPr>
      </w:pPr>
      <w:r w:rsidRPr="00551729">
        <w:rPr>
          <w:rFonts w:cs="Times New Roman"/>
          <w:i/>
          <w:iCs/>
        </w:rPr>
        <w:t>Nën menaxhim të tërthortë duhet të përfshihet edhe informacioni i mëposhtëm:</w:t>
      </w:r>
    </w:p>
    <w:p w14:paraId="1BADD105" w14:textId="77777777" w:rsidR="00F27478" w:rsidRPr="00551729" w:rsidRDefault="00F27478" w:rsidP="00F27478">
      <w:pPr>
        <w:pStyle w:val="TEKSTIII"/>
        <w:rPr>
          <w:rFonts w:cs="Times New Roman"/>
        </w:rPr>
      </w:pPr>
      <w:r w:rsidRPr="00551729">
        <w:rPr>
          <w:rFonts w:cs="Times New Roman"/>
        </w:rPr>
        <w:t xml:space="preserve">1. Struktura operuese ekzistuese dhe ndryshimet që kanë lidhje me të, nëse ka. </w:t>
      </w:r>
    </w:p>
    <w:p w14:paraId="1BADD106" w14:textId="77777777" w:rsidR="00F27478" w:rsidRPr="00551729" w:rsidRDefault="00F27478" w:rsidP="00F27478">
      <w:pPr>
        <w:pStyle w:val="TEKSTIII"/>
        <w:rPr>
          <w:rFonts w:cs="Times New Roman"/>
        </w:rPr>
      </w:pPr>
      <w:r w:rsidRPr="00551729">
        <w:rPr>
          <w:rFonts w:cs="Times New Roman"/>
        </w:rPr>
        <w:t xml:space="preserve">2. Çdo problem i rëndësishëm që haset në zbatimin e detyrave të besuara, p.sh. vonesat në kontraktim dhe masat pasuese të ndërmarra/planifikuara. </w:t>
      </w:r>
    </w:p>
    <w:p w14:paraId="1BADD107" w14:textId="77777777" w:rsidR="00F27478" w:rsidRPr="00551729" w:rsidRDefault="00F27478" w:rsidP="00F27478">
      <w:pPr>
        <w:pStyle w:val="TEKSTIII"/>
        <w:rPr>
          <w:rFonts w:cs="Times New Roman"/>
        </w:rPr>
      </w:pPr>
      <w:r w:rsidRPr="00551729">
        <w:rPr>
          <w:rFonts w:cs="Times New Roman"/>
        </w:rPr>
        <w:t xml:space="preserve">3. Rekomandime për veprime të mëtejshme </w:t>
      </w:r>
    </w:p>
    <w:p w14:paraId="1BADD108" w14:textId="1648FFDD" w:rsidR="00F27478" w:rsidRPr="00551729" w:rsidRDefault="006D0C46" w:rsidP="00F27478">
      <w:pPr>
        <w:pStyle w:val="TEKSTIII"/>
        <w:rPr>
          <w:rFonts w:cs="Times New Roman"/>
        </w:rPr>
      </w:pPr>
      <w:r>
        <w:rPr>
          <w:rFonts w:cs="Times New Roman"/>
        </w:rPr>
        <w:t xml:space="preserve">4. </w:t>
      </w:r>
      <w:r w:rsidR="00F27478" w:rsidRPr="00551729">
        <w:rPr>
          <w:rFonts w:cs="Times New Roman"/>
        </w:rPr>
        <w:t xml:space="preserve">Auditimet e kryera </w:t>
      </w:r>
      <w:r w:rsidR="00C662EF">
        <w:rPr>
          <w:rFonts w:cs="Times New Roman"/>
        </w:rPr>
        <w:t>–</w:t>
      </w:r>
      <w:r w:rsidR="00F27478" w:rsidRPr="00551729">
        <w:rPr>
          <w:rFonts w:cs="Times New Roman"/>
        </w:rPr>
        <w:t xml:space="preserve"> gjetjet kryesore dhe rekomandimet, si dhe masat korrigjuese të ndërmarra.</w:t>
      </w:r>
    </w:p>
    <w:p w14:paraId="1BADD109" w14:textId="77777777" w:rsidR="00F975A8" w:rsidRPr="00551729" w:rsidRDefault="00F975A8" w:rsidP="00F27478">
      <w:pPr>
        <w:pStyle w:val="TEKSTIII"/>
        <w:rPr>
          <w:rFonts w:cs="Times New Roman"/>
        </w:rPr>
      </w:pPr>
    </w:p>
    <w:p w14:paraId="1BADD10A" w14:textId="77777777" w:rsidR="00F975A8" w:rsidRPr="00551729" w:rsidRDefault="00F975A8" w:rsidP="00F27478">
      <w:pPr>
        <w:pStyle w:val="TEKSTIII"/>
        <w:rPr>
          <w:rFonts w:cs="Times New Roman"/>
        </w:rPr>
      </w:pPr>
    </w:p>
    <w:p w14:paraId="1BADD10B" w14:textId="77777777" w:rsidR="00F975A8" w:rsidRPr="00551729" w:rsidRDefault="00F975A8" w:rsidP="00F27478">
      <w:pPr>
        <w:pStyle w:val="TEKSTIII"/>
        <w:rPr>
          <w:rFonts w:cs="Times New Roman"/>
        </w:rPr>
      </w:pPr>
    </w:p>
    <w:p w14:paraId="1BADD10C" w14:textId="77777777" w:rsidR="00F975A8" w:rsidRPr="00551729" w:rsidRDefault="00F975A8" w:rsidP="00F27478">
      <w:pPr>
        <w:pStyle w:val="TEKSTIII"/>
        <w:rPr>
          <w:rFonts w:cs="Times New Roman"/>
        </w:rPr>
      </w:pPr>
    </w:p>
    <w:p w14:paraId="1BADD10D" w14:textId="77777777" w:rsidR="00F975A8" w:rsidRPr="00551729" w:rsidRDefault="00F975A8" w:rsidP="00F27478">
      <w:pPr>
        <w:pStyle w:val="TEKSTIII"/>
        <w:rPr>
          <w:rFonts w:cs="Times New Roman"/>
        </w:rPr>
      </w:pPr>
    </w:p>
    <w:p w14:paraId="1BADD10E" w14:textId="77777777" w:rsidR="00F975A8" w:rsidRPr="00551729" w:rsidRDefault="00F975A8" w:rsidP="00F27478">
      <w:pPr>
        <w:pStyle w:val="TEKSTIII"/>
        <w:rPr>
          <w:rFonts w:cs="Times New Roman"/>
        </w:rPr>
      </w:pPr>
    </w:p>
    <w:p w14:paraId="1BADD10F" w14:textId="77777777" w:rsidR="00F975A8" w:rsidRPr="00551729" w:rsidRDefault="00F975A8" w:rsidP="00F27478">
      <w:pPr>
        <w:pStyle w:val="TEKSTIII"/>
        <w:rPr>
          <w:rFonts w:cs="Times New Roman"/>
        </w:rPr>
        <w:sectPr w:rsidR="00F975A8" w:rsidRPr="00551729" w:rsidSect="007D1A5E">
          <w:footnotePr>
            <w:numRestart w:val="eachPage"/>
          </w:footnotePr>
          <w:pgSz w:w="11906" w:h="16838" w:code="9"/>
          <w:pgMar w:top="1440" w:right="1440" w:bottom="1440" w:left="1440" w:header="709" w:footer="709" w:gutter="0"/>
          <w:cols w:space="708"/>
          <w:docGrid w:linePitch="360"/>
        </w:sectPr>
      </w:pPr>
    </w:p>
    <w:p w14:paraId="1BADD110" w14:textId="77777777" w:rsidR="00420B63" w:rsidRPr="00551729" w:rsidRDefault="00420B63" w:rsidP="00420B63">
      <w:pPr>
        <w:widowControl w:val="0"/>
        <w:autoSpaceDE w:val="0"/>
        <w:autoSpaceDN w:val="0"/>
        <w:adjustRightInd w:val="0"/>
        <w:spacing w:after="0" w:line="240" w:lineRule="auto"/>
        <w:ind w:left="120"/>
        <w:rPr>
          <w:rFonts w:ascii="Garamond" w:hAnsi="Garamond" w:cs="Times New Roman"/>
          <w:sz w:val="18"/>
          <w:szCs w:val="18"/>
        </w:rPr>
      </w:pPr>
      <w:r w:rsidRPr="00551729">
        <w:rPr>
          <w:rFonts w:ascii="Garamond" w:hAnsi="Garamond" w:cs="Times New Roman"/>
          <w:b/>
          <w:bCs/>
          <w:sz w:val="18"/>
          <w:szCs w:val="18"/>
        </w:rPr>
        <w:t>II a. Treguesit e performancës në sektorin [</w:t>
      </w:r>
      <w:r w:rsidRPr="00551729">
        <w:rPr>
          <w:rFonts w:ascii="Garamond" w:hAnsi="Garamond" w:cs="Times New Roman"/>
          <w:b/>
          <w:bCs/>
          <w:i/>
          <w:iCs/>
          <w:sz w:val="18"/>
          <w:szCs w:val="18"/>
        </w:rPr>
        <w:t>p.sh. transporti</w:t>
      </w:r>
      <w:r w:rsidRPr="00551729">
        <w:rPr>
          <w:rFonts w:ascii="Garamond" w:hAnsi="Garamond" w:cs="Times New Roman"/>
          <w:b/>
          <w:bCs/>
          <w:sz w:val="18"/>
          <w:szCs w:val="18"/>
        </w:rPr>
        <w:t>] që mbulon menaxhimin e drejtpërdrejtë dhe të tërthortë:</w:t>
      </w:r>
    </w:p>
    <w:p w14:paraId="1BADD11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p w14:paraId="1BADD112" w14:textId="77777777" w:rsidR="00420B63" w:rsidRPr="00551729" w:rsidRDefault="00420B63" w:rsidP="00420B63">
      <w:pPr>
        <w:widowControl w:val="0"/>
        <w:autoSpaceDE w:val="0"/>
        <w:autoSpaceDN w:val="0"/>
        <w:adjustRightInd w:val="0"/>
        <w:spacing w:after="0" w:line="240" w:lineRule="auto"/>
        <w:ind w:left="120"/>
        <w:rPr>
          <w:rFonts w:ascii="Garamond" w:hAnsi="Garamond" w:cs="Times New Roman"/>
          <w:sz w:val="18"/>
          <w:szCs w:val="18"/>
        </w:rPr>
      </w:pPr>
      <w:r w:rsidRPr="00551729">
        <w:rPr>
          <w:rFonts w:ascii="Garamond" w:hAnsi="Garamond" w:cs="Times New Roman"/>
          <w:b/>
          <w:bCs/>
          <w:sz w:val="18"/>
          <w:szCs w:val="18"/>
        </w:rPr>
        <w:t>Treguesit</w:t>
      </w:r>
      <w:r w:rsidRPr="00551729">
        <w:rPr>
          <w:rStyle w:val="FootnoteReference"/>
          <w:rFonts w:ascii="Garamond" w:hAnsi="Garamond"/>
          <w:b/>
          <w:bCs/>
          <w:sz w:val="18"/>
          <w:szCs w:val="18"/>
        </w:rPr>
        <w:footnoteReference w:id="96"/>
      </w:r>
      <w:r w:rsidRPr="00551729">
        <w:rPr>
          <w:rFonts w:ascii="Garamond" w:hAnsi="Garamond" w:cs="Times New Roman"/>
          <w:b/>
          <w:bCs/>
          <w:sz w:val="18"/>
          <w:szCs w:val="18"/>
        </w:rPr>
        <w:t xml:space="preserve"> për program</w:t>
      </w:r>
    </w:p>
    <w:p w14:paraId="1BADD113"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bl>
      <w:tblPr>
        <w:tblW w:w="0" w:type="auto"/>
        <w:tblInd w:w="10" w:type="dxa"/>
        <w:tblLayout w:type="fixed"/>
        <w:tblCellMar>
          <w:left w:w="0" w:type="dxa"/>
          <w:right w:w="0" w:type="dxa"/>
        </w:tblCellMar>
        <w:tblLook w:val="04A0" w:firstRow="1" w:lastRow="0" w:firstColumn="1" w:lastColumn="0" w:noHBand="0" w:noVBand="1"/>
      </w:tblPr>
      <w:tblGrid>
        <w:gridCol w:w="2460"/>
        <w:gridCol w:w="2120"/>
        <w:gridCol w:w="2000"/>
        <w:gridCol w:w="1920"/>
        <w:gridCol w:w="1920"/>
        <w:gridCol w:w="1900"/>
        <w:gridCol w:w="1920"/>
      </w:tblGrid>
      <w:tr w:rsidR="00420B63" w:rsidRPr="00551729" w14:paraId="1BADD11B" w14:textId="77777777" w:rsidTr="00C662EF">
        <w:trPr>
          <w:trHeight w:val="297"/>
        </w:trPr>
        <w:tc>
          <w:tcPr>
            <w:tcW w:w="2460" w:type="dxa"/>
            <w:tcBorders>
              <w:top w:val="single" w:sz="8" w:space="0" w:color="auto"/>
              <w:left w:val="single" w:sz="8" w:space="0" w:color="auto"/>
              <w:bottom w:val="nil"/>
              <w:right w:val="single" w:sz="8" w:space="0" w:color="auto"/>
            </w:tcBorders>
            <w:vAlign w:val="center"/>
            <w:hideMark/>
          </w:tcPr>
          <w:p w14:paraId="1BADD114" w14:textId="77777777" w:rsidR="00420B63" w:rsidRPr="00551729" w:rsidRDefault="00420B63" w:rsidP="00C662EF">
            <w:pPr>
              <w:widowControl w:val="0"/>
              <w:autoSpaceDE w:val="0"/>
              <w:autoSpaceDN w:val="0"/>
              <w:adjustRightInd w:val="0"/>
              <w:spacing w:after="0" w:line="240" w:lineRule="auto"/>
              <w:ind w:left="120"/>
              <w:jc w:val="center"/>
              <w:rPr>
                <w:rFonts w:ascii="Garamond" w:hAnsi="Garamond" w:cs="Times New Roman"/>
                <w:sz w:val="18"/>
                <w:szCs w:val="18"/>
              </w:rPr>
            </w:pPr>
            <w:r w:rsidRPr="00551729">
              <w:rPr>
                <w:rFonts w:ascii="Garamond" w:hAnsi="Garamond" w:cs="Times New Roman"/>
                <w:b/>
                <w:bCs/>
                <w:sz w:val="18"/>
                <w:szCs w:val="18"/>
              </w:rPr>
              <w:t>Marrëveshja e</w:t>
            </w:r>
          </w:p>
        </w:tc>
        <w:tc>
          <w:tcPr>
            <w:tcW w:w="2120" w:type="dxa"/>
            <w:tcBorders>
              <w:top w:val="single" w:sz="8" w:space="0" w:color="auto"/>
              <w:left w:val="nil"/>
              <w:bottom w:val="nil"/>
              <w:right w:val="single" w:sz="8" w:space="0" w:color="auto"/>
            </w:tcBorders>
            <w:vAlign w:val="center"/>
            <w:hideMark/>
          </w:tcPr>
          <w:p w14:paraId="1BADD115" w14:textId="77777777" w:rsidR="00420B63" w:rsidRPr="00551729" w:rsidRDefault="00420B63" w:rsidP="00C662EF">
            <w:pPr>
              <w:widowControl w:val="0"/>
              <w:autoSpaceDE w:val="0"/>
              <w:autoSpaceDN w:val="0"/>
              <w:adjustRightInd w:val="0"/>
              <w:spacing w:after="0" w:line="240" w:lineRule="auto"/>
              <w:ind w:left="100"/>
              <w:jc w:val="center"/>
              <w:rPr>
                <w:rFonts w:ascii="Garamond" w:hAnsi="Garamond" w:cs="Times New Roman"/>
                <w:sz w:val="18"/>
                <w:szCs w:val="18"/>
              </w:rPr>
            </w:pPr>
            <w:r w:rsidRPr="00551729">
              <w:rPr>
                <w:rFonts w:ascii="Garamond" w:hAnsi="Garamond" w:cs="Times New Roman"/>
                <w:b/>
                <w:bCs/>
                <w:sz w:val="18"/>
                <w:szCs w:val="18"/>
              </w:rPr>
              <w:t>Treguesi për sektor</w:t>
            </w:r>
          </w:p>
        </w:tc>
        <w:tc>
          <w:tcPr>
            <w:tcW w:w="2000" w:type="dxa"/>
            <w:tcBorders>
              <w:top w:val="single" w:sz="8" w:space="0" w:color="auto"/>
              <w:left w:val="nil"/>
              <w:bottom w:val="nil"/>
              <w:right w:val="single" w:sz="8" w:space="0" w:color="auto"/>
            </w:tcBorders>
            <w:vAlign w:val="center"/>
            <w:hideMark/>
          </w:tcPr>
          <w:p w14:paraId="1BADD116" w14:textId="77777777" w:rsidR="00420B63" w:rsidRPr="00551729" w:rsidRDefault="00420B63" w:rsidP="00C662EF">
            <w:pPr>
              <w:widowControl w:val="0"/>
              <w:autoSpaceDE w:val="0"/>
              <w:autoSpaceDN w:val="0"/>
              <w:adjustRightInd w:val="0"/>
              <w:spacing w:after="0" w:line="240" w:lineRule="auto"/>
              <w:ind w:left="100"/>
              <w:jc w:val="center"/>
              <w:rPr>
                <w:rFonts w:ascii="Garamond" w:hAnsi="Garamond" w:cs="Times New Roman"/>
                <w:sz w:val="18"/>
                <w:szCs w:val="18"/>
              </w:rPr>
            </w:pPr>
            <w:r w:rsidRPr="00551729">
              <w:rPr>
                <w:rFonts w:ascii="Garamond" w:hAnsi="Garamond" w:cs="Times New Roman"/>
                <w:b/>
                <w:bCs/>
                <w:sz w:val="18"/>
                <w:szCs w:val="18"/>
              </w:rPr>
              <w:t>Burimi</w:t>
            </w:r>
          </w:p>
        </w:tc>
        <w:tc>
          <w:tcPr>
            <w:tcW w:w="1920" w:type="dxa"/>
            <w:tcBorders>
              <w:top w:val="single" w:sz="8" w:space="0" w:color="auto"/>
              <w:left w:val="nil"/>
              <w:bottom w:val="nil"/>
              <w:right w:val="single" w:sz="8" w:space="0" w:color="auto"/>
            </w:tcBorders>
            <w:vAlign w:val="center"/>
            <w:hideMark/>
          </w:tcPr>
          <w:p w14:paraId="1BADD117" w14:textId="77777777" w:rsidR="00420B63" w:rsidRPr="00551729" w:rsidRDefault="00420B63" w:rsidP="00C662EF">
            <w:pPr>
              <w:widowControl w:val="0"/>
              <w:autoSpaceDE w:val="0"/>
              <w:autoSpaceDN w:val="0"/>
              <w:adjustRightInd w:val="0"/>
              <w:spacing w:after="0" w:line="240" w:lineRule="auto"/>
              <w:ind w:left="100"/>
              <w:jc w:val="center"/>
              <w:rPr>
                <w:rFonts w:ascii="Garamond" w:hAnsi="Garamond" w:cs="Times New Roman"/>
                <w:sz w:val="18"/>
                <w:szCs w:val="18"/>
              </w:rPr>
            </w:pPr>
            <w:r w:rsidRPr="00551729">
              <w:rPr>
                <w:rFonts w:ascii="Garamond" w:hAnsi="Garamond" w:cs="Times New Roman"/>
                <w:b/>
                <w:bCs/>
                <w:sz w:val="18"/>
                <w:szCs w:val="18"/>
              </w:rPr>
              <w:t>Baza</w:t>
            </w:r>
          </w:p>
        </w:tc>
        <w:tc>
          <w:tcPr>
            <w:tcW w:w="1920" w:type="dxa"/>
            <w:tcBorders>
              <w:top w:val="single" w:sz="8" w:space="0" w:color="auto"/>
              <w:left w:val="nil"/>
              <w:bottom w:val="nil"/>
              <w:right w:val="single" w:sz="8" w:space="0" w:color="auto"/>
            </w:tcBorders>
            <w:vAlign w:val="center"/>
            <w:hideMark/>
          </w:tcPr>
          <w:p w14:paraId="1BADD118" w14:textId="77777777" w:rsidR="00420B63" w:rsidRPr="00551729" w:rsidRDefault="00420B63" w:rsidP="00C662EF">
            <w:pPr>
              <w:widowControl w:val="0"/>
              <w:autoSpaceDE w:val="0"/>
              <w:autoSpaceDN w:val="0"/>
              <w:adjustRightInd w:val="0"/>
              <w:spacing w:after="0" w:line="240" w:lineRule="auto"/>
              <w:ind w:left="100"/>
              <w:jc w:val="center"/>
              <w:rPr>
                <w:rFonts w:ascii="Garamond" w:hAnsi="Garamond" w:cs="Times New Roman"/>
                <w:sz w:val="18"/>
                <w:szCs w:val="18"/>
              </w:rPr>
            </w:pPr>
            <w:r w:rsidRPr="00551729">
              <w:rPr>
                <w:rFonts w:ascii="Garamond" w:hAnsi="Garamond" w:cs="Times New Roman"/>
                <w:b/>
                <w:bCs/>
                <w:sz w:val="18"/>
                <w:szCs w:val="18"/>
              </w:rPr>
              <w:t>Komponentët</w:t>
            </w:r>
          </w:p>
        </w:tc>
        <w:tc>
          <w:tcPr>
            <w:tcW w:w="1900" w:type="dxa"/>
            <w:tcBorders>
              <w:top w:val="single" w:sz="8" w:space="0" w:color="auto"/>
              <w:left w:val="nil"/>
              <w:bottom w:val="nil"/>
              <w:right w:val="single" w:sz="8" w:space="0" w:color="auto"/>
            </w:tcBorders>
            <w:vAlign w:val="center"/>
            <w:hideMark/>
          </w:tcPr>
          <w:p w14:paraId="1BADD119" w14:textId="77777777" w:rsidR="00420B63" w:rsidRPr="00551729" w:rsidRDefault="00420B63" w:rsidP="00C662EF">
            <w:pPr>
              <w:widowControl w:val="0"/>
              <w:autoSpaceDE w:val="0"/>
              <w:autoSpaceDN w:val="0"/>
              <w:adjustRightInd w:val="0"/>
              <w:spacing w:after="0" w:line="240" w:lineRule="auto"/>
              <w:ind w:left="80"/>
              <w:jc w:val="center"/>
              <w:rPr>
                <w:rFonts w:ascii="Garamond" w:hAnsi="Garamond" w:cs="Times New Roman"/>
                <w:sz w:val="18"/>
                <w:szCs w:val="18"/>
              </w:rPr>
            </w:pPr>
            <w:r w:rsidRPr="00551729">
              <w:rPr>
                <w:rFonts w:ascii="Garamond" w:hAnsi="Garamond" w:cs="Times New Roman"/>
                <w:b/>
                <w:bCs/>
                <w:sz w:val="18"/>
                <w:szCs w:val="18"/>
              </w:rPr>
              <w:t>Objektivi (2020)</w:t>
            </w:r>
          </w:p>
        </w:tc>
        <w:tc>
          <w:tcPr>
            <w:tcW w:w="1920" w:type="dxa"/>
            <w:tcBorders>
              <w:top w:val="single" w:sz="8" w:space="0" w:color="auto"/>
              <w:left w:val="nil"/>
              <w:bottom w:val="nil"/>
              <w:right w:val="single" w:sz="8" w:space="0" w:color="auto"/>
            </w:tcBorders>
            <w:vAlign w:val="center"/>
            <w:hideMark/>
          </w:tcPr>
          <w:p w14:paraId="1BADD11A" w14:textId="77777777" w:rsidR="00420B63" w:rsidRPr="00551729" w:rsidRDefault="00420B63" w:rsidP="00C662EF">
            <w:pPr>
              <w:widowControl w:val="0"/>
              <w:autoSpaceDE w:val="0"/>
              <w:autoSpaceDN w:val="0"/>
              <w:adjustRightInd w:val="0"/>
              <w:spacing w:after="0" w:line="240" w:lineRule="auto"/>
              <w:ind w:left="100"/>
              <w:jc w:val="center"/>
              <w:rPr>
                <w:rFonts w:ascii="Garamond" w:hAnsi="Garamond" w:cs="Times New Roman"/>
                <w:sz w:val="18"/>
                <w:szCs w:val="18"/>
              </w:rPr>
            </w:pPr>
            <w:r w:rsidRPr="00551729">
              <w:rPr>
                <w:rFonts w:ascii="Garamond" w:hAnsi="Garamond" w:cs="Times New Roman"/>
                <w:b/>
                <w:bCs/>
                <w:sz w:val="18"/>
                <w:szCs w:val="18"/>
              </w:rPr>
              <w:t>Vlera (2014</w:t>
            </w:r>
            <w:r w:rsidRPr="00551729">
              <w:rPr>
                <w:rStyle w:val="FootnoteReference"/>
                <w:rFonts w:ascii="Garamond" w:hAnsi="Garamond"/>
                <w:b/>
                <w:bCs/>
                <w:sz w:val="18"/>
                <w:szCs w:val="18"/>
              </w:rPr>
              <w:footnoteReference w:id="97"/>
            </w:r>
            <w:r w:rsidRPr="00551729">
              <w:rPr>
                <w:rFonts w:ascii="Garamond" w:hAnsi="Garamond" w:cs="Times New Roman"/>
                <w:b/>
                <w:bCs/>
                <w:sz w:val="18"/>
                <w:szCs w:val="18"/>
              </w:rPr>
              <w:t>)</w:t>
            </w:r>
          </w:p>
        </w:tc>
      </w:tr>
      <w:tr w:rsidR="00420B63" w:rsidRPr="00551729" w14:paraId="1BADD123" w14:textId="77777777" w:rsidTr="00C662EF">
        <w:trPr>
          <w:trHeight w:val="255"/>
        </w:trPr>
        <w:tc>
          <w:tcPr>
            <w:tcW w:w="2460" w:type="dxa"/>
            <w:tcBorders>
              <w:top w:val="nil"/>
              <w:left w:val="single" w:sz="8" w:space="0" w:color="auto"/>
              <w:bottom w:val="nil"/>
              <w:right w:val="single" w:sz="8" w:space="0" w:color="auto"/>
            </w:tcBorders>
            <w:vAlign w:val="center"/>
            <w:hideMark/>
          </w:tcPr>
          <w:p w14:paraId="1BADD11C" w14:textId="77777777" w:rsidR="00420B63" w:rsidRPr="00551729" w:rsidRDefault="00420B63" w:rsidP="00C662EF">
            <w:pPr>
              <w:widowControl w:val="0"/>
              <w:autoSpaceDE w:val="0"/>
              <w:autoSpaceDN w:val="0"/>
              <w:adjustRightInd w:val="0"/>
              <w:spacing w:after="0" w:line="240" w:lineRule="auto"/>
              <w:ind w:left="120"/>
              <w:jc w:val="center"/>
              <w:rPr>
                <w:rFonts w:ascii="Garamond" w:hAnsi="Garamond" w:cs="Times New Roman"/>
                <w:sz w:val="18"/>
                <w:szCs w:val="18"/>
              </w:rPr>
            </w:pPr>
            <w:r w:rsidRPr="00551729">
              <w:rPr>
                <w:rFonts w:ascii="Garamond" w:hAnsi="Garamond" w:cs="Times New Roman"/>
                <w:b/>
                <w:bCs/>
                <w:sz w:val="18"/>
                <w:szCs w:val="18"/>
              </w:rPr>
              <w:t>Financimit /Referenca e Programit</w:t>
            </w:r>
            <w:r w:rsidRPr="00551729">
              <w:rPr>
                <w:rStyle w:val="FootnoteReference"/>
                <w:rFonts w:ascii="Garamond" w:hAnsi="Garamond"/>
                <w:b/>
                <w:bCs/>
                <w:sz w:val="18"/>
                <w:szCs w:val="18"/>
              </w:rPr>
              <w:footnoteReference w:id="98"/>
            </w:r>
          </w:p>
        </w:tc>
        <w:tc>
          <w:tcPr>
            <w:tcW w:w="2120" w:type="dxa"/>
            <w:tcBorders>
              <w:top w:val="nil"/>
              <w:left w:val="nil"/>
              <w:bottom w:val="nil"/>
              <w:right w:val="single" w:sz="8" w:space="0" w:color="auto"/>
            </w:tcBorders>
            <w:vAlign w:val="center"/>
            <w:hideMark/>
          </w:tcPr>
          <w:p w14:paraId="1BADD11D" w14:textId="77777777" w:rsidR="00420B63" w:rsidRPr="00551729" w:rsidRDefault="00420B63" w:rsidP="00C662EF">
            <w:pPr>
              <w:widowControl w:val="0"/>
              <w:autoSpaceDE w:val="0"/>
              <w:autoSpaceDN w:val="0"/>
              <w:adjustRightInd w:val="0"/>
              <w:spacing w:after="0" w:line="240" w:lineRule="auto"/>
              <w:ind w:left="100"/>
              <w:jc w:val="center"/>
              <w:rPr>
                <w:rFonts w:ascii="Garamond" w:hAnsi="Garamond" w:cs="Times New Roman"/>
                <w:sz w:val="18"/>
                <w:szCs w:val="18"/>
              </w:rPr>
            </w:pPr>
            <w:r w:rsidRPr="00551729">
              <w:rPr>
                <w:rFonts w:ascii="Garamond" w:hAnsi="Garamond" w:cs="Times New Roman"/>
                <w:b/>
                <w:bCs/>
                <w:sz w:val="18"/>
                <w:szCs w:val="18"/>
              </w:rPr>
              <w:t>[</w:t>
            </w:r>
            <w:r w:rsidRPr="00551729">
              <w:rPr>
                <w:rFonts w:ascii="Garamond" w:hAnsi="Garamond" w:cs="Times New Roman"/>
                <w:b/>
                <w:bCs/>
                <w:i/>
                <w:iCs/>
                <w:sz w:val="18"/>
                <w:szCs w:val="18"/>
              </w:rPr>
              <w:t>Transporti</w:t>
            </w:r>
            <w:r w:rsidRPr="00551729">
              <w:rPr>
                <w:rFonts w:ascii="Garamond" w:hAnsi="Garamond" w:cs="Times New Roman"/>
                <w:b/>
                <w:bCs/>
                <w:sz w:val="18"/>
                <w:szCs w:val="18"/>
              </w:rPr>
              <w:t>]</w:t>
            </w:r>
          </w:p>
        </w:tc>
        <w:tc>
          <w:tcPr>
            <w:tcW w:w="2000" w:type="dxa"/>
            <w:tcBorders>
              <w:top w:val="nil"/>
              <w:left w:val="nil"/>
              <w:bottom w:val="nil"/>
              <w:right w:val="single" w:sz="8" w:space="0" w:color="auto"/>
            </w:tcBorders>
            <w:vAlign w:val="center"/>
          </w:tcPr>
          <w:p w14:paraId="1BADD11E"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1920" w:type="dxa"/>
            <w:tcBorders>
              <w:top w:val="nil"/>
              <w:left w:val="nil"/>
              <w:bottom w:val="nil"/>
              <w:right w:val="single" w:sz="8" w:space="0" w:color="auto"/>
            </w:tcBorders>
            <w:vAlign w:val="center"/>
          </w:tcPr>
          <w:p w14:paraId="1BADD11F"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1920" w:type="dxa"/>
            <w:tcBorders>
              <w:top w:val="nil"/>
              <w:left w:val="nil"/>
              <w:bottom w:val="nil"/>
              <w:right w:val="single" w:sz="8" w:space="0" w:color="auto"/>
            </w:tcBorders>
            <w:vAlign w:val="center"/>
            <w:hideMark/>
          </w:tcPr>
          <w:p w14:paraId="1BADD120" w14:textId="77777777" w:rsidR="00420B63" w:rsidRPr="00551729" w:rsidRDefault="00420B63" w:rsidP="00C662EF">
            <w:pPr>
              <w:widowControl w:val="0"/>
              <w:autoSpaceDE w:val="0"/>
              <w:autoSpaceDN w:val="0"/>
              <w:adjustRightInd w:val="0"/>
              <w:spacing w:after="0" w:line="240" w:lineRule="auto"/>
              <w:ind w:left="100"/>
              <w:jc w:val="center"/>
              <w:rPr>
                <w:rFonts w:ascii="Garamond" w:hAnsi="Garamond" w:cs="Times New Roman"/>
                <w:sz w:val="18"/>
                <w:szCs w:val="18"/>
              </w:rPr>
            </w:pPr>
            <w:r w:rsidRPr="00551729">
              <w:rPr>
                <w:rFonts w:ascii="Garamond" w:hAnsi="Garamond" w:cs="Times New Roman"/>
                <w:b/>
                <w:bCs/>
                <w:sz w:val="18"/>
                <w:szCs w:val="18"/>
              </w:rPr>
              <w:t>kryesorë (2017)</w:t>
            </w:r>
          </w:p>
        </w:tc>
        <w:tc>
          <w:tcPr>
            <w:tcW w:w="1900" w:type="dxa"/>
            <w:tcBorders>
              <w:top w:val="nil"/>
              <w:left w:val="nil"/>
              <w:bottom w:val="nil"/>
              <w:right w:val="single" w:sz="8" w:space="0" w:color="auto"/>
            </w:tcBorders>
            <w:vAlign w:val="center"/>
          </w:tcPr>
          <w:p w14:paraId="1BADD121"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1920" w:type="dxa"/>
            <w:tcBorders>
              <w:top w:val="nil"/>
              <w:left w:val="nil"/>
              <w:bottom w:val="nil"/>
              <w:right w:val="single" w:sz="8" w:space="0" w:color="auto"/>
            </w:tcBorders>
            <w:vAlign w:val="center"/>
          </w:tcPr>
          <w:p w14:paraId="1BADD122"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r>
      <w:tr w:rsidR="00420B63" w:rsidRPr="00551729" w14:paraId="1BADD12B" w14:textId="77777777" w:rsidTr="00C662EF">
        <w:trPr>
          <w:trHeight w:val="351"/>
        </w:trPr>
        <w:tc>
          <w:tcPr>
            <w:tcW w:w="2460" w:type="dxa"/>
            <w:tcBorders>
              <w:top w:val="nil"/>
              <w:left w:val="single" w:sz="8" w:space="0" w:color="auto"/>
              <w:bottom w:val="nil"/>
              <w:right w:val="single" w:sz="8" w:space="0" w:color="auto"/>
            </w:tcBorders>
            <w:vAlign w:val="center"/>
            <w:hideMark/>
          </w:tcPr>
          <w:p w14:paraId="1BADD124"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2120" w:type="dxa"/>
            <w:tcBorders>
              <w:top w:val="nil"/>
              <w:left w:val="nil"/>
              <w:bottom w:val="nil"/>
              <w:right w:val="single" w:sz="8" w:space="0" w:color="auto"/>
            </w:tcBorders>
            <w:vAlign w:val="center"/>
          </w:tcPr>
          <w:p w14:paraId="1BADD125"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2000" w:type="dxa"/>
            <w:tcBorders>
              <w:top w:val="nil"/>
              <w:left w:val="nil"/>
              <w:bottom w:val="nil"/>
              <w:right w:val="single" w:sz="8" w:space="0" w:color="auto"/>
            </w:tcBorders>
            <w:vAlign w:val="center"/>
          </w:tcPr>
          <w:p w14:paraId="1BADD126"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1920" w:type="dxa"/>
            <w:tcBorders>
              <w:top w:val="nil"/>
              <w:left w:val="nil"/>
              <w:bottom w:val="nil"/>
              <w:right w:val="single" w:sz="8" w:space="0" w:color="auto"/>
            </w:tcBorders>
            <w:vAlign w:val="center"/>
          </w:tcPr>
          <w:p w14:paraId="1BADD127"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1920" w:type="dxa"/>
            <w:tcBorders>
              <w:top w:val="nil"/>
              <w:left w:val="nil"/>
              <w:bottom w:val="nil"/>
              <w:right w:val="single" w:sz="8" w:space="0" w:color="auto"/>
            </w:tcBorders>
            <w:vAlign w:val="center"/>
          </w:tcPr>
          <w:p w14:paraId="1BADD128"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1900" w:type="dxa"/>
            <w:tcBorders>
              <w:top w:val="nil"/>
              <w:left w:val="nil"/>
              <w:bottom w:val="nil"/>
              <w:right w:val="single" w:sz="8" w:space="0" w:color="auto"/>
            </w:tcBorders>
            <w:vAlign w:val="center"/>
          </w:tcPr>
          <w:p w14:paraId="1BADD129"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c>
          <w:tcPr>
            <w:tcW w:w="1920" w:type="dxa"/>
            <w:tcBorders>
              <w:top w:val="nil"/>
              <w:left w:val="nil"/>
              <w:bottom w:val="nil"/>
              <w:right w:val="single" w:sz="8" w:space="0" w:color="auto"/>
            </w:tcBorders>
            <w:vAlign w:val="center"/>
          </w:tcPr>
          <w:p w14:paraId="1BADD12A" w14:textId="77777777" w:rsidR="00420B63" w:rsidRPr="00551729" w:rsidRDefault="00420B63" w:rsidP="00C662EF">
            <w:pPr>
              <w:widowControl w:val="0"/>
              <w:autoSpaceDE w:val="0"/>
              <w:autoSpaceDN w:val="0"/>
              <w:adjustRightInd w:val="0"/>
              <w:spacing w:after="0" w:line="240" w:lineRule="auto"/>
              <w:jc w:val="center"/>
              <w:rPr>
                <w:rFonts w:ascii="Garamond" w:hAnsi="Garamond" w:cs="Times New Roman"/>
                <w:sz w:val="18"/>
                <w:szCs w:val="18"/>
              </w:rPr>
            </w:pPr>
          </w:p>
        </w:tc>
      </w:tr>
      <w:tr w:rsidR="00420B63" w:rsidRPr="00551729" w14:paraId="1BADD133" w14:textId="77777777" w:rsidTr="009F02F5">
        <w:trPr>
          <w:trHeight w:val="66"/>
        </w:trPr>
        <w:tc>
          <w:tcPr>
            <w:tcW w:w="2460" w:type="dxa"/>
            <w:tcBorders>
              <w:top w:val="nil"/>
              <w:left w:val="single" w:sz="8" w:space="0" w:color="auto"/>
              <w:bottom w:val="single" w:sz="8" w:space="0" w:color="auto"/>
              <w:right w:val="single" w:sz="8" w:space="0" w:color="auto"/>
            </w:tcBorders>
            <w:vAlign w:val="bottom"/>
          </w:tcPr>
          <w:p w14:paraId="1BADD12C"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single" w:sz="8" w:space="0" w:color="auto"/>
              <w:right w:val="single" w:sz="8" w:space="0" w:color="auto"/>
            </w:tcBorders>
            <w:vAlign w:val="bottom"/>
          </w:tcPr>
          <w:p w14:paraId="1BADD12D"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000" w:type="dxa"/>
            <w:tcBorders>
              <w:top w:val="nil"/>
              <w:left w:val="nil"/>
              <w:bottom w:val="single" w:sz="8" w:space="0" w:color="auto"/>
              <w:right w:val="single" w:sz="8" w:space="0" w:color="auto"/>
            </w:tcBorders>
            <w:vAlign w:val="bottom"/>
          </w:tcPr>
          <w:p w14:paraId="1BADD12E"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2F"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30"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single" w:sz="8" w:space="0" w:color="auto"/>
              <w:right w:val="single" w:sz="8" w:space="0" w:color="auto"/>
            </w:tcBorders>
            <w:vAlign w:val="bottom"/>
          </w:tcPr>
          <w:p w14:paraId="1BADD13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32"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3B" w14:textId="77777777" w:rsidTr="00C521D5">
        <w:trPr>
          <w:trHeight w:val="235"/>
        </w:trPr>
        <w:tc>
          <w:tcPr>
            <w:tcW w:w="2460" w:type="dxa"/>
            <w:tcBorders>
              <w:top w:val="nil"/>
              <w:left w:val="single" w:sz="8" w:space="0" w:color="auto"/>
              <w:bottom w:val="nil"/>
              <w:right w:val="single" w:sz="8" w:space="0" w:color="auto"/>
            </w:tcBorders>
            <w:vAlign w:val="bottom"/>
            <w:hideMark/>
          </w:tcPr>
          <w:p w14:paraId="1BADD134" w14:textId="77777777" w:rsidR="00420B63" w:rsidRPr="00551729" w:rsidRDefault="00420B63" w:rsidP="00420B63">
            <w:pPr>
              <w:widowControl w:val="0"/>
              <w:autoSpaceDE w:val="0"/>
              <w:autoSpaceDN w:val="0"/>
              <w:adjustRightInd w:val="0"/>
              <w:spacing w:after="0" w:line="240" w:lineRule="auto"/>
              <w:ind w:left="120"/>
              <w:rPr>
                <w:rFonts w:ascii="Garamond" w:hAnsi="Garamond" w:cs="Times New Roman"/>
                <w:sz w:val="18"/>
                <w:szCs w:val="18"/>
              </w:rPr>
            </w:pPr>
            <w:r w:rsidRPr="00551729">
              <w:rPr>
                <w:rFonts w:ascii="Garamond" w:hAnsi="Garamond" w:cs="Times New Roman"/>
                <w:i/>
                <w:iCs/>
                <w:sz w:val="18"/>
                <w:szCs w:val="18"/>
              </w:rPr>
              <w:t>2014 Programi i vendit</w:t>
            </w:r>
          </w:p>
        </w:tc>
        <w:tc>
          <w:tcPr>
            <w:tcW w:w="2120" w:type="dxa"/>
            <w:tcBorders>
              <w:top w:val="nil"/>
              <w:left w:val="nil"/>
              <w:bottom w:val="nil"/>
              <w:right w:val="single" w:sz="8" w:space="0" w:color="auto"/>
            </w:tcBorders>
            <w:vAlign w:val="bottom"/>
            <w:hideMark/>
          </w:tcPr>
          <w:p w14:paraId="1BADD135"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Reduktimi i kohës</w:t>
            </w:r>
          </w:p>
        </w:tc>
        <w:tc>
          <w:tcPr>
            <w:tcW w:w="2000" w:type="dxa"/>
            <w:tcBorders>
              <w:top w:val="nil"/>
              <w:left w:val="nil"/>
              <w:bottom w:val="nil"/>
              <w:right w:val="single" w:sz="8" w:space="0" w:color="auto"/>
            </w:tcBorders>
            <w:vAlign w:val="bottom"/>
          </w:tcPr>
          <w:p w14:paraId="1BADD136"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37"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38"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39"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3A"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43" w14:textId="77777777" w:rsidTr="00C521D5">
        <w:trPr>
          <w:trHeight w:val="290"/>
        </w:trPr>
        <w:tc>
          <w:tcPr>
            <w:tcW w:w="2460" w:type="dxa"/>
            <w:tcBorders>
              <w:top w:val="nil"/>
              <w:left w:val="single" w:sz="8" w:space="0" w:color="auto"/>
              <w:bottom w:val="nil"/>
              <w:right w:val="single" w:sz="8" w:space="0" w:color="auto"/>
            </w:tcBorders>
            <w:vAlign w:val="bottom"/>
          </w:tcPr>
          <w:p w14:paraId="1BADD13C"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nil"/>
              <w:right w:val="single" w:sz="8" w:space="0" w:color="auto"/>
            </w:tcBorders>
            <w:vAlign w:val="bottom"/>
            <w:hideMark/>
          </w:tcPr>
          <w:p w14:paraId="1BADD13D"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mesatare të</w:t>
            </w:r>
          </w:p>
        </w:tc>
        <w:tc>
          <w:tcPr>
            <w:tcW w:w="2000" w:type="dxa"/>
            <w:tcBorders>
              <w:top w:val="nil"/>
              <w:left w:val="nil"/>
              <w:bottom w:val="nil"/>
              <w:right w:val="single" w:sz="8" w:space="0" w:color="auto"/>
            </w:tcBorders>
            <w:vAlign w:val="bottom"/>
          </w:tcPr>
          <w:p w14:paraId="1BADD13E"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3F"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40"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4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42"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4B" w14:textId="77777777" w:rsidTr="00C521D5">
        <w:trPr>
          <w:trHeight w:val="290"/>
        </w:trPr>
        <w:tc>
          <w:tcPr>
            <w:tcW w:w="2460" w:type="dxa"/>
            <w:tcBorders>
              <w:top w:val="nil"/>
              <w:left w:val="single" w:sz="8" w:space="0" w:color="auto"/>
              <w:bottom w:val="nil"/>
              <w:right w:val="single" w:sz="8" w:space="0" w:color="auto"/>
            </w:tcBorders>
            <w:vAlign w:val="bottom"/>
          </w:tcPr>
          <w:p w14:paraId="1BADD144"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nil"/>
              <w:right w:val="single" w:sz="8" w:space="0" w:color="auto"/>
            </w:tcBorders>
            <w:vAlign w:val="bottom"/>
            <w:hideMark/>
          </w:tcPr>
          <w:p w14:paraId="1BADD145"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udhëtimit për</w:t>
            </w:r>
          </w:p>
        </w:tc>
        <w:tc>
          <w:tcPr>
            <w:tcW w:w="2000" w:type="dxa"/>
            <w:tcBorders>
              <w:top w:val="nil"/>
              <w:left w:val="nil"/>
              <w:bottom w:val="nil"/>
              <w:right w:val="single" w:sz="8" w:space="0" w:color="auto"/>
            </w:tcBorders>
            <w:vAlign w:val="bottom"/>
          </w:tcPr>
          <w:p w14:paraId="1BADD146"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47"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48"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49"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4A"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53" w14:textId="77777777" w:rsidTr="00C521D5">
        <w:trPr>
          <w:trHeight w:val="293"/>
        </w:trPr>
        <w:tc>
          <w:tcPr>
            <w:tcW w:w="2460" w:type="dxa"/>
            <w:tcBorders>
              <w:top w:val="nil"/>
              <w:left w:val="single" w:sz="8" w:space="0" w:color="auto"/>
              <w:bottom w:val="nil"/>
              <w:right w:val="single" w:sz="8" w:space="0" w:color="auto"/>
            </w:tcBorders>
            <w:vAlign w:val="bottom"/>
          </w:tcPr>
          <w:p w14:paraId="1BADD14C"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nil"/>
              <w:right w:val="single" w:sz="8" w:space="0" w:color="auto"/>
            </w:tcBorders>
            <w:vAlign w:val="bottom"/>
            <w:hideMark/>
          </w:tcPr>
          <w:p w14:paraId="1BADD14D"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udhëtarët ndërmjet</w:t>
            </w:r>
          </w:p>
        </w:tc>
        <w:tc>
          <w:tcPr>
            <w:tcW w:w="2000" w:type="dxa"/>
            <w:tcBorders>
              <w:top w:val="nil"/>
              <w:left w:val="nil"/>
              <w:bottom w:val="nil"/>
              <w:right w:val="single" w:sz="8" w:space="0" w:color="auto"/>
            </w:tcBorders>
            <w:vAlign w:val="bottom"/>
          </w:tcPr>
          <w:p w14:paraId="1BADD14E"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4F"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50"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5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52"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5B" w14:textId="77777777" w:rsidTr="00C521D5">
        <w:trPr>
          <w:trHeight w:val="290"/>
        </w:trPr>
        <w:tc>
          <w:tcPr>
            <w:tcW w:w="2460" w:type="dxa"/>
            <w:tcBorders>
              <w:top w:val="nil"/>
              <w:left w:val="single" w:sz="8" w:space="0" w:color="auto"/>
              <w:bottom w:val="nil"/>
              <w:right w:val="single" w:sz="8" w:space="0" w:color="auto"/>
            </w:tcBorders>
            <w:vAlign w:val="bottom"/>
          </w:tcPr>
          <w:p w14:paraId="1BADD154"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nil"/>
              <w:right w:val="single" w:sz="8" w:space="0" w:color="auto"/>
            </w:tcBorders>
            <w:vAlign w:val="bottom"/>
            <w:hideMark/>
          </w:tcPr>
          <w:p w14:paraId="1BADD155"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qendrave kryesore</w:t>
            </w:r>
          </w:p>
        </w:tc>
        <w:tc>
          <w:tcPr>
            <w:tcW w:w="2000" w:type="dxa"/>
            <w:tcBorders>
              <w:top w:val="nil"/>
              <w:left w:val="nil"/>
              <w:bottom w:val="nil"/>
              <w:right w:val="single" w:sz="8" w:space="0" w:color="auto"/>
            </w:tcBorders>
            <w:vAlign w:val="bottom"/>
          </w:tcPr>
          <w:p w14:paraId="1BADD156"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57"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58"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59"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5A"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63" w14:textId="77777777" w:rsidTr="00C521D5">
        <w:trPr>
          <w:trHeight w:val="290"/>
        </w:trPr>
        <w:tc>
          <w:tcPr>
            <w:tcW w:w="2460" w:type="dxa"/>
            <w:tcBorders>
              <w:top w:val="nil"/>
              <w:left w:val="single" w:sz="8" w:space="0" w:color="auto"/>
              <w:bottom w:val="nil"/>
              <w:right w:val="single" w:sz="8" w:space="0" w:color="auto"/>
            </w:tcBorders>
            <w:vAlign w:val="bottom"/>
          </w:tcPr>
          <w:p w14:paraId="1BADD15C"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nil"/>
              <w:right w:val="single" w:sz="8" w:space="0" w:color="auto"/>
            </w:tcBorders>
            <w:vAlign w:val="bottom"/>
            <w:hideMark/>
          </w:tcPr>
          <w:p w14:paraId="1BADD15D"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urbane nga lloji i</w:t>
            </w:r>
          </w:p>
        </w:tc>
        <w:tc>
          <w:tcPr>
            <w:tcW w:w="2000" w:type="dxa"/>
            <w:tcBorders>
              <w:top w:val="nil"/>
              <w:left w:val="nil"/>
              <w:bottom w:val="nil"/>
              <w:right w:val="single" w:sz="8" w:space="0" w:color="auto"/>
            </w:tcBorders>
            <w:vAlign w:val="bottom"/>
          </w:tcPr>
          <w:p w14:paraId="1BADD15E"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5F"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60"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6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62"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6B" w14:textId="77777777" w:rsidTr="00C521D5">
        <w:trPr>
          <w:trHeight w:val="291"/>
        </w:trPr>
        <w:tc>
          <w:tcPr>
            <w:tcW w:w="2460" w:type="dxa"/>
            <w:tcBorders>
              <w:top w:val="nil"/>
              <w:left w:val="single" w:sz="8" w:space="0" w:color="auto"/>
              <w:bottom w:val="nil"/>
              <w:right w:val="single" w:sz="8" w:space="0" w:color="auto"/>
            </w:tcBorders>
            <w:vAlign w:val="bottom"/>
          </w:tcPr>
          <w:p w14:paraId="1BADD164"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nil"/>
              <w:right w:val="single" w:sz="8" w:space="0" w:color="auto"/>
            </w:tcBorders>
            <w:vAlign w:val="bottom"/>
            <w:hideMark/>
          </w:tcPr>
          <w:p w14:paraId="1BADD165"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transportit</w:t>
            </w:r>
          </w:p>
        </w:tc>
        <w:tc>
          <w:tcPr>
            <w:tcW w:w="2000" w:type="dxa"/>
            <w:tcBorders>
              <w:top w:val="nil"/>
              <w:left w:val="nil"/>
              <w:bottom w:val="nil"/>
              <w:right w:val="single" w:sz="8" w:space="0" w:color="auto"/>
            </w:tcBorders>
            <w:vAlign w:val="bottom"/>
          </w:tcPr>
          <w:p w14:paraId="1BADD166"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67"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68"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69"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6A"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73" w14:textId="77777777" w:rsidTr="00C521D5">
        <w:trPr>
          <w:trHeight w:val="247"/>
        </w:trPr>
        <w:tc>
          <w:tcPr>
            <w:tcW w:w="2460" w:type="dxa"/>
            <w:tcBorders>
              <w:top w:val="nil"/>
              <w:left w:val="single" w:sz="8" w:space="0" w:color="auto"/>
              <w:bottom w:val="single" w:sz="8" w:space="0" w:color="auto"/>
              <w:right w:val="single" w:sz="8" w:space="0" w:color="auto"/>
            </w:tcBorders>
            <w:vAlign w:val="bottom"/>
          </w:tcPr>
          <w:p w14:paraId="1BADD16C"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single" w:sz="8" w:space="0" w:color="auto"/>
              <w:right w:val="single" w:sz="8" w:space="0" w:color="auto"/>
            </w:tcBorders>
            <w:vAlign w:val="bottom"/>
          </w:tcPr>
          <w:p w14:paraId="1BADD16D"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000" w:type="dxa"/>
            <w:tcBorders>
              <w:top w:val="nil"/>
              <w:left w:val="nil"/>
              <w:bottom w:val="single" w:sz="8" w:space="0" w:color="auto"/>
              <w:right w:val="single" w:sz="8" w:space="0" w:color="auto"/>
            </w:tcBorders>
            <w:vAlign w:val="bottom"/>
          </w:tcPr>
          <w:p w14:paraId="1BADD16E"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6F"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70"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single" w:sz="8" w:space="0" w:color="auto"/>
              <w:right w:val="single" w:sz="8" w:space="0" w:color="auto"/>
            </w:tcBorders>
            <w:vAlign w:val="bottom"/>
          </w:tcPr>
          <w:p w14:paraId="1BADD17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72"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7B" w14:textId="77777777" w:rsidTr="00C521D5">
        <w:trPr>
          <w:trHeight w:val="235"/>
        </w:trPr>
        <w:tc>
          <w:tcPr>
            <w:tcW w:w="2460" w:type="dxa"/>
            <w:tcBorders>
              <w:top w:val="nil"/>
              <w:left w:val="single" w:sz="8" w:space="0" w:color="auto"/>
              <w:bottom w:val="nil"/>
              <w:right w:val="single" w:sz="8" w:space="0" w:color="auto"/>
            </w:tcBorders>
            <w:vAlign w:val="bottom"/>
            <w:hideMark/>
          </w:tcPr>
          <w:p w14:paraId="1BADD174" w14:textId="77777777" w:rsidR="00420B63" w:rsidRPr="00551729" w:rsidRDefault="00420B63" w:rsidP="00420B63">
            <w:pPr>
              <w:widowControl w:val="0"/>
              <w:autoSpaceDE w:val="0"/>
              <w:autoSpaceDN w:val="0"/>
              <w:adjustRightInd w:val="0"/>
              <w:spacing w:after="0" w:line="240" w:lineRule="auto"/>
              <w:ind w:left="120"/>
              <w:rPr>
                <w:rFonts w:ascii="Garamond" w:hAnsi="Garamond" w:cs="Times New Roman"/>
                <w:sz w:val="18"/>
                <w:szCs w:val="18"/>
              </w:rPr>
            </w:pPr>
            <w:r w:rsidRPr="00551729">
              <w:rPr>
                <w:rFonts w:ascii="Garamond" w:hAnsi="Garamond" w:cs="Times New Roman"/>
                <w:i/>
                <w:iCs/>
                <w:sz w:val="18"/>
                <w:szCs w:val="18"/>
              </w:rPr>
              <w:t>2014-20xx Programi</w:t>
            </w:r>
          </w:p>
        </w:tc>
        <w:tc>
          <w:tcPr>
            <w:tcW w:w="2120" w:type="dxa"/>
            <w:tcBorders>
              <w:top w:val="nil"/>
              <w:left w:val="nil"/>
              <w:bottom w:val="nil"/>
              <w:right w:val="single" w:sz="8" w:space="0" w:color="auto"/>
            </w:tcBorders>
            <w:vAlign w:val="bottom"/>
            <w:hideMark/>
          </w:tcPr>
          <w:p w14:paraId="1BADD175"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Kosto të reduktuara</w:t>
            </w:r>
          </w:p>
        </w:tc>
        <w:tc>
          <w:tcPr>
            <w:tcW w:w="2000" w:type="dxa"/>
            <w:tcBorders>
              <w:top w:val="nil"/>
              <w:left w:val="nil"/>
              <w:bottom w:val="nil"/>
              <w:right w:val="single" w:sz="8" w:space="0" w:color="auto"/>
            </w:tcBorders>
            <w:vAlign w:val="bottom"/>
          </w:tcPr>
          <w:p w14:paraId="1BADD176"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77"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78"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79"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7A"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83" w14:textId="77777777" w:rsidTr="00C521D5">
        <w:trPr>
          <w:trHeight w:val="290"/>
        </w:trPr>
        <w:tc>
          <w:tcPr>
            <w:tcW w:w="2460" w:type="dxa"/>
            <w:tcBorders>
              <w:top w:val="nil"/>
              <w:left w:val="single" w:sz="8" w:space="0" w:color="auto"/>
              <w:bottom w:val="nil"/>
              <w:right w:val="single" w:sz="8" w:space="0" w:color="auto"/>
            </w:tcBorders>
            <w:vAlign w:val="bottom"/>
            <w:hideMark/>
          </w:tcPr>
          <w:p w14:paraId="1BADD17C" w14:textId="77777777" w:rsidR="00420B63" w:rsidRPr="00551729" w:rsidRDefault="00420B63" w:rsidP="00420B63">
            <w:pPr>
              <w:widowControl w:val="0"/>
              <w:autoSpaceDE w:val="0"/>
              <w:autoSpaceDN w:val="0"/>
              <w:adjustRightInd w:val="0"/>
              <w:spacing w:after="0" w:line="240" w:lineRule="auto"/>
              <w:ind w:left="120"/>
              <w:rPr>
                <w:rFonts w:ascii="Garamond" w:hAnsi="Garamond" w:cs="Times New Roman"/>
                <w:sz w:val="18"/>
                <w:szCs w:val="18"/>
              </w:rPr>
            </w:pPr>
            <w:r w:rsidRPr="00551729">
              <w:rPr>
                <w:rFonts w:ascii="Garamond" w:hAnsi="Garamond" w:cs="Times New Roman"/>
                <w:i/>
                <w:iCs/>
                <w:sz w:val="18"/>
                <w:szCs w:val="18"/>
              </w:rPr>
              <w:t>shumëvjeçar</w:t>
            </w:r>
          </w:p>
        </w:tc>
        <w:tc>
          <w:tcPr>
            <w:tcW w:w="2120" w:type="dxa"/>
            <w:tcBorders>
              <w:top w:val="nil"/>
              <w:left w:val="nil"/>
              <w:bottom w:val="nil"/>
              <w:right w:val="single" w:sz="8" w:space="0" w:color="auto"/>
            </w:tcBorders>
            <w:vAlign w:val="bottom"/>
            <w:hideMark/>
          </w:tcPr>
          <w:p w14:paraId="1BADD17D"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transporti për njësi</w:t>
            </w:r>
          </w:p>
        </w:tc>
        <w:tc>
          <w:tcPr>
            <w:tcW w:w="2000" w:type="dxa"/>
            <w:tcBorders>
              <w:top w:val="nil"/>
              <w:left w:val="nil"/>
              <w:bottom w:val="nil"/>
              <w:right w:val="single" w:sz="8" w:space="0" w:color="auto"/>
            </w:tcBorders>
            <w:vAlign w:val="bottom"/>
          </w:tcPr>
          <w:p w14:paraId="1BADD17E"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7F"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80"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8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82"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8B" w14:textId="77777777" w:rsidTr="00C521D5">
        <w:trPr>
          <w:trHeight w:val="290"/>
        </w:trPr>
        <w:tc>
          <w:tcPr>
            <w:tcW w:w="2460" w:type="dxa"/>
            <w:tcBorders>
              <w:top w:val="nil"/>
              <w:left w:val="single" w:sz="8" w:space="0" w:color="auto"/>
              <w:bottom w:val="nil"/>
              <w:right w:val="single" w:sz="8" w:space="0" w:color="auto"/>
            </w:tcBorders>
            <w:vAlign w:val="bottom"/>
          </w:tcPr>
          <w:p w14:paraId="1BADD184"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nil"/>
              <w:right w:val="single" w:sz="8" w:space="0" w:color="auto"/>
            </w:tcBorders>
            <w:vAlign w:val="bottom"/>
            <w:hideMark/>
          </w:tcPr>
          <w:p w14:paraId="1BADD185" w14:textId="77777777" w:rsidR="00420B63" w:rsidRPr="00551729" w:rsidRDefault="00420B63" w:rsidP="00420B63">
            <w:pPr>
              <w:widowControl w:val="0"/>
              <w:autoSpaceDE w:val="0"/>
              <w:autoSpaceDN w:val="0"/>
              <w:adjustRightInd w:val="0"/>
              <w:spacing w:after="0" w:line="240" w:lineRule="auto"/>
              <w:ind w:left="100"/>
              <w:rPr>
                <w:rFonts w:ascii="Garamond" w:hAnsi="Garamond" w:cs="Times New Roman"/>
                <w:sz w:val="18"/>
                <w:szCs w:val="18"/>
              </w:rPr>
            </w:pPr>
            <w:r w:rsidRPr="00551729">
              <w:rPr>
                <w:rFonts w:ascii="Garamond" w:hAnsi="Garamond" w:cs="Times New Roman"/>
                <w:i/>
                <w:iCs/>
                <w:sz w:val="18"/>
                <w:szCs w:val="18"/>
              </w:rPr>
              <w:t>produkti</w:t>
            </w:r>
          </w:p>
        </w:tc>
        <w:tc>
          <w:tcPr>
            <w:tcW w:w="2000" w:type="dxa"/>
            <w:tcBorders>
              <w:top w:val="nil"/>
              <w:left w:val="nil"/>
              <w:bottom w:val="nil"/>
              <w:right w:val="single" w:sz="8" w:space="0" w:color="auto"/>
            </w:tcBorders>
            <w:vAlign w:val="bottom"/>
          </w:tcPr>
          <w:p w14:paraId="1BADD186"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87"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88"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nil"/>
              <w:right w:val="single" w:sz="8" w:space="0" w:color="auto"/>
            </w:tcBorders>
            <w:vAlign w:val="bottom"/>
          </w:tcPr>
          <w:p w14:paraId="1BADD189"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nil"/>
              <w:right w:val="single" w:sz="8" w:space="0" w:color="auto"/>
            </w:tcBorders>
            <w:vAlign w:val="bottom"/>
          </w:tcPr>
          <w:p w14:paraId="1BADD18A"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r w:rsidR="00420B63" w:rsidRPr="00551729" w14:paraId="1BADD193" w14:textId="77777777" w:rsidTr="00C521D5">
        <w:trPr>
          <w:trHeight w:val="247"/>
        </w:trPr>
        <w:tc>
          <w:tcPr>
            <w:tcW w:w="2460" w:type="dxa"/>
            <w:tcBorders>
              <w:top w:val="nil"/>
              <w:left w:val="single" w:sz="8" w:space="0" w:color="auto"/>
              <w:bottom w:val="single" w:sz="8" w:space="0" w:color="auto"/>
              <w:right w:val="single" w:sz="8" w:space="0" w:color="auto"/>
            </w:tcBorders>
            <w:vAlign w:val="bottom"/>
          </w:tcPr>
          <w:p w14:paraId="1BADD18C"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120" w:type="dxa"/>
            <w:tcBorders>
              <w:top w:val="nil"/>
              <w:left w:val="nil"/>
              <w:bottom w:val="single" w:sz="8" w:space="0" w:color="auto"/>
              <w:right w:val="single" w:sz="8" w:space="0" w:color="auto"/>
            </w:tcBorders>
            <w:vAlign w:val="bottom"/>
          </w:tcPr>
          <w:p w14:paraId="1BADD18D"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2000" w:type="dxa"/>
            <w:tcBorders>
              <w:top w:val="nil"/>
              <w:left w:val="nil"/>
              <w:bottom w:val="single" w:sz="8" w:space="0" w:color="auto"/>
              <w:right w:val="single" w:sz="8" w:space="0" w:color="auto"/>
            </w:tcBorders>
            <w:vAlign w:val="bottom"/>
          </w:tcPr>
          <w:p w14:paraId="1BADD18E"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8F"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90"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00" w:type="dxa"/>
            <w:tcBorders>
              <w:top w:val="nil"/>
              <w:left w:val="nil"/>
              <w:bottom w:val="single" w:sz="8" w:space="0" w:color="auto"/>
              <w:right w:val="single" w:sz="8" w:space="0" w:color="auto"/>
            </w:tcBorders>
            <w:vAlign w:val="bottom"/>
          </w:tcPr>
          <w:p w14:paraId="1BADD191"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c>
          <w:tcPr>
            <w:tcW w:w="1920" w:type="dxa"/>
            <w:tcBorders>
              <w:top w:val="nil"/>
              <w:left w:val="nil"/>
              <w:bottom w:val="single" w:sz="8" w:space="0" w:color="auto"/>
              <w:right w:val="single" w:sz="8" w:space="0" w:color="auto"/>
            </w:tcBorders>
            <w:vAlign w:val="bottom"/>
          </w:tcPr>
          <w:p w14:paraId="1BADD192" w14:textId="77777777" w:rsidR="00420B63" w:rsidRPr="00551729" w:rsidRDefault="00420B63" w:rsidP="00420B63">
            <w:pPr>
              <w:widowControl w:val="0"/>
              <w:autoSpaceDE w:val="0"/>
              <w:autoSpaceDN w:val="0"/>
              <w:adjustRightInd w:val="0"/>
              <w:spacing w:after="0" w:line="240" w:lineRule="auto"/>
              <w:rPr>
                <w:rFonts w:ascii="Garamond" w:hAnsi="Garamond" w:cs="Times New Roman"/>
                <w:sz w:val="18"/>
                <w:szCs w:val="18"/>
              </w:rPr>
            </w:pPr>
          </w:p>
        </w:tc>
      </w:tr>
    </w:tbl>
    <w:p w14:paraId="1BADD194" w14:textId="77777777" w:rsidR="00F975A8" w:rsidRPr="00551729" w:rsidRDefault="00F975A8" w:rsidP="00420B63">
      <w:pPr>
        <w:pStyle w:val="TEKSTIII"/>
        <w:rPr>
          <w:rFonts w:cs="Times New Roman"/>
          <w:sz w:val="18"/>
          <w:szCs w:val="18"/>
        </w:rPr>
      </w:pPr>
    </w:p>
    <w:p w14:paraId="1BADD195" w14:textId="77777777" w:rsidR="00420B63" w:rsidRPr="00551729" w:rsidRDefault="00420B63" w:rsidP="00420B63">
      <w:pPr>
        <w:pStyle w:val="TEKSTIII"/>
        <w:rPr>
          <w:rFonts w:cs="Times New Roman"/>
          <w:sz w:val="18"/>
          <w:szCs w:val="18"/>
        </w:rPr>
      </w:pPr>
    </w:p>
    <w:p w14:paraId="1BADD196" w14:textId="77777777" w:rsidR="00420B63" w:rsidRPr="00551729" w:rsidRDefault="00420B63" w:rsidP="00420B63">
      <w:pPr>
        <w:pStyle w:val="TEKSTIII"/>
        <w:rPr>
          <w:rFonts w:cs="Times New Roman"/>
          <w:sz w:val="18"/>
          <w:szCs w:val="18"/>
        </w:rPr>
      </w:pPr>
    </w:p>
    <w:p w14:paraId="1BADD197" w14:textId="77777777" w:rsidR="00420B63" w:rsidRPr="00551729" w:rsidRDefault="00420B63" w:rsidP="00420B63">
      <w:pPr>
        <w:pStyle w:val="TEKSTIII"/>
        <w:rPr>
          <w:rFonts w:cs="Times New Roman"/>
          <w:sz w:val="18"/>
          <w:szCs w:val="18"/>
        </w:rPr>
      </w:pPr>
    </w:p>
    <w:p w14:paraId="1BADD198" w14:textId="77777777" w:rsidR="00420B63" w:rsidRPr="00551729" w:rsidRDefault="00420B63" w:rsidP="00420B63">
      <w:pPr>
        <w:pStyle w:val="TEKSTIII"/>
        <w:rPr>
          <w:rFonts w:cs="Times New Roman"/>
          <w:sz w:val="18"/>
          <w:szCs w:val="18"/>
        </w:rPr>
      </w:pPr>
    </w:p>
    <w:p w14:paraId="1BADD199" w14:textId="77777777" w:rsidR="00420B63" w:rsidRPr="00551729" w:rsidRDefault="00420B63" w:rsidP="00420B63">
      <w:pPr>
        <w:pStyle w:val="TEKSTIII"/>
        <w:rPr>
          <w:rFonts w:cs="Times New Roman"/>
          <w:sz w:val="18"/>
          <w:szCs w:val="18"/>
        </w:rPr>
      </w:pPr>
    </w:p>
    <w:p w14:paraId="1BADD19A" w14:textId="77777777" w:rsidR="00420B63" w:rsidRPr="00551729" w:rsidRDefault="00420B63" w:rsidP="00420B63">
      <w:pPr>
        <w:pStyle w:val="TEKSTIII"/>
        <w:rPr>
          <w:rFonts w:cs="Times New Roman"/>
          <w:sz w:val="18"/>
          <w:szCs w:val="18"/>
        </w:rPr>
      </w:pPr>
    </w:p>
    <w:p w14:paraId="1BADD19B" w14:textId="77777777" w:rsidR="00420B63" w:rsidRPr="00551729" w:rsidRDefault="00420B63" w:rsidP="00420B63">
      <w:pPr>
        <w:pStyle w:val="TEKSTIII"/>
        <w:rPr>
          <w:rFonts w:cs="Times New Roman"/>
          <w:sz w:val="18"/>
          <w:szCs w:val="18"/>
        </w:rPr>
      </w:pPr>
    </w:p>
    <w:p w14:paraId="1BADD19C" w14:textId="77777777" w:rsidR="00420B63" w:rsidRPr="00551729" w:rsidRDefault="00420B63" w:rsidP="00420B63">
      <w:pPr>
        <w:pStyle w:val="TEKSTIII"/>
        <w:rPr>
          <w:rFonts w:cs="Times New Roman"/>
          <w:sz w:val="18"/>
          <w:szCs w:val="18"/>
        </w:rPr>
      </w:pPr>
    </w:p>
    <w:p w14:paraId="1BADD19D" w14:textId="77777777" w:rsidR="00420B63" w:rsidRPr="00551729" w:rsidRDefault="00420B63" w:rsidP="00420B63">
      <w:pPr>
        <w:pStyle w:val="TEKSTIII"/>
        <w:rPr>
          <w:rFonts w:cs="Times New Roman"/>
          <w:sz w:val="18"/>
          <w:szCs w:val="18"/>
        </w:rPr>
      </w:pPr>
    </w:p>
    <w:p w14:paraId="1BADD19E" w14:textId="77777777" w:rsidR="00420B63" w:rsidRPr="00551729" w:rsidRDefault="00420B63" w:rsidP="00420B63">
      <w:pPr>
        <w:pStyle w:val="TEKSTIII"/>
        <w:rPr>
          <w:rFonts w:cs="Times New Roman"/>
          <w:sz w:val="18"/>
          <w:szCs w:val="18"/>
        </w:rPr>
      </w:pPr>
    </w:p>
    <w:p w14:paraId="1BADD19F" w14:textId="77777777" w:rsidR="00420B63" w:rsidRPr="00551729" w:rsidRDefault="00420B63" w:rsidP="00420B63">
      <w:pPr>
        <w:pStyle w:val="TEKSTIII"/>
        <w:rPr>
          <w:rFonts w:cs="Times New Roman"/>
          <w:sz w:val="18"/>
          <w:szCs w:val="18"/>
        </w:rPr>
      </w:pPr>
    </w:p>
    <w:p w14:paraId="1BADD1A0" w14:textId="77777777" w:rsidR="0088147A" w:rsidRPr="00551729" w:rsidRDefault="0088147A" w:rsidP="0088147A">
      <w:pPr>
        <w:widowControl w:val="0"/>
        <w:autoSpaceDE w:val="0"/>
        <w:autoSpaceDN w:val="0"/>
        <w:adjustRightInd w:val="0"/>
        <w:spacing w:after="0" w:line="240" w:lineRule="auto"/>
        <w:rPr>
          <w:rFonts w:ascii="Garamond" w:hAnsi="Garamond"/>
          <w:sz w:val="20"/>
          <w:szCs w:val="20"/>
        </w:rPr>
      </w:pPr>
      <w:r w:rsidRPr="00551729">
        <w:rPr>
          <w:rFonts w:ascii="Garamond" w:hAnsi="Garamond"/>
          <w:b/>
          <w:bCs/>
          <w:sz w:val="20"/>
          <w:szCs w:val="20"/>
        </w:rPr>
        <w:t>II b. Përmbledhje në nivel veprimi për sektorin [</w:t>
      </w:r>
      <w:r w:rsidRPr="00551729">
        <w:rPr>
          <w:rFonts w:ascii="Garamond" w:hAnsi="Garamond"/>
          <w:b/>
          <w:bCs/>
          <w:i/>
          <w:iCs/>
          <w:sz w:val="20"/>
          <w:szCs w:val="20"/>
        </w:rPr>
        <w:t>p.sh. transportin</w:t>
      </w:r>
      <w:r w:rsidRPr="00551729">
        <w:rPr>
          <w:rFonts w:ascii="Garamond" w:hAnsi="Garamond"/>
          <w:b/>
          <w:bCs/>
          <w:sz w:val="20"/>
          <w:szCs w:val="20"/>
        </w:rPr>
        <w:t>]</w:t>
      </w:r>
    </w:p>
    <w:p w14:paraId="1BADD1A1" w14:textId="77777777" w:rsidR="0088147A" w:rsidRPr="00551729" w:rsidRDefault="0088147A" w:rsidP="0088147A">
      <w:pPr>
        <w:widowControl w:val="0"/>
        <w:autoSpaceDE w:val="0"/>
        <w:autoSpaceDN w:val="0"/>
        <w:adjustRightInd w:val="0"/>
        <w:spacing w:after="0" w:line="225" w:lineRule="exact"/>
        <w:rPr>
          <w:rFonts w:ascii="Garamond" w:hAnsi="Garamond"/>
          <w:sz w:val="20"/>
          <w:szCs w:val="20"/>
        </w:rPr>
      </w:pPr>
    </w:p>
    <w:tbl>
      <w:tblPr>
        <w:tblW w:w="14250" w:type="dxa"/>
        <w:tblInd w:w="80" w:type="dxa"/>
        <w:tblLayout w:type="fixed"/>
        <w:tblCellMar>
          <w:left w:w="0" w:type="dxa"/>
          <w:right w:w="0" w:type="dxa"/>
        </w:tblCellMar>
        <w:tblLook w:val="04A0" w:firstRow="1" w:lastRow="0" w:firstColumn="1" w:lastColumn="0" w:noHBand="0" w:noVBand="1"/>
      </w:tblPr>
      <w:tblGrid>
        <w:gridCol w:w="30"/>
        <w:gridCol w:w="1980"/>
        <w:gridCol w:w="1860"/>
        <w:gridCol w:w="180"/>
        <w:gridCol w:w="2290"/>
        <w:gridCol w:w="1790"/>
        <w:gridCol w:w="2080"/>
        <w:gridCol w:w="40"/>
        <w:gridCol w:w="1850"/>
        <w:gridCol w:w="2010"/>
        <w:gridCol w:w="140"/>
      </w:tblGrid>
      <w:tr w:rsidR="00FE1429" w:rsidRPr="00551729" w14:paraId="1BADD1B3" w14:textId="77777777" w:rsidTr="00452A6C">
        <w:trPr>
          <w:trHeight w:val="260"/>
        </w:trPr>
        <w:tc>
          <w:tcPr>
            <w:tcW w:w="30" w:type="dxa"/>
            <w:tcBorders>
              <w:top w:val="single" w:sz="8" w:space="0" w:color="auto"/>
              <w:left w:val="single" w:sz="8" w:space="0" w:color="auto"/>
              <w:bottom w:val="nil"/>
              <w:right w:val="nil"/>
            </w:tcBorders>
            <w:vAlign w:val="bottom"/>
          </w:tcPr>
          <w:p w14:paraId="1BADD1A2"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val="restart"/>
            <w:tcBorders>
              <w:top w:val="single" w:sz="8" w:space="0" w:color="auto"/>
              <w:left w:val="nil"/>
              <w:right w:val="single" w:sz="8" w:space="0" w:color="auto"/>
            </w:tcBorders>
            <w:vAlign w:val="center"/>
            <w:hideMark/>
          </w:tcPr>
          <w:p w14:paraId="1BADD1A3" w14:textId="4F773C07" w:rsidR="00FE1429" w:rsidRPr="00551729" w:rsidRDefault="00FE1429" w:rsidP="00C662EF">
            <w:pPr>
              <w:widowControl w:val="0"/>
              <w:autoSpaceDE w:val="0"/>
              <w:autoSpaceDN w:val="0"/>
              <w:adjustRightInd w:val="0"/>
              <w:spacing w:after="0" w:line="252" w:lineRule="exact"/>
              <w:ind w:left="40"/>
              <w:jc w:val="center"/>
              <w:rPr>
                <w:rFonts w:ascii="Garamond" w:hAnsi="Garamond"/>
                <w:sz w:val="20"/>
                <w:szCs w:val="20"/>
              </w:rPr>
            </w:pPr>
            <w:r w:rsidRPr="00551729">
              <w:rPr>
                <w:rFonts w:ascii="Garamond" w:hAnsi="Garamond"/>
                <w:b/>
                <w:bCs/>
                <w:sz w:val="20"/>
                <w:szCs w:val="20"/>
              </w:rPr>
              <w:t>Marrëveshja e Financimit/Referenca e Programit</w:t>
            </w:r>
          </w:p>
        </w:tc>
        <w:tc>
          <w:tcPr>
            <w:tcW w:w="1860" w:type="dxa"/>
            <w:vMerge w:val="restart"/>
            <w:tcBorders>
              <w:top w:val="single" w:sz="8" w:space="0" w:color="auto"/>
              <w:left w:val="nil"/>
              <w:right w:val="nil"/>
            </w:tcBorders>
            <w:vAlign w:val="center"/>
            <w:hideMark/>
          </w:tcPr>
          <w:p w14:paraId="1BADD1A4"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Projekti</w:t>
            </w:r>
          </w:p>
        </w:tc>
        <w:tc>
          <w:tcPr>
            <w:tcW w:w="180" w:type="dxa"/>
            <w:tcBorders>
              <w:top w:val="single" w:sz="8" w:space="0" w:color="auto"/>
              <w:left w:val="nil"/>
              <w:bottom w:val="nil"/>
              <w:right w:val="single" w:sz="8" w:space="0" w:color="auto"/>
            </w:tcBorders>
            <w:vAlign w:val="center"/>
          </w:tcPr>
          <w:p w14:paraId="1BADD1A5"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290" w:type="dxa"/>
            <w:vMerge w:val="restart"/>
            <w:tcBorders>
              <w:top w:val="single" w:sz="8" w:space="0" w:color="auto"/>
              <w:left w:val="nil"/>
              <w:right w:val="single" w:sz="8" w:space="0" w:color="auto"/>
            </w:tcBorders>
            <w:vAlign w:val="center"/>
            <w:hideMark/>
          </w:tcPr>
          <w:p w14:paraId="1BADD1A6"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sz w:val="20"/>
                <w:szCs w:val="20"/>
              </w:rPr>
              <w:t>Situata/Progresi për projekte të veçanta (p.sh. Termat e Referencës në përgatitjen për shpalljen e tenderit, kontraktimin, zbatimin, përfundimin)</w:t>
            </w:r>
          </w:p>
        </w:tc>
        <w:tc>
          <w:tcPr>
            <w:tcW w:w="1790" w:type="dxa"/>
            <w:vMerge w:val="restart"/>
            <w:tcBorders>
              <w:top w:val="single" w:sz="8" w:space="0" w:color="auto"/>
              <w:left w:val="nil"/>
              <w:right w:val="single" w:sz="8" w:space="0" w:color="auto"/>
            </w:tcBorders>
            <w:vAlign w:val="center"/>
            <w:hideMark/>
          </w:tcPr>
          <w:p w14:paraId="1BADD1A7" w14:textId="723324D5"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Arritjet kryesore</w:t>
            </w:r>
            <w:r w:rsidRPr="00551729">
              <w:rPr>
                <w:rFonts w:ascii="Garamond" w:hAnsi="Garamond"/>
                <w:b/>
                <w:bCs/>
                <w:w w:val="99"/>
                <w:sz w:val="20"/>
                <w:szCs w:val="20"/>
              </w:rPr>
              <w:t xml:space="preserve"> dhe vlerësimi i tyre</w:t>
            </w:r>
          </w:p>
        </w:tc>
        <w:tc>
          <w:tcPr>
            <w:tcW w:w="2080" w:type="dxa"/>
            <w:vMerge w:val="restart"/>
            <w:tcBorders>
              <w:top w:val="single" w:sz="8" w:space="0" w:color="auto"/>
              <w:left w:val="nil"/>
              <w:right w:val="single" w:sz="8" w:space="0" w:color="auto"/>
            </w:tcBorders>
            <w:vAlign w:val="center"/>
            <w:hideMark/>
          </w:tcPr>
          <w:p w14:paraId="1BADD1A8"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Probleme kryesore të hasura</w:t>
            </w:r>
          </w:p>
          <w:p w14:paraId="1BADD1A9"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në zbatimin</w:t>
            </w:r>
          </w:p>
          <w:p w14:paraId="1BADD1AA"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e detyrave të</w:t>
            </w:r>
          </w:p>
          <w:p w14:paraId="1BADD1AB"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besuara dhe masat</w:t>
            </w:r>
          </w:p>
          <w:p w14:paraId="1BADD1AC" w14:textId="1F599F2C"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Pr>
                <w:rFonts w:ascii="Garamond" w:hAnsi="Garamond"/>
                <w:b/>
                <w:bCs/>
                <w:sz w:val="20"/>
                <w:szCs w:val="20"/>
              </w:rPr>
              <w:t>e marra/</w:t>
            </w:r>
            <w:r w:rsidRPr="00551729">
              <w:rPr>
                <w:rFonts w:ascii="Garamond" w:hAnsi="Garamond"/>
                <w:b/>
                <w:bCs/>
                <w:sz w:val="20"/>
                <w:szCs w:val="20"/>
              </w:rPr>
              <w:t>të</w:t>
            </w:r>
          </w:p>
          <w:p w14:paraId="1BADD1AD"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planifikuara për</w:t>
            </w:r>
          </w:p>
          <w:p w14:paraId="1BADD1AE"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kapërcimin e tyre</w:t>
            </w:r>
          </w:p>
        </w:tc>
        <w:tc>
          <w:tcPr>
            <w:tcW w:w="40" w:type="dxa"/>
            <w:tcBorders>
              <w:top w:val="single" w:sz="8" w:space="0" w:color="auto"/>
              <w:left w:val="nil"/>
              <w:bottom w:val="nil"/>
              <w:right w:val="nil"/>
            </w:tcBorders>
            <w:vAlign w:val="center"/>
          </w:tcPr>
          <w:p w14:paraId="1BADD1AF"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50" w:type="dxa"/>
            <w:vMerge w:val="restart"/>
            <w:tcBorders>
              <w:top w:val="single" w:sz="8" w:space="0" w:color="auto"/>
              <w:left w:val="nil"/>
              <w:right w:val="single" w:sz="8" w:space="0" w:color="auto"/>
            </w:tcBorders>
            <w:vAlign w:val="center"/>
            <w:hideMark/>
          </w:tcPr>
          <w:p w14:paraId="1BADD1B0" w14:textId="76731770" w:rsidR="00FE1429" w:rsidRPr="00551729" w:rsidRDefault="00FE1429" w:rsidP="00C662EF">
            <w:pPr>
              <w:widowControl w:val="0"/>
              <w:autoSpaceDE w:val="0"/>
              <w:autoSpaceDN w:val="0"/>
              <w:adjustRightInd w:val="0"/>
              <w:spacing w:after="0" w:line="252" w:lineRule="exact"/>
              <w:ind w:left="20"/>
              <w:jc w:val="center"/>
              <w:rPr>
                <w:rFonts w:ascii="Garamond" w:hAnsi="Garamond"/>
                <w:sz w:val="20"/>
                <w:szCs w:val="20"/>
              </w:rPr>
            </w:pPr>
            <w:r w:rsidRPr="00551729">
              <w:rPr>
                <w:rFonts w:ascii="Garamond" w:hAnsi="Garamond"/>
                <w:b/>
                <w:bCs/>
                <w:sz w:val="20"/>
                <w:szCs w:val="20"/>
              </w:rPr>
              <w:t>Zhvillimet që ndikojnë në zbatimin në të ardhmen</w:t>
            </w:r>
          </w:p>
        </w:tc>
        <w:tc>
          <w:tcPr>
            <w:tcW w:w="2010" w:type="dxa"/>
            <w:vMerge w:val="restart"/>
            <w:tcBorders>
              <w:top w:val="single" w:sz="8" w:space="0" w:color="auto"/>
              <w:left w:val="nil"/>
              <w:right w:val="nil"/>
            </w:tcBorders>
            <w:vAlign w:val="center"/>
            <w:hideMark/>
          </w:tcPr>
          <w:p w14:paraId="1BADD1B1" w14:textId="003E76B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r w:rsidRPr="00551729">
              <w:rPr>
                <w:rFonts w:ascii="Garamond" w:hAnsi="Garamond"/>
                <w:b/>
                <w:bCs/>
                <w:sz w:val="20"/>
                <w:szCs w:val="20"/>
              </w:rPr>
              <w:t>Rekomandime për veprime të mëtejshme korrigjuese</w:t>
            </w:r>
          </w:p>
        </w:tc>
        <w:tc>
          <w:tcPr>
            <w:tcW w:w="140" w:type="dxa"/>
            <w:tcBorders>
              <w:top w:val="single" w:sz="8" w:space="0" w:color="auto"/>
              <w:left w:val="nil"/>
              <w:bottom w:val="nil"/>
              <w:right w:val="single" w:sz="8" w:space="0" w:color="auto"/>
            </w:tcBorders>
            <w:vAlign w:val="bottom"/>
          </w:tcPr>
          <w:p w14:paraId="1BADD1B2"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1BF" w14:textId="77777777" w:rsidTr="00452A6C">
        <w:trPr>
          <w:trHeight w:val="290"/>
        </w:trPr>
        <w:tc>
          <w:tcPr>
            <w:tcW w:w="30" w:type="dxa"/>
            <w:tcBorders>
              <w:top w:val="nil"/>
              <w:left w:val="single" w:sz="8" w:space="0" w:color="auto"/>
              <w:bottom w:val="nil"/>
              <w:right w:val="nil"/>
            </w:tcBorders>
            <w:vAlign w:val="bottom"/>
          </w:tcPr>
          <w:p w14:paraId="1BADD1B4"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center"/>
            <w:hideMark/>
          </w:tcPr>
          <w:p w14:paraId="1BADD1B5" w14:textId="6AE5BBB3" w:rsidR="00FE1429" w:rsidRPr="00551729" w:rsidRDefault="00FE1429" w:rsidP="00C662EF">
            <w:pPr>
              <w:widowControl w:val="0"/>
              <w:autoSpaceDE w:val="0"/>
              <w:autoSpaceDN w:val="0"/>
              <w:adjustRightInd w:val="0"/>
              <w:spacing w:after="0" w:line="252" w:lineRule="exact"/>
              <w:ind w:left="40"/>
              <w:jc w:val="center"/>
              <w:rPr>
                <w:rFonts w:ascii="Garamond" w:hAnsi="Garamond"/>
                <w:sz w:val="20"/>
                <w:szCs w:val="20"/>
              </w:rPr>
            </w:pPr>
          </w:p>
        </w:tc>
        <w:tc>
          <w:tcPr>
            <w:tcW w:w="1860" w:type="dxa"/>
            <w:vMerge/>
            <w:vAlign w:val="center"/>
          </w:tcPr>
          <w:p w14:paraId="1BADD1B6"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0" w:type="dxa"/>
            <w:tcBorders>
              <w:top w:val="nil"/>
              <w:left w:val="nil"/>
              <w:bottom w:val="nil"/>
              <w:right w:val="single" w:sz="8" w:space="0" w:color="auto"/>
            </w:tcBorders>
            <w:vAlign w:val="center"/>
          </w:tcPr>
          <w:p w14:paraId="1BADD1B7"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290" w:type="dxa"/>
            <w:vMerge/>
            <w:tcBorders>
              <w:left w:val="nil"/>
              <w:right w:val="single" w:sz="8" w:space="0" w:color="auto"/>
            </w:tcBorders>
            <w:vAlign w:val="center"/>
          </w:tcPr>
          <w:p w14:paraId="1BADD1B8"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790" w:type="dxa"/>
            <w:vMerge/>
            <w:tcBorders>
              <w:left w:val="nil"/>
              <w:right w:val="single" w:sz="8" w:space="0" w:color="auto"/>
            </w:tcBorders>
            <w:vAlign w:val="center"/>
            <w:hideMark/>
          </w:tcPr>
          <w:p w14:paraId="1BADD1B9" w14:textId="4CC08AA6" w:rsidR="00FE1429" w:rsidRPr="00551729" w:rsidRDefault="00FE1429" w:rsidP="00C662EF">
            <w:pPr>
              <w:widowControl w:val="0"/>
              <w:autoSpaceDE w:val="0"/>
              <w:autoSpaceDN w:val="0"/>
              <w:adjustRightInd w:val="0"/>
              <w:spacing w:after="0" w:line="252" w:lineRule="exact"/>
              <w:jc w:val="center"/>
              <w:rPr>
                <w:rFonts w:ascii="Garamond" w:hAnsi="Garamond"/>
                <w:sz w:val="20"/>
                <w:szCs w:val="20"/>
              </w:rPr>
            </w:pPr>
          </w:p>
        </w:tc>
        <w:tc>
          <w:tcPr>
            <w:tcW w:w="2080" w:type="dxa"/>
            <w:vMerge/>
            <w:tcBorders>
              <w:left w:val="nil"/>
              <w:right w:val="single" w:sz="8" w:space="0" w:color="auto"/>
            </w:tcBorders>
            <w:vAlign w:val="center"/>
            <w:hideMark/>
          </w:tcPr>
          <w:p w14:paraId="1BADD1BA"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40" w:type="dxa"/>
            <w:vAlign w:val="center"/>
          </w:tcPr>
          <w:p w14:paraId="1BADD1BB"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50" w:type="dxa"/>
            <w:vMerge/>
            <w:tcBorders>
              <w:left w:val="nil"/>
              <w:right w:val="single" w:sz="8" w:space="0" w:color="auto"/>
            </w:tcBorders>
            <w:vAlign w:val="center"/>
            <w:hideMark/>
          </w:tcPr>
          <w:p w14:paraId="1BADD1BC" w14:textId="358E6F27" w:rsidR="00FE1429" w:rsidRPr="00551729" w:rsidRDefault="00FE1429" w:rsidP="00C662EF">
            <w:pPr>
              <w:widowControl w:val="0"/>
              <w:autoSpaceDE w:val="0"/>
              <w:autoSpaceDN w:val="0"/>
              <w:adjustRightInd w:val="0"/>
              <w:spacing w:after="0" w:line="252" w:lineRule="exact"/>
              <w:ind w:left="20"/>
              <w:jc w:val="center"/>
              <w:rPr>
                <w:rFonts w:ascii="Garamond" w:hAnsi="Garamond"/>
                <w:sz w:val="20"/>
                <w:szCs w:val="20"/>
              </w:rPr>
            </w:pPr>
          </w:p>
        </w:tc>
        <w:tc>
          <w:tcPr>
            <w:tcW w:w="2010" w:type="dxa"/>
            <w:vMerge/>
            <w:vAlign w:val="center"/>
            <w:hideMark/>
          </w:tcPr>
          <w:p w14:paraId="1BADD1BD" w14:textId="04ABE9D2"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40" w:type="dxa"/>
            <w:tcBorders>
              <w:top w:val="nil"/>
              <w:left w:val="nil"/>
              <w:bottom w:val="nil"/>
              <w:right w:val="single" w:sz="8" w:space="0" w:color="auto"/>
            </w:tcBorders>
            <w:vAlign w:val="bottom"/>
          </w:tcPr>
          <w:p w14:paraId="1BADD1BE"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1CB" w14:textId="77777777" w:rsidTr="00452A6C">
        <w:trPr>
          <w:trHeight w:val="290"/>
        </w:trPr>
        <w:tc>
          <w:tcPr>
            <w:tcW w:w="30" w:type="dxa"/>
            <w:tcBorders>
              <w:top w:val="nil"/>
              <w:left w:val="single" w:sz="8" w:space="0" w:color="auto"/>
              <w:bottom w:val="nil"/>
              <w:right w:val="nil"/>
            </w:tcBorders>
            <w:vAlign w:val="bottom"/>
          </w:tcPr>
          <w:p w14:paraId="1BADD1C0"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center"/>
            <w:hideMark/>
          </w:tcPr>
          <w:p w14:paraId="1BADD1C1" w14:textId="6534EDE3" w:rsidR="00FE1429" w:rsidRPr="00551729" w:rsidRDefault="00FE1429" w:rsidP="00C662EF">
            <w:pPr>
              <w:widowControl w:val="0"/>
              <w:autoSpaceDE w:val="0"/>
              <w:autoSpaceDN w:val="0"/>
              <w:adjustRightInd w:val="0"/>
              <w:spacing w:after="0" w:line="252" w:lineRule="exact"/>
              <w:ind w:left="40"/>
              <w:jc w:val="center"/>
              <w:rPr>
                <w:rFonts w:ascii="Garamond" w:hAnsi="Garamond"/>
                <w:sz w:val="20"/>
                <w:szCs w:val="20"/>
              </w:rPr>
            </w:pPr>
          </w:p>
        </w:tc>
        <w:tc>
          <w:tcPr>
            <w:tcW w:w="1860" w:type="dxa"/>
            <w:vMerge/>
            <w:vAlign w:val="center"/>
          </w:tcPr>
          <w:p w14:paraId="1BADD1C2"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0" w:type="dxa"/>
            <w:tcBorders>
              <w:top w:val="nil"/>
              <w:left w:val="nil"/>
              <w:bottom w:val="nil"/>
              <w:right w:val="single" w:sz="8" w:space="0" w:color="auto"/>
            </w:tcBorders>
            <w:vAlign w:val="center"/>
          </w:tcPr>
          <w:p w14:paraId="1BADD1C3"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290" w:type="dxa"/>
            <w:vMerge/>
            <w:tcBorders>
              <w:left w:val="nil"/>
              <w:right w:val="single" w:sz="8" w:space="0" w:color="auto"/>
            </w:tcBorders>
            <w:vAlign w:val="center"/>
          </w:tcPr>
          <w:p w14:paraId="1BADD1C4"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790" w:type="dxa"/>
            <w:vMerge/>
            <w:tcBorders>
              <w:left w:val="nil"/>
              <w:right w:val="single" w:sz="8" w:space="0" w:color="auto"/>
            </w:tcBorders>
            <w:vAlign w:val="center"/>
          </w:tcPr>
          <w:p w14:paraId="1BADD1C5"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80" w:type="dxa"/>
            <w:vMerge/>
            <w:tcBorders>
              <w:left w:val="nil"/>
              <w:right w:val="single" w:sz="8" w:space="0" w:color="auto"/>
            </w:tcBorders>
            <w:vAlign w:val="center"/>
            <w:hideMark/>
          </w:tcPr>
          <w:p w14:paraId="1BADD1C6"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40" w:type="dxa"/>
            <w:vAlign w:val="center"/>
          </w:tcPr>
          <w:p w14:paraId="1BADD1C7"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50" w:type="dxa"/>
            <w:vMerge/>
            <w:tcBorders>
              <w:left w:val="nil"/>
              <w:right w:val="single" w:sz="8" w:space="0" w:color="auto"/>
            </w:tcBorders>
            <w:vAlign w:val="center"/>
            <w:hideMark/>
          </w:tcPr>
          <w:p w14:paraId="1BADD1C8" w14:textId="3701798A" w:rsidR="00FE1429" w:rsidRPr="00551729" w:rsidRDefault="00FE1429" w:rsidP="00C662EF">
            <w:pPr>
              <w:widowControl w:val="0"/>
              <w:autoSpaceDE w:val="0"/>
              <w:autoSpaceDN w:val="0"/>
              <w:adjustRightInd w:val="0"/>
              <w:spacing w:after="0" w:line="252" w:lineRule="exact"/>
              <w:ind w:left="20"/>
              <w:jc w:val="center"/>
              <w:rPr>
                <w:rFonts w:ascii="Garamond" w:hAnsi="Garamond"/>
                <w:sz w:val="20"/>
                <w:szCs w:val="20"/>
              </w:rPr>
            </w:pPr>
          </w:p>
        </w:tc>
        <w:tc>
          <w:tcPr>
            <w:tcW w:w="2010" w:type="dxa"/>
            <w:vMerge/>
            <w:vAlign w:val="center"/>
            <w:hideMark/>
          </w:tcPr>
          <w:p w14:paraId="1BADD1C9" w14:textId="2AF45E9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40" w:type="dxa"/>
            <w:tcBorders>
              <w:top w:val="nil"/>
              <w:left w:val="nil"/>
              <w:bottom w:val="nil"/>
              <w:right w:val="single" w:sz="8" w:space="0" w:color="auto"/>
            </w:tcBorders>
            <w:vAlign w:val="bottom"/>
          </w:tcPr>
          <w:p w14:paraId="1BADD1CA"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1D7" w14:textId="77777777" w:rsidTr="00452A6C">
        <w:trPr>
          <w:trHeight w:val="290"/>
        </w:trPr>
        <w:tc>
          <w:tcPr>
            <w:tcW w:w="30" w:type="dxa"/>
            <w:tcBorders>
              <w:top w:val="nil"/>
              <w:left w:val="single" w:sz="8" w:space="0" w:color="auto"/>
              <w:bottom w:val="nil"/>
              <w:right w:val="nil"/>
            </w:tcBorders>
            <w:vAlign w:val="bottom"/>
          </w:tcPr>
          <w:p w14:paraId="1BADD1CC"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center"/>
            <w:hideMark/>
          </w:tcPr>
          <w:p w14:paraId="1BADD1CD" w14:textId="77777777" w:rsidR="00FE1429" w:rsidRPr="00551729" w:rsidRDefault="00FE1429" w:rsidP="00C662EF">
            <w:pPr>
              <w:widowControl w:val="0"/>
              <w:autoSpaceDE w:val="0"/>
              <w:autoSpaceDN w:val="0"/>
              <w:adjustRightInd w:val="0"/>
              <w:spacing w:after="0" w:line="252" w:lineRule="exact"/>
              <w:ind w:left="40"/>
              <w:jc w:val="center"/>
              <w:rPr>
                <w:rFonts w:ascii="Garamond" w:hAnsi="Garamond"/>
                <w:sz w:val="20"/>
                <w:szCs w:val="20"/>
              </w:rPr>
            </w:pPr>
          </w:p>
        </w:tc>
        <w:tc>
          <w:tcPr>
            <w:tcW w:w="1860" w:type="dxa"/>
            <w:vMerge/>
            <w:vAlign w:val="center"/>
          </w:tcPr>
          <w:p w14:paraId="1BADD1CE"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0" w:type="dxa"/>
            <w:tcBorders>
              <w:top w:val="nil"/>
              <w:left w:val="nil"/>
              <w:bottom w:val="nil"/>
              <w:right w:val="single" w:sz="8" w:space="0" w:color="auto"/>
            </w:tcBorders>
            <w:vAlign w:val="center"/>
          </w:tcPr>
          <w:p w14:paraId="1BADD1CF"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290" w:type="dxa"/>
            <w:vMerge/>
            <w:tcBorders>
              <w:left w:val="nil"/>
              <w:right w:val="single" w:sz="8" w:space="0" w:color="auto"/>
            </w:tcBorders>
            <w:vAlign w:val="center"/>
          </w:tcPr>
          <w:p w14:paraId="1BADD1D0"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790" w:type="dxa"/>
            <w:vMerge/>
            <w:tcBorders>
              <w:left w:val="nil"/>
              <w:right w:val="single" w:sz="8" w:space="0" w:color="auto"/>
            </w:tcBorders>
            <w:vAlign w:val="center"/>
          </w:tcPr>
          <w:p w14:paraId="1BADD1D1"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80" w:type="dxa"/>
            <w:vMerge/>
            <w:tcBorders>
              <w:left w:val="nil"/>
              <w:right w:val="single" w:sz="8" w:space="0" w:color="auto"/>
            </w:tcBorders>
            <w:vAlign w:val="center"/>
            <w:hideMark/>
          </w:tcPr>
          <w:p w14:paraId="1BADD1D2"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40" w:type="dxa"/>
            <w:vAlign w:val="center"/>
          </w:tcPr>
          <w:p w14:paraId="1BADD1D3"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50" w:type="dxa"/>
            <w:vMerge/>
            <w:tcBorders>
              <w:left w:val="nil"/>
              <w:right w:val="single" w:sz="8" w:space="0" w:color="auto"/>
            </w:tcBorders>
            <w:vAlign w:val="center"/>
            <w:hideMark/>
          </w:tcPr>
          <w:p w14:paraId="1BADD1D4" w14:textId="50754BDA" w:rsidR="00FE1429" w:rsidRPr="00551729" w:rsidRDefault="00FE1429" w:rsidP="00C662EF">
            <w:pPr>
              <w:widowControl w:val="0"/>
              <w:autoSpaceDE w:val="0"/>
              <w:autoSpaceDN w:val="0"/>
              <w:adjustRightInd w:val="0"/>
              <w:spacing w:after="0" w:line="252" w:lineRule="exact"/>
              <w:ind w:left="20"/>
              <w:jc w:val="center"/>
              <w:rPr>
                <w:rFonts w:ascii="Garamond" w:hAnsi="Garamond"/>
                <w:sz w:val="20"/>
                <w:szCs w:val="20"/>
              </w:rPr>
            </w:pPr>
          </w:p>
        </w:tc>
        <w:tc>
          <w:tcPr>
            <w:tcW w:w="2010" w:type="dxa"/>
            <w:vMerge/>
            <w:vAlign w:val="center"/>
            <w:hideMark/>
          </w:tcPr>
          <w:p w14:paraId="1BADD1D5" w14:textId="5E312F6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40" w:type="dxa"/>
            <w:tcBorders>
              <w:top w:val="nil"/>
              <w:left w:val="nil"/>
              <w:bottom w:val="nil"/>
              <w:right w:val="single" w:sz="8" w:space="0" w:color="auto"/>
            </w:tcBorders>
            <w:vAlign w:val="bottom"/>
          </w:tcPr>
          <w:p w14:paraId="1BADD1D6"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1E3" w14:textId="77777777" w:rsidTr="00452A6C">
        <w:trPr>
          <w:trHeight w:val="293"/>
        </w:trPr>
        <w:tc>
          <w:tcPr>
            <w:tcW w:w="30" w:type="dxa"/>
            <w:tcBorders>
              <w:top w:val="nil"/>
              <w:left w:val="single" w:sz="8" w:space="0" w:color="auto"/>
              <w:bottom w:val="nil"/>
              <w:right w:val="nil"/>
            </w:tcBorders>
            <w:vAlign w:val="bottom"/>
          </w:tcPr>
          <w:p w14:paraId="1BADD1D8"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center"/>
          </w:tcPr>
          <w:p w14:paraId="1BADD1D9"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60" w:type="dxa"/>
            <w:vMerge/>
            <w:vAlign w:val="center"/>
          </w:tcPr>
          <w:p w14:paraId="1BADD1DA"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0" w:type="dxa"/>
            <w:tcBorders>
              <w:top w:val="nil"/>
              <w:left w:val="nil"/>
              <w:bottom w:val="nil"/>
              <w:right w:val="single" w:sz="8" w:space="0" w:color="auto"/>
            </w:tcBorders>
            <w:vAlign w:val="center"/>
          </w:tcPr>
          <w:p w14:paraId="1BADD1DB"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290" w:type="dxa"/>
            <w:vMerge/>
            <w:tcBorders>
              <w:left w:val="nil"/>
              <w:right w:val="single" w:sz="8" w:space="0" w:color="auto"/>
            </w:tcBorders>
            <w:vAlign w:val="center"/>
          </w:tcPr>
          <w:p w14:paraId="1BADD1DC"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790" w:type="dxa"/>
            <w:vMerge/>
            <w:tcBorders>
              <w:left w:val="nil"/>
              <w:right w:val="single" w:sz="8" w:space="0" w:color="auto"/>
            </w:tcBorders>
            <w:vAlign w:val="center"/>
          </w:tcPr>
          <w:p w14:paraId="1BADD1DD"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80" w:type="dxa"/>
            <w:vMerge/>
            <w:tcBorders>
              <w:left w:val="nil"/>
              <w:right w:val="single" w:sz="8" w:space="0" w:color="auto"/>
            </w:tcBorders>
            <w:vAlign w:val="center"/>
            <w:hideMark/>
          </w:tcPr>
          <w:p w14:paraId="1BADD1DE"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40" w:type="dxa"/>
            <w:vAlign w:val="center"/>
          </w:tcPr>
          <w:p w14:paraId="1BADD1DF"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50" w:type="dxa"/>
            <w:vMerge/>
            <w:tcBorders>
              <w:left w:val="nil"/>
              <w:right w:val="single" w:sz="8" w:space="0" w:color="auto"/>
            </w:tcBorders>
            <w:vAlign w:val="center"/>
          </w:tcPr>
          <w:p w14:paraId="1BADD1E0"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10" w:type="dxa"/>
            <w:vMerge/>
            <w:vAlign w:val="center"/>
          </w:tcPr>
          <w:p w14:paraId="1BADD1E1"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40" w:type="dxa"/>
            <w:tcBorders>
              <w:top w:val="nil"/>
              <w:left w:val="nil"/>
              <w:bottom w:val="nil"/>
              <w:right w:val="single" w:sz="8" w:space="0" w:color="auto"/>
            </w:tcBorders>
            <w:vAlign w:val="bottom"/>
          </w:tcPr>
          <w:p w14:paraId="1BADD1E2"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1EF" w14:textId="77777777" w:rsidTr="00452A6C">
        <w:trPr>
          <w:trHeight w:val="290"/>
        </w:trPr>
        <w:tc>
          <w:tcPr>
            <w:tcW w:w="30" w:type="dxa"/>
            <w:tcBorders>
              <w:top w:val="nil"/>
              <w:left w:val="single" w:sz="8" w:space="0" w:color="auto"/>
              <w:bottom w:val="nil"/>
              <w:right w:val="nil"/>
            </w:tcBorders>
            <w:vAlign w:val="bottom"/>
          </w:tcPr>
          <w:p w14:paraId="1BADD1E4"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center"/>
          </w:tcPr>
          <w:p w14:paraId="1BADD1E5"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60" w:type="dxa"/>
            <w:vMerge/>
            <w:vAlign w:val="center"/>
          </w:tcPr>
          <w:p w14:paraId="1BADD1E6"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0" w:type="dxa"/>
            <w:tcBorders>
              <w:top w:val="nil"/>
              <w:left w:val="nil"/>
              <w:bottom w:val="nil"/>
              <w:right w:val="single" w:sz="8" w:space="0" w:color="auto"/>
            </w:tcBorders>
            <w:vAlign w:val="center"/>
          </w:tcPr>
          <w:p w14:paraId="1BADD1E7"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290" w:type="dxa"/>
            <w:vMerge/>
            <w:tcBorders>
              <w:left w:val="nil"/>
              <w:right w:val="single" w:sz="8" w:space="0" w:color="auto"/>
            </w:tcBorders>
            <w:vAlign w:val="center"/>
          </w:tcPr>
          <w:p w14:paraId="1BADD1E8"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790" w:type="dxa"/>
            <w:vMerge/>
            <w:tcBorders>
              <w:left w:val="nil"/>
              <w:right w:val="single" w:sz="8" w:space="0" w:color="auto"/>
            </w:tcBorders>
            <w:vAlign w:val="center"/>
          </w:tcPr>
          <w:p w14:paraId="1BADD1E9"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80" w:type="dxa"/>
            <w:vMerge/>
            <w:tcBorders>
              <w:left w:val="nil"/>
              <w:right w:val="single" w:sz="8" w:space="0" w:color="auto"/>
            </w:tcBorders>
            <w:vAlign w:val="center"/>
            <w:hideMark/>
          </w:tcPr>
          <w:p w14:paraId="1BADD1EA"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40" w:type="dxa"/>
            <w:vAlign w:val="center"/>
          </w:tcPr>
          <w:p w14:paraId="1BADD1EB"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50" w:type="dxa"/>
            <w:vMerge/>
            <w:tcBorders>
              <w:left w:val="nil"/>
              <w:right w:val="single" w:sz="8" w:space="0" w:color="auto"/>
            </w:tcBorders>
            <w:vAlign w:val="center"/>
          </w:tcPr>
          <w:p w14:paraId="1BADD1EC"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10" w:type="dxa"/>
            <w:vMerge/>
            <w:vAlign w:val="center"/>
          </w:tcPr>
          <w:p w14:paraId="1BADD1ED"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40" w:type="dxa"/>
            <w:tcBorders>
              <w:top w:val="nil"/>
              <w:left w:val="nil"/>
              <w:bottom w:val="nil"/>
              <w:right w:val="single" w:sz="8" w:space="0" w:color="auto"/>
            </w:tcBorders>
            <w:vAlign w:val="bottom"/>
          </w:tcPr>
          <w:p w14:paraId="1BADD1EE"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1FB" w14:textId="77777777" w:rsidTr="00452A6C">
        <w:trPr>
          <w:trHeight w:val="290"/>
        </w:trPr>
        <w:tc>
          <w:tcPr>
            <w:tcW w:w="30" w:type="dxa"/>
            <w:tcBorders>
              <w:top w:val="nil"/>
              <w:left w:val="single" w:sz="8" w:space="0" w:color="auto"/>
              <w:bottom w:val="nil"/>
              <w:right w:val="nil"/>
            </w:tcBorders>
            <w:vAlign w:val="bottom"/>
          </w:tcPr>
          <w:p w14:paraId="1BADD1F0"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center"/>
          </w:tcPr>
          <w:p w14:paraId="1BADD1F1"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60" w:type="dxa"/>
            <w:vMerge/>
            <w:vAlign w:val="center"/>
          </w:tcPr>
          <w:p w14:paraId="1BADD1F2"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0" w:type="dxa"/>
            <w:tcBorders>
              <w:top w:val="nil"/>
              <w:left w:val="nil"/>
              <w:bottom w:val="nil"/>
              <w:right w:val="single" w:sz="8" w:space="0" w:color="auto"/>
            </w:tcBorders>
            <w:vAlign w:val="center"/>
          </w:tcPr>
          <w:p w14:paraId="1BADD1F3"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290" w:type="dxa"/>
            <w:vMerge/>
            <w:tcBorders>
              <w:left w:val="nil"/>
              <w:right w:val="single" w:sz="8" w:space="0" w:color="auto"/>
            </w:tcBorders>
            <w:vAlign w:val="center"/>
          </w:tcPr>
          <w:p w14:paraId="1BADD1F4"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1790" w:type="dxa"/>
            <w:vMerge/>
            <w:tcBorders>
              <w:left w:val="nil"/>
              <w:right w:val="single" w:sz="8" w:space="0" w:color="auto"/>
            </w:tcBorders>
            <w:vAlign w:val="center"/>
          </w:tcPr>
          <w:p w14:paraId="1BADD1F5"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80" w:type="dxa"/>
            <w:vMerge/>
            <w:tcBorders>
              <w:left w:val="nil"/>
              <w:right w:val="single" w:sz="8" w:space="0" w:color="auto"/>
            </w:tcBorders>
            <w:vAlign w:val="center"/>
            <w:hideMark/>
          </w:tcPr>
          <w:p w14:paraId="1BADD1F6" w14:textId="77777777" w:rsidR="00FE1429" w:rsidRPr="00551729" w:rsidRDefault="00FE1429" w:rsidP="00C662EF">
            <w:pPr>
              <w:widowControl w:val="0"/>
              <w:autoSpaceDE w:val="0"/>
              <w:autoSpaceDN w:val="0"/>
              <w:adjustRightInd w:val="0"/>
              <w:spacing w:after="0" w:line="252" w:lineRule="exact"/>
              <w:ind w:left="100"/>
              <w:jc w:val="center"/>
              <w:rPr>
                <w:rFonts w:ascii="Garamond" w:hAnsi="Garamond"/>
                <w:sz w:val="20"/>
                <w:szCs w:val="20"/>
              </w:rPr>
            </w:pPr>
          </w:p>
        </w:tc>
        <w:tc>
          <w:tcPr>
            <w:tcW w:w="40" w:type="dxa"/>
            <w:vAlign w:val="center"/>
          </w:tcPr>
          <w:p w14:paraId="1BADD1F7"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850" w:type="dxa"/>
            <w:vMerge/>
            <w:tcBorders>
              <w:left w:val="nil"/>
              <w:right w:val="single" w:sz="8" w:space="0" w:color="auto"/>
            </w:tcBorders>
            <w:vAlign w:val="center"/>
          </w:tcPr>
          <w:p w14:paraId="1BADD1F8"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2010" w:type="dxa"/>
            <w:vMerge/>
            <w:vAlign w:val="center"/>
          </w:tcPr>
          <w:p w14:paraId="1BADD1F9" w14:textId="77777777" w:rsidR="00FE1429" w:rsidRPr="00551729" w:rsidRDefault="00FE1429" w:rsidP="00C662EF">
            <w:pPr>
              <w:widowControl w:val="0"/>
              <w:autoSpaceDE w:val="0"/>
              <w:autoSpaceDN w:val="0"/>
              <w:adjustRightInd w:val="0"/>
              <w:spacing w:after="0" w:line="240" w:lineRule="auto"/>
              <w:jc w:val="center"/>
              <w:rPr>
                <w:rFonts w:ascii="Garamond" w:hAnsi="Garamond"/>
                <w:sz w:val="20"/>
                <w:szCs w:val="20"/>
              </w:rPr>
            </w:pPr>
          </w:p>
        </w:tc>
        <w:tc>
          <w:tcPr>
            <w:tcW w:w="140" w:type="dxa"/>
            <w:tcBorders>
              <w:top w:val="nil"/>
              <w:left w:val="nil"/>
              <w:bottom w:val="nil"/>
              <w:right w:val="single" w:sz="8" w:space="0" w:color="auto"/>
            </w:tcBorders>
            <w:vAlign w:val="bottom"/>
          </w:tcPr>
          <w:p w14:paraId="1BADD1FA"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207" w14:textId="77777777" w:rsidTr="00452A6C">
        <w:trPr>
          <w:trHeight w:val="290"/>
        </w:trPr>
        <w:tc>
          <w:tcPr>
            <w:tcW w:w="30" w:type="dxa"/>
            <w:tcBorders>
              <w:top w:val="nil"/>
              <w:left w:val="single" w:sz="8" w:space="0" w:color="auto"/>
              <w:bottom w:val="nil"/>
              <w:right w:val="nil"/>
            </w:tcBorders>
            <w:vAlign w:val="bottom"/>
          </w:tcPr>
          <w:p w14:paraId="1BADD1FC"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bottom"/>
          </w:tcPr>
          <w:p w14:paraId="1BADD1FD"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60" w:type="dxa"/>
            <w:vMerge/>
            <w:vAlign w:val="bottom"/>
          </w:tcPr>
          <w:p w14:paraId="1BADD1FE"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1FF"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290" w:type="dxa"/>
            <w:vMerge/>
            <w:tcBorders>
              <w:left w:val="nil"/>
              <w:right w:val="single" w:sz="8" w:space="0" w:color="auto"/>
            </w:tcBorders>
            <w:vAlign w:val="bottom"/>
          </w:tcPr>
          <w:p w14:paraId="1BADD200" w14:textId="77777777" w:rsidR="00FE1429" w:rsidRPr="00551729" w:rsidRDefault="00FE1429" w:rsidP="00C521D5">
            <w:pPr>
              <w:widowControl w:val="0"/>
              <w:autoSpaceDE w:val="0"/>
              <w:autoSpaceDN w:val="0"/>
              <w:adjustRightInd w:val="0"/>
              <w:spacing w:after="0" w:line="252" w:lineRule="exact"/>
              <w:ind w:left="100"/>
              <w:rPr>
                <w:rFonts w:ascii="Garamond" w:hAnsi="Garamond"/>
                <w:sz w:val="20"/>
                <w:szCs w:val="20"/>
              </w:rPr>
            </w:pPr>
          </w:p>
        </w:tc>
        <w:tc>
          <w:tcPr>
            <w:tcW w:w="1790" w:type="dxa"/>
            <w:vMerge/>
            <w:tcBorders>
              <w:left w:val="nil"/>
              <w:right w:val="single" w:sz="8" w:space="0" w:color="auto"/>
            </w:tcBorders>
            <w:vAlign w:val="bottom"/>
          </w:tcPr>
          <w:p w14:paraId="1BADD201"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80" w:type="dxa"/>
            <w:vMerge/>
            <w:tcBorders>
              <w:left w:val="nil"/>
              <w:right w:val="single" w:sz="8" w:space="0" w:color="auto"/>
            </w:tcBorders>
            <w:hideMark/>
          </w:tcPr>
          <w:p w14:paraId="1BADD202" w14:textId="77777777" w:rsidR="00FE1429" w:rsidRPr="00551729" w:rsidRDefault="00FE1429" w:rsidP="00C521D5">
            <w:pPr>
              <w:widowControl w:val="0"/>
              <w:autoSpaceDE w:val="0"/>
              <w:autoSpaceDN w:val="0"/>
              <w:adjustRightInd w:val="0"/>
              <w:spacing w:after="0" w:line="252" w:lineRule="exact"/>
              <w:ind w:left="100"/>
              <w:rPr>
                <w:rFonts w:ascii="Garamond" w:hAnsi="Garamond"/>
                <w:sz w:val="20"/>
                <w:szCs w:val="20"/>
              </w:rPr>
            </w:pPr>
          </w:p>
        </w:tc>
        <w:tc>
          <w:tcPr>
            <w:tcW w:w="40" w:type="dxa"/>
            <w:vAlign w:val="bottom"/>
          </w:tcPr>
          <w:p w14:paraId="1BADD203"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50" w:type="dxa"/>
            <w:vMerge/>
            <w:tcBorders>
              <w:left w:val="nil"/>
              <w:right w:val="single" w:sz="8" w:space="0" w:color="auto"/>
            </w:tcBorders>
            <w:vAlign w:val="bottom"/>
          </w:tcPr>
          <w:p w14:paraId="1BADD204"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10" w:type="dxa"/>
            <w:vMerge/>
            <w:vAlign w:val="bottom"/>
          </w:tcPr>
          <w:p w14:paraId="1BADD205"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06"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213" w14:textId="77777777" w:rsidTr="00452A6C">
        <w:trPr>
          <w:trHeight w:val="293"/>
        </w:trPr>
        <w:tc>
          <w:tcPr>
            <w:tcW w:w="30" w:type="dxa"/>
            <w:tcBorders>
              <w:top w:val="nil"/>
              <w:left w:val="single" w:sz="8" w:space="0" w:color="auto"/>
              <w:bottom w:val="nil"/>
              <w:right w:val="nil"/>
            </w:tcBorders>
            <w:vAlign w:val="bottom"/>
          </w:tcPr>
          <w:p w14:paraId="1BADD208"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bottom"/>
          </w:tcPr>
          <w:p w14:paraId="1BADD209"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60" w:type="dxa"/>
            <w:vMerge/>
            <w:vAlign w:val="bottom"/>
          </w:tcPr>
          <w:p w14:paraId="1BADD20A"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0B"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290" w:type="dxa"/>
            <w:vMerge/>
            <w:tcBorders>
              <w:left w:val="nil"/>
              <w:right w:val="single" w:sz="8" w:space="0" w:color="auto"/>
            </w:tcBorders>
            <w:vAlign w:val="bottom"/>
          </w:tcPr>
          <w:p w14:paraId="1BADD20C" w14:textId="77777777" w:rsidR="00FE1429" w:rsidRPr="00551729" w:rsidRDefault="00FE1429" w:rsidP="00C521D5">
            <w:pPr>
              <w:widowControl w:val="0"/>
              <w:autoSpaceDE w:val="0"/>
              <w:autoSpaceDN w:val="0"/>
              <w:adjustRightInd w:val="0"/>
              <w:spacing w:after="0" w:line="252" w:lineRule="exact"/>
              <w:ind w:left="100"/>
              <w:rPr>
                <w:rFonts w:ascii="Garamond" w:hAnsi="Garamond"/>
                <w:sz w:val="20"/>
                <w:szCs w:val="20"/>
              </w:rPr>
            </w:pPr>
          </w:p>
        </w:tc>
        <w:tc>
          <w:tcPr>
            <w:tcW w:w="1790" w:type="dxa"/>
            <w:vMerge/>
            <w:tcBorders>
              <w:left w:val="nil"/>
              <w:right w:val="single" w:sz="8" w:space="0" w:color="auto"/>
            </w:tcBorders>
            <w:vAlign w:val="bottom"/>
          </w:tcPr>
          <w:p w14:paraId="1BADD20D"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80" w:type="dxa"/>
            <w:vMerge/>
            <w:tcBorders>
              <w:left w:val="nil"/>
              <w:right w:val="single" w:sz="8" w:space="0" w:color="auto"/>
            </w:tcBorders>
          </w:tcPr>
          <w:p w14:paraId="1BADD20E"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40" w:type="dxa"/>
            <w:vAlign w:val="bottom"/>
          </w:tcPr>
          <w:p w14:paraId="1BADD20F"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50" w:type="dxa"/>
            <w:vMerge/>
            <w:tcBorders>
              <w:left w:val="nil"/>
              <w:right w:val="single" w:sz="8" w:space="0" w:color="auto"/>
            </w:tcBorders>
            <w:vAlign w:val="bottom"/>
          </w:tcPr>
          <w:p w14:paraId="1BADD210"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10" w:type="dxa"/>
            <w:vMerge/>
            <w:vAlign w:val="bottom"/>
          </w:tcPr>
          <w:p w14:paraId="1BADD211"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12"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21F" w14:textId="77777777" w:rsidTr="00452A6C">
        <w:trPr>
          <w:trHeight w:val="290"/>
        </w:trPr>
        <w:tc>
          <w:tcPr>
            <w:tcW w:w="30" w:type="dxa"/>
            <w:tcBorders>
              <w:top w:val="nil"/>
              <w:left w:val="single" w:sz="8" w:space="0" w:color="auto"/>
              <w:bottom w:val="nil"/>
              <w:right w:val="nil"/>
            </w:tcBorders>
            <w:vAlign w:val="bottom"/>
          </w:tcPr>
          <w:p w14:paraId="1BADD214"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right w:val="single" w:sz="8" w:space="0" w:color="auto"/>
            </w:tcBorders>
            <w:vAlign w:val="bottom"/>
          </w:tcPr>
          <w:p w14:paraId="1BADD215"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60" w:type="dxa"/>
            <w:vMerge/>
            <w:vAlign w:val="bottom"/>
          </w:tcPr>
          <w:p w14:paraId="1BADD216"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17"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290" w:type="dxa"/>
            <w:vMerge/>
            <w:tcBorders>
              <w:left w:val="nil"/>
              <w:right w:val="single" w:sz="8" w:space="0" w:color="auto"/>
            </w:tcBorders>
            <w:vAlign w:val="bottom"/>
          </w:tcPr>
          <w:p w14:paraId="1BADD218" w14:textId="77777777" w:rsidR="00FE1429" w:rsidRPr="00551729" w:rsidRDefault="00FE1429" w:rsidP="00C521D5">
            <w:pPr>
              <w:widowControl w:val="0"/>
              <w:autoSpaceDE w:val="0"/>
              <w:autoSpaceDN w:val="0"/>
              <w:adjustRightInd w:val="0"/>
              <w:spacing w:after="0" w:line="252" w:lineRule="exact"/>
              <w:ind w:left="100"/>
              <w:rPr>
                <w:rFonts w:ascii="Garamond" w:hAnsi="Garamond"/>
                <w:sz w:val="20"/>
                <w:szCs w:val="20"/>
              </w:rPr>
            </w:pPr>
          </w:p>
        </w:tc>
        <w:tc>
          <w:tcPr>
            <w:tcW w:w="1790" w:type="dxa"/>
            <w:vMerge/>
            <w:tcBorders>
              <w:left w:val="nil"/>
              <w:bottom w:val="nil"/>
              <w:right w:val="single" w:sz="8" w:space="0" w:color="auto"/>
            </w:tcBorders>
            <w:vAlign w:val="bottom"/>
          </w:tcPr>
          <w:p w14:paraId="1BADD219"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80" w:type="dxa"/>
            <w:vMerge/>
            <w:tcBorders>
              <w:left w:val="nil"/>
              <w:right w:val="single" w:sz="8" w:space="0" w:color="auto"/>
            </w:tcBorders>
          </w:tcPr>
          <w:p w14:paraId="1BADD21A"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40" w:type="dxa"/>
            <w:vAlign w:val="bottom"/>
          </w:tcPr>
          <w:p w14:paraId="1BADD21B"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50" w:type="dxa"/>
            <w:vMerge/>
            <w:tcBorders>
              <w:left w:val="nil"/>
              <w:bottom w:val="nil"/>
              <w:right w:val="single" w:sz="8" w:space="0" w:color="auto"/>
            </w:tcBorders>
            <w:vAlign w:val="bottom"/>
          </w:tcPr>
          <w:p w14:paraId="1BADD21C"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10" w:type="dxa"/>
            <w:vMerge/>
            <w:vAlign w:val="bottom"/>
          </w:tcPr>
          <w:p w14:paraId="1BADD21D"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1E"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FE1429" w:rsidRPr="00551729" w14:paraId="1BADD22B" w14:textId="77777777" w:rsidTr="00FE1429">
        <w:trPr>
          <w:trHeight w:val="66"/>
        </w:trPr>
        <w:tc>
          <w:tcPr>
            <w:tcW w:w="30" w:type="dxa"/>
            <w:tcBorders>
              <w:top w:val="nil"/>
              <w:left w:val="single" w:sz="8" w:space="0" w:color="auto"/>
              <w:bottom w:val="single" w:sz="8" w:space="0" w:color="auto"/>
              <w:right w:val="nil"/>
            </w:tcBorders>
            <w:vAlign w:val="bottom"/>
          </w:tcPr>
          <w:p w14:paraId="1BADD220"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980" w:type="dxa"/>
            <w:vMerge/>
            <w:tcBorders>
              <w:left w:val="nil"/>
              <w:bottom w:val="single" w:sz="8" w:space="0" w:color="auto"/>
              <w:right w:val="single" w:sz="8" w:space="0" w:color="auto"/>
            </w:tcBorders>
            <w:vAlign w:val="bottom"/>
          </w:tcPr>
          <w:p w14:paraId="1BADD221"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60" w:type="dxa"/>
            <w:tcBorders>
              <w:top w:val="nil"/>
              <w:left w:val="nil"/>
              <w:bottom w:val="single" w:sz="8" w:space="0" w:color="auto"/>
              <w:right w:val="nil"/>
            </w:tcBorders>
            <w:vAlign w:val="bottom"/>
          </w:tcPr>
          <w:p w14:paraId="1BADD222"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single" w:sz="8" w:space="0" w:color="auto"/>
              <w:right w:val="single" w:sz="8" w:space="0" w:color="auto"/>
            </w:tcBorders>
            <w:vAlign w:val="bottom"/>
          </w:tcPr>
          <w:p w14:paraId="1BADD223"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290" w:type="dxa"/>
            <w:vMerge/>
            <w:tcBorders>
              <w:left w:val="nil"/>
              <w:bottom w:val="single" w:sz="8" w:space="0" w:color="auto"/>
              <w:right w:val="single" w:sz="8" w:space="0" w:color="auto"/>
            </w:tcBorders>
            <w:vAlign w:val="bottom"/>
          </w:tcPr>
          <w:p w14:paraId="1BADD224"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790" w:type="dxa"/>
            <w:tcBorders>
              <w:top w:val="nil"/>
              <w:left w:val="nil"/>
              <w:bottom w:val="single" w:sz="8" w:space="0" w:color="auto"/>
              <w:right w:val="single" w:sz="8" w:space="0" w:color="auto"/>
            </w:tcBorders>
            <w:vAlign w:val="bottom"/>
          </w:tcPr>
          <w:p w14:paraId="1BADD225"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80" w:type="dxa"/>
            <w:vMerge/>
            <w:tcBorders>
              <w:left w:val="nil"/>
              <w:bottom w:val="single" w:sz="8" w:space="0" w:color="auto"/>
              <w:right w:val="single" w:sz="8" w:space="0" w:color="auto"/>
            </w:tcBorders>
          </w:tcPr>
          <w:p w14:paraId="1BADD226"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40" w:type="dxa"/>
            <w:tcBorders>
              <w:top w:val="nil"/>
              <w:left w:val="nil"/>
              <w:bottom w:val="single" w:sz="8" w:space="0" w:color="auto"/>
              <w:right w:val="nil"/>
            </w:tcBorders>
            <w:vAlign w:val="bottom"/>
          </w:tcPr>
          <w:p w14:paraId="1BADD227"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single" w:sz="8" w:space="0" w:color="auto"/>
              <w:right w:val="single" w:sz="8" w:space="0" w:color="auto"/>
            </w:tcBorders>
            <w:vAlign w:val="bottom"/>
          </w:tcPr>
          <w:p w14:paraId="1BADD228"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2010" w:type="dxa"/>
            <w:vMerge/>
            <w:tcBorders>
              <w:left w:val="nil"/>
              <w:bottom w:val="single" w:sz="8" w:space="0" w:color="auto"/>
              <w:right w:val="nil"/>
            </w:tcBorders>
            <w:vAlign w:val="bottom"/>
          </w:tcPr>
          <w:p w14:paraId="1BADD229"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single" w:sz="8" w:space="0" w:color="auto"/>
              <w:right w:val="single" w:sz="8" w:space="0" w:color="auto"/>
            </w:tcBorders>
            <w:vAlign w:val="bottom"/>
          </w:tcPr>
          <w:p w14:paraId="1BADD22A" w14:textId="77777777" w:rsidR="00FE1429" w:rsidRPr="00551729" w:rsidRDefault="00FE1429"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37" w14:textId="77777777" w:rsidTr="00FE1429">
        <w:trPr>
          <w:trHeight w:val="235"/>
        </w:trPr>
        <w:tc>
          <w:tcPr>
            <w:tcW w:w="30" w:type="dxa"/>
            <w:tcBorders>
              <w:top w:val="nil"/>
              <w:left w:val="single" w:sz="8" w:space="0" w:color="auto"/>
              <w:bottom w:val="nil"/>
              <w:right w:val="nil"/>
            </w:tcBorders>
            <w:vAlign w:val="bottom"/>
          </w:tcPr>
          <w:p w14:paraId="1BADD22C"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hideMark/>
          </w:tcPr>
          <w:p w14:paraId="1BADD22D" w14:textId="77777777" w:rsidR="0088147A" w:rsidRPr="00551729" w:rsidRDefault="0088147A" w:rsidP="00C521D5">
            <w:pPr>
              <w:widowControl w:val="0"/>
              <w:autoSpaceDE w:val="0"/>
              <w:autoSpaceDN w:val="0"/>
              <w:adjustRightInd w:val="0"/>
              <w:spacing w:after="0" w:line="234" w:lineRule="exact"/>
              <w:ind w:left="40"/>
              <w:rPr>
                <w:rFonts w:ascii="Garamond" w:hAnsi="Garamond"/>
                <w:sz w:val="20"/>
                <w:szCs w:val="20"/>
              </w:rPr>
            </w:pPr>
            <w:r w:rsidRPr="00551729">
              <w:rPr>
                <w:rFonts w:ascii="Garamond" w:hAnsi="Garamond"/>
                <w:i/>
                <w:iCs/>
                <w:sz w:val="20"/>
                <w:szCs w:val="20"/>
              </w:rPr>
              <w:t>[2014 Programi i</w:t>
            </w:r>
          </w:p>
        </w:tc>
        <w:tc>
          <w:tcPr>
            <w:tcW w:w="1860" w:type="dxa"/>
            <w:vAlign w:val="bottom"/>
            <w:hideMark/>
          </w:tcPr>
          <w:p w14:paraId="1BADD22E" w14:textId="77777777" w:rsidR="0088147A" w:rsidRPr="00551729" w:rsidRDefault="0088147A" w:rsidP="00C521D5">
            <w:pPr>
              <w:widowControl w:val="0"/>
              <w:autoSpaceDE w:val="0"/>
              <w:autoSpaceDN w:val="0"/>
              <w:adjustRightInd w:val="0"/>
              <w:spacing w:after="0" w:line="234" w:lineRule="exact"/>
              <w:ind w:left="100"/>
              <w:rPr>
                <w:rFonts w:ascii="Garamond" w:hAnsi="Garamond"/>
                <w:sz w:val="20"/>
                <w:szCs w:val="20"/>
              </w:rPr>
            </w:pPr>
            <w:r w:rsidRPr="00551729">
              <w:rPr>
                <w:rFonts w:ascii="Garamond" w:hAnsi="Garamond"/>
                <w:i/>
                <w:iCs/>
                <w:w w:val="99"/>
                <w:sz w:val="20"/>
                <w:szCs w:val="20"/>
              </w:rPr>
              <w:t>Elektrifikimi i linjës</w:t>
            </w:r>
          </w:p>
        </w:tc>
        <w:tc>
          <w:tcPr>
            <w:tcW w:w="180" w:type="dxa"/>
            <w:tcBorders>
              <w:top w:val="nil"/>
              <w:left w:val="nil"/>
              <w:bottom w:val="nil"/>
              <w:right w:val="single" w:sz="8" w:space="0" w:color="auto"/>
            </w:tcBorders>
            <w:vAlign w:val="bottom"/>
          </w:tcPr>
          <w:p w14:paraId="1BADD22F"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30" w14:textId="77777777" w:rsidR="0088147A" w:rsidRPr="00551729" w:rsidRDefault="0088147A" w:rsidP="00C521D5">
            <w:pPr>
              <w:widowControl w:val="0"/>
              <w:autoSpaceDE w:val="0"/>
              <w:autoSpaceDN w:val="0"/>
              <w:adjustRightInd w:val="0"/>
              <w:spacing w:after="0" w:line="234" w:lineRule="exact"/>
              <w:ind w:left="100"/>
              <w:rPr>
                <w:rFonts w:ascii="Garamond" w:hAnsi="Garamond"/>
                <w:sz w:val="20"/>
                <w:szCs w:val="20"/>
              </w:rPr>
            </w:pPr>
            <w:r w:rsidRPr="00551729">
              <w:rPr>
                <w:rFonts w:ascii="Garamond" w:hAnsi="Garamond"/>
                <w:i/>
                <w:iCs/>
                <w:sz w:val="20"/>
                <w:szCs w:val="20"/>
              </w:rPr>
              <w:t>P.sh., Kontratë</w:t>
            </w:r>
          </w:p>
        </w:tc>
        <w:tc>
          <w:tcPr>
            <w:tcW w:w="1790" w:type="dxa"/>
            <w:tcBorders>
              <w:top w:val="nil"/>
              <w:left w:val="nil"/>
              <w:bottom w:val="nil"/>
              <w:right w:val="single" w:sz="8" w:space="0" w:color="auto"/>
            </w:tcBorders>
            <w:vAlign w:val="bottom"/>
          </w:tcPr>
          <w:p w14:paraId="1BADD23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32" w14:textId="77777777" w:rsidR="0088147A" w:rsidRPr="00551729" w:rsidRDefault="0088147A" w:rsidP="00C521D5">
            <w:pPr>
              <w:widowControl w:val="0"/>
              <w:autoSpaceDE w:val="0"/>
              <w:autoSpaceDN w:val="0"/>
              <w:adjustRightInd w:val="0"/>
              <w:spacing w:after="0" w:line="234" w:lineRule="exact"/>
              <w:ind w:left="100"/>
              <w:rPr>
                <w:rFonts w:ascii="Garamond" w:hAnsi="Garamond"/>
                <w:sz w:val="20"/>
                <w:szCs w:val="20"/>
              </w:rPr>
            </w:pPr>
            <w:r w:rsidRPr="00551729">
              <w:rPr>
                <w:rFonts w:ascii="Garamond" w:hAnsi="Garamond"/>
                <w:i/>
                <w:iCs/>
                <w:sz w:val="20"/>
                <w:szCs w:val="20"/>
              </w:rPr>
              <w:t>P.sh., Kontrata e</w:t>
            </w:r>
          </w:p>
        </w:tc>
        <w:tc>
          <w:tcPr>
            <w:tcW w:w="40" w:type="dxa"/>
            <w:vAlign w:val="bottom"/>
          </w:tcPr>
          <w:p w14:paraId="1BADD233"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hideMark/>
          </w:tcPr>
          <w:p w14:paraId="1BADD234" w14:textId="77777777" w:rsidR="0088147A" w:rsidRPr="00551729" w:rsidRDefault="0088147A" w:rsidP="00C521D5">
            <w:pPr>
              <w:widowControl w:val="0"/>
              <w:autoSpaceDE w:val="0"/>
              <w:autoSpaceDN w:val="0"/>
              <w:adjustRightInd w:val="0"/>
              <w:spacing w:after="0" w:line="234" w:lineRule="exact"/>
              <w:ind w:left="20"/>
              <w:rPr>
                <w:rFonts w:ascii="Garamond" w:hAnsi="Garamond"/>
                <w:sz w:val="20"/>
                <w:szCs w:val="20"/>
              </w:rPr>
            </w:pPr>
            <w:r w:rsidRPr="00551729">
              <w:rPr>
                <w:rFonts w:ascii="Garamond" w:hAnsi="Garamond"/>
                <w:i/>
                <w:iCs/>
                <w:sz w:val="20"/>
                <w:szCs w:val="20"/>
              </w:rPr>
              <w:t>P.sh., ndryshimi i</w:t>
            </w:r>
          </w:p>
        </w:tc>
        <w:tc>
          <w:tcPr>
            <w:tcW w:w="2010" w:type="dxa"/>
            <w:vAlign w:val="bottom"/>
          </w:tcPr>
          <w:p w14:paraId="1BADD23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36"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43" w14:textId="77777777" w:rsidTr="00FE1429">
        <w:trPr>
          <w:trHeight w:val="290"/>
        </w:trPr>
        <w:tc>
          <w:tcPr>
            <w:tcW w:w="30" w:type="dxa"/>
            <w:tcBorders>
              <w:top w:val="nil"/>
              <w:left w:val="single" w:sz="8" w:space="0" w:color="auto"/>
              <w:bottom w:val="nil"/>
              <w:right w:val="nil"/>
            </w:tcBorders>
            <w:vAlign w:val="bottom"/>
          </w:tcPr>
          <w:p w14:paraId="1BADD238"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hideMark/>
          </w:tcPr>
          <w:p w14:paraId="1BADD239" w14:textId="77777777" w:rsidR="0088147A" w:rsidRPr="00551729" w:rsidRDefault="0088147A" w:rsidP="00C521D5">
            <w:pPr>
              <w:widowControl w:val="0"/>
              <w:autoSpaceDE w:val="0"/>
              <w:autoSpaceDN w:val="0"/>
              <w:adjustRightInd w:val="0"/>
              <w:spacing w:after="0" w:line="252" w:lineRule="exact"/>
              <w:ind w:left="40"/>
              <w:rPr>
                <w:rFonts w:ascii="Garamond" w:hAnsi="Garamond"/>
                <w:sz w:val="20"/>
                <w:szCs w:val="20"/>
              </w:rPr>
            </w:pPr>
            <w:r w:rsidRPr="00551729">
              <w:rPr>
                <w:rFonts w:ascii="Garamond" w:hAnsi="Garamond"/>
                <w:i/>
                <w:iCs/>
                <w:sz w:val="20"/>
                <w:szCs w:val="20"/>
              </w:rPr>
              <w:t>vendit]</w:t>
            </w:r>
          </w:p>
        </w:tc>
        <w:tc>
          <w:tcPr>
            <w:tcW w:w="1860" w:type="dxa"/>
            <w:vAlign w:val="bottom"/>
            <w:hideMark/>
          </w:tcPr>
          <w:p w14:paraId="1BADD23A"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hekurudhore nga</w:t>
            </w:r>
          </w:p>
        </w:tc>
        <w:tc>
          <w:tcPr>
            <w:tcW w:w="180" w:type="dxa"/>
            <w:tcBorders>
              <w:top w:val="nil"/>
              <w:left w:val="nil"/>
              <w:bottom w:val="nil"/>
              <w:right w:val="single" w:sz="8" w:space="0" w:color="auto"/>
            </w:tcBorders>
            <w:vAlign w:val="bottom"/>
          </w:tcPr>
          <w:p w14:paraId="1BADD23B"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3C"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Shërbimi për</w:t>
            </w:r>
          </w:p>
        </w:tc>
        <w:tc>
          <w:tcPr>
            <w:tcW w:w="1790" w:type="dxa"/>
            <w:tcBorders>
              <w:top w:val="nil"/>
              <w:left w:val="nil"/>
              <w:bottom w:val="nil"/>
              <w:right w:val="single" w:sz="8" w:space="0" w:color="auto"/>
            </w:tcBorders>
            <w:vAlign w:val="bottom"/>
          </w:tcPr>
          <w:p w14:paraId="1BADD23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3E"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Shërbimit për</w:t>
            </w:r>
          </w:p>
        </w:tc>
        <w:tc>
          <w:tcPr>
            <w:tcW w:w="40" w:type="dxa"/>
            <w:vAlign w:val="bottom"/>
          </w:tcPr>
          <w:p w14:paraId="1BADD23F"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hideMark/>
          </w:tcPr>
          <w:p w14:paraId="1BADD240" w14:textId="77777777" w:rsidR="0088147A" w:rsidRPr="00551729" w:rsidRDefault="0088147A" w:rsidP="00C521D5">
            <w:pPr>
              <w:widowControl w:val="0"/>
              <w:autoSpaceDE w:val="0"/>
              <w:autoSpaceDN w:val="0"/>
              <w:adjustRightInd w:val="0"/>
              <w:spacing w:after="0" w:line="252" w:lineRule="exact"/>
              <w:ind w:left="20"/>
              <w:rPr>
                <w:rFonts w:ascii="Garamond" w:hAnsi="Garamond"/>
                <w:sz w:val="20"/>
                <w:szCs w:val="20"/>
              </w:rPr>
            </w:pPr>
            <w:r w:rsidRPr="00551729">
              <w:rPr>
                <w:rFonts w:ascii="Garamond" w:hAnsi="Garamond"/>
                <w:i/>
                <w:iCs/>
                <w:sz w:val="20"/>
                <w:szCs w:val="20"/>
              </w:rPr>
              <w:t>ligjit të vendit, si</w:t>
            </w:r>
          </w:p>
        </w:tc>
        <w:tc>
          <w:tcPr>
            <w:tcW w:w="2010" w:type="dxa"/>
            <w:vAlign w:val="bottom"/>
          </w:tcPr>
          <w:p w14:paraId="1BADD24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42"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4F" w14:textId="77777777" w:rsidTr="00FE1429">
        <w:trPr>
          <w:trHeight w:val="293"/>
        </w:trPr>
        <w:tc>
          <w:tcPr>
            <w:tcW w:w="30" w:type="dxa"/>
            <w:tcBorders>
              <w:top w:val="nil"/>
              <w:left w:val="single" w:sz="8" w:space="0" w:color="auto"/>
              <w:bottom w:val="nil"/>
              <w:right w:val="nil"/>
            </w:tcBorders>
            <w:vAlign w:val="bottom"/>
          </w:tcPr>
          <w:p w14:paraId="1BADD244"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4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hideMark/>
          </w:tcPr>
          <w:p w14:paraId="1BADD246"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xxx në kufi me xxx</w:t>
            </w:r>
          </w:p>
        </w:tc>
        <w:tc>
          <w:tcPr>
            <w:tcW w:w="180" w:type="dxa"/>
            <w:tcBorders>
              <w:top w:val="nil"/>
              <w:left w:val="nil"/>
              <w:bottom w:val="nil"/>
              <w:right w:val="single" w:sz="8" w:space="0" w:color="auto"/>
            </w:tcBorders>
            <w:vAlign w:val="bottom"/>
          </w:tcPr>
          <w:p w14:paraId="1BADD247"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48"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përgatitjen e</w:t>
            </w:r>
          </w:p>
        </w:tc>
        <w:tc>
          <w:tcPr>
            <w:tcW w:w="1790" w:type="dxa"/>
            <w:tcBorders>
              <w:top w:val="nil"/>
              <w:left w:val="nil"/>
              <w:bottom w:val="nil"/>
              <w:right w:val="single" w:sz="8" w:space="0" w:color="auto"/>
            </w:tcBorders>
            <w:vAlign w:val="bottom"/>
          </w:tcPr>
          <w:p w14:paraId="1BADD24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4A"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përgatitjen e</w:t>
            </w:r>
          </w:p>
        </w:tc>
        <w:tc>
          <w:tcPr>
            <w:tcW w:w="40" w:type="dxa"/>
            <w:vAlign w:val="bottom"/>
          </w:tcPr>
          <w:p w14:paraId="1BADD24B"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hideMark/>
          </w:tcPr>
          <w:p w14:paraId="1BADD24C" w14:textId="77777777" w:rsidR="0088147A" w:rsidRPr="00551729" w:rsidRDefault="0088147A" w:rsidP="00C521D5">
            <w:pPr>
              <w:widowControl w:val="0"/>
              <w:autoSpaceDE w:val="0"/>
              <w:autoSpaceDN w:val="0"/>
              <w:adjustRightInd w:val="0"/>
              <w:spacing w:after="0" w:line="252" w:lineRule="exact"/>
              <w:ind w:left="20"/>
              <w:rPr>
                <w:rFonts w:ascii="Garamond" w:hAnsi="Garamond"/>
                <w:sz w:val="20"/>
                <w:szCs w:val="20"/>
              </w:rPr>
            </w:pPr>
            <w:r w:rsidRPr="00551729">
              <w:rPr>
                <w:rFonts w:ascii="Garamond" w:hAnsi="Garamond"/>
                <w:i/>
                <w:iCs/>
                <w:sz w:val="20"/>
                <w:szCs w:val="20"/>
              </w:rPr>
              <w:t>dhe qasja me</w:t>
            </w:r>
          </w:p>
        </w:tc>
        <w:tc>
          <w:tcPr>
            <w:tcW w:w="2010" w:type="dxa"/>
            <w:vAlign w:val="bottom"/>
          </w:tcPr>
          <w:p w14:paraId="1BADD24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4E"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5B" w14:textId="77777777" w:rsidTr="00FE1429">
        <w:trPr>
          <w:trHeight w:val="290"/>
        </w:trPr>
        <w:tc>
          <w:tcPr>
            <w:tcW w:w="30" w:type="dxa"/>
            <w:tcBorders>
              <w:top w:val="nil"/>
              <w:left w:val="single" w:sz="8" w:space="0" w:color="auto"/>
              <w:bottom w:val="nil"/>
              <w:right w:val="nil"/>
            </w:tcBorders>
            <w:vAlign w:val="bottom"/>
          </w:tcPr>
          <w:p w14:paraId="1BADD250"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5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52"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53"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54"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Termave të</w:t>
            </w:r>
          </w:p>
        </w:tc>
        <w:tc>
          <w:tcPr>
            <w:tcW w:w="1790" w:type="dxa"/>
            <w:tcBorders>
              <w:top w:val="nil"/>
              <w:left w:val="nil"/>
              <w:bottom w:val="nil"/>
              <w:right w:val="single" w:sz="8" w:space="0" w:color="auto"/>
            </w:tcBorders>
            <w:vAlign w:val="bottom"/>
          </w:tcPr>
          <w:p w14:paraId="1BADD25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56"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Termave të</w:t>
            </w:r>
          </w:p>
        </w:tc>
        <w:tc>
          <w:tcPr>
            <w:tcW w:w="40" w:type="dxa"/>
            <w:vAlign w:val="bottom"/>
          </w:tcPr>
          <w:p w14:paraId="1BADD257"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hideMark/>
          </w:tcPr>
          <w:p w14:paraId="1BADD258" w14:textId="77777777" w:rsidR="0088147A" w:rsidRPr="00551729" w:rsidRDefault="0088147A" w:rsidP="00C521D5">
            <w:pPr>
              <w:widowControl w:val="0"/>
              <w:autoSpaceDE w:val="0"/>
              <w:autoSpaceDN w:val="0"/>
              <w:adjustRightInd w:val="0"/>
              <w:spacing w:after="0" w:line="252" w:lineRule="exact"/>
              <w:ind w:left="20"/>
              <w:rPr>
                <w:rFonts w:ascii="Garamond" w:hAnsi="Garamond"/>
                <w:sz w:val="20"/>
                <w:szCs w:val="20"/>
              </w:rPr>
            </w:pPr>
            <w:r w:rsidRPr="00551729">
              <w:rPr>
                <w:rFonts w:ascii="Garamond" w:hAnsi="Garamond"/>
                <w:i/>
                <w:iCs/>
                <w:sz w:val="20"/>
                <w:szCs w:val="20"/>
              </w:rPr>
              <w:t>dhe zbatimi i</w:t>
            </w:r>
          </w:p>
        </w:tc>
        <w:tc>
          <w:tcPr>
            <w:tcW w:w="2010" w:type="dxa"/>
            <w:vAlign w:val="bottom"/>
          </w:tcPr>
          <w:p w14:paraId="1BADD25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5A"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67" w14:textId="77777777" w:rsidTr="00FE1429">
        <w:trPr>
          <w:trHeight w:val="290"/>
        </w:trPr>
        <w:tc>
          <w:tcPr>
            <w:tcW w:w="30" w:type="dxa"/>
            <w:tcBorders>
              <w:top w:val="nil"/>
              <w:left w:val="single" w:sz="8" w:space="0" w:color="auto"/>
              <w:bottom w:val="nil"/>
              <w:right w:val="nil"/>
            </w:tcBorders>
            <w:vAlign w:val="bottom"/>
          </w:tcPr>
          <w:p w14:paraId="1BADD25C"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5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5E"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5F"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60"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Referencës për</w:t>
            </w:r>
          </w:p>
        </w:tc>
        <w:tc>
          <w:tcPr>
            <w:tcW w:w="1790" w:type="dxa"/>
            <w:tcBorders>
              <w:top w:val="nil"/>
              <w:left w:val="nil"/>
              <w:bottom w:val="nil"/>
              <w:right w:val="single" w:sz="8" w:space="0" w:color="auto"/>
            </w:tcBorders>
            <w:vAlign w:val="bottom"/>
          </w:tcPr>
          <w:p w14:paraId="1BADD26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62"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Referencës për</w:t>
            </w:r>
          </w:p>
        </w:tc>
        <w:tc>
          <w:tcPr>
            <w:tcW w:w="40" w:type="dxa"/>
            <w:vAlign w:val="bottom"/>
          </w:tcPr>
          <w:p w14:paraId="1BADD263"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hideMark/>
          </w:tcPr>
          <w:p w14:paraId="1BADD264" w14:textId="77777777" w:rsidR="0088147A" w:rsidRPr="00551729" w:rsidRDefault="0088147A" w:rsidP="00C521D5">
            <w:pPr>
              <w:widowControl w:val="0"/>
              <w:autoSpaceDE w:val="0"/>
              <w:autoSpaceDN w:val="0"/>
              <w:adjustRightInd w:val="0"/>
              <w:spacing w:after="0" w:line="252" w:lineRule="exact"/>
              <w:ind w:left="20"/>
              <w:rPr>
                <w:rFonts w:ascii="Garamond" w:hAnsi="Garamond"/>
                <w:sz w:val="20"/>
                <w:szCs w:val="20"/>
              </w:rPr>
            </w:pPr>
            <w:r w:rsidRPr="00551729">
              <w:rPr>
                <w:rFonts w:ascii="Garamond" w:hAnsi="Garamond"/>
                <w:i/>
                <w:iCs/>
                <w:sz w:val="20"/>
                <w:szCs w:val="20"/>
              </w:rPr>
              <w:t>paketës së katërt të</w:t>
            </w:r>
          </w:p>
        </w:tc>
        <w:tc>
          <w:tcPr>
            <w:tcW w:w="2010" w:type="dxa"/>
            <w:vAlign w:val="bottom"/>
          </w:tcPr>
          <w:p w14:paraId="1BADD26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66"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73" w14:textId="77777777" w:rsidTr="00FE1429">
        <w:trPr>
          <w:trHeight w:val="290"/>
        </w:trPr>
        <w:tc>
          <w:tcPr>
            <w:tcW w:w="30" w:type="dxa"/>
            <w:tcBorders>
              <w:top w:val="nil"/>
              <w:left w:val="single" w:sz="8" w:space="0" w:color="auto"/>
              <w:bottom w:val="nil"/>
              <w:right w:val="nil"/>
            </w:tcBorders>
            <w:vAlign w:val="bottom"/>
          </w:tcPr>
          <w:p w14:paraId="1BADD268"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6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6A"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6B"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6C"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punimet që kontrata</w:t>
            </w:r>
          </w:p>
        </w:tc>
        <w:tc>
          <w:tcPr>
            <w:tcW w:w="1790" w:type="dxa"/>
            <w:tcBorders>
              <w:top w:val="nil"/>
              <w:left w:val="nil"/>
              <w:bottom w:val="nil"/>
              <w:right w:val="single" w:sz="8" w:space="0" w:color="auto"/>
            </w:tcBorders>
            <w:vAlign w:val="bottom"/>
          </w:tcPr>
          <w:p w14:paraId="1BADD26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6E"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punime që kontrata</w:t>
            </w:r>
          </w:p>
        </w:tc>
        <w:tc>
          <w:tcPr>
            <w:tcW w:w="40" w:type="dxa"/>
            <w:vAlign w:val="bottom"/>
          </w:tcPr>
          <w:p w14:paraId="1BADD26F"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hideMark/>
          </w:tcPr>
          <w:p w14:paraId="1BADD270" w14:textId="77777777" w:rsidR="0088147A" w:rsidRPr="00551729" w:rsidRDefault="0088147A" w:rsidP="00C521D5">
            <w:pPr>
              <w:widowControl w:val="0"/>
              <w:autoSpaceDE w:val="0"/>
              <w:autoSpaceDN w:val="0"/>
              <w:adjustRightInd w:val="0"/>
              <w:spacing w:after="0" w:line="252" w:lineRule="exact"/>
              <w:ind w:left="20"/>
              <w:rPr>
                <w:rFonts w:ascii="Garamond" w:hAnsi="Garamond"/>
                <w:sz w:val="20"/>
                <w:szCs w:val="20"/>
              </w:rPr>
            </w:pPr>
            <w:r w:rsidRPr="00551729">
              <w:rPr>
                <w:rFonts w:ascii="Garamond" w:hAnsi="Garamond"/>
                <w:i/>
                <w:iCs/>
                <w:sz w:val="20"/>
                <w:szCs w:val="20"/>
              </w:rPr>
              <w:t>hekurudhave</w:t>
            </w:r>
          </w:p>
        </w:tc>
        <w:tc>
          <w:tcPr>
            <w:tcW w:w="2010" w:type="dxa"/>
            <w:vAlign w:val="bottom"/>
          </w:tcPr>
          <w:p w14:paraId="1BADD27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72"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7F" w14:textId="77777777" w:rsidTr="00FE1429">
        <w:trPr>
          <w:trHeight w:val="290"/>
        </w:trPr>
        <w:tc>
          <w:tcPr>
            <w:tcW w:w="30" w:type="dxa"/>
            <w:tcBorders>
              <w:top w:val="nil"/>
              <w:left w:val="single" w:sz="8" w:space="0" w:color="auto"/>
              <w:bottom w:val="nil"/>
              <w:right w:val="nil"/>
            </w:tcBorders>
            <w:vAlign w:val="bottom"/>
          </w:tcPr>
          <w:p w14:paraId="1BADD274"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7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76"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77"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78"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është nënshkruar</w:t>
            </w:r>
          </w:p>
        </w:tc>
        <w:tc>
          <w:tcPr>
            <w:tcW w:w="1790" w:type="dxa"/>
            <w:tcBorders>
              <w:top w:val="nil"/>
              <w:left w:val="nil"/>
              <w:bottom w:val="nil"/>
              <w:right w:val="single" w:sz="8" w:space="0" w:color="auto"/>
            </w:tcBorders>
            <w:vAlign w:val="bottom"/>
          </w:tcPr>
          <w:p w14:paraId="1BADD27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7A"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është vonuar, meqë</w:t>
            </w:r>
          </w:p>
        </w:tc>
        <w:tc>
          <w:tcPr>
            <w:tcW w:w="40" w:type="dxa"/>
            <w:vAlign w:val="bottom"/>
          </w:tcPr>
          <w:p w14:paraId="1BADD27B"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tcPr>
          <w:p w14:paraId="1BADD27C"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10" w:type="dxa"/>
            <w:vAlign w:val="bottom"/>
          </w:tcPr>
          <w:p w14:paraId="1BADD27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7E"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8B" w14:textId="77777777" w:rsidTr="00FE1429">
        <w:trPr>
          <w:trHeight w:val="293"/>
        </w:trPr>
        <w:tc>
          <w:tcPr>
            <w:tcW w:w="30" w:type="dxa"/>
            <w:tcBorders>
              <w:top w:val="nil"/>
              <w:left w:val="single" w:sz="8" w:space="0" w:color="auto"/>
              <w:bottom w:val="nil"/>
              <w:right w:val="nil"/>
            </w:tcBorders>
            <w:vAlign w:val="bottom"/>
          </w:tcPr>
          <w:p w14:paraId="1BADD280"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8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82"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83"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84"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dhe po zbatohet,</w:t>
            </w:r>
          </w:p>
        </w:tc>
        <w:tc>
          <w:tcPr>
            <w:tcW w:w="1790" w:type="dxa"/>
            <w:tcBorders>
              <w:top w:val="nil"/>
              <w:left w:val="nil"/>
              <w:bottom w:val="nil"/>
              <w:right w:val="single" w:sz="8" w:space="0" w:color="auto"/>
            </w:tcBorders>
            <w:vAlign w:val="bottom"/>
          </w:tcPr>
          <w:p w14:paraId="1BADD28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86"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procedura e</w:t>
            </w:r>
          </w:p>
        </w:tc>
        <w:tc>
          <w:tcPr>
            <w:tcW w:w="40" w:type="dxa"/>
            <w:vAlign w:val="bottom"/>
          </w:tcPr>
          <w:p w14:paraId="1BADD287"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tcPr>
          <w:p w14:paraId="1BADD288"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10" w:type="dxa"/>
            <w:vAlign w:val="bottom"/>
          </w:tcPr>
          <w:p w14:paraId="1BADD28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8A"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97" w14:textId="77777777" w:rsidTr="00FE1429">
        <w:trPr>
          <w:trHeight w:val="290"/>
        </w:trPr>
        <w:tc>
          <w:tcPr>
            <w:tcW w:w="30" w:type="dxa"/>
            <w:tcBorders>
              <w:top w:val="nil"/>
              <w:left w:val="single" w:sz="8" w:space="0" w:color="auto"/>
              <w:bottom w:val="nil"/>
              <w:right w:val="nil"/>
            </w:tcBorders>
            <w:vAlign w:val="bottom"/>
          </w:tcPr>
          <w:p w14:paraId="1BADD28C"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8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8E"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8F"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90"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tender për kontratën</w:t>
            </w:r>
          </w:p>
        </w:tc>
        <w:tc>
          <w:tcPr>
            <w:tcW w:w="1790" w:type="dxa"/>
            <w:tcBorders>
              <w:top w:val="nil"/>
              <w:left w:val="nil"/>
              <w:bottom w:val="nil"/>
              <w:right w:val="single" w:sz="8" w:space="0" w:color="auto"/>
            </w:tcBorders>
            <w:vAlign w:val="bottom"/>
          </w:tcPr>
          <w:p w14:paraId="1BADD29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92"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negocimit dështoi</w:t>
            </w:r>
          </w:p>
        </w:tc>
        <w:tc>
          <w:tcPr>
            <w:tcW w:w="40" w:type="dxa"/>
            <w:vAlign w:val="bottom"/>
          </w:tcPr>
          <w:p w14:paraId="1BADD293"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tcPr>
          <w:p w14:paraId="1BADD294"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10" w:type="dxa"/>
            <w:vAlign w:val="bottom"/>
          </w:tcPr>
          <w:p w14:paraId="1BADD29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96"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A3" w14:textId="77777777" w:rsidTr="00FE1429">
        <w:trPr>
          <w:trHeight w:val="290"/>
        </w:trPr>
        <w:tc>
          <w:tcPr>
            <w:tcW w:w="30" w:type="dxa"/>
            <w:tcBorders>
              <w:top w:val="nil"/>
              <w:left w:val="single" w:sz="8" w:space="0" w:color="auto"/>
              <w:bottom w:val="nil"/>
              <w:right w:val="nil"/>
            </w:tcBorders>
            <w:vAlign w:val="bottom"/>
          </w:tcPr>
          <w:p w14:paraId="1BADD298"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9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9A"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9B"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9C"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e punimeve që do të</w:t>
            </w:r>
          </w:p>
        </w:tc>
        <w:tc>
          <w:tcPr>
            <w:tcW w:w="1790" w:type="dxa"/>
            <w:tcBorders>
              <w:top w:val="nil"/>
              <w:left w:val="nil"/>
              <w:bottom w:val="nil"/>
              <w:right w:val="single" w:sz="8" w:space="0" w:color="auto"/>
            </w:tcBorders>
            <w:vAlign w:val="bottom"/>
          </w:tcPr>
          <w:p w14:paraId="1BADD29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9E" w14:textId="590900A3" w:rsidR="0088147A" w:rsidRPr="00551729" w:rsidRDefault="0088147A" w:rsidP="00C662EF">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dhe duhet të ri</w:t>
            </w:r>
          </w:p>
        </w:tc>
        <w:tc>
          <w:tcPr>
            <w:tcW w:w="40" w:type="dxa"/>
            <w:vAlign w:val="bottom"/>
          </w:tcPr>
          <w:p w14:paraId="1BADD29F"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tcPr>
          <w:p w14:paraId="1BADD2A0"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10" w:type="dxa"/>
            <w:vAlign w:val="bottom"/>
          </w:tcPr>
          <w:p w14:paraId="1BADD2A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A2"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AF" w14:textId="77777777" w:rsidTr="00FE1429">
        <w:trPr>
          <w:trHeight w:val="290"/>
        </w:trPr>
        <w:tc>
          <w:tcPr>
            <w:tcW w:w="30" w:type="dxa"/>
            <w:tcBorders>
              <w:top w:val="nil"/>
              <w:left w:val="single" w:sz="8" w:space="0" w:color="auto"/>
              <w:bottom w:val="nil"/>
              <w:right w:val="nil"/>
            </w:tcBorders>
            <w:vAlign w:val="bottom"/>
          </w:tcPr>
          <w:p w14:paraId="1BADD2A4"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A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A6"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A7"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A8"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fillojnë tremujorin e</w:t>
            </w:r>
          </w:p>
        </w:tc>
        <w:tc>
          <w:tcPr>
            <w:tcW w:w="1790" w:type="dxa"/>
            <w:tcBorders>
              <w:top w:val="nil"/>
              <w:left w:val="nil"/>
              <w:bottom w:val="nil"/>
              <w:right w:val="single" w:sz="8" w:space="0" w:color="auto"/>
            </w:tcBorders>
            <w:vAlign w:val="bottom"/>
          </w:tcPr>
          <w:p w14:paraId="1BADD2A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hideMark/>
          </w:tcPr>
          <w:p w14:paraId="1BADD2AA"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shpallet</w:t>
            </w:r>
          </w:p>
        </w:tc>
        <w:tc>
          <w:tcPr>
            <w:tcW w:w="40" w:type="dxa"/>
            <w:vAlign w:val="bottom"/>
          </w:tcPr>
          <w:p w14:paraId="1BADD2AB"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tcPr>
          <w:p w14:paraId="1BADD2AC"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10" w:type="dxa"/>
            <w:vAlign w:val="bottom"/>
          </w:tcPr>
          <w:p w14:paraId="1BADD2A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AE"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BB" w14:textId="77777777" w:rsidTr="00FE1429">
        <w:trPr>
          <w:trHeight w:val="80"/>
        </w:trPr>
        <w:tc>
          <w:tcPr>
            <w:tcW w:w="30" w:type="dxa"/>
            <w:tcBorders>
              <w:top w:val="nil"/>
              <w:left w:val="single" w:sz="8" w:space="0" w:color="auto"/>
              <w:bottom w:val="nil"/>
              <w:right w:val="nil"/>
            </w:tcBorders>
            <w:vAlign w:val="bottom"/>
          </w:tcPr>
          <w:p w14:paraId="1BADD2B0"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nil"/>
              <w:right w:val="single" w:sz="8" w:space="0" w:color="auto"/>
            </w:tcBorders>
            <w:vAlign w:val="bottom"/>
          </w:tcPr>
          <w:p w14:paraId="1BADD2B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60" w:type="dxa"/>
            <w:vAlign w:val="bottom"/>
          </w:tcPr>
          <w:p w14:paraId="1BADD2B2"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0" w:type="dxa"/>
            <w:tcBorders>
              <w:top w:val="nil"/>
              <w:left w:val="nil"/>
              <w:bottom w:val="nil"/>
              <w:right w:val="single" w:sz="8" w:space="0" w:color="auto"/>
            </w:tcBorders>
            <w:vAlign w:val="bottom"/>
          </w:tcPr>
          <w:p w14:paraId="1BADD2B3"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nil"/>
              <w:right w:val="single" w:sz="8" w:space="0" w:color="auto"/>
            </w:tcBorders>
            <w:vAlign w:val="bottom"/>
            <w:hideMark/>
          </w:tcPr>
          <w:p w14:paraId="1BADD2B4" w14:textId="77777777" w:rsidR="0088147A" w:rsidRPr="00551729" w:rsidRDefault="0088147A" w:rsidP="00C521D5">
            <w:pPr>
              <w:widowControl w:val="0"/>
              <w:autoSpaceDE w:val="0"/>
              <w:autoSpaceDN w:val="0"/>
              <w:adjustRightInd w:val="0"/>
              <w:spacing w:after="0" w:line="252" w:lineRule="exact"/>
              <w:ind w:left="100"/>
              <w:rPr>
                <w:rFonts w:ascii="Garamond" w:hAnsi="Garamond"/>
                <w:sz w:val="20"/>
                <w:szCs w:val="20"/>
              </w:rPr>
            </w:pPr>
            <w:r w:rsidRPr="00551729">
              <w:rPr>
                <w:rFonts w:ascii="Garamond" w:hAnsi="Garamond"/>
                <w:i/>
                <w:iCs/>
                <w:sz w:val="20"/>
                <w:szCs w:val="20"/>
              </w:rPr>
              <w:t>dytë të vitit 2015</w:t>
            </w:r>
          </w:p>
        </w:tc>
        <w:tc>
          <w:tcPr>
            <w:tcW w:w="1790" w:type="dxa"/>
            <w:tcBorders>
              <w:top w:val="nil"/>
              <w:left w:val="nil"/>
              <w:bottom w:val="nil"/>
              <w:right w:val="single" w:sz="8" w:space="0" w:color="auto"/>
            </w:tcBorders>
            <w:vAlign w:val="bottom"/>
          </w:tcPr>
          <w:p w14:paraId="1BADD2B5"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nil"/>
              <w:right w:val="single" w:sz="8" w:space="0" w:color="auto"/>
            </w:tcBorders>
            <w:vAlign w:val="bottom"/>
          </w:tcPr>
          <w:p w14:paraId="1BADD2B6"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40" w:type="dxa"/>
            <w:vAlign w:val="bottom"/>
          </w:tcPr>
          <w:p w14:paraId="1BADD2B7"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50" w:type="dxa"/>
            <w:tcBorders>
              <w:top w:val="nil"/>
              <w:left w:val="nil"/>
              <w:bottom w:val="nil"/>
              <w:right w:val="single" w:sz="8" w:space="0" w:color="auto"/>
            </w:tcBorders>
            <w:vAlign w:val="bottom"/>
          </w:tcPr>
          <w:p w14:paraId="1BADD2B8"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10" w:type="dxa"/>
            <w:vAlign w:val="bottom"/>
          </w:tcPr>
          <w:p w14:paraId="1BADD2B9"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nil"/>
              <w:right w:val="single" w:sz="8" w:space="0" w:color="auto"/>
            </w:tcBorders>
            <w:vAlign w:val="bottom"/>
          </w:tcPr>
          <w:p w14:paraId="1BADD2BA"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r w:rsidR="0088147A" w:rsidRPr="00551729" w14:paraId="1BADD2C5" w14:textId="77777777" w:rsidTr="00FE1429">
        <w:trPr>
          <w:trHeight w:val="66"/>
        </w:trPr>
        <w:tc>
          <w:tcPr>
            <w:tcW w:w="30" w:type="dxa"/>
            <w:tcBorders>
              <w:top w:val="nil"/>
              <w:left w:val="single" w:sz="8" w:space="0" w:color="auto"/>
              <w:bottom w:val="single" w:sz="8" w:space="0" w:color="auto"/>
              <w:right w:val="nil"/>
            </w:tcBorders>
            <w:vAlign w:val="bottom"/>
          </w:tcPr>
          <w:p w14:paraId="1BADD2BC"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980" w:type="dxa"/>
            <w:tcBorders>
              <w:top w:val="nil"/>
              <w:left w:val="nil"/>
              <w:bottom w:val="single" w:sz="8" w:space="0" w:color="auto"/>
              <w:right w:val="single" w:sz="8" w:space="0" w:color="auto"/>
            </w:tcBorders>
            <w:vAlign w:val="bottom"/>
          </w:tcPr>
          <w:p w14:paraId="1BADD2BD"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40" w:type="dxa"/>
            <w:gridSpan w:val="2"/>
            <w:tcBorders>
              <w:top w:val="nil"/>
              <w:left w:val="nil"/>
              <w:bottom w:val="single" w:sz="8" w:space="0" w:color="auto"/>
              <w:right w:val="single" w:sz="8" w:space="0" w:color="auto"/>
            </w:tcBorders>
            <w:vAlign w:val="bottom"/>
          </w:tcPr>
          <w:p w14:paraId="1BADD2BE"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290" w:type="dxa"/>
            <w:tcBorders>
              <w:top w:val="nil"/>
              <w:left w:val="nil"/>
              <w:bottom w:val="single" w:sz="8" w:space="0" w:color="auto"/>
              <w:right w:val="single" w:sz="8" w:space="0" w:color="auto"/>
            </w:tcBorders>
            <w:vAlign w:val="bottom"/>
          </w:tcPr>
          <w:p w14:paraId="1BADD2BF"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790" w:type="dxa"/>
            <w:tcBorders>
              <w:top w:val="nil"/>
              <w:left w:val="nil"/>
              <w:bottom w:val="single" w:sz="8" w:space="0" w:color="auto"/>
              <w:right w:val="single" w:sz="8" w:space="0" w:color="auto"/>
            </w:tcBorders>
            <w:vAlign w:val="bottom"/>
          </w:tcPr>
          <w:p w14:paraId="1BADD2C0"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80" w:type="dxa"/>
            <w:tcBorders>
              <w:top w:val="nil"/>
              <w:left w:val="nil"/>
              <w:bottom w:val="single" w:sz="8" w:space="0" w:color="auto"/>
              <w:right w:val="single" w:sz="8" w:space="0" w:color="auto"/>
            </w:tcBorders>
            <w:vAlign w:val="bottom"/>
          </w:tcPr>
          <w:p w14:paraId="1BADD2C1"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890" w:type="dxa"/>
            <w:gridSpan w:val="2"/>
            <w:tcBorders>
              <w:top w:val="nil"/>
              <w:left w:val="nil"/>
              <w:bottom w:val="single" w:sz="8" w:space="0" w:color="auto"/>
              <w:right w:val="single" w:sz="8" w:space="0" w:color="auto"/>
            </w:tcBorders>
            <w:vAlign w:val="bottom"/>
          </w:tcPr>
          <w:p w14:paraId="1BADD2C2"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2010" w:type="dxa"/>
            <w:tcBorders>
              <w:top w:val="nil"/>
              <w:left w:val="nil"/>
              <w:bottom w:val="single" w:sz="8" w:space="0" w:color="auto"/>
              <w:right w:val="nil"/>
            </w:tcBorders>
            <w:vAlign w:val="bottom"/>
          </w:tcPr>
          <w:p w14:paraId="1BADD2C3"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c>
          <w:tcPr>
            <w:tcW w:w="140" w:type="dxa"/>
            <w:tcBorders>
              <w:top w:val="nil"/>
              <w:left w:val="nil"/>
              <w:bottom w:val="single" w:sz="8" w:space="0" w:color="auto"/>
              <w:right w:val="single" w:sz="8" w:space="0" w:color="auto"/>
            </w:tcBorders>
            <w:vAlign w:val="bottom"/>
          </w:tcPr>
          <w:p w14:paraId="1BADD2C4" w14:textId="77777777" w:rsidR="0088147A" w:rsidRPr="00551729" w:rsidRDefault="0088147A" w:rsidP="00C521D5">
            <w:pPr>
              <w:widowControl w:val="0"/>
              <w:autoSpaceDE w:val="0"/>
              <w:autoSpaceDN w:val="0"/>
              <w:adjustRightInd w:val="0"/>
              <w:spacing w:after="0" w:line="240" w:lineRule="auto"/>
              <w:rPr>
                <w:rFonts w:ascii="Garamond" w:hAnsi="Garamond"/>
                <w:sz w:val="20"/>
                <w:szCs w:val="20"/>
              </w:rPr>
            </w:pPr>
          </w:p>
        </w:tc>
      </w:tr>
    </w:tbl>
    <w:p w14:paraId="1BADD2C6" w14:textId="77777777" w:rsidR="00420B63" w:rsidRPr="00551729" w:rsidRDefault="00420B63" w:rsidP="00420B63">
      <w:pPr>
        <w:pStyle w:val="TEKSTIII"/>
        <w:rPr>
          <w:rFonts w:cs="Times New Roman"/>
          <w:sz w:val="18"/>
          <w:szCs w:val="18"/>
        </w:rPr>
      </w:pPr>
    </w:p>
    <w:p w14:paraId="1BADD2C7" w14:textId="77777777" w:rsidR="006B7BD8" w:rsidRPr="00551729" w:rsidRDefault="006B7BD8" w:rsidP="00420B63">
      <w:pPr>
        <w:pStyle w:val="TEKSTIII"/>
        <w:rPr>
          <w:rFonts w:cs="Times New Roman"/>
          <w:sz w:val="18"/>
          <w:szCs w:val="18"/>
        </w:rPr>
        <w:sectPr w:rsidR="006B7BD8" w:rsidRPr="00551729" w:rsidSect="00F975A8">
          <w:footnotePr>
            <w:numRestart w:val="eachPage"/>
          </w:footnotePr>
          <w:pgSz w:w="16838" w:h="11906" w:orient="landscape" w:code="9"/>
          <w:pgMar w:top="1440" w:right="1440" w:bottom="1440" w:left="1440" w:header="709" w:footer="709" w:gutter="0"/>
          <w:cols w:space="708"/>
          <w:docGrid w:linePitch="360"/>
        </w:sectPr>
      </w:pPr>
    </w:p>
    <w:p w14:paraId="1BADD2C8" w14:textId="77777777" w:rsidR="006B7BD8" w:rsidRPr="00551729" w:rsidRDefault="006B7BD8" w:rsidP="006B7BD8">
      <w:pPr>
        <w:pStyle w:val="TEKSTIII"/>
      </w:pPr>
      <w:r w:rsidRPr="00551729">
        <w:t>Nën menaxhim e tërthortë duhet të sigurohen dhe Shtojcat e mëposhtme:</w:t>
      </w:r>
    </w:p>
    <w:p w14:paraId="1BADD2C9" w14:textId="77777777" w:rsidR="006B7BD8" w:rsidRPr="00551729" w:rsidRDefault="006B7BD8" w:rsidP="006B7BD8">
      <w:pPr>
        <w:pStyle w:val="TEKSTIII"/>
      </w:pPr>
    </w:p>
    <w:p w14:paraId="1BADD2CA" w14:textId="77777777" w:rsidR="006B7BD8" w:rsidRPr="00551729" w:rsidRDefault="006B7BD8" w:rsidP="006B7BD8">
      <w:pPr>
        <w:pStyle w:val="TEKSTIII"/>
      </w:pPr>
      <w:r w:rsidRPr="00551729">
        <w:rPr>
          <w:b/>
          <w:bCs/>
        </w:rPr>
        <w:t>Shtojca 1</w:t>
      </w:r>
    </w:p>
    <w:p w14:paraId="1BADD2CB" w14:textId="77777777" w:rsidR="006B7BD8" w:rsidRPr="00551729" w:rsidRDefault="006B7BD8" w:rsidP="006B7BD8">
      <w:pPr>
        <w:pStyle w:val="TEKSTIII"/>
      </w:pPr>
      <w:r w:rsidRPr="00551729">
        <w:t>Përmbledhje mbi funksionimin e sistemeve të kontrollit dhe menaxhimit (duke përfshirë ndryshimet në strukturën institucionale) (maksimumi një faqe).</w:t>
      </w:r>
    </w:p>
    <w:p w14:paraId="1BADD2CD" w14:textId="77777777" w:rsidR="006B7BD8" w:rsidRPr="00551729" w:rsidRDefault="006B7BD8" w:rsidP="006B7BD8">
      <w:pPr>
        <w:pStyle w:val="TEKSTIII"/>
      </w:pPr>
      <w:r w:rsidRPr="00551729">
        <w:t>Aktivitetet mbi transparencën, vizibilitetin, informacionin dhe komunikimin, në përputhje me MK (maksimumi një faqe)</w:t>
      </w:r>
    </w:p>
    <w:p w14:paraId="1BADD2CF" w14:textId="77777777" w:rsidR="006B7BD8" w:rsidRPr="00551729" w:rsidRDefault="006B7BD8" w:rsidP="006B7BD8">
      <w:pPr>
        <w:pStyle w:val="TEKSTIII"/>
      </w:pPr>
      <w:r w:rsidRPr="00551729">
        <w:rPr>
          <w:b/>
          <w:bCs/>
        </w:rPr>
        <w:t>Shtojca 2</w:t>
      </w:r>
    </w:p>
    <w:p w14:paraId="1BADD2D0" w14:textId="77777777" w:rsidR="006B7BD8" w:rsidRPr="00551729" w:rsidRDefault="006B7BD8" w:rsidP="006B7BD8">
      <w:pPr>
        <w:pStyle w:val="TEKSTIII"/>
      </w:pPr>
      <w:r w:rsidRPr="00551729">
        <w:t>Histori suksesi (Shënim. ky seksion mund të përdoret për raportin vjetor të asistencës financiare, i cili përgatitet nga Komisioni Evropian).</w:t>
      </w:r>
    </w:p>
    <w:p w14:paraId="1BADD2D2" w14:textId="77777777" w:rsidR="006B7BD8" w:rsidRPr="00551729" w:rsidRDefault="006B7BD8" w:rsidP="006B7BD8">
      <w:pPr>
        <w:pStyle w:val="TEKSTIII"/>
      </w:pPr>
      <w:r w:rsidRPr="00551729">
        <w:rPr>
          <w:b/>
          <w:bCs/>
        </w:rPr>
        <w:t>Shtojca 3</w:t>
      </w:r>
    </w:p>
    <w:p w14:paraId="1BADD2D3" w14:textId="77777777" w:rsidR="006B7BD8" w:rsidRPr="00551729" w:rsidRDefault="006B7BD8" w:rsidP="006B7BD8">
      <w:pPr>
        <w:pStyle w:val="TEKSTIII"/>
      </w:pPr>
      <w:r w:rsidRPr="00551729">
        <w:t>Plani vjetor i prokurimit</w:t>
      </w:r>
    </w:p>
    <w:p w14:paraId="1BADD2D5" w14:textId="77777777" w:rsidR="006B7BD8" w:rsidRPr="00551729" w:rsidRDefault="006B7BD8" w:rsidP="006B7BD8">
      <w:pPr>
        <w:pStyle w:val="TEKSTIII"/>
      </w:pPr>
      <w:r w:rsidRPr="00551729">
        <w:t xml:space="preserve">Shtojca e mëposhtme duhet të sigurohet si për menaxhimin e drejtpërdrejtë, ashtu dhe për atë të tërthortë: </w:t>
      </w:r>
    </w:p>
    <w:p w14:paraId="1BADD2D7" w14:textId="77777777" w:rsidR="006B7BD8" w:rsidRPr="00551729" w:rsidRDefault="006B7BD8" w:rsidP="006B7BD8">
      <w:pPr>
        <w:pStyle w:val="TEKSTIII"/>
      </w:pPr>
      <w:r w:rsidRPr="00551729">
        <w:rPr>
          <w:b/>
          <w:bCs/>
        </w:rPr>
        <w:t>Shtojca 4</w:t>
      </w:r>
    </w:p>
    <w:p w14:paraId="1BADD2D8" w14:textId="3C9B4EE9" w:rsidR="006B7BD8" w:rsidRPr="00551729" w:rsidRDefault="006B7BD8" w:rsidP="006B7BD8">
      <w:pPr>
        <w:pStyle w:val="TEKSTIII"/>
      </w:pPr>
      <w:r w:rsidRPr="00551729">
        <w:t>Udhërrëfyesi i qasjes sektoriale – arritjet (duke theksua</w:t>
      </w:r>
      <w:r w:rsidR="00D40334">
        <w:t>r nëse objektivat e planifikuar</w:t>
      </w:r>
      <w:r w:rsidRPr="00551729">
        <w:t xml:space="preserve"> janë përmbushur ose jo).</w:t>
      </w:r>
    </w:p>
    <w:p w14:paraId="1BADD2D9" w14:textId="77777777" w:rsidR="0088147A" w:rsidRPr="00551729" w:rsidRDefault="0088147A" w:rsidP="006B7BD8">
      <w:pPr>
        <w:pStyle w:val="TEKSTIII"/>
        <w:rPr>
          <w:rFonts w:cs="Times New Roman"/>
          <w:sz w:val="18"/>
          <w:szCs w:val="18"/>
        </w:rPr>
      </w:pPr>
    </w:p>
    <w:p w14:paraId="1BADD2DA" w14:textId="77777777" w:rsidR="00D56A91" w:rsidRPr="00551729" w:rsidRDefault="00D56A91" w:rsidP="00D56A91">
      <w:pPr>
        <w:pStyle w:val="TEKSTIII"/>
        <w:jc w:val="center"/>
        <w:rPr>
          <w:rFonts w:cs="Times New Roman"/>
          <w:b/>
          <w:sz w:val="18"/>
          <w:szCs w:val="18"/>
        </w:rPr>
      </w:pPr>
    </w:p>
    <w:p w14:paraId="38A183EB" w14:textId="1FF42BFE" w:rsidR="00C662EF" w:rsidRPr="00593BA1" w:rsidRDefault="00C662EF" w:rsidP="00D56A91">
      <w:pPr>
        <w:pStyle w:val="TEKSTIII"/>
        <w:jc w:val="center"/>
      </w:pPr>
      <w:r w:rsidRPr="00593BA1">
        <w:t>SHTOJCA III</w:t>
      </w:r>
    </w:p>
    <w:p w14:paraId="0CD4D11B" w14:textId="11622D89" w:rsidR="00C662EF" w:rsidRPr="00593BA1" w:rsidRDefault="00C662EF" w:rsidP="00D56A91">
      <w:pPr>
        <w:pStyle w:val="TEKSTIII"/>
        <w:jc w:val="center"/>
      </w:pPr>
      <w:r w:rsidRPr="00593BA1">
        <w:t xml:space="preserve">RAPORTI VJETOR I ZBATIMIT - MARRËVESHJA E FINANCIMIT IPA II BNK </w:t>
      </w:r>
    </w:p>
    <w:p w14:paraId="1BADD2DB" w14:textId="114AAF87" w:rsidR="00D56A91" w:rsidRPr="00593BA1" w:rsidRDefault="00D56A91" w:rsidP="00D56A91">
      <w:pPr>
        <w:pStyle w:val="TEKSTIII"/>
        <w:jc w:val="center"/>
      </w:pPr>
      <w:r w:rsidRPr="00593BA1">
        <w:t xml:space="preserve">Versioni </w:t>
      </w:r>
      <w:r w:rsidR="00C662EF" w:rsidRPr="00593BA1">
        <w:t xml:space="preserve">janar </w:t>
      </w:r>
      <w:r w:rsidRPr="00593BA1">
        <w:t>2018</w:t>
      </w:r>
    </w:p>
    <w:p w14:paraId="1BADD2DC" w14:textId="77777777" w:rsidR="00D56A91" w:rsidRPr="00551729" w:rsidRDefault="00D56A91" w:rsidP="00D56A91">
      <w:pPr>
        <w:pStyle w:val="TEKSTIII"/>
        <w:jc w:val="center"/>
        <w:rPr>
          <w:b/>
        </w:rPr>
      </w:pPr>
    </w:p>
    <w:p w14:paraId="1BADD2DD" w14:textId="77777777" w:rsidR="00D56A91" w:rsidRPr="00551729" w:rsidRDefault="00D56A91" w:rsidP="00D56A91">
      <w:pPr>
        <w:pStyle w:val="TEKSTIII"/>
        <w:jc w:val="center"/>
        <w:rPr>
          <w:b/>
        </w:rPr>
      </w:pPr>
      <w:r w:rsidRPr="00551729">
        <w:rPr>
          <w:b/>
        </w:rPr>
        <w:t>MODEL</w:t>
      </w:r>
    </w:p>
    <w:p w14:paraId="1BADD2DE" w14:textId="77777777" w:rsidR="00D56A91" w:rsidRPr="00551729" w:rsidRDefault="00D56A91" w:rsidP="00D56A91">
      <w:pPr>
        <w:pStyle w:val="TEKSTIII"/>
        <w:jc w:val="center"/>
        <w:rPr>
          <w:b/>
        </w:rPr>
      </w:pPr>
      <w:r w:rsidRPr="00551729">
        <w:rPr>
          <w:b/>
        </w:rPr>
        <w:t>Raporti Vjetor i Zbatimit: &lt;Viti&gt;</w:t>
      </w:r>
    </w:p>
    <w:p w14:paraId="1BADD2DF" w14:textId="77777777" w:rsidR="00D56A91" w:rsidRPr="00551729" w:rsidRDefault="00D56A91" w:rsidP="00D56A91">
      <w:pPr>
        <w:pStyle w:val="TEKSTIII"/>
        <w:jc w:val="center"/>
        <w:rPr>
          <w:b/>
        </w:rPr>
      </w:pPr>
    </w:p>
    <w:p w14:paraId="1BADD2E0" w14:textId="77777777" w:rsidR="00D56A91" w:rsidRPr="00551729" w:rsidRDefault="00D56A91" w:rsidP="00D56A91">
      <w:pPr>
        <w:pStyle w:val="TEKSTIII"/>
        <w:jc w:val="center"/>
        <w:rPr>
          <w:b/>
        </w:rPr>
      </w:pPr>
    </w:p>
    <w:p w14:paraId="1BADD2E1" w14:textId="4E77512C" w:rsidR="00D56A91" w:rsidRPr="00551729" w:rsidRDefault="00194CF0" w:rsidP="00D56A91">
      <w:pPr>
        <w:pStyle w:val="TEKSTIII"/>
        <w:jc w:val="center"/>
        <w:rPr>
          <w:b/>
        </w:rPr>
      </w:pPr>
      <w:r>
        <w:rPr>
          <w:b/>
        </w:rPr>
        <w:t>Bashkëpunimi Ndër</w:t>
      </w:r>
      <w:r w:rsidR="00D56A91" w:rsidRPr="00551729">
        <w:rPr>
          <w:b/>
        </w:rPr>
        <w:t>kufitar ndërmjet përfituesve të vendeve IPA II</w:t>
      </w:r>
    </w:p>
    <w:p w14:paraId="1BADD2E3" w14:textId="5BC25A58" w:rsidR="00D56A91" w:rsidRPr="00551729" w:rsidRDefault="00D56A91" w:rsidP="00D56A91">
      <w:pPr>
        <w:pStyle w:val="TEKSTIII"/>
        <w:jc w:val="center"/>
        <w:rPr>
          <w:b/>
        </w:rPr>
      </w:pPr>
      <w:r w:rsidRPr="00551729">
        <w:rPr>
          <w:b/>
        </w:rPr>
        <w:t>(</w:t>
      </w:r>
      <w:r w:rsidR="00FE1429" w:rsidRPr="00551729">
        <w:rPr>
          <w:b/>
        </w:rPr>
        <w:t xml:space="preserve">neni </w:t>
      </w:r>
      <w:r w:rsidRPr="00551729">
        <w:rPr>
          <w:b/>
        </w:rPr>
        <w:t>80 i Marrëveshjes Kuadër)</w:t>
      </w:r>
    </w:p>
    <w:p w14:paraId="1BADD2E4" w14:textId="77777777" w:rsidR="00D56A91" w:rsidRPr="00551729" w:rsidRDefault="00D56A91" w:rsidP="00D56A91">
      <w:pPr>
        <w:pStyle w:val="TEKSTIII"/>
      </w:pPr>
    </w:p>
    <w:p w14:paraId="1BADD2E5" w14:textId="77777777" w:rsidR="00D56A91" w:rsidRPr="00551729" w:rsidRDefault="00D56A91" w:rsidP="00D56A91">
      <w:pPr>
        <w:pStyle w:val="TEKSTIII"/>
      </w:pPr>
      <w:r w:rsidRPr="00551729">
        <w:t>Tabela e Përmbajtjes</w:t>
      </w:r>
    </w:p>
    <w:p w14:paraId="1BADD2E6" w14:textId="263E830E" w:rsidR="00D56A91" w:rsidRPr="00551729" w:rsidRDefault="00D56A91" w:rsidP="00D56A91">
      <w:pPr>
        <w:pStyle w:val="TEKSTIII"/>
      </w:pPr>
      <w:r w:rsidRPr="00551729">
        <w:t xml:space="preserve">Fjalori i </w:t>
      </w:r>
      <w:r w:rsidR="0013687B" w:rsidRPr="00551729">
        <w:t>akronimeve</w:t>
      </w:r>
    </w:p>
    <w:p w14:paraId="1BADD2E7" w14:textId="77777777" w:rsidR="00D56A91" w:rsidRPr="00551729" w:rsidRDefault="00D56A91" w:rsidP="00D56A91">
      <w:pPr>
        <w:pStyle w:val="TEKSTIII"/>
      </w:pPr>
      <w:r w:rsidRPr="00551729">
        <w:t>1.</w:t>
      </w:r>
      <w:r w:rsidR="003C7A98" w:rsidRPr="00551729">
        <w:t xml:space="preserve"> </w:t>
      </w:r>
      <w:r w:rsidRPr="00551729">
        <w:t>Identifikimi</w:t>
      </w:r>
    </w:p>
    <w:p w14:paraId="1BADD2E8" w14:textId="74EB08C4" w:rsidR="00D56A91" w:rsidRPr="00551729" w:rsidRDefault="00D56A91" w:rsidP="00D56A91">
      <w:pPr>
        <w:pStyle w:val="TEKSTIII"/>
      </w:pPr>
      <w:r w:rsidRPr="00551729">
        <w:t>2.</w:t>
      </w:r>
      <w:r w:rsidR="003C7A98" w:rsidRPr="00551729">
        <w:t xml:space="preserve"> </w:t>
      </w:r>
      <w:r w:rsidRPr="00551729">
        <w:t>Pasqyrë e zbatimit</w:t>
      </w:r>
      <w:r w:rsidR="00C521D5" w:rsidRPr="00551729">
        <w:t xml:space="preserve"> </w:t>
      </w:r>
      <w:r w:rsidRPr="00551729">
        <w:t>të programit</w:t>
      </w:r>
      <w:r w:rsidR="00C521D5" w:rsidRPr="00551729">
        <w:t xml:space="preserve"> </w:t>
      </w:r>
      <w:r w:rsidRPr="00551729">
        <w:t xml:space="preserve">ndërkufitar </w:t>
      </w:r>
    </w:p>
    <w:p w14:paraId="1BADD2E9" w14:textId="77777777" w:rsidR="00D56A91" w:rsidRPr="00551729" w:rsidRDefault="00D56A91" w:rsidP="00D56A91">
      <w:pPr>
        <w:pStyle w:val="TEKSTIII"/>
      </w:pPr>
      <w:r w:rsidRPr="00551729">
        <w:t>2.1</w:t>
      </w:r>
      <w:r w:rsidR="003C7A98" w:rsidRPr="00551729">
        <w:t xml:space="preserve"> </w:t>
      </w:r>
      <w:r w:rsidRPr="00551729">
        <w:t>Analiza e progresit dhe arritjeve</w:t>
      </w:r>
    </w:p>
    <w:p w14:paraId="1BADD2EA" w14:textId="77777777" w:rsidR="00D56A91" w:rsidRPr="00551729" w:rsidRDefault="00D56A91" w:rsidP="00D56A91">
      <w:pPr>
        <w:pStyle w:val="TEKSTIII"/>
      </w:pPr>
      <w:r w:rsidRPr="00551729">
        <w:t>2.2</w:t>
      </w:r>
      <w:r w:rsidR="003C7A98" w:rsidRPr="00551729">
        <w:t xml:space="preserve"> </w:t>
      </w:r>
      <w:r w:rsidRPr="00551729">
        <w:t>Progresi i bërë në zbatimin e programit ndërkufitar</w:t>
      </w:r>
    </w:p>
    <w:p w14:paraId="1BADD2EB" w14:textId="77777777" w:rsidR="00D56A91" w:rsidRPr="00551729" w:rsidRDefault="00D56A91" w:rsidP="00D56A91">
      <w:pPr>
        <w:pStyle w:val="TEKSTIII"/>
      </w:pPr>
      <w:r w:rsidRPr="00551729">
        <w:t>2.2.1</w:t>
      </w:r>
      <w:r w:rsidR="003C7A98" w:rsidRPr="00551729">
        <w:t xml:space="preserve"> </w:t>
      </w:r>
      <w:r w:rsidRPr="00551729">
        <w:t>Analiza sasiore</w:t>
      </w:r>
    </w:p>
    <w:p w14:paraId="1BADD2EC" w14:textId="77777777" w:rsidR="00D56A91" w:rsidRPr="00551729" w:rsidRDefault="00D56A91" w:rsidP="00D56A91">
      <w:pPr>
        <w:pStyle w:val="TEKSTIII"/>
      </w:pPr>
      <w:r w:rsidRPr="00551729">
        <w:t>2.2.2</w:t>
      </w:r>
      <w:r w:rsidR="003C7A98" w:rsidRPr="00551729">
        <w:t xml:space="preserve"> </w:t>
      </w:r>
      <w:r w:rsidRPr="00551729">
        <w:t>Analiza cilësore</w:t>
      </w:r>
    </w:p>
    <w:p w14:paraId="1BADD2ED" w14:textId="77777777" w:rsidR="00D56A91" w:rsidRPr="00551729" w:rsidRDefault="00D56A91" w:rsidP="00D56A91">
      <w:pPr>
        <w:pStyle w:val="TEKSTIII"/>
      </w:pPr>
      <w:r w:rsidRPr="00551729">
        <w:t>2.3</w:t>
      </w:r>
      <w:r w:rsidR="003C7A98" w:rsidRPr="00551729">
        <w:t xml:space="preserve"> </w:t>
      </w:r>
      <w:r w:rsidRPr="00551729">
        <w:t>Informacion i detajuar mbi ekzekutimin financiar të programit ndërkufitar</w:t>
      </w:r>
    </w:p>
    <w:p w14:paraId="1BADD2EE" w14:textId="77777777" w:rsidR="00D56A91" w:rsidRPr="00551729" w:rsidRDefault="00D56A91" w:rsidP="00D56A91">
      <w:pPr>
        <w:pStyle w:val="TEKSTIII"/>
      </w:pPr>
      <w:r w:rsidRPr="00551729">
        <w:t>2.4</w:t>
      </w:r>
      <w:r w:rsidR="003C7A98" w:rsidRPr="00551729">
        <w:t xml:space="preserve"> </w:t>
      </w:r>
      <w:r w:rsidRPr="00551729">
        <w:t>Informacion mbi hapat e ndërmarrë nga struktura operuese dhe/ose nga komiteti</w:t>
      </w:r>
    </w:p>
    <w:p w14:paraId="1BADD2EF" w14:textId="77777777" w:rsidR="00D56A91" w:rsidRPr="00551729" w:rsidRDefault="00D56A91" w:rsidP="00D56A91">
      <w:pPr>
        <w:pStyle w:val="TEKSTIII"/>
      </w:pPr>
      <w:r w:rsidRPr="00551729">
        <w:t>përbashkët i monitorimit për të siguruar cilësinë dhe efektivitetin e zbatimit</w:t>
      </w:r>
    </w:p>
    <w:p w14:paraId="1BADD2F0" w14:textId="77777777" w:rsidR="00D56A91" w:rsidRPr="00551729" w:rsidRDefault="00D56A91" w:rsidP="00D56A91">
      <w:pPr>
        <w:pStyle w:val="TEKSTIII"/>
      </w:pPr>
      <w:r w:rsidRPr="00551729">
        <w:t>2.4.1</w:t>
      </w:r>
      <w:r w:rsidR="003C7A98" w:rsidRPr="00551729">
        <w:t xml:space="preserve"> </w:t>
      </w:r>
      <w:r w:rsidRPr="00551729">
        <w:t>Monitorimi dhe vlerësimi</w:t>
      </w:r>
    </w:p>
    <w:p w14:paraId="1BADD2F1" w14:textId="660EEAD1" w:rsidR="00D56A91" w:rsidRPr="00551729" w:rsidRDefault="00D56A91" w:rsidP="00D56A91">
      <w:pPr>
        <w:pStyle w:val="TEKSTIII"/>
      </w:pPr>
      <w:r w:rsidRPr="00551729">
        <w:t>2.4.2</w:t>
      </w:r>
      <w:r w:rsidR="003C7A98" w:rsidRPr="00551729">
        <w:t xml:space="preserve"> </w:t>
      </w:r>
      <w:r w:rsidRPr="00551729">
        <w:t xml:space="preserve">Problemet e hasura dhe veprimet </w:t>
      </w:r>
      <w:r w:rsidR="009F02F5" w:rsidRPr="00551729">
        <w:t>korrigjuese</w:t>
      </w:r>
    </w:p>
    <w:p w14:paraId="1BADD2F2" w14:textId="77777777" w:rsidR="00D56A91" w:rsidRPr="00551729" w:rsidRDefault="00D56A91" w:rsidP="00D56A91">
      <w:pPr>
        <w:pStyle w:val="TEKSTIII"/>
      </w:pPr>
      <w:r w:rsidRPr="00551729">
        <w:t>2.5</w:t>
      </w:r>
      <w:r w:rsidR="003C7A98" w:rsidRPr="00551729">
        <w:t xml:space="preserve"> </w:t>
      </w:r>
      <w:r w:rsidRPr="00551729">
        <w:t>Vizibiliteti dhe publiciteti</w:t>
      </w:r>
    </w:p>
    <w:p w14:paraId="1BADD2F3" w14:textId="0B62C5AC" w:rsidR="00D56A91" w:rsidRPr="00551729" w:rsidRDefault="00D56A91" w:rsidP="00D56A91">
      <w:pPr>
        <w:pStyle w:val="TEKSTIII"/>
      </w:pPr>
      <w:r w:rsidRPr="00551729">
        <w:t>2.6</w:t>
      </w:r>
      <w:r w:rsidR="00C521D5" w:rsidRPr="00551729">
        <w:t xml:space="preserve"> </w:t>
      </w:r>
      <w:r w:rsidRPr="00551729">
        <w:t>Përdorimi i asistencës teknike</w:t>
      </w:r>
      <w:r w:rsidR="00C521D5" w:rsidRPr="00551729">
        <w:t xml:space="preserve"> </w:t>
      </w:r>
    </w:p>
    <w:p w14:paraId="1BADD2F4" w14:textId="77777777" w:rsidR="00D56A91" w:rsidRPr="00551729" w:rsidRDefault="00D56A91" w:rsidP="00D56A91">
      <w:pPr>
        <w:pStyle w:val="TEKSTIII"/>
      </w:pPr>
      <w:r w:rsidRPr="00551729">
        <w:t>2.7</w:t>
      </w:r>
      <w:r w:rsidR="003C7A98" w:rsidRPr="00551729">
        <w:t xml:space="preserve"> </w:t>
      </w:r>
      <w:r w:rsidRPr="00551729">
        <w:t>Ndryshimet në kontekstin e zbatimit të programit ndërkufitar</w:t>
      </w:r>
    </w:p>
    <w:p w14:paraId="1BADD2F5" w14:textId="77777777" w:rsidR="00D56A91" w:rsidRPr="00551729" w:rsidRDefault="00D56A91" w:rsidP="00D56A91">
      <w:pPr>
        <w:pStyle w:val="TEKSTIII"/>
      </w:pPr>
      <w:r w:rsidRPr="00551729">
        <w:t>2.8</w:t>
      </w:r>
      <w:r w:rsidR="003C7A98" w:rsidRPr="00551729">
        <w:t xml:space="preserve"> </w:t>
      </w:r>
      <w:r w:rsidRPr="00551729">
        <w:t>Ndërveprimet me sektorët e tjerë, politikat apo instrumentet</w:t>
      </w:r>
    </w:p>
    <w:p w14:paraId="1BADD2F6" w14:textId="77777777" w:rsidR="00D56A91" w:rsidRPr="00551729" w:rsidRDefault="00D56A91" w:rsidP="00D56A91">
      <w:pPr>
        <w:pStyle w:val="TEKSTIII"/>
      </w:pPr>
      <w:r w:rsidRPr="00551729">
        <w:t>2.9</w:t>
      </w:r>
      <w:r w:rsidR="003C7A98" w:rsidRPr="00551729">
        <w:t xml:space="preserve"> </w:t>
      </w:r>
      <w:r w:rsidRPr="00551729">
        <w:t>Historitë e suksesit</w:t>
      </w:r>
    </w:p>
    <w:p w14:paraId="1BADD2F7" w14:textId="77777777" w:rsidR="00D56A91" w:rsidRPr="00551729" w:rsidRDefault="00D56A91" w:rsidP="00D56A91">
      <w:pPr>
        <w:pStyle w:val="TEKSTIII"/>
        <w:rPr>
          <w:b/>
        </w:rPr>
      </w:pPr>
    </w:p>
    <w:p w14:paraId="1BADD2F8" w14:textId="77777777" w:rsidR="00B57C4C" w:rsidRPr="00551729" w:rsidRDefault="00B57C4C" w:rsidP="00B57C4C">
      <w:pPr>
        <w:pStyle w:val="TEKSTIII"/>
        <w:rPr>
          <w:b/>
        </w:rPr>
      </w:pPr>
      <w:r w:rsidRPr="00551729">
        <w:rPr>
          <w:b/>
        </w:rPr>
        <w:t>Fjalori i akronimeve</w:t>
      </w:r>
    </w:p>
    <w:p w14:paraId="1BADD2F9" w14:textId="77777777" w:rsidR="00971CA1" w:rsidRPr="00551729" w:rsidRDefault="00971CA1" w:rsidP="00971CA1">
      <w:pPr>
        <w:pStyle w:val="TEKSTIII"/>
      </w:pPr>
      <w:r w:rsidRPr="00551729">
        <w:t>&lt;…&gt;</w:t>
      </w:r>
    </w:p>
    <w:p w14:paraId="1BADD2FA" w14:textId="77777777" w:rsidR="00B57C4C" w:rsidRPr="00551729" w:rsidRDefault="00B57C4C" w:rsidP="00D56A91">
      <w:pPr>
        <w:pStyle w:val="TEKSTIII"/>
        <w:rPr>
          <w:b/>
        </w:rPr>
      </w:pPr>
    </w:p>
    <w:p w14:paraId="1BADD2FB" w14:textId="77777777" w:rsidR="00971CA1" w:rsidRPr="00551729" w:rsidRDefault="00971CA1" w:rsidP="00971CA1">
      <w:pPr>
        <w:pStyle w:val="TEKSTIII"/>
        <w:rPr>
          <w:b/>
        </w:rPr>
      </w:pPr>
      <w:r w:rsidRPr="00551729">
        <w:rPr>
          <w:b/>
        </w:rPr>
        <w:t>1.</w:t>
      </w:r>
      <w:r w:rsidRPr="00551729">
        <w:t xml:space="preserve"> </w:t>
      </w:r>
      <w:r w:rsidRPr="00551729">
        <w:rPr>
          <w:b/>
        </w:rPr>
        <w:t>Identifikimi</w:t>
      </w:r>
    </w:p>
    <w:p w14:paraId="1BADD2FC" w14:textId="77777777" w:rsidR="00971CA1" w:rsidRPr="00551729" w:rsidRDefault="00971CA1" w:rsidP="00971CA1">
      <w:pPr>
        <w:pStyle w:val="TEKSTIII"/>
      </w:pP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971CA1" w:rsidRPr="00551729" w14:paraId="1BADD300" w14:textId="77777777" w:rsidTr="00C521D5">
        <w:trPr>
          <w:cantSplit/>
          <w:trHeight w:val="812"/>
        </w:trPr>
        <w:tc>
          <w:tcPr>
            <w:tcW w:w="4421" w:type="dxa"/>
            <w:vMerge w:val="restart"/>
          </w:tcPr>
          <w:p w14:paraId="1BADD2FD" w14:textId="77777777" w:rsidR="00971CA1" w:rsidRPr="00551729" w:rsidRDefault="00971CA1" w:rsidP="00971CA1">
            <w:pPr>
              <w:pStyle w:val="TEKSTIII"/>
              <w:ind w:firstLine="0"/>
              <w:rPr>
                <w:sz w:val="18"/>
                <w:szCs w:val="18"/>
              </w:rPr>
            </w:pPr>
            <w:r w:rsidRPr="00551729">
              <w:rPr>
                <w:sz w:val="18"/>
                <w:szCs w:val="18"/>
              </w:rPr>
              <w:t>PROGRAMI I BASHKËPUNIMIT NDËRKUFITAR</w:t>
            </w:r>
          </w:p>
        </w:tc>
        <w:tc>
          <w:tcPr>
            <w:tcW w:w="5597" w:type="dxa"/>
          </w:tcPr>
          <w:p w14:paraId="1BADD2FE" w14:textId="77777777" w:rsidR="00971CA1" w:rsidRPr="00551729" w:rsidRDefault="00971CA1" w:rsidP="00971CA1">
            <w:pPr>
              <w:pStyle w:val="TEKSTIII"/>
              <w:ind w:firstLine="0"/>
              <w:rPr>
                <w:sz w:val="18"/>
                <w:szCs w:val="18"/>
              </w:rPr>
            </w:pPr>
            <w:r w:rsidRPr="00551729">
              <w:rPr>
                <w:sz w:val="18"/>
                <w:szCs w:val="18"/>
              </w:rPr>
              <w:t>Titulli i Programit:</w:t>
            </w:r>
          </w:p>
          <w:p w14:paraId="1BADD2FF" w14:textId="77777777" w:rsidR="00971CA1" w:rsidRPr="00551729" w:rsidRDefault="00971CA1" w:rsidP="00971CA1">
            <w:pPr>
              <w:pStyle w:val="TEKSTIII"/>
              <w:ind w:firstLine="0"/>
              <w:rPr>
                <w:sz w:val="18"/>
                <w:szCs w:val="18"/>
              </w:rPr>
            </w:pPr>
            <w:r w:rsidRPr="00551729">
              <w:rPr>
                <w:sz w:val="18"/>
                <w:szCs w:val="18"/>
              </w:rPr>
              <w:t xml:space="preserve">Programi i Bashkëpunimit Ndërkufitar &lt;vendi A&gt; – &lt; vendi B&gt; </w:t>
            </w:r>
          </w:p>
        </w:tc>
      </w:tr>
      <w:tr w:rsidR="00971CA1" w:rsidRPr="00551729" w14:paraId="1BADD303" w14:textId="77777777" w:rsidTr="00C521D5">
        <w:trPr>
          <w:cantSplit/>
          <w:trHeight w:val="851"/>
        </w:trPr>
        <w:tc>
          <w:tcPr>
            <w:tcW w:w="4421" w:type="dxa"/>
            <w:vMerge/>
          </w:tcPr>
          <w:p w14:paraId="1BADD301" w14:textId="77777777" w:rsidR="00971CA1" w:rsidRPr="00551729" w:rsidRDefault="00971CA1" w:rsidP="00971CA1">
            <w:pPr>
              <w:pStyle w:val="TEKSTIII"/>
              <w:ind w:firstLine="0"/>
              <w:rPr>
                <w:sz w:val="18"/>
                <w:szCs w:val="18"/>
              </w:rPr>
            </w:pPr>
          </w:p>
        </w:tc>
        <w:tc>
          <w:tcPr>
            <w:tcW w:w="5597" w:type="dxa"/>
          </w:tcPr>
          <w:p w14:paraId="1BADD302" w14:textId="77777777" w:rsidR="00971CA1" w:rsidRPr="00551729" w:rsidRDefault="00971CA1" w:rsidP="00971CA1">
            <w:pPr>
              <w:pStyle w:val="TEKSTIII"/>
              <w:ind w:firstLine="0"/>
              <w:rPr>
                <w:sz w:val="18"/>
                <w:szCs w:val="18"/>
              </w:rPr>
            </w:pPr>
            <w:r w:rsidRPr="00551729">
              <w:rPr>
                <w:sz w:val="18"/>
                <w:szCs w:val="18"/>
              </w:rPr>
              <w:t>&lt;Përfitimet/alokimet për vitin 20XX-20XX: &lt;shuma, duke përfshirë Kontratën e Shërbimit të Asistencës Teknike (K.SH.A.T.) &gt;</w:t>
            </w:r>
          </w:p>
        </w:tc>
      </w:tr>
      <w:tr w:rsidR="00971CA1" w:rsidRPr="00551729" w14:paraId="1BADD306" w14:textId="77777777" w:rsidTr="00C521D5">
        <w:trPr>
          <w:cantSplit/>
          <w:trHeight w:val="756"/>
        </w:trPr>
        <w:tc>
          <w:tcPr>
            <w:tcW w:w="4421" w:type="dxa"/>
            <w:vMerge w:val="restart"/>
          </w:tcPr>
          <w:p w14:paraId="1BADD304" w14:textId="77777777" w:rsidR="00971CA1" w:rsidRPr="00551729" w:rsidRDefault="00971CA1" w:rsidP="00971CA1">
            <w:pPr>
              <w:pStyle w:val="TEKSTIII"/>
              <w:ind w:firstLine="0"/>
              <w:rPr>
                <w:sz w:val="18"/>
                <w:szCs w:val="18"/>
              </w:rPr>
            </w:pPr>
            <w:r w:rsidRPr="00551729">
              <w:rPr>
                <w:sz w:val="18"/>
                <w:szCs w:val="18"/>
              </w:rPr>
              <w:t>RAPORTI VJETOR MBI ZBATIMIN</w:t>
            </w:r>
          </w:p>
        </w:tc>
        <w:tc>
          <w:tcPr>
            <w:tcW w:w="5597" w:type="dxa"/>
          </w:tcPr>
          <w:p w14:paraId="1BADD305" w14:textId="77777777" w:rsidR="00971CA1" w:rsidRPr="00551729" w:rsidRDefault="00971CA1" w:rsidP="00971CA1">
            <w:pPr>
              <w:pStyle w:val="TEKSTIII"/>
              <w:ind w:firstLine="0"/>
              <w:rPr>
                <w:sz w:val="18"/>
                <w:szCs w:val="18"/>
              </w:rPr>
            </w:pPr>
            <w:r w:rsidRPr="00551729">
              <w:rPr>
                <w:sz w:val="18"/>
                <w:szCs w:val="18"/>
              </w:rPr>
              <w:t>Viti i Raportimit &lt;nga 1 janari 20XX deri më 31 dhjetor 20XX &gt;</w:t>
            </w:r>
          </w:p>
        </w:tc>
      </w:tr>
      <w:tr w:rsidR="00971CA1" w:rsidRPr="00551729" w14:paraId="1BADD30B" w14:textId="77777777" w:rsidTr="00C521D5">
        <w:trPr>
          <w:cantSplit/>
          <w:trHeight w:val="1237"/>
        </w:trPr>
        <w:tc>
          <w:tcPr>
            <w:tcW w:w="4421" w:type="dxa"/>
            <w:vMerge/>
          </w:tcPr>
          <w:p w14:paraId="1BADD307" w14:textId="77777777" w:rsidR="00971CA1" w:rsidRPr="00551729" w:rsidRDefault="00971CA1" w:rsidP="00971CA1">
            <w:pPr>
              <w:pStyle w:val="TEKSTIII"/>
              <w:ind w:firstLine="0"/>
              <w:rPr>
                <w:sz w:val="18"/>
                <w:szCs w:val="18"/>
              </w:rPr>
            </w:pPr>
          </w:p>
        </w:tc>
        <w:tc>
          <w:tcPr>
            <w:tcW w:w="5597" w:type="dxa"/>
          </w:tcPr>
          <w:p w14:paraId="1BADD308" w14:textId="77777777" w:rsidR="00971CA1" w:rsidRPr="00551729" w:rsidRDefault="00971CA1" w:rsidP="00971CA1">
            <w:pPr>
              <w:pStyle w:val="TEKSTIII"/>
              <w:ind w:firstLine="0"/>
              <w:rPr>
                <w:sz w:val="18"/>
                <w:szCs w:val="18"/>
              </w:rPr>
            </w:pPr>
            <w:r w:rsidRPr="00551729">
              <w:rPr>
                <w:sz w:val="18"/>
                <w:szCs w:val="18"/>
              </w:rPr>
              <w:t>Përgatitur nga:</w:t>
            </w:r>
          </w:p>
          <w:p w14:paraId="1BADD309" w14:textId="77777777" w:rsidR="00971CA1" w:rsidRPr="00551729" w:rsidRDefault="00971CA1" w:rsidP="00971CA1">
            <w:pPr>
              <w:pStyle w:val="TEKSTIII"/>
              <w:ind w:firstLine="0"/>
              <w:rPr>
                <w:sz w:val="18"/>
                <w:szCs w:val="18"/>
              </w:rPr>
            </w:pPr>
            <w:r w:rsidRPr="00551729">
              <w:rPr>
                <w:sz w:val="18"/>
                <w:szCs w:val="18"/>
              </w:rPr>
              <w:t>&lt;struktura operuese, vendi X&gt;</w:t>
            </w:r>
          </w:p>
          <w:p w14:paraId="1BADD30A" w14:textId="77777777" w:rsidR="00971CA1" w:rsidRPr="00551729" w:rsidRDefault="00971CA1" w:rsidP="00971CA1">
            <w:pPr>
              <w:pStyle w:val="TEKSTIII"/>
              <w:ind w:firstLine="0"/>
              <w:rPr>
                <w:sz w:val="18"/>
                <w:szCs w:val="18"/>
              </w:rPr>
            </w:pPr>
            <w:r w:rsidRPr="00551729">
              <w:rPr>
                <w:sz w:val="18"/>
                <w:szCs w:val="18"/>
              </w:rPr>
              <w:t>&lt; struktura operuese, vendi Y&gt;</w:t>
            </w:r>
          </w:p>
        </w:tc>
      </w:tr>
      <w:tr w:rsidR="00971CA1" w:rsidRPr="00551729" w14:paraId="1BADD30E" w14:textId="77777777" w:rsidTr="00971CA1">
        <w:trPr>
          <w:cantSplit/>
          <w:trHeight w:val="1237"/>
        </w:trPr>
        <w:tc>
          <w:tcPr>
            <w:tcW w:w="4421" w:type="dxa"/>
            <w:vMerge/>
          </w:tcPr>
          <w:p w14:paraId="1BADD30C" w14:textId="77777777" w:rsidR="00971CA1" w:rsidRPr="00551729" w:rsidRDefault="00971CA1" w:rsidP="00971CA1">
            <w:pPr>
              <w:pStyle w:val="TEKSTIII"/>
              <w:ind w:firstLine="0"/>
              <w:rPr>
                <w:sz w:val="18"/>
                <w:szCs w:val="18"/>
              </w:rPr>
            </w:pPr>
          </w:p>
        </w:tc>
        <w:tc>
          <w:tcPr>
            <w:tcW w:w="5597" w:type="dxa"/>
          </w:tcPr>
          <w:p w14:paraId="1BADD30D" w14:textId="77777777" w:rsidR="00971CA1" w:rsidRPr="00551729" w:rsidRDefault="00971CA1" w:rsidP="00971CA1">
            <w:pPr>
              <w:pStyle w:val="TEKSTIII"/>
              <w:ind w:firstLine="0"/>
              <w:rPr>
                <w:sz w:val="18"/>
                <w:szCs w:val="18"/>
              </w:rPr>
            </w:pPr>
            <w:r w:rsidRPr="00551729">
              <w:rPr>
                <w:sz w:val="18"/>
                <w:szCs w:val="18"/>
              </w:rPr>
              <w:t>Data e shqyrtimit të raportit vjetor nga Komiteti i Përbashkët Monitorues: &lt;data dhe lloji i procedurës së miratimit, p.sh. mbledhje apo me shkrim&gt;</w:t>
            </w:r>
          </w:p>
        </w:tc>
      </w:tr>
      <w:tr w:rsidR="00971CA1" w:rsidRPr="00551729" w14:paraId="1BADD311" w14:textId="77777777" w:rsidTr="00971CA1">
        <w:trPr>
          <w:cantSplit/>
          <w:trHeight w:val="816"/>
        </w:trPr>
        <w:tc>
          <w:tcPr>
            <w:tcW w:w="4421" w:type="dxa"/>
            <w:vMerge/>
          </w:tcPr>
          <w:p w14:paraId="1BADD30F" w14:textId="77777777" w:rsidR="00971CA1" w:rsidRPr="00551729" w:rsidRDefault="00971CA1" w:rsidP="00971CA1">
            <w:pPr>
              <w:pStyle w:val="TEKSTIII"/>
              <w:ind w:firstLine="0"/>
              <w:rPr>
                <w:sz w:val="18"/>
                <w:szCs w:val="18"/>
              </w:rPr>
            </w:pPr>
          </w:p>
        </w:tc>
        <w:tc>
          <w:tcPr>
            <w:tcW w:w="5597" w:type="dxa"/>
          </w:tcPr>
          <w:p w14:paraId="1BADD310" w14:textId="77777777" w:rsidR="00971CA1" w:rsidRPr="00551729" w:rsidRDefault="00971CA1" w:rsidP="00971CA1">
            <w:pPr>
              <w:pStyle w:val="TEKSTIII"/>
              <w:ind w:firstLine="0"/>
              <w:rPr>
                <w:sz w:val="18"/>
                <w:szCs w:val="18"/>
              </w:rPr>
            </w:pPr>
            <w:r w:rsidRPr="00551729">
              <w:rPr>
                <w:sz w:val="18"/>
                <w:szCs w:val="18"/>
              </w:rPr>
              <w:t>Zona e lejueshme e Programit: &lt;........&gt;</w:t>
            </w:r>
          </w:p>
        </w:tc>
      </w:tr>
    </w:tbl>
    <w:p w14:paraId="1BADD312" w14:textId="77777777" w:rsidR="00971CA1" w:rsidRPr="00551729" w:rsidRDefault="00971CA1" w:rsidP="00971CA1">
      <w:pPr>
        <w:pStyle w:val="TEKSTIII"/>
      </w:pPr>
    </w:p>
    <w:p w14:paraId="1BADD313" w14:textId="67460DA8" w:rsidR="00971CA1" w:rsidRPr="00551729" w:rsidRDefault="00971CA1" w:rsidP="00971CA1">
      <w:pPr>
        <w:pStyle w:val="TEKSTIII"/>
        <w:rPr>
          <w:lang w:eastAsia="ko-KR"/>
        </w:rPr>
      </w:pPr>
      <w:r w:rsidRPr="00551729">
        <w:rPr>
          <w:lang w:eastAsia="ko-KR"/>
        </w:rPr>
        <w:t>Baza ligjore: Neni 80 i Marrëveshjes Kuadër IPA II</w:t>
      </w:r>
      <w:r w:rsidR="00C521D5" w:rsidRPr="00551729">
        <w:rPr>
          <w:lang w:eastAsia="ko-KR"/>
        </w:rPr>
        <w:t xml:space="preserve"> </w:t>
      </w:r>
    </w:p>
    <w:p w14:paraId="46CBA356" w14:textId="77777777" w:rsidR="001F5EE7" w:rsidRDefault="001F5EE7" w:rsidP="001F5EE7">
      <w:pPr>
        <w:pStyle w:val="TEKSTIII"/>
        <w:ind w:firstLine="0"/>
      </w:pPr>
    </w:p>
    <w:p w14:paraId="3732AD74" w14:textId="504154D5" w:rsidR="001F5EE7" w:rsidRDefault="001F5EE7" w:rsidP="001F5EE7">
      <w:pPr>
        <w:pStyle w:val="TEKSTIII"/>
        <w:ind w:firstLine="0"/>
        <w:jc w:val="center"/>
      </w:pPr>
      <w:r w:rsidRPr="00551729">
        <w:t>SHTOJCA III</w:t>
      </w:r>
    </w:p>
    <w:p w14:paraId="5F3B620A" w14:textId="77777777" w:rsidR="001F5EE7" w:rsidRDefault="001F5EE7" w:rsidP="001F5EE7">
      <w:pPr>
        <w:pStyle w:val="TEKSTIII"/>
        <w:ind w:firstLine="0"/>
        <w:jc w:val="center"/>
      </w:pPr>
      <w:r w:rsidRPr="00551729">
        <w:t>RAPORTI VJETOR I ZBATIMIT - MARRË</w:t>
      </w:r>
      <w:r>
        <w:t>VESHJA E FINANCIMIT IPA II BNK</w:t>
      </w:r>
    </w:p>
    <w:p w14:paraId="1BADD315" w14:textId="76C11BC3" w:rsidR="00971CA1" w:rsidRPr="00551729" w:rsidRDefault="001F5EE7" w:rsidP="001F5EE7">
      <w:pPr>
        <w:pStyle w:val="TEKSTIII"/>
        <w:ind w:firstLine="0"/>
        <w:jc w:val="center"/>
      </w:pPr>
      <w:r w:rsidRPr="00551729">
        <w:t>Versioni janar 2018</w:t>
      </w:r>
    </w:p>
    <w:p w14:paraId="1BADD316" w14:textId="77777777" w:rsidR="00971CA1" w:rsidRPr="00551729" w:rsidRDefault="00971CA1" w:rsidP="00971CA1">
      <w:pPr>
        <w:pStyle w:val="TEKSTIII"/>
      </w:pPr>
    </w:p>
    <w:p w14:paraId="1BADD317" w14:textId="77777777" w:rsidR="00971CA1" w:rsidRPr="00551729" w:rsidRDefault="00971CA1" w:rsidP="00971CA1">
      <w:pPr>
        <w:pStyle w:val="TEKSTIII"/>
        <w:rPr>
          <w:b/>
        </w:rPr>
      </w:pPr>
      <w:r w:rsidRPr="00551729">
        <w:rPr>
          <w:b/>
        </w:rPr>
        <w:t>2.</w:t>
      </w:r>
      <w:r w:rsidR="003C7A98" w:rsidRPr="00551729">
        <w:rPr>
          <w:b/>
        </w:rPr>
        <w:t xml:space="preserve"> </w:t>
      </w:r>
      <w:r w:rsidRPr="00551729">
        <w:rPr>
          <w:b/>
        </w:rPr>
        <w:t>Përmbledhje e zbatimit të programit të bashkëpunimit ndërkufitar</w:t>
      </w:r>
    </w:p>
    <w:p w14:paraId="1BADD319" w14:textId="77777777" w:rsidR="00971CA1" w:rsidRPr="00551729" w:rsidRDefault="00971CA1" w:rsidP="00971CA1">
      <w:pPr>
        <w:pStyle w:val="TEKSTIII"/>
        <w:rPr>
          <w:b/>
        </w:rPr>
      </w:pPr>
      <w:r w:rsidRPr="00551729">
        <w:rPr>
          <w:b/>
        </w:rPr>
        <w:t>2.1 Arritjet dhe analiza e progresit</w:t>
      </w:r>
    </w:p>
    <w:p w14:paraId="1BADD31B" w14:textId="77777777" w:rsidR="00971CA1" w:rsidRPr="00551729" w:rsidRDefault="00971CA1" w:rsidP="00971CA1">
      <w:pPr>
        <w:pStyle w:val="TEKSTIII"/>
        <w:rPr>
          <w:i/>
          <w:iCs/>
        </w:rPr>
      </w:pPr>
      <w:r w:rsidRPr="00551729">
        <w:rPr>
          <w:rFonts w:ascii="Arial Narrow" w:hAnsi="Arial Narrow"/>
        </w:rPr>
        <w:t>&lt;</w:t>
      </w:r>
      <w:r w:rsidRPr="00551729">
        <w:rPr>
          <w:i/>
          <w:iCs/>
        </w:rPr>
        <w:t>Përmbledhje e zbatimit të programit gjatë periudhës së mbuluar, të tilla si:</w:t>
      </w:r>
    </w:p>
    <w:p w14:paraId="1BADD31C" w14:textId="77777777" w:rsidR="00971CA1" w:rsidRPr="00551729" w:rsidRDefault="00971CA1" w:rsidP="00971CA1">
      <w:pPr>
        <w:pStyle w:val="TEKSTIII"/>
      </w:pPr>
      <w:r w:rsidRPr="00551729">
        <w:t>1. Progresi me thirrjet për propozime:</w:t>
      </w:r>
    </w:p>
    <w:p w14:paraId="1BADD31D" w14:textId="5C6215F5" w:rsidR="00971CA1" w:rsidRPr="00551729" w:rsidRDefault="00AC7B77" w:rsidP="00971CA1">
      <w:pPr>
        <w:pStyle w:val="TEKSTIII"/>
      </w:pPr>
      <w:r>
        <w:t xml:space="preserve">- </w:t>
      </w:r>
      <w:r w:rsidR="00971CA1" w:rsidRPr="00551729">
        <w:t>Numri i thirrjeve të planifikuara për t</w:t>
      </w:r>
      <w:r w:rsidR="002F2528">
        <w:t>’</w:t>
      </w:r>
      <w:r w:rsidR="00971CA1" w:rsidRPr="00551729">
        <w:t>u shpallur deri në fund të periudhës së programimit dhe kalendari i tyre;</w:t>
      </w:r>
    </w:p>
    <w:p w14:paraId="1BADD31E" w14:textId="39F15236" w:rsidR="00971CA1" w:rsidRPr="00551729" w:rsidRDefault="00AC7B77" w:rsidP="00971CA1">
      <w:pPr>
        <w:pStyle w:val="TEKSTIII"/>
      </w:pPr>
      <w:r>
        <w:t xml:space="preserve">- </w:t>
      </w:r>
      <w:r w:rsidR="00971CA1" w:rsidRPr="00551729">
        <w:t>Situata e thirrjeve për propozime (numri i thirrjeve për propozime të hapura dhe në cilën datë, numri i thirrjeve për propozime të mbyllura dhe në cilën datë, kohëzgjatja e procesit të vlerësimit - kohëzgjatja totale dhe për secilin hap etj</w:t>
      </w:r>
      <w:r w:rsidR="009F02F5">
        <w:t>.</w:t>
      </w:r>
      <w:r w:rsidR="00971CA1" w:rsidRPr="00551729">
        <w:t>);</w:t>
      </w:r>
    </w:p>
    <w:p w14:paraId="1BADD31F" w14:textId="79EBC545" w:rsidR="00971CA1" w:rsidRPr="00551729" w:rsidRDefault="00AC7B77" w:rsidP="00971CA1">
      <w:pPr>
        <w:pStyle w:val="TEKSTIII"/>
      </w:pPr>
      <w:r>
        <w:t xml:space="preserve">- </w:t>
      </w:r>
      <w:r w:rsidR="00971CA1" w:rsidRPr="00551729">
        <w:t>Analiza e procesit të vlerësimit (numri i aplikimeve të marra sipas llojit të përfituesit dhe vendit, numri i aplikimeve të refuzuara në secilën fazë të procesit të vlerësimit, arsyet më të zakonshme të refuzimit, lista e aplikimeve të refuzuara (shihni modelin e tabelës më poshtë);</w:t>
      </w:r>
    </w:p>
    <w:p w14:paraId="1BADD320" w14:textId="64FBD83B" w:rsidR="00971CA1" w:rsidRPr="00551729" w:rsidRDefault="00AC7B77" w:rsidP="00971CA1">
      <w:pPr>
        <w:pStyle w:val="TEKSTIII"/>
      </w:pPr>
      <w:r>
        <w:t xml:space="preserve">- </w:t>
      </w:r>
      <w:r w:rsidR="00971CA1" w:rsidRPr="00551729">
        <w:t>Lista e kontratave të nënshkruara (shihni modelin e tabelës më poshtë)</w:t>
      </w:r>
    </w:p>
    <w:p w14:paraId="1BADD321" w14:textId="081FC16F" w:rsidR="00971CA1" w:rsidRPr="00551729" w:rsidRDefault="00AC7B77" w:rsidP="00971CA1">
      <w:pPr>
        <w:pStyle w:val="TEKSTIII"/>
      </w:pPr>
      <w:r>
        <w:t xml:space="preserve">- </w:t>
      </w:r>
      <w:r w:rsidR="00971CA1" w:rsidRPr="00551729">
        <w:t>Eventet e organizuara për ngritjen e kapaciteteve për aplikantët e ardhshëm dhe për përfituesit e granteve (numri i eventeve, numri i pjesëmarrësve sipas llojit të eventit për secilin vend, numri i kërkesave për informacion nga përfituesit e granteve të adresuara</w:t>
      </w:r>
      <w:r w:rsidR="00B65E6C">
        <w:t xml:space="preserve"> etj</w:t>
      </w:r>
      <w:r w:rsidR="00971CA1" w:rsidRPr="00551729">
        <w:t>).</w:t>
      </w:r>
    </w:p>
    <w:p w14:paraId="1BADD322" w14:textId="454C77E5" w:rsidR="00971CA1" w:rsidRPr="00551729" w:rsidRDefault="00AC7B77" w:rsidP="00971CA1">
      <w:pPr>
        <w:pStyle w:val="TEKSTIII"/>
      </w:pPr>
      <w:r>
        <w:t xml:space="preserve">- </w:t>
      </w:r>
      <w:r w:rsidR="00971CA1" w:rsidRPr="00551729">
        <w:t>Numri i takimeve të mbajtura dhe rezultateve të stafit të sekretariatit të përbashkët teknik dhe strukturave operuese; numri i takimeve të komitetit të përbashkët të monitorimit dhe rezultatet; numri i takimeve të strukturave operuese dhe rezultatet.&gt;.</w:t>
      </w:r>
    </w:p>
    <w:p w14:paraId="30C7B827" w14:textId="77777777" w:rsidR="00AC7B77" w:rsidRDefault="00AC7B77" w:rsidP="00971CA1">
      <w:pPr>
        <w:pStyle w:val="TEKSTIII"/>
      </w:pPr>
    </w:p>
    <w:p w14:paraId="1BADD323" w14:textId="0597EF65" w:rsidR="00971CA1" w:rsidRPr="00551729" w:rsidRDefault="00AC7B77" w:rsidP="00971CA1">
      <w:pPr>
        <w:pStyle w:val="TEKSTIII"/>
      </w:pPr>
      <w:r>
        <w:t xml:space="preserve">2. </w:t>
      </w:r>
      <w:r w:rsidR="00971CA1" w:rsidRPr="00551729">
        <w:t>Progresi me projektet strategjike;</w:t>
      </w:r>
    </w:p>
    <w:p w14:paraId="1BADD324" w14:textId="594D3582" w:rsidR="00971CA1" w:rsidRPr="00551729" w:rsidRDefault="009F02F5" w:rsidP="00971CA1">
      <w:pPr>
        <w:pStyle w:val="TEKSTIII"/>
        <w:rPr>
          <w:iCs/>
        </w:rPr>
      </w:pPr>
      <w:r>
        <w:rPr>
          <w:iCs/>
        </w:rPr>
        <w:t>&lt;</w:t>
      </w:r>
      <w:r w:rsidR="00971CA1" w:rsidRPr="00551729">
        <w:rPr>
          <w:iCs/>
        </w:rPr>
        <w:t>N.q.s. është e zbatueshme, duke përfshirë gjithashtu informacion mbi rishikimin e programit 2014 -2020 ose mbi programimin e 2021- 2027.&gt;</w:t>
      </w:r>
    </w:p>
    <w:p w14:paraId="1BADD326" w14:textId="6E7EB591" w:rsidR="00971CA1" w:rsidRPr="00551729" w:rsidRDefault="009F02F5" w:rsidP="00971CA1">
      <w:pPr>
        <w:pStyle w:val="TEKSTIII"/>
      </w:pPr>
      <w:r>
        <w:t>&lt;</w:t>
      </w:r>
      <w:r w:rsidR="00971CA1" w:rsidRPr="00551729">
        <w:t>Modeli i tabelës për kontratat BNK të nënshkruara dhe në zbatim gjatë periudhës raportuese:</w:t>
      </w:r>
    </w:p>
    <w:p w14:paraId="1BADD328" w14:textId="77777777" w:rsidR="00971CA1" w:rsidRPr="00551729" w:rsidRDefault="00971CA1" w:rsidP="00971CA1">
      <w:pPr>
        <w:pStyle w:val="TEKSTIII"/>
        <w:rPr>
          <w:rFonts w:cs="Times New Roman"/>
          <w:iCs/>
          <w:lang w:eastAsia="ko-KR"/>
        </w:rPr>
      </w:pPr>
    </w:p>
    <w:p w14:paraId="1BADD329" w14:textId="77777777" w:rsidR="00971CA1" w:rsidRPr="00551729" w:rsidRDefault="00971CA1" w:rsidP="00971CA1">
      <w:pPr>
        <w:pStyle w:val="TEKSTIII"/>
        <w:rPr>
          <w:rFonts w:cs="Times New Roman"/>
          <w:iCs/>
          <w:lang w:eastAsia="ko-KR"/>
        </w:rPr>
      </w:pPr>
      <w:r w:rsidRPr="00551729">
        <w:rPr>
          <w:rFonts w:cs="Times New Roman"/>
          <w:iCs/>
          <w:lang w:eastAsia="ko-KR"/>
        </w:rPr>
        <w:t>Tabela nr. : XX&gt; Lista e aplikimeve ndërkufitare të marra – të miratuara/ të refuzuara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944"/>
        <w:gridCol w:w="695"/>
        <w:gridCol w:w="1310"/>
        <w:gridCol w:w="911"/>
        <w:gridCol w:w="1310"/>
        <w:gridCol w:w="1040"/>
        <w:gridCol w:w="1059"/>
        <w:gridCol w:w="910"/>
      </w:tblGrid>
      <w:tr w:rsidR="00971CA1" w:rsidRPr="00551729" w14:paraId="1BADD336" w14:textId="77777777" w:rsidTr="00FE1429">
        <w:tc>
          <w:tcPr>
            <w:tcW w:w="592" w:type="pct"/>
            <w:shd w:val="clear" w:color="auto" w:fill="auto"/>
            <w:vAlign w:val="center"/>
          </w:tcPr>
          <w:p w14:paraId="1BADD32A"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Numri i thirrjes për propozime</w:t>
            </w:r>
          </w:p>
          <w:p w14:paraId="1BADD32B" w14:textId="77777777" w:rsidR="00971CA1" w:rsidRPr="00FE1429" w:rsidRDefault="00971CA1" w:rsidP="00FE1429">
            <w:pPr>
              <w:pStyle w:val="TEKSTIII"/>
              <w:ind w:firstLine="0"/>
              <w:jc w:val="center"/>
              <w:rPr>
                <w:b/>
                <w:sz w:val="18"/>
                <w:lang w:eastAsia="ko-KR"/>
              </w:rPr>
            </w:pPr>
          </w:p>
        </w:tc>
        <w:tc>
          <w:tcPr>
            <w:tcW w:w="527" w:type="pct"/>
            <w:shd w:val="clear" w:color="auto" w:fill="auto"/>
            <w:vAlign w:val="center"/>
          </w:tcPr>
          <w:p w14:paraId="1BADD32C"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Prioriteti tematik</w:t>
            </w:r>
          </w:p>
        </w:tc>
        <w:tc>
          <w:tcPr>
            <w:tcW w:w="392" w:type="pct"/>
            <w:shd w:val="clear" w:color="auto" w:fill="auto"/>
            <w:vAlign w:val="center"/>
          </w:tcPr>
          <w:p w14:paraId="1BADD32D"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Titulli</w:t>
            </w:r>
          </w:p>
        </w:tc>
        <w:tc>
          <w:tcPr>
            <w:tcW w:w="725" w:type="pct"/>
            <w:shd w:val="clear" w:color="auto" w:fill="auto"/>
            <w:vAlign w:val="center"/>
          </w:tcPr>
          <w:p w14:paraId="1BADD32E"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Emri, lloji dhe vendi i origjinës i koordinatorit dhe partnerëve të përfshirë</w:t>
            </w:r>
          </w:p>
        </w:tc>
        <w:tc>
          <w:tcPr>
            <w:tcW w:w="509" w:type="pct"/>
            <w:shd w:val="clear" w:color="auto" w:fill="auto"/>
            <w:vAlign w:val="center"/>
          </w:tcPr>
          <w:p w14:paraId="1BADD32F"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Shuma e kërkuar e grantit të BE-së</w:t>
            </w:r>
          </w:p>
        </w:tc>
        <w:tc>
          <w:tcPr>
            <w:tcW w:w="725" w:type="pct"/>
            <w:shd w:val="clear" w:color="auto" w:fill="auto"/>
            <w:vAlign w:val="center"/>
          </w:tcPr>
          <w:p w14:paraId="1BADD330"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Kontrolli administrativ (PO/JO)</w:t>
            </w:r>
          </w:p>
        </w:tc>
        <w:tc>
          <w:tcPr>
            <w:tcW w:w="579" w:type="pct"/>
            <w:shd w:val="clear" w:color="auto" w:fill="auto"/>
            <w:vAlign w:val="center"/>
          </w:tcPr>
          <w:p w14:paraId="1BADD331"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Vlerësimi teknik</w:t>
            </w:r>
          </w:p>
          <w:p w14:paraId="1BADD332" w14:textId="77777777" w:rsidR="00971CA1" w:rsidRPr="00FE1429" w:rsidRDefault="00971CA1" w:rsidP="00FE1429">
            <w:pPr>
              <w:pStyle w:val="TEKSTIII"/>
              <w:ind w:firstLine="0"/>
              <w:jc w:val="center"/>
              <w:rPr>
                <w:b/>
                <w:sz w:val="18"/>
                <w:lang w:eastAsia="ko-KR"/>
              </w:rPr>
            </w:pPr>
            <w:r w:rsidRPr="00FE1429">
              <w:rPr>
                <w:b/>
                <w:sz w:val="18"/>
                <w:lang w:eastAsia="ko-KR"/>
              </w:rPr>
              <w:t>(PO/JO)</w:t>
            </w:r>
          </w:p>
        </w:tc>
        <w:tc>
          <w:tcPr>
            <w:tcW w:w="589" w:type="pct"/>
            <w:shd w:val="clear" w:color="auto" w:fill="auto"/>
            <w:vAlign w:val="center"/>
          </w:tcPr>
          <w:p w14:paraId="1BADD333"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E miratuar</w:t>
            </w:r>
          </w:p>
          <w:p w14:paraId="1BADD334" w14:textId="77777777" w:rsidR="00971CA1" w:rsidRPr="00FE1429" w:rsidRDefault="00971CA1" w:rsidP="00FE1429">
            <w:pPr>
              <w:pStyle w:val="TEKSTIII"/>
              <w:ind w:firstLine="0"/>
              <w:jc w:val="center"/>
              <w:rPr>
                <w:b/>
                <w:sz w:val="18"/>
                <w:lang w:eastAsia="ko-KR"/>
              </w:rPr>
            </w:pPr>
            <w:r w:rsidRPr="00FE1429">
              <w:rPr>
                <w:b/>
                <w:sz w:val="18"/>
                <w:lang w:eastAsia="ko-KR"/>
              </w:rPr>
              <w:t>(PO/JO)</w:t>
            </w:r>
          </w:p>
        </w:tc>
        <w:tc>
          <w:tcPr>
            <w:tcW w:w="361" w:type="pct"/>
            <w:shd w:val="clear" w:color="auto" w:fill="auto"/>
            <w:vAlign w:val="center"/>
          </w:tcPr>
          <w:p w14:paraId="1BADD335" w14:textId="77777777" w:rsidR="00971CA1" w:rsidRPr="00FE1429" w:rsidRDefault="00971CA1" w:rsidP="00FE1429">
            <w:pPr>
              <w:pStyle w:val="TEKSTIII"/>
              <w:ind w:firstLine="0"/>
              <w:jc w:val="center"/>
              <w:rPr>
                <w:rFonts w:cs="Times New Roman"/>
                <w:b/>
                <w:i/>
                <w:iCs/>
                <w:sz w:val="18"/>
                <w:lang w:eastAsia="ko-KR"/>
              </w:rPr>
            </w:pPr>
            <w:r w:rsidRPr="00FE1429">
              <w:rPr>
                <w:rFonts w:cs="Times New Roman"/>
                <w:b/>
                <w:i/>
                <w:iCs/>
                <w:sz w:val="18"/>
                <w:lang w:eastAsia="ko-KR"/>
              </w:rPr>
              <w:t>Arsyet e refuzimit</w:t>
            </w:r>
          </w:p>
        </w:tc>
      </w:tr>
      <w:tr w:rsidR="00971CA1" w:rsidRPr="00551729" w14:paraId="1BADD340" w14:textId="77777777" w:rsidTr="009F02F5">
        <w:tc>
          <w:tcPr>
            <w:tcW w:w="592" w:type="pct"/>
            <w:shd w:val="clear" w:color="auto" w:fill="auto"/>
          </w:tcPr>
          <w:p w14:paraId="1BADD337" w14:textId="77777777" w:rsidR="00971CA1" w:rsidRPr="00551729" w:rsidRDefault="00971CA1" w:rsidP="00971CA1">
            <w:pPr>
              <w:pStyle w:val="TEKSTIII"/>
              <w:ind w:firstLine="0"/>
              <w:rPr>
                <w:rFonts w:cs="Times New Roman"/>
                <w:i/>
                <w:iCs/>
                <w:sz w:val="18"/>
                <w:lang w:eastAsia="ko-KR"/>
              </w:rPr>
            </w:pPr>
          </w:p>
        </w:tc>
        <w:tc>
          <w:tcPr>
            <w:tcW w:w="527" w:type="pct"/>
            <w:shd w:val="clear" w:color="auto" w:fill="auto"/>
          </w:tcPr>
          <w:p w14:paraId="1BADD338" w14:textId="77777777" w:rsidR="00971CA1" w:rsidRPr="00551729" w:rsidRDefault="00971CA1" w:rsidP="00971CA1">
            <w:pPr>
              <w:pStyle w:val="TEKSTIII"/>
              <w:ind w:firstLine="0"/>
              <w:rPr>
                <w:rFonts w:cs="Times New Roman"/>
                <w:i/>
                <w:iCs/>
                <w:sz w:val="18"/>
                <w:lang w:eastAsia="ko-KR"/>
              </w:rPr>
            </w:pPr>
          </w:p>
        </w:tc>
        <w:tc>
          <w:tcPr>
            <w:tcW w:w="392" w:type="pct"/>
            <w:shd w:val="clear" w:color="auto" w:fill="auto"/>
          </w:tcPr>
          <w:p w14:paraId="1BADD339" w14:textId="77777777" w:rsidR="00971CA1" w:rsidRPr="00551729" w:rsidRDefault="00971CA1" w:rsidP="00971CA1">
            <w:pPr>
              <w:pStyle w:val="TEKSTIII"/>
              <w:ind w:firstLine="0"/>
              <w:rPr>
                <w:rFonts w:cs="Times New Roman"/>
                <w:i/>
                <w:iCs/>
                <w:sz w:val="18"/>
                <w:lang w:eastAsia="ko-KR"/>
              </w:rPr>
            </w:pPr>
          </w:p>
        </w:tc>
        <w:tc>
          <w:tcPr>
            <w:tcW w:w="725" w:type="pct"/>
            <w:shd w:val="clear" w:color="auto" w:fill="auto"/>
          </w:tcPr>
          <w:p w14:paraId="1BADD33A" w14:textId="77777777" w:rsidR="00971CA1" w:rsidRPr="00551729" w:rsidRDefault="00971CA1" w:rsidP="00971CA1">
            <w:pPr>
              <w:pStyle w:val="TEKSTIII"/>
              <w:ind w:firstLine="0"/>
              <w:rPr>
                <w:rFonts w:cs="Times New Roman"/>
                <w:i/>
                <w:iCs/>
                <w:sz w:val="18"/>
                <w:lang w:eastAsia="ko-KR"/>
              </w:rPr>
            </w:pPr>
          </w:p>
        </w:tc>
        <w:tc>
          <w:tcPr>
            <w:tcW w:w="509" w:type="pct"/>
            <w:shd w:val="clear" w:color="auto" w:fill="auto"/>
          </w:tcPr>
          <w:p w14:paraId="1BADD33B" w14:textId="77777777" w:rsidR="00971CA1" w:rsidRPr="00551729" w:rsidRDefault="00971CA1" w:rsidP="00971CA1">
            <w:pPr>
              <w:pStyle w:val="TEKSTIII"/>
              <w:ind w:firstLine="0"/>
              <w:rPr>
                <w:rFonts w:cs="Times New Roman"/>
                <w:i/>
                <w:iCs/>
                <w:sz w:val="18"/>
                <w:lang w:eastAsia="ko-KR"/>
              </w:rPr>
            </w:pPr>
          </w:p>
        </w:tc>
        <w:tc>
          <w:tcPr>
            <w:tcW w:w="725" w:type="pct"/>
            <w:shd w:val="clear" w:color="auto" w:fill="auto"/>
          </w:tcPr>
          <w:p w14:paraId="1BADD33C" w14:textId="77777777" w:rsidR="00971CA1" w:rsidRPr="00551729" w:rsidRDefault="00971CA1" w:rsidP="00971CA1">
            <w:pPr>
              <w:pStyle w:val="TEKSTIII"/>
              <w:ind w:firstLine="0"/>
              <w:rPr>
                <w:rFonts w:cs="Times New Roman"/>
                <w:i/>
                <w:iCs/>
                <w:sz w:val="18"/>
                <w:lang w:eastAsia="ko-KR"/>
              </w:rPr>
            </w:pPr>
          </w:p>
        </w:tc>
        <w:tc>
          <w:tcPr>
            <w:tcW w:w="579" w:type="pct"/>
            <w:shd w:val="clear" w:color="auto" w:fill="auto"/>
          </w:tcPr>
          <w:p w14:paraId="1BADD33D" w14:textId="77777777" w:rsidR="00971CA1" w:rsidRPr="00551729" w:rsidRDefault="00971CA1" w:rsidP="00971CA1">
            <w:pPr>
              <w:pStyle w:val="TEKSTIII"/>
              <w:ind w:firstLine="0"/>
              <w:rPr>
                <w:rFonts w:cs="Times New Roman"/>
                <w:i/>
                <w:iCs/>
                <w:sz w:val="18"/>
                <w:lang w:eastAsia="ko-KR"/>
              </w:rPr>
            </w:pPr>
          </w:p>
        </w:tc>
        <w:tc>
          <w:tcPr>
            <w:tcW w:w="589" w:type="pct"/>
            <w:shd w:val="clear" w:color="auto" w:fill="auto"/>
          </w:tcPr>
          <w:p w14:paraId="1BADD33E" w14:textId="77777777" w:rsidR="00971CA1" w:rsidRPr="00551729" w:rsidRDefault="00971CA1" w:rsidP="00971CA1">
            <w:pPr>
              <w:pStyle w:val="TEKSTIII"/>
              <w:ind w:firstLine="0"/>
              <w:rPr>
                <w:rFonts w:cs="Times New Roman"/>
                <w:i/>
                <w:iCs/>
                <w:sz w:val="18"/>
                <w:lang w:eastAsia="ko-KR"/>
              </w:rPr>
            </w:pPr>
          </w:p>
        </w:tc>
        <w:tc>
          <w:tcPr>
            <w:tcW w:w="361" w:type="pct"/>
            <w:shd w:val="clear" w:color="auto" w:fill="auto"/>
          </w:tcPr>
          <w:p w14:paraId="1BADD33F" w14:textId="77777777" w:rsidR="00971CA1" w:rsidRPr="00551729" w:rsidRDefault="00971CA1" w:rsidP="00971CA1">
            <w:pPr>
              <w:pStyle w:val="TEKSTIII"/>
              <w:ind w:firstLine="0"/>
              <w:rPr>
                <w:rFonts w:cs="Times New Roman"/>
                <w:i/>
                <w:iCs/>
                <w:sz w:val="18"/>
                <w:lang w:eastAsia="ko-KR"/>
              </w:rPr>
            </w:pPr>
          </w:p>
        </w:tc>
      </w:tr>
      <w:tr w:rsidR="00971CA1" w:rsidRPr="00551729" w14:paraId="1BADD34A" w14:textId="77777777" w:rsidTr="009F02F5">
        <w:tc>
          <w:tcPr>
            <w:tcW w:w="592" w:type="pct"/>
            <w:shd w:val="clear" w:color="auto" w:fill="auto"/>
          </w:tcPr>
          <w:p w14:paraId="1BADD341" w14:textId="77777777" w:rsidR="00971CA1" w:rsidRPr="00551729" w:rsidRDefault="00971CA1" w:rsidP="00971CA1">
            <w:pPr>
              <w:pStyle w:val="TEKSTIII"/>
              <w:ind w:firstLine="0"/>
              <w:rPr>
                <w:rFonts w:cs="Times New Roman"/>
                <w:i/>
                <w:iCs/>
                <w:sz w:val="18"/>
                <w:lang w:eastAsia="ko-KR"/>
              </w:rPr>
            </w:pPr>
          </w:p>
        </w:tc>
        <w:tc>
          <w:tcPr>
            <w:tcW w:w="527" w:type="pct"/>
            <w:shd w:val="clear" w:color="auto" w:fill="auto"/>
          </w:tcPr>
          <w:p w14:paraId="1BADD342" w14:textId="77777777" w:rsidR="00971CA1" w:rsidRPr="00551729" w:rsidRDefault="00971CA1" w:rsidP="00971CA1">
            <w:pPr>
              <w:pStyle w:val="TEKSTIII"/>
              <w:ind w:firstLine="0"/>
              <w:rPr>
                <w:rFonts w:cs="Times New Roman"/>
                <w:i/>
                <w:iCs/>
                <w:sz w:val="18"/>
                <w:lang w:eastAsia="ko-KR"/>
              </w:rPr>
            </w:pPr>
          </w:p>
        </w:tc>
        <w:tc>
          <w:tcPr>
            <w:tcW w:w="392" w:type="pct"/>
            <w:shd w:val="clear" w:color="auto" w:fill="auto"/>
          </w:tcPr>
          <w:p w14:paraId="1BADD343" w14:textId="77777777" w:rsidR="00971CA1" w:rsidRPr="00551729" w:rsidRDefault="00971CA1" w:rsidP="00971CA1">
            <w:pPr>
              <w:pStyle w:val="TEKSTIII"/>
              <w:ind w:firstLine="0"/>
              <w:rPr>
                <w:rFonts w:cs="Times New Roman"/>
                <w:i/>
                <w:iCs/>
                <w:sz w:val="18"/>
                <w:lang w:eastAsia="ko-KR"/>
              </w:rPr>
            </w:pPr>
          </w:p>
        </w:tc>
        <w:tc>
          <w:tcPr>
            <w:tcW w:w="725" w:type="pct"/>
            <w:shd w:val="clear" w:color="auto" w:fill="auto"/>
          </w:tcPr>
          <w:p w14:paraId="1BADD344" w14:textId="77777777" w:rsidR="00971CA1" w:rsidRPr="00551729" w:rsidRDefault="00971CA1" w:rsidP="00971CA1">
            <w:pPr>
              <w:pStyle w:val="TEKSTIII"/>
              <w:ind w:firstLine="0"/>
              <w:rPr>
                <w:rFonts w:cs="Times New Roman"/>
                <w:i/>
                <w:iCs/>
                <w:sz w:val="18"/>
                <w:lang w:eastAsia="ko-KR"/>
              </w:rPr>
            </w:pPr>
          </w:p>
        </w:tc>
        <w:tc>
          <w:tcPr>
            <w:tcW w:w="509" w:type="pct"/>
            <w:shd w:val="clear" w:color="auto" w:fill="auto"/>
          </w:tcPr>
          <w:p w14:paraId="1BADD345" w14:textId="77777777" w:rsidR="00971CA1" w:rsidRPr="00551729" w:rsidRDefault="00971CA1" w:rsidP="00971CA1">
            <w:pPr>
              <w:pStyle w:val="TEKSTIII"/>
              <w:ind w:firstLine="0"/>
              <w:rPr>
                <w:rFonts w:cs="Times New Roman"/>
                <w:i/>
                <w:iCs/>
                <w:sz w:val="18"/>
                <w:lang w:eastAsia="ko-KR"/>
              </w:rPr>
            </w:pPr>
          </w:p>
        </w:tc>
        <w:tc>
          <w:tcPr>
            <w:tcW w:w="725" w:type="pct"/>
            <w:shd w:val="clear" w:color="auto" w:fill="auto"/>
          </w:tcPr>
          <w:p w14:paraId="1BADD346" w14:textId="77777777" w:rsidR="00971CA1" w:rsidRPr="00551729" w:rsidRDefault="00971CA1" w:rsidP="00971CA1">
            <w:pPr>
              <w:pStyle w:val="TEKSTIII"/>
              <w:ind w:firstLine="0"/>
              <w:rPr>
                <w:rFonts w:cs="Times New Roman"/>
                <w:i/>
                <w:iCs/>
                <w:sz w:val="18"/>
                <w:lang w:eastAsia="ko-KR"/>
              </w:rPr>
            </w:pPr>
          </w:p>
        </w:tc>
        <w:tc>
          <w:tcPr>
            <w:tcW w:w="579" w:type="pct"/>
            <w:shd w:val="clear" w:color="auto" w:fill="auto"/>
          </w:tcPr>
          <w:p w14:paraId="1BADD347" w14:textId="77777777" w:rsidR="00971CA1" w:rsidRPr="00551729" w:rsidRDefault="00971CA1" w:rsidP="00971CA1">
            <w:pPr>
              <w:pStyle w:val="TEKSTIII"/>
              <w:ind w:firstLine="0"/>
              <w:rPr>
                <w:rFonts w:cs="Times New Roman"/>
                <w:i/>
                <w:iCs/>
                <w:sz w:val="18"/>
                <w:lang w:eastAsia="ko-KR"/>
              </w:rPr>
            </w:pPr>
          </w:p>
        </w:tc>
        <w:tc>
          <w:tcPr>
            <w:tcW w:w="589" w:type="pct"/>
            <w:shd w:val="clear" w:color="auto" w:fill="auto"/>
          </w:tcPr>
          <w:p w14:paraId="1BADD348" w14:textId="77777777" w:rsidR="00971CA1" w:rsidRPr="00551729" w:rsidRDefault="00971CA1" w:rsidP="00971CA1">
            <w:pPr>
              <w:pStyle w:val="TEKSTIII"/>
              <w:ind w:firstLine="0"/>
              <w:rPr>
                <w:rFonts w:cs="Times New Roman"/>
                <w:i/>
                <w:iCs/>
                <w:sz w:val="18"/>
                <w:lang w:eastAsia="ko-KR"/>
              </w:rPr>
            </w:pPr>
          </w:p>
        </w:tc>
        <w:tc>
          <w:tcPr>
            <w:tcW w:w="361" w:type="pct"/>
            <w:shd w:val="clear" w:color="auto" w:fill="auto"/>
          </w:tcPr>
          <w:p w14:paraId="1BADD349" w14:textId="77777777" w:rsidR="00971CA1" w:rsidRPr="00551729" w:rsidRDefault="00971CA1" w:rsidP="00971CA1">
            <w:pPr>
              <w:pStyle w:val="TEKSTIII"/>
              <w:ind w:firstLine="0"/>
              <w:rPr>
                <w:rFonts w:cs="Times New Roman"/>
                <w:i/>
                <w:iCs/>
                <w:sz w:val="18"/>
                <w:lang w:eastAsia="ko-KR"/>
              </w:rPr>
            </w:pPr>
          </w:p>
        </w:tc>
      </w:tr>
    </w:tbl>
    <w:p w14:paraId="1BADD34B" w14:textId="77777777" w:rsidR="00971CA1" w:rsidRPr="00551729" w:rsidRDefault="00971CA1" w:rsidP="00971CA1">
      <w:pPr>
        <w:pStyle w:val="TEKSTIII"/>
        <w:rPr>
          <w:rFonts w:cs="Times New Roman"/>
          <w:iCs/>
          <w:lang w:eastAsia="ko-KR"/>
        </w:rPr>
      </w:pPr>
    </w:p>
    <w:p w14:paraId="1BADD34C" w14:textId="77777777" w:rsidR="00971CA1" w:rsidRPr="00551729" w:rsidRDefault="00971CA1" w:rsidP="00971CA1">
      <w:pPr>
        <w:pStyle w:val="TEKSTIII"/>
        <w:rPr>
          <w:rFonts w:cs="Times New Roman"/>
          <w:iCs/>
          <w:lang w:eastAsia="ko-KR"/>
        </w:rPr>
      </w:pPr>
      <w:r w:rsidRPr="00551729">
        <w:rPr>
          <w:rFonts w:cs="Times New Roman"/>
          <w:iCs/>
          <w:lang w:eastAsia="ko-KR"/>
        </w:rPr>
        <w:t>Tabela nr. : XX&gt; Lista e kontratave të nënshkruara ndërkufitare dhe nën zbatim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277"/>
        <w:gridCol w:w="1220"/>
        <w:gridCol w:w="1168"/>
        <w:gridCol w:w="1176"/>
        <w:gridCol w:w="1153"/>
        <w:gridCol w:w="1421"/>
      </w:tblGrid>
      <w:tr w:rsidR="00971CA1" w:rsidRPr="00551729" w14:paraId="1BADD34E" w14:textId="77777777" w:rsidTr="009F02F5">
        <w:tc>
          <w:tcPr>
            <w:tcW w:w="5000" w:type="pct"/>
            <w:gridSpan w:val="7"/>
            <w:shd w:val="clear" w:color="auto" w:fill="auto"/>
          </w:tcPr>
          <w:p w14:paraId="1BADD34D" w14:textId="77777777" w:rsidR="00971CA1" w:rsidRPr="00FE1429" w:rsidRDefault="00971CA1" w:rsidP="00971CA1">
            <w:pPr>
              <w:pStyle w:val="TEKSTIII"/>
              <w:ind w:firstLine="0"/>
              <w:rPr>
                <w:b/>
                <w:sz w:val="18"/>
                <w:lang w:eastAsia="ko-KR"/>
              </w:rPr>
            </w:pPr>
            <w:r w:rsidRPr="00FE1429">
              <w:rPr>
                <w:b/>
                <w:sz w:val="18"/>
                <w:lang w:eastAsia="ko-KR"/>
              </w:rPr>
              <w:t>Prioriteti tematik: &lt;...&gt;</w:t>
            </w:r>
          </w:p>
        </w:tc>
      </w:tr>
      <w:tr w:rsidR="00971CA1" w:rsidRPr="00551729" w14:paraId="1BADD356" w14:textId="77777777" w:rsidTr="00FE1429">
        <w:tc>
          <w:tcPr>
            <w:tcW w:w="988" w:type="pct"/>
            <w:shd w:val="clear" w:color="auto" w:fill="auto"/>
            <w:vAlign w:val="center"/>
          </w:tcPr>
          <w:p w14:paraId="1BADD34F" w14:textId="77777777" w:rsidR="00971CA1" w:rsidRPr="00FE1429" w:rsidRDefault="00971CA1" w:rsidP="00FE1429">
            <w:pPr>
              <w:pStyle w:val="TEKSTIII"/>
              <w:ind w:firstLine="0"/>
              <w:jc w:val="center"/>
              <w:rPr>
                <w:b/>
                <w:sz w:val="18"/>
                <w:lang w:eastAsia="ko-KR"/>
              </w:rPr>
            </w:pPr>
            <w:r w:rsidRPr="00FE1429">
              <w:rPr>
                <w:b/>
                <w:sz w:val="18"/>
                <w:lang w:eastAsia="ko-KR"/>
              </w:rPr>
              <w:t>Titulli dhe numri i kontratave</w:t>
            </w:r>
          </w:p>
        </w:tc>
        <w:tc>
          <w:tcPr>
            <w:tcW w:w="691" w:type="pct"/>
            <w:shd w:val="clear" w:color="auto" w:fill="auto"/>
            <w:vAlign w:val="center"/>
          </w:tcPr>
          <w:p w14:paraId="1BADD350" w14:textId="77777777" w:rsidR="00971CA1" w:rsidRPr="00FE1429" w:rsidRDefault="00971CA1" w:rsidP="00FE1429">
            <w:pPr>
              <w:pStyle w:val="TEKSTIII"/>
              <w:ind w:firstLine="0"/>
              <w:jc w:val="center"/>
              <w:rPr>
                <w:b/>
                <w:sz w:val="18"/>
                <w:lang w:eastAsia="ko-KR"/>
              </w:rPr>
            </w:pPr>
            <w:r w:rsidRPr="00FE1429">
              <w:rPr>
                <w:b/>
                <w:sz w:val="18"/>
                <w:lang w:eastAsia="ko-KR"/>
              </w:rPr>
              <w:t>Emri, lloji dhe vendi i origjinës së koordinatorit dhe partnerëve të përfshirë</w:t>
            </w:r>
          </w:p>
        </w:tc>
        <w:tc>
          <w:tcPr>
            <w:tcW w:w="660" w:type="pct"/>
            <w:shd w:val="clear" w:color="auto" w:fill="auto"/>
            <w:vAlign w:val="center"/>
          </w:tcPr>
          <w:p w14:paraId="1BADD351" w14:textId="77777777" w:rsidR="00971CA1" w:rsidRPr="00FE1429" w:rsidRDefault="00971CA1" w:rsidP="00FE1429">
            <w:pPr>
              <w:pStyle w:val="TEKSTIII"/>
              <w:ind w:firstLine="0"/>
              <w:jc w:val="center"/>
              <w:rPr>
                <w:b/>
                <w:sz w:val="18"/>
                <w:lang w:eastAsia="ko-KR"/>
              </w:rPr>
            </w:pPr>
            <w:r w:rsidRPr="00FE1429">
              <w:rPr>
                <w:b/>
                <w:sz w:val="18"/>
                <w:lang w:eastAsia="ko-KR"/>
              </w:rPr>
              <w:t>Informacion i shkurtër i projektit</w:t>
            </w:r>
          </w:p>
        </w:tc>
        <w:tc>
          <w:tcPr>
            <w:tcW w:w="632" w:type="pct"/>
            <w:shd w:val="clear" w:color="auto" w:fill="auto"/>
            <w:vAlign w:val="center"/>
          </w:tcPr>
          <w:p w14:paraId="1BADD352" w14:textId="77777777" w:rsidR="00971CA1" w:rsidRPr="00FE1429" w:rsidRDefault="00971CA1" w:rsidP="00FE1429">
            <w:pPr>
              <w:pStyle w:val="TEKSTIII"/>
              <w:ind w:firstLine="0"/>
              <w:jc w:val="center"/>
              <w:rPr>
                <w:b/>
                <w:sz w:val="18"/>
                <w:lang w:eastAsia="ko-KR"/>
              </w:rPr>
            </w:pPr>
            <w:r w:rsidRPr="00FE1429">
              <w:rPr>
                <w:b/>
                <w:sz w:val="18"/>
                <w:lang w:eastAsia="ko-KR"/>
              </w:rPr>
              <w:t>Data e fillimit dhe mbarimit</w:t>
            </w:r>
          </w:p>
        </w:tc>
        <w:tc>
          <w:tcPr>
            <w:tcW w:w="636" w:type="pct"/>
            <w:shd w:val="clear" w:color="auto" w:fill="auto"/>
            <w:vAlign w:val="center"/>
          </w:tcPr>
          <w:p w14:paraId="1BADD353" w14:textId="77777777" w:rsidR="00971CA1" w:rsidRPr="00FE1429" w:rsidRDefault="00971CA1" w:rsidP="00FE1429">
            <w:pPr>
              <w:pStyle w:val="TEKSTIII"/>
              <w:ind w:firstLine="0"/>
              <w:jc w:val="center"/>
              <w:rPr>
                <w:b/>
                <w:sz w:val="18"/>
                <w:lang w:eastAsia="ko-KR"/>
              </w:rPr>
            </w:pPr>
            <w:r w:rsidRPr="00FE1429">
              <w:rPr>
                <w:b/>
                <w:sz w:val="18"/>
                <w:lang w:eastAsia="ko-KR"/>
              </w:rPr>
              <w:t>Kostoja totale e lejueshme dhe vlera e grantit të BE-së</w:t>
            </w:r>
          </w:p>
        </w:tc>
        <w:tc>
          <w:tcPr>
            <w:tcW w:w="624" w:type="pct"/>
            <w:shd w:val="clear" w:color="auto" w:fill="auto"/>
            <w:vAlign w:val="center"/>
          </w:tcPr>
          <w:p w14:paraId="1BADD354" w14:textId="77777777" w:rsidR="00971CA1" w:rsidRPr="00FE1429" w:rsidRDefault="00971CA1" w:rsidP="00FE1429">
            <w:pPr>
              <w:pStyle w:val="TEKSTIII"/>
              <w:ind w:firstLine="0"/>
              <w:jc w:val="center"/>
              <w:rPr>
                <w:b/>
                <w:sz w:val="18"/>
                <w:lang w:eastAsia="ko-KR"/>
              </w:rPr>
            </w:pPr>
            <w:r w:rsidRPr="00FE1429">
              <w:rPr>
                <w:b/>
                <w:sz w:val="18"/>
                <w:lang w:eastAsia="ko-KR"/>
              </w:rPr>
              <w:t>Arritjet kryesore deri më sot</w:t>
            </w:r>
          </w:p>
        </w:tc>
        <w:tc>
          <w:tcPr>
            <w:tcW w:w="769" w:type="pct"/>
            <w:shd w:val="clear" w:color="auto" w:fill="auto"/>
            <w:vAlign w:val="center"/>
          </w:tcPr>
          <w:p w14:paraId="1BADD355" w14:textId="77777777" w:rsidR="00971CA1" w:rsidRPr="00FE1429" w:rsidRDefault="00971CA1" w:rsidP="00FE1429">
            <w:pPr>
              <w:pStyle w:val="TEKSTIII"/>
              <w:ind w:firstLine="0"/>
              <w:jc w:val="center"/>
              <w:rPr>
                <w:b/>
                <w:sz w:val="18"/>
                <w:lang w:eastAsia="ko-KR"/>
              </w:rPr>
            </w:pPr>
            <w:r w:rsidRPr="00FE1429">
              <w:rPr>
                <w:b/>
                <w:sz w:val="18"/>
                <w:lang w:eastAsia="ko-KR"/>
              </w:rPr>
              <w:t>Komente &gt;</w:t>
            </w:r>
          </w:p>
        </w:tc>
      </w:tr>
      <w:tr w:rsidR="00971CA1" w:rsidRPr="00551729" w14:paraId="1BADD35E" w14:textId="77777777" w:rsidTr="009F02F5">
        <w:tc>
          <w:tcPr>
            <w:tcW w:w="988" w:type="pct"/>
            <w:shd w:val="clear" w:color="auto" w:fill="auto"/>
          </w:tcPr>
          <w:p w14:paraId="1BADD357" w14:textId="77777777" w:rsidR="00971CA1" w:rsidRPr="00551729" w:rsidRDefault="00971CA1" w:rsidP="00971CA1">
            <w:pPr>
              <w:pStyle w:val="TEKSTIII"/>
              <w:ind w:firstLine="0"/>
              <w:rPr>
                <w:sz w:val="18"/>
                <w:lang w:eastAsia="ko-KR"/>
              </w:rPr>
            </w:pPr>
          </w:p>
        </w:tc>
        <w:tc>
          <w:tcPr>
            <w:tcW w:w="691" w:type="pct"/>
            <w:shd w:val="clear" w:color="auto" w:fill="auto"/>
          </w:tcPr>
          <w:p w14:paraId="1BADD358" w14:textId="77777777" w:rsidR="00971CA1" w:rsidRPr="00551729" w:rsidRDefault="00971CA1" w:rsidP="00971CA1">
            <w:pPr>
              <w:pStyle w:val="TEKSTIII"/>
              <w:ind w:firstLine="0"/>
              <w:rPr>
                <w:sz w:val="18"/>
                <w:lang w:eastAsia="ko-KR"/>
              </w:rPr>
            </w:pPr>
          </w:p>
        </w:tc>
        <w:tc>
          <w:tcPr>
            <w:tcW w:w="660" w:type="pct"/>
            <w:shd w:val="clear" w:color="auto" w:fill="auto"/>
          </w:tcPr>
          <w:p w14:paraId="1BADD359" w14:textId="77777777" w:rsidR="00971CA1" w:rsidRPr="00551729" w:rsidRDefault="00971CA1" w:rsidP="00971CA1">
            <w:pPr>
              <w:pStyle w:val="TEKSTIII"/>
              <w:ind w:firstLine="0"/>
              <w:rPr>
                <w:sz w:val="18"/>
                <w:lang w:eastAsia="ko-KR"/>
              </w:rPr>
            </w:pPr>
          </w:p>
        </w:tc>
        <w:tc>
          <w:tcPr>
            <w:tcW w:w="632" w:type="pct"/>
            <w:shd w:val="clear" w:color="auto" w:fill="auto"/>
          </w:tcPr>
          <w:p w14:paraId="1BADD35A" w14:textId="77777777" w:rsidR="00971CA1" w:rsidRPr="00551729" w:rsidRDefault="00971CA1" w:rsidP="00971CA1">
            <w:pPr>
              <w:pStyle w:val="TEKSTIII"/>
              <w:ind w:firstLine="0"/>
              <w:rPr>
                <w:sz w:val="18"/>
                <w:lang w:eastAsia="ko-KR"/>
              </w:rPr>
            </w:pPr>
          </w:p>
        </w:tc>
        <w:tc>
          <w:tcPr>
            <w:tcW w:w="636" w:type="pct"/>
            <w:shd w:val="clear" w:color="auto" w:fill="auto"/>
          </w:tcPr>
          <w:p w14:paraId="1BADD35B" w14:textId="77777777" w:rsidR="00971CA1" w:rsidRPr="00551729" w:rsidRDefault="00971CA1" w:rsidP="00971CA1">
            <w:pPr>
              <w:pStyle w:val="TEKSTIII"/>
              <w:ind w:firstLine="0"/>
              <w:rPr>
                <w:sz w:val="18"/>
                <w:lang w:eastAsia="ko-KR"/>
              </w:rPr>
            </w:pPr>
          </w:p>
        </w:tc>
        <w:tc>
          <w:tcPr>
            <w:tcW w:w="624" w:type="pct"/>
            <w:shd w:val="clear" w:color="auto" w:fill="auto"/>
          </w:tcPr>
          <w:p w14:paraId="1BADD35C" w14:textId="77777777" w:rsidR="00971CA1" w:rsidRPr="00551729" w:rsidRDefault="00971CA1" w:rsidP="00971CA1">
            <w:pPr>
              <w:pStyle w:val="TEKSTIII"/>
              <w:ind w:firstLine="0"/>
              <w:rPr>
                <w:sz w:val="18"/>
                <w:lang w:eastAsia="ko-KR"/>
              </w:rPr>
            </w:pPr>
          </w:p>
        </w:tc>
        <w:tc>
          <w:tcPr>
            <w:tcW w:w="769" w:type="pct"/>
            <w:shd w:val="clear" w:color="auto" w:fill="auto"/>
          </w:tcPr>
          <w:p w14:paraId="1BADD35D" w14:textId="77777777" w:rsidR="00971CA1" w:rsidRPr="00551729" w:rsidRDefault="00971CA1" w:rsidP="00971CA1">
            <w:pPr>
              <w:pStyle w:val="TEKSTIII"/>
              <w:ind w:firstLine="0"/>
              <w:rPr>
                <w:sz w:val="18"/>
                <w:lang w:eastAsia="ko-KR"/>
              </w:rPr>
            </w:pPr>
          </w:p>
        </w:tc>
      </w:tr>
      <w:tr w:rsidR="00971CA1" w:rsidRPr="00551729" w14:paraId="1BADD366" w14:textId="77777777" w:rsidTr="009F02F5">
        <w:tc>
          <w:tcPr>
            <w:tcW w:w="988" w:type="pct"/>
            <w:shd w:val="clear" w:color="auto" w:fill="auto"/>
          </w:tcPr>
          <w:p w14:paraId="1BADD35F" w14:textId="77777777" w:rsidR="00971CA1" w:rsidRPr="00551729" w:rsidRDefault="00971CA1" w:rsidP="00971CA1">
            <w:pPr>
              <w:pStyle w:val="TEKSTIII"/>
              <w:ind w:firstLine="0"/>
              <w:rPr>
                <w:sz w:val="18"/>
                <w:lang w:eastAsia="ko-KR"/>
              </w:rPr>
            </w:pPr>
          </w:p>
        </w:tc>
        <w:tc>
          <w:tcPr>
            <w:tcW w:w="691" w:type="pct"/>
            <w:shd w:val="clear" w:color="auto" w:fill="auto"/>
          </w:tcPr>
          <w:p w14:paraId="1BADD360" w14:textId="77777777" w:rsidR="00971CA1" w:rsidRPr="00551729" w:rsidRDefault="00971CA1" w:rsidP="00971CA1">
            <w:pPr>
              <w:pStyle w:val="TEKSTIII"/>
              <w:ind w:firstLine="0"/>
              <w:rPr>
                <w:sz w:val="18"/>
                <w:lang w:eastAsia="ko-KR"/>
              </w:rPr>
            </w:pPr>
          </w:p>
        </w:tc>
        <w:tc>
          <w:tcPr>
            <w:tcW w:w="660" w:type="pct"/>
            <w:shd w:val="clear" w:color="auto" w:fill="auto"/>
          </w:tcPr>
          <w:p w14:paraId="1BADD361" w14:textId="77777777" w:rsidR="00971CA1" w:rsidRPr="00551729" w:rsidRDefault="00971CA1" w:rsidP="00971CA1">
            <w:pPr>
              <w:pStyle w:val="TEKSTIII"/>
              <w:ind w:firstLine="0"/>
              <w:rPr>
                <w:sz w:val="18"/>
                <w:lang w:eastAsia="ko-KR"/>
              </w:rPr>
            </w:pPr>
          </w:p>
        </w:tc>
        <w:tc>
          <w:tcPr>
            <w:tcW w:w="632" w:type="pct"/>
            <w:shd w:val="clear" w:color="auto" w:fill="auto"/>
          </w:tcPr>
          <w:p w14:paraId="1BADD362" w14:textId="77777777" w:rsidR="00971CA1" w:rsidRPr="00551729" w:rsidRDefault="00971CA1" w:rsidP="00971CA1">
            <w:pPr>
              <w:pStyle w:val="TEKSTIII"/>
              <w:ind w:firstLine="0"/>
              <w:rPr>
                <w:sz w:val="18"/>
                <w:lang w:eastAsia="ko-KR"/>
              </w:rPr>
            </w:pPr>
          </w:p>
        </w:tc>
        <w:tc>
          <w:tcPr>
            <w:tcW w:w="636" w:type="pct"/>
            <w:shd w:val="clear" w:color="auto" w:fill="auto"/>
          </w:tcPr>
          <w:p w14:paraId="1BADD363" w14:textId="77777777" w:rsidR="00971CA1" w:rsidRPr="00551729" w:rsidRDefault="00971CA1" w:rsidP="00971CA1">
            <w:pPr>
              <w:pStyle w:val="TEKSTIII"/>
              <w:ind w:firstLine="0"/>
              <w:rPr>
                <w:sz w:val="18"/>
                <w:lang w:eastAsia="ko-KR"/>
              </w:rPr>
            </w:pPr>
          </w:p>
        </w:tc>
        <w:tc>
          <w:tcPr>
            <w:tcW w:w="624" w:type="pct"/>
            <w:shd w:val="clear" w:color="auto" w:fill="auto"/>
          </w:tcPr>
          <w:p w14:paraId="1BADD364" w14:textId="77777777" w:rsidR="00971CA1" w:rsidRPr="00551729" w:rsidRDefault="00971CA1" w:rsidP="00971CA1">
            <w:pPr>
              <w:pStyle w:val="TEKSTIII"/>
              <w:ind w:firstLine="0"/>
              <w:rPr>
                <w:sz w:val="18"/>
                <w:lang w:eastAsia="ko-KR"/>
              </w:rPr>
            </w:pPr>
          </w:p>
        </w:tc>
        <w:tc>
          <w:tcPr>
            <w:tcW w:w="769" w:type="pct"/>
            <w:shd w:val="clear" w:color="auto" w:fill="auto"/>
          </w:tcPr>
          <w:p w14:paraId="1BADD365" w14:textId="77777777" w:rsidR="00971CA1" w:rsidRPr="00551729" w:rsidRDefault="00971CA1" w:rsidP="00971CA1">
            <w:pPr>
              <w:pStyle w:val="TEKSTIII"/>
              <w:ind w:firstLine="0"/>
              <w:rPr>
                <w:sz w:val="18"/>
                <w:lang w:eastAsia="ko-KR"/>
              </w:rPr>
            </w:pPr>
          </w:p>
        </w:tc>
      </w:tr>
    </w:tbl>
    <w:p w14:paraId="1BADD367" w14:textId="77777777" w:rsidR="00971CA1" w:rsidRPr="00551729" w:rsidRDefault="00971CA1" w:rsidP="00971CA1">
      <w:pPr>
        <w:pStyle w:val="TEKSTIII"/>
        <w:rPr>
          <w:lang w:eastAsia="ko-KR"/>
        </w:rPr>
      </w:pPr>
    </w:p>
    <w:p w14:paraId="1BADD368" w14:textId="77777777" w:rsidR="00971CA1" w:rsidRPr="00551729" w:rsidRDefault="00971CA1" w:rsidP="00971CA1">
      <w:pPr>
        <w:pStyle w:val="TEKSTIII"/>
        <w:rPr>
          <w:rFonts w:cs="Times New Roman"/>
          <w:b/>
          <w:lang w:eastAsia="ko-KR"/>
        </w:rPr>
      </w:pPr>
      <w:r w:rsidRPr="00551729">
        <w:rPr>
          <w:rFonts w:cs="Times New Roman"/>
          <w:b/>
          <w:iCs/>
          <w:lang w:eastAsia="ko-KR"/>
        </w:rPr>
        <w:t xml:space="preserve">2.2 Progresi i realizuar gjatë zbatimit të programit të bashkëpunimit ndërkufitar </w:t>
      </w:r>
    </w:p>
    <w:p w14:paraId="1BADD369" w14:textId="439FE95A" w:rsidR="00971CA1" w:rsidRPr="00551729" w:rsidRDefault="00971CA1" w:rsidP="00971CA1">
      <w:pPr>
        <w:pStyle w:val="TEKSTIII"/>
      </w:pPr>
      <w:r w:rsidRPr="00B0689F">
        <w:rPr>
          <w:lang w:eastAsia="ko-KR"/>
        </w:rPr>
        <w:t>&lt;</w:t>
      </w:r>
      <w:r w:rsidRPr="00551729">
        <w:rPr>
          <w:lang w:eastAsia="ko-KR"/>
        </w:rPr>
        <w:t>Prezantim shumë i shkurtër i prioriteteve tematike dhe objektivave specifik</w:t>
      </w:r>
      <w:r w:rsidR="00D40334">
        <w:rPr>
          <w:lang w:eastAsia="ko-KR"/>
        </w:rPr>
        <w:t>ë</w:t>
      </w:r>
      <w:r w:rsidRPr="00551729">
        <w:rPr>
          <w:lang w:eastAsia="ko-KR"/>
        </w:rPr>
        <w:t xml:space="preserve"> të Programit BNK, së bashku me një përmbledhje të progresit të bërë në zbatimin e programit të bashkëpunimit ndërkufitar dhe në veçanti të arritjeve lidhur me objektivat specifik</w:t>
      </w:r>
      <w:r w:rsidR="00D40334">
        <w:rPr>
          <w:lang w:eastAsia="ko-KR"/>
        </w:rPr>
        <w:t>ë</w:t>
      </w:r>
      <w:r w:rsidRPr="00551729">
        <w:rPr>
          <w:lang w:eastAsia="ko-KR"/>
        </w:rPr>
        <w:t xml:space="preserve"> për çdo prioritet tematik (si edhe për prioritetin e AT-së), duke përfshirë elemente cilësore dhe sasiore, të cilat do të tregojnë progresin e realizuar lidhur me objektivat&gt;</w:t>
      </w:r>
      <w:r w:rsidRPr="00551729">
        <w:t>.</w:t>
      </w:r>
    </w:p>
    <w:p w14:paraId="1BADD36A" w14:textId="77777777" w:rsidR="00971CA1" w:rsidRPr="00551729" w:rsidRDefault="00971CA1" w:rsidP="00971CA1">
      <w:pPr>
        <w:pStyle w:val="TEKSTIII"/>
        <w:rPr>
          <w:b/>
        </w:rPr>
      </w:pPr>
      <w:r w:rsidRPr="00551729">
        <w:rPr>
          <w:b/>
        </w:rPr>
        <w:t xml:space="preserve">2.2.1 Analiza sasiore </w:t>
      </w:r>
    </w:p>
    <w:p w14:paraId="1BADD36B" w14:textId="0586CC63" w:rsidR="00971CA1" w:rsidRPr="00551729" w:rsidRDefault="00971CA1" w:rsidP="00971CA1">
      <w:pPr>
        <w:pStyle w:val="TEKSTIII"/>
        <w:rPr>
          <w:lang w:eastAsia="ko-KR"/>
        </w:rPr>
      </w:pPr>
      <w:r w:rsidRPr="00551729">
        <w:rPr>
          <w:lang w:eastAsia="ko-KR"/>
        </w:rPr>
        <w:t>&lt;Informacion mbi progresin e realizuar gjatë zbatimit të programit, duke pasqyruar</w:t>
      </w:r>
      <w:r w:rsidR="00C521D5" w:rsidRPr="00551729">
        <w:rPr>
          <w:lang w:eastAsia="ko-KR"/>
        </w:rPr>
        <w:t xml:space="preserve"> </w:t>
      </w:r>
      <w:r w:rsidRPr="00551729">
        <w:rPr>
          <w:lang w:eastAsia="ko-KR"/>
        </w:rPr>
        <w:t>dhe të dhëna sasiore, kur është e mundur, si dhe duke përdorur objektivat dhe indikatorët e përfshirë në program dhe në projekte.</w:t>
      </w:r>
    </w:p>
    <w:p w14:paraId="1BADD36C" w14:textId="77777777" w:rsidR="00971CA1" w:rsidRPr="00551729" w:rsidRDefault="00971CA1" w:rsidP="00971CA1">
      <w:pPr>
        <w:pStyle w:val="TEKSTIII"/>
        <w:rPr>
          <w:lang w:eastAsia="ko-KR"/>
        </w:rPr>
      </w:pPr>
      <w:r w:rsidRPr="00551729">
        <w:rPr>
          <w:lang w:eastAsia="ko-KR"/>
        </w:rPr>
        <w:t xml:space="preserve">Analiza e arritjeve të matura nga produktet, rezultatet dhe ndikimi, si dhe treguesit fizikë dhe financiarë. Treguesit do të ndahen sipas gjinisë, kur është e mundur. </w:t>
      </w:r>
    </w:p>
    <w:p w14:paraId="1BADD36D" w14:textId="77777777" w:rsidR="00971CA1" w:rsidRPr="00551729" w:rsidRDefault="00971CA1" w:rsidP="00971CA1">
      <w:pPr>
        <w:pStyle w:val="TEKSTIII"/>
        <w:rPr>
          <w:lang w:eastAsia="ko-KR"/>
        </w:rPr>
      </w:pPr>
      <w:r w:rsidRPr="00551729">
        <w:rPr>
          <w:lang w:eastAsia="ko-KR"/>
        </w:rPr>
        <w:t xml:space="preserve">Nëse shifrat (të dhënat) nuk janë ende të disponueshme, duhet siguruar informacion se kur do të jenë të disponueshme dhe kur do të përfshihen në raportin vjetor të zbatimit. Përveç kësaj, informacioni mund të paraqitet grafikisht. </w:t>
      </w:r>
    </w:p>
    <w:p w14:paraId="1BADD36E" w14:textId="77777777" w:rsidR="00971CA1" w:rsidRPr="00551729" w:rsidRDefault="00971CA1" w:rsidP="00971CA1">
      <w:pPr>
        <w:pStyle w:val="TEKSTIII"/>
        <w:rPr>
          <w:lang w:eastAsia="ko-KR"/>
        </w:rPr>
      </w:pPr>
      <w:r w:rsidRPr="00551729">
        <w:t>&lt;</w:t>
      </w:r>
      <w:r w:rsidRPr="00551729">
        <w:rPr>
          <w:lang w:eastAsia="ko-KR"/>
        </w:rPr>
        <w:t>Modeli i tabelës së indikatorëve (rezultate, produkte dhe ndikimi), me një shembull për secilin prioritet të programit, objektivi specifik dhe rezultati:</w:t>
      </w:r>
    </w:p>
    <w:p w14:paraId="1BADD36F" w14:textId="77777777" w:rsidR="00971CA1" w:rsidRPr="00551729" w:rsidRDefault="00971CA1" w:rsidP="00971CA1">
      <w:pPr>
        <w:pStyle w:val="TEKSTIII"/>
      </w:pPr>
    </w:p>
    <w:p w14:paraId="1BADD370" w14:textId="34A6F2FC" w:rsidR="00971CA1" w:rsidRPr="00551729" w:rsidRDefault="00971CA1" w:rsidP="00971CA1">
      <w:pPr>
        <w:pStyle w:val="TEKSTIII"/>
        <w:rPr>
          <w:lang w:eastAsia="ko-KR"/>
        </w:rPr>
      </w:pPr>
      <w:r w:rsidRPr="00551729">
        <w:rPr>
          <w:lang w:eastAsia="ko-KR"/>
        </w:rPr>
        <w:t>Tabela nr.:</w:t>
      </w:r>
      <w:r w:rsidR="00B0689F">
        <w:rPr>
          <w:lang w:eastAsia="ko-KR"/>
        </w:rPr>
        <w:t xml:space="preserve"> </w:t>
      </w:r>
      <w:r w:rsidRPr="00551729">
        <w:rPr>
          <w:lang w:eastAsia="ko-KR"/>
        </w:rPr>
        <w:t>XX Të dhënat e grumbulluara në nivel programi, bazuar në informacionin e mbledhur prej projekteve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391"/>
        <w:gridCol w:w="616"/>
        <w:gridCol w:w="541"/>
        <w:gridCol w:w="616"/>
        <w:gridCol w:w="541"/>
        <w:gridCol w:w="616"/>
        <w:gridCol w:w="541"/>
        <w:gridCol w:w="616"/>
        <w:gridCol w:w="554"/>
        <w:gridCol w:w="1071"/>
        <w:gridCol w:w="1101"/>
      </w:tblGrid>
      <w:tr w:rsidR="00971CA1" w:rsidRPr="00551729" w14:paraId="1BADD374" w14:textId="77777777" w:rsidTr="009F02F5">
        <w:trPr>
          <w:jc w:val="center"/>
        </w:trPr>
        <w:tc>
          <w:tcPr>
            <w:tcW w:w="5000" w:type="pct"/>
            <w:gridSpan w:val="12"/>
            <w:shd w:val="clear" w:color="auto" w:fill="auto"/>
          </w:tcPr>
          <w:p w14:paraId="1BADD371" w14:textId="77777777" w:rsidR="00971CA1" w:rsidRPr="00FE1429" w:rsidRDefault="00971CA1" w:rsidP="00971CA1">
            <w:pPr>
              <w:pStyle w:val="TEKSTIII"/>
              <w:ind w:firstLine="0"/>
              <w:rPr>
                <w:b/>
                <w:sz w:val="18"/>
                <w:szCs w:val="18"/>
                <w:lang w:eastAsia="ko-KR"/>
              </w:rPr>
            </w:pPr>
            <w:r w:rsidRPr="00FE1429">
              <w:rPr>
                <w:b/>
                <w:sz w:val="18"/>
                <w:szCs w:val="18"/>
                <w:lang w:eastAsia="ko-KR"/>
              </w:rPr>
              <w:t xml:space="preserve">Prioriteti tematik </w:t>
            </w:r>
            <w:r w:rsidRPr="00FE1429">
              <w:rPr>
                <w:b/>
                <w:sz w:val="18"/>
                <w:szCs w:val="18"/>
                <w:lang w:eastAsia="en-GB"/>
              </w:rPr>
              <w:t>&lt;…&gt;</w:t>
            </w:r>
          </w:p>
          <w:p w14:paraId="1BADD372" w14:textId="77777777" w:rsidR="00971CA1" w:rsidRPr="00FE1429" w:rsidRDefault="00971CA1" w:rsidP="00971CA1">
            <w:pPr>
              <w:pStyle w:val="TEKSTIII"/>
              <w:ind w:firstLine="0"/>
              <w:rPr>
                <w:b/>
                <w:sz w:val="18"/>
                <w:szCs w:val="18"/>
                <w:lang w:eastAsia="ko-KR"/>
              </w:rPr>
            </w:pPr>
            <w:r w:rsidRPr="00FE1429">
              <w:rPr>
                <w:b/>
                <w:sz w:val="18"/>
                <w:szCs w:val="18"/>
                <w:lang w:eastAsia="ko-KR"/>
              </w:rPr>
              <w:t xml:space="preserve">Objektivi specifik </w:t>
            </w:r>
            <w:r w:rsidRPr="00FE1429">
              <w:rPr>
                <w:b/>
                <w:sz w:val="18"/>
                <w:szCs w:val="18"/>
                <w:lang w:eastAsia="en-GB"/>
              </w:rPr>
              <w:t>&lt;…&gt;</w:t>
            </w:r>
          </w:p>
          <w:p w14:paraId="1BADD373" w14:textId="1F5BAA17" w:rsidR="00971CA1" w:rsidRPr="00551729" w:rsidRDefault="00971CA1" w:rsidP="00971CA1">
            <w:pPr>
              <w:pStyle w:val="TEKSTIII"/>
              <w:ind w:firstLine="0"/>
              <w:rPr>
                <w:sz w:val="18"/>
                <w:szCs w:val="18"/>
              </w:rPr>
            </w:pPr>
            <w:r w:rsidRPr="00FE1429">
              <w:rPr>
                <w:b/>
                <w:sz w:val="18"/>
                <w:szCs w:val="18"/>
                <w:lang w:eastAsia="ko-KR"/>
              </w:rPr>
              <w:t>Rezultati</w:t>
            </w:r>
            <w:r w:rsidR="00C521D5" w:rsidRPr="00FE1429">
              <w:rPr>
                <w:b/>
                <w:sz w:val="18"/>
                <w:szCs w:val="18"/>
                <w:lang w:eastAsia="ko-KR"/>
              </w:rPr>
              <w:t xml:space="preserve"> </w:t>
            </w:r>
            <w:r w:rsidRPr="00FE1429">
              <w:rPr>
                <w:b/>
                <w:sz w:val="18"/>
                <w:szCs w:val="18"/>
                <w:lang w:eastAsia="en-GB"/>
              </w:rPr>
              <w:t>&lt;…&gt;</w:t>
            </w:r>
          </w:p>
        </w:tc>
      </w:tr>
      <w:tr w:rsidR="00971CA1" w:rsidRPr="00551729" w14:paraId="1BADD37C" w14:textId="77777777" w:rsidTr="00FE1429">
        <w:trPr>
          <w:jc w:val="center"/>
        </w:trPr>
        <w:tc>
          <w:tcPr>
            <w:tcW w:w="523" w:type="pct"/>
            <w:vMerge w:val="restart"/>
            <w:shd w:val="clear" w:color="auto" w:fill="auto"/>
            <w:vAlign w:val="center"/>
          </w:tcPr>
          <w:p w14:paraId="1BADD375"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Emri dhe tipi</w:t>
            </w:r>
            <w:r w:rsidRPr="00FE1429">
              <w:rPr>
                <w:rStyle w:val="FootnoteReference"/>
                <w:rFonts w:ascii="Times New Roman" w:hAnsi="Times New Roman"/>
                <w:b/>
                <w:sz w:val="18"/>
                <w:szCs w:val="18"/>
                <w:lang w:eastAsia="ko-KR"/>
              </w:rPr>
              <w:footnoteReference w:id="99"/>
            </w:r>
          </w:p>
        </w:tc>
        <w:tc>
          <w:tcPr>
            <w:tcW w:w="915" w:type="pct"/>
            <w:vMerge w:val="restart"/>
            <w:shd w:val="clear" w:color="auto" w:fill="auto"/>
            <w:vAlign w:val="center"/>
          </w:tcPr>
          <w:p w14:paraId="1BADD376"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Përkufizimi</w:t>
            </w:r>
          </w:p>
        </w:tc>
        <w:tc>
          <w:tcPr>
            <w:tcW w:w="618" w:type="pct"/>
            <w:gridSpan w:val="2"/>
            <w:shd w:val="clear" w:color="auto" w:fill="auto"/>
            <w:vAlign w:val="center"/>
          </w:tcPr>
          <w:p w14:paraId="1BADD377"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Baza</w:t>
            </w:r>
          </w:p>
        </w:tc>
        <w:tc>
          <w:tcPr>
            <w:tcW w:w="1236" w:type="pct"/>
            <w:gridSpan w:val="4"/>
            <w:shd w:val="clear" w:color="auto" w:fill="auto"/>
            <w:vAlign w:val="center"/>
          </w:tcPr>
          <w:p w14:paraId="1BADD378"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Arritjet</w:t>
            </w:r>
          </w:p>
        </w:tc>
        <w:tc>
          <w:tcPr>
            <w:tcW w:w="635" w:type="pct"/>
            <w:gridSpan w:val="2"/>
            <w:shd w:val="clear" w:color="auto" w:fill="auto"/>
            <w:vAlign w:val="center"/>
          </w:tcPr>
          <w:p w14:paraId="1BADD379"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Synimi</w:t>
            </w:r>
          </w:p>
        </w:tc>
        <w:tc>
          <w:tcPr>
            <w:tcW w:w="529" w:type="pct"/>
            <w:vMerge w:val="restart"/>
            <w:shd w:val="clear" w:color="auto" w:fill="auto"/>
            <w:vAlign w:val="center"/>
          </w:tcPr>
          <w:p w14:paraId="1BADD37A" w14:textId="77777777" w:rsidR="00971CA1" w:rsidRPr="00FE1429" w:rsidRDefault="00971CA1" w:rsidP="00FE1429">
            <w:pPr>
              <w:pStyle w:val="TEKSTIII"/>
              <w:ind w:firstLine="0"/>
              <w:jc w:val="center"/>
              <w:rPr>
                <w:b/>
                <w:sz w:val="18"/>
                <w:szCs w:val="18"/>
              </w:rPr>
            </w:pPr>
            <w:r w:rsidRPr="00FE1429">
              <w:rPr>
                <w:b/>
                <w:sz w:val="18"/>
                <w:szCs w:val="18"/>
              </w:rPr>
              <w:t>Burimi i të dhënave</w:t>
            </w:r>
          </w:p>
        </w:tc>
        <w:tc>
          <w:tcPr>
            <w:tcW w:w="544" w:type="pct"/>
            <w:vMerge w:val="restart"/>
            <w:shd w:val="clear" w:color="auto" w:fill="auto"/>
            <w:vAlign w:val="center"/>
          </w:tcPr>
          <w:p w14:paraId="1BADD37B" w14:textId="77777777" w:rsidR="00971CA1" w:rsidRPr="00FE1429" w:rsidRDefault="00971CA1" w:rsidP="00FE1429">
            <w:pPr>
              <w:pStyle w:val="TEKSTIII"/>
              <w:ind w:firstLine="0"/>
              <w:jc w:val="center"/>
              <w:rPr>
                <w:b/>
                <w:sz w:val="18"/>
                <w:szCs w:val="18"/>
              </w:rPr>
            </w:pPr>
            <w:r w:rsidRPr="00FE1429">
              <w:rPr>
                <w:b/>
                <w:sz w:val="18"/>
                <w:szCs w:val="18"/>
              </w:rPr>
              <w:t>Mbledhja e të dhënave dhe shpeshtësia</w:t>
            </w:r>
          </w:p>
        </w:tc>
      </w:tr>
      <w:tr w:rsidR="00971CA1" w:rsidRPr="00551729" w14:paraId="1BADD389" w14:textId="77777777" w:rsidTr="00FE1429">
        <w:trPr>
          <w:trHeight w:val="227"/>
          <w:jc w:val="center"/>
        </w:trPr>
        <w:tc>
          <w:tcPr>
            <w:tcW w:w="523" w:type="pct"/>
            <w:vMerge/>
            <w:shd w:val="clear" w:color="auto" w:fill="auto"/>
            <w:vAlign w:val="center"/>
          </w:tcPr>
          <w:p w14:paraId="1BADD37D" w14:textId="77777777" w:rsidR="00971CA1" w:rsidRPr="00FE1429" w:rsidRDefault="00971CA1" w:rsidP="00FE1429">
            <w:pPr>
              <w:pStyle w:val="TEKSTIII"/>
              <w:ind w:firstLine="0"/>
              <w:jc w:val="center"/>
              <w:rPr>
                <w:b/>
                <w:sz w:val="18"/>
                <w:szCs w:val="18"/>
              </w:rPr>
            </w:pPr>
          </w:p>
        </w:tc>
        <w:tc>
          <w:tcPr>
            <w:tcW w:w="915" w:type="pct"/>
            <w:vMerge/>
            <w:shd w:val="clear" w:color="auto" w:fill="auto"/>
            <w:vAlign w:val="center"/>
          </w:tcPr>
          <w:p w14:paraId="1BADD37E" w14:textId="77777777" w:rsidR="00971CA1" w:rsidRPr="00FE1429" w:rsidRDefault="00971CA1" w:rsidP="00FE1429">
            <w:pPr>
              <w:pStyle w:val="TEKSTIII"/>
              <w:ind w:firstLine="0"/>
              <w:jc w:val="center"/>
              <w:rPr>
                <w:b/>
                <w:sz w:val="18"/>
                <w:szCs w:val="18"/>
              </w:rPr>
            </w:pPr>
          </w:p>
        </w:tc>
        <w:tc>
          <w:tcPr>
            <w:tcW w:w="318" w:type="pct"/>
            <w:shd w:val="clear" w:color="auto" w:fill="auto"/>
            <w:vAlign w:val="center"/>
          </w:tcPr>
          <w:p w14:paraId="1BADD37F"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Vlera</w:t>
            </w:r>
          </w:p>
        </w:tc>
        <w:tc>
          <w:tcPr>
            <w:tcW w:w="300" w:type="pct"/>
            <w:shd w:val="clear" w:color="auto" w:fill="auto"/>
            <w:vAlign w:val="center"/>
          </w:tcPr>
          <w:p w14:paraId="1BADD380"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Viti</w:t>
            </w:r>
          </w:p>
        </w:tc>
        <w:tc>
          <w:tcPr>
            <w:tcW w:w="318" w:type="pct"/>
            <w:shd w:val="clear" w:color="auto" w:fill="auto"/>
            <w:vAlign w:val="center"/>
          </w:tcPr>
          <w:p w14:paraId="1BADD381"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Vlera</w:t>
            </w:r>
          </w:p>
        </w:tc>
        <w:tc>
          <w:tcPr>
            <w:tcW w:w="300" w:type="pct"/>
            <w:shd w:val="clear" w:color="auto" w:fill="auto"/>
            <w:vAlign w:val="center"/>
          </w:tcPr>
          <w:p w14:paraId="1BADD382"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Viti</w:t>
            </w:r>
          </w:p>
        </w:tc>
        <w:tc>
          <w:tcPr>
            <w:tcW w:w="318" w:type="pct"/>
            <w:shd w:val="clear" w:color="auto" w:fill="auto"/>
            <w:vAlign w:val="center"/>
          </w:tcPr>
          <w:p w14:paraId="1BADD383"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Vlera</w:t>
            </w:r>
          </w:p>
        </w:tc>
        <w:tc>
          <w:tcPr>
            <w:tcW w:w="300" w:type="pct"/>
            <w:shd w:val="clear" w:color="auto" w:fill="auto"/>
            <w:vAlign w:val="center"/>
          </w:tcPr>
          <w:p w14:paraId="1BADD384"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Viti</w:t>
            </w:r>
          </w:p>
        </w:tc>
        <w:tc>
          <w:tcPr>
            <w:tcW w:w="318" w:type="pct"/>
            <w:shd w:val="clear" w:color="auto" w:fill="auto"/>
            <w:vAlign w:val="center"/>
          </w:tcPr>
          <w:p w14:paraId="1BADD385"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Vlera</w:t>
            </w:r>
          </w:p>
        </w:tc>
        <w:tc>
          <w:tcPr>
            <w:tcW w:w="317" w:type="pct"/>
            <w:shd w:val="clear" w:color="auto" w:fill="auto"/>
            <w:vAlign w:val="center"/>
          </w:tcPr>
          <w:p w14:paraId="1BADD386"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Viti</w:t>
            </w:r>
          </w:p>
        </w:tc>
        <w:tc>
          <w:tcPr>
            <w:tcW w:w="529" w:type="pct"/>
            <w:vMerge/>
            <w:shd w:val="clear" w:color="auto" w:fill="auto"/>
            <w:vAlign w:val="center"/>
          </w:tcPr>
          <w:p w14:paraId="1BADD387" w14:textId="77777777" w:rsidR="00971CA1" w:rsidRPr="00FE1429" w:rsidRDefault="00971CA1" w:rsidP="00FE1429">
            <w:pPr>
              <w:pStyle w:val="TEKSTIII"/>
              <w:ind w:firstLine="0"/>
              <w:jc w:val="center"/>
              <w:rPr>
                <w:b/>
                <w:sz w:val="18"/>
                <w:szCs w:val="18"/>
              </w:rPr>
            </w:pPr>
          </w:p>
        </w:tc>
        <w:tc>
          <w:tcPr>
            <w:tcW w:w="544" w:type="pct"/>
            <w:vMerge/>
            <w:shd w:val="clear" w:color="auto" w:fill="auto"/>
            <w:vAlign w:val="center"/>
          </w:tcPr>
          <w:p w14:paraId="1BADD388" w14:textId="77777777" w:rsidR="00971CA1" w:rsidRPr="00FE1429" w:rsidRDefault="00971CA1" w:rsidP="00FE1429">
            <w:pPr>
              <w:pStyle w:val="TEKSTIII"/>
              <w:ind w:firstLine="0"/>
              <w:jc w:val="center"/>
              <w:rPr>
                <w:b/>
                <w:sz w:val="18"/>
                <w:szCs w:val="18"/>
              </w:rPr>
            </w:pPr>
          </w:p>
        </w:tc>
      </w:tr>
      <w:tr w:rsidR="00971CA1" w:rsidRPr="00551729" w14:paraId="1BADD3B0" w14:textId="77777777" w:rsidTr="00FE1429">
        <w:trPr>
          <w:jc w:val="center"/>
        </w:trPr>
        <w:tc>
          <w:tcPr>
            <w:tcW w:w="523" w:type="pct"/>
            <w:shd w:val="clear" w:color="auto" w:fill="auto"/>
            <w:vAlign w:val="center"/>
          </w:tcPr>
          <w:p w14:paraId="1BADD38A" w14:textId="77777777" w:rsidR="00971CA1" w:rsidRPr="00FE1429" w:rsidRDefault="00971CA1" w:rsidP="00FE1429">
            <w:pPr>
              <w:pStyle w:val="TEKSTIII"/>
              <w:ind w:firstLine="0"/>
              <w:jc w:val="center"/>
              <w:rPr>
                <w:b/>
                <w:sz w:val="18"/>
                <w:szCs w:val="18"/>
              </w:rPr>
            </w:pPr>
            <w:r w:rsidRPr="00FE1429">
              <w:rPr>
                <w:b/>
                <w:sz w:val="18"/>
                <w:szCs w:val="18"/>
              </w:rPr>
              <w:t>% e studentëve të punësuar</w:t>
            </w:r>
          </w:p>
        </w:tc>
        <w:tc>
          <w:tcPr>
            <w:tcW w:w="915" w:type="pct"/>
            <w:shd w:val="clear" w:color="auto" w:fill="auto"/>
            <w:vAlign w:val="center"/>
          </w:tcPr>
          <w:p w14:paraId="1BADD38B" w14:textId="77777777" w:rsidR="00971CA1" w:rsidRPr="00FE1429" w:rsidRDefault="00971CA1" w:rsidP="00FE1429">
            <w:pPr>
              <w:pStyle w:val="TEKSTIII"/>
              <w:ind w:firstLine="0"/>
              <w:jc w:val="center"/>
              <w:rPr>
                <w:b/>
                <w:sz w:val="18"/>
                <w:szCs w:val="18"/>
              </w:rPr>
            </w:pPr>
            <w:r w:rsidRPr="00FE1429">
              <w:rPr>
                <w:b/>
                <w:sz w:val="18"/>
                <w:szCs w:val="18"/>
              </w:rPr>
              <w:t>% e të rinjve/rejave që kanë mbaruar arsimin e nivelit të dytë dhe punësohen brenda një viti pas përfundimit të shkollimit</w:t>
            </w:r>
          </w:p>
        </w:tc>
        <w:tc>
          <w:tcPr>
            <w:tcW w:w="318" w:type="pct"/>
            <w:shd w:val="clear" w:color="auto" w:fill="auto"/>
            <w:vAlign w:val="center"/>
          </w:tcPr>
          <w:p w14:paraId="1BADD38C" w14:textId="77777777" w:rsidR="00971CA1" w:rsidRPr="00FE1429" w:rsidRDefault="00971CA1" w:rsidP="00FE1429">
            <w:pPr>
              <w:pStyle w:val="TEKSTIII"/>
              <w:ind w:firstLine="0"/>
              <w:jc w:val="center"/>
              <w:rPr>
                <w:b/>
                <w:sz w:val="18"/>
                <w:szCs w:val="18"/>
              </w:rPr>
            </w:pPr>
          </w:p>
          <w:p w14:paraId="1BADD38D" w14:textId="77777777" w:rsidR="00971CA1" w:rsidRPr="00FE1429" w:rsidRDefault="00971CA1" w:rsidP="00FE1429">
            <w:pPr>
              <w:pStyle w:val="TEKSTIII"/>
              <w:ind w:firstLine="0"/>
              <w:jc w:val="center"/>
              <w:rPr>
                <w:b/>
                <w:sz w:val="18"/>
                <w:szCs w:val="18"/>
              </w:rPr>
            </w:pPr>
          </w:p>
          <w:p w14:paraId="1BADD38E" w14:textId="77777777" w:rsidR="00971CA1" w:rsidRPr="00FE1429" w:rsidRDefault="00971CA1" w:rsidP="00FE1429">
            <w:pPr>
              <w:pStyle w:val="TEKSTIII"/>
              <w:ind w:firstLine="0"/>
              <w:jc w:val="center"/>
              <w:rPr>
                <w:b/>
                <w:sz w:val="18"/>
                <w:szCs w:val="18"/>
              </w:rPr>
            </w:pPr>
          </w:p>
          <w:p w14:paraId="1BADD38F" w14:textId="77777777" w:rsidR="00971CA1" w:rsidRPr="00FE1429" w:rsidRDefault="00971CA1" w:rsidP="00FE1429">
            <w:pPr>
              <w:pStyle w:val="TEKSTIII"/>
              <w:ind w:firstLine="0"/>
              <w:jc w:val="center"/>
              <w:rPr>
                <w:b/>
                <w:sz w:val="18"/>
                <w:szCs w:val="18"/>
              </w:rPr>
            </w:pPr>
            <w:r w:rsidRPr="00FE1429">
              <w:rPr>
                <w:b/>
                <w:sz w:val="18"/>
                <w:szCs w:val="18"/>
              </w:rPr>
              <w:t>50%</w:t>
            </w:r>
          </w:p>
        </w:tc>
        <w:tc>
          <w:tcPr>
            <w:tcW w:w="300" w:type="pct"/>
            <w:shd w:val="clear" w:color="auto" w:fill="auto"/>
            <w:vAlign w:val="center"/>
          </w:tcPr>
          <w:p w14:paraId="1BADD390" w14:textId="77777777" w:rsidR="00971CA1" w:rsidRPr="00FE1429" w:rsidRDefault="00971CA1" w:rsidP="00FE1429">
            <w:pPr>
              <w:pStyle w:val="TEKSTIII"/>
              <w:ind w:firstLine="0"/>
              <w:jc w:val="center"/>
              <w:rPr>
                <w:b/>
                <w:sz w:val="18"/>
                <w:szCs w:val="18"/>
              </w:rPr>
            </w:pPr>
          </w:p>
          <w:p w14:paraId="1BADD391" w14:textId="77777777" w:rsidR="00971CA1" w:rsidRPr="00FE1429" w:rsidRDefault="00971CA1" w:rsidP="00FE1429">
            <w:pPr>
              <w:pStyle w:val="TEKSTIII"/>
              <w:ind w:firstLine="0"/>
              <w:jc w:val="center"/>
              <w:rPr>
                <w:b/>
                <w:sz w:val="18"/>
                <w:szCs w:val="18"/>
              </w:rPr>
            </w:pPr>
          </w:p>
          <w:p w14:paraId="1BADD392" w14:textId="77777777" w:rsidR="00971CA1" w:rsidRPr="00FE1429" w:rsidRDefault="00971CA1" w:rsidP="00FE1429">
            <w:pPr>
              <w:pStyle w:val="TEKSTIII"/>
              <w:ind w:firstLine="0"/>
              <w:jc w:val="center"/>
              <w:rPr>
                <w:b/>
                <w:sz w:val="18"/>
                <w:szCs w:val="18"/>
              </w:rPr>
            </w:pPr>
          </w:p>
          <w:p w14:paraId="1BADD393" w14:textId="77777777" w:rsidR="00971CA1" w:rsidRPr="00FE1429" w:rsidRDefault="00971CA1" w:rsidP="00FE1429">
            <w:pPr>
              <w:pStyle w:val="TEKSTIII"/>
              <w:ind w:firstLine="0"/>
              <w:jc w:val="center"/>
              <w:rPr>
                <w:b/>
                <w:sz w:val="18"/>
                <w:szCs w:val="18"/>
              </w:rPr>
            </w:pPr>
            <w:r w:rsidRPr="00FE1429">
              <w:rPr>
                <w:b/>
                <w:sz w:val="18"/>
                <w:szCs w:val="18"/>
              </w:rPr>
              <w:t>2017</w:t>
            </w:r>
          </w:p>
        </w:tc>
        <w:tc>
          <w:tcPr>
            <w:tcW w:w="318" w:type="pct"/>
            <w:shd w:val="clear" w:color="auto" w:fill="auto"/>
            <w:vAlign w:val="center"/>
          </w:tcPr>
          <w:p w14:paraId="1BADD394" w14:textId="77777777" w:rsidR="00971CA1" w:rsidRPr="00FE1429" w:rsidRDefault="00971CA1" w:rsidP="00FE1429">
            <w:pPr>
              <w:pStyle w:val="TEKSTIII"/>
              <w:ind w:firstLine="0"/>
              <w:jc w:val="center"/>
              <w:rPr>
                <w:b/>
                <w:sz w:val="18"/>
                <w:szCs w:val="18"/>
              </w:rPr>
            </w:pPr>
          </w:p>
          <w:p w14:paraId="1BADD395" w14:textId="77777777" w:rsidR="00971CA1" w:rsidRPr="00FE1429" w:rsidRDefault="00971CA1" w:rsidP="00FE1429">
            <w:pPr>
              <w:pStyle w:val="TEKSTIII"/>
              <w:ind w:firstLine="0"/>
              <w:jc w:val="center"/>
              <w:rPr>
                <w:b/>
                <w:sz w:val="18"/>
                <w:szCs w:val="18"/>
              </w:rPr>
            </w:pPr>
          </w:p>
          <w:p w14:paraId="1BADD396" w14:textId="77777777" w:rsidR="00971CA1" w:rsidRPr="00FE1429" w:rsidRDefault="00971CA1" w:rsidP="00FE1429">
            <w:pPr>
              <w:pStyle w:val="TEKSTIII"/>
              <w:ind w:firstLine="0"/>
              <w:jc w:val="center"/>
              <w:rPr>
                <w:b/>
                <w:sz w:val="18"/>
                <w:szCs w:val="18"/>
              </w:rPr>
            </w:pPr>
          </w:p>
          <w:p w14:paraId="1BADD397" w14:textId="77777777" w:rsidR="00971CA1" w:rsidRPr="00FE1429" w:rsidRDefault="00971CA1" w:rsidP="00FE1429">
            <w:pPr>
              <w:pStyle w:val="TEKSTIII"/>
              <w:ind w:firstLine="0"/>
              <w:jc w:val="center"/>
              <w:rPr>
                <w:b/>
                <w:sz w:val="18"/>
                <w:szCs w:val="18"/>
              </w:rPr>
            </w:pPr>
            <w:r w:rsidRPr="00FE1429">
              <w:rPr>
                <w:b/>
                <w:sz w:val="18"/>
                <w:szCs w:val="18"/>
              </w:rPr>
              <w:t>60%</w:t>
            </w:r>
          </w:p>
        </w:tc>
        <w:tc>
          <w:tcPr>
            <w:tcW w:w="300" w:type="pct"/>
            <w:shd w:val="clear" w:color="auto" w:fill="auto"/>
            <w:vAlign w:val="center"/>
          </w:tcPr>
          <w:p w14:paraId="1BADD398" w14:textId="77777777" w:rsidR="00971CA1" w:rsidRPr="00FE1429" w:rsidRDefault="00971CA1" w:rsidP="00FE1429">
            <w:pPr>
              <w:pStyle w:val="TEKSTIII"/>
              <w:ind w:firstLine="0"/>
              <w:jc w:val="center"/>
              <w:rPr>
                <w:b/>
                <w:sz w:val="18"/>
                <w:szCs w:val="18"/>
              </w:rPr>
            </w:pPr>
          </w:p>
          <w:p w14:paraId="1BADD399" w14:textId="77777777" w:rsidR="00971CA1" w:rsidRPr="00FE1429" w:rsidRDefault="00971CA1" w:rsidP="00FE1429">
            <w:pPr>
              <w:pStyle w:val="TEKSTIII"/>
              <w:ind w:firstLine="0"/>
              <w:jc w:val="center"/>
              <w:rPr>
                <w:b/>
                <w:sz w:val="18"/>
                <w:szCs w:val="18"/>
              </w:rPr>
            </w:pPr>
          </w:p>
          <w:p w14:paraId="1BADD39A" w14:textId="77777777" w:rsidR="00971CA1" w:rsidRPr="00FE1429" w:rsidRDefault="00971CA1" w:rsidP="00FE1429">
            <w:pPr>
              <w:pStyle w:val="TEKSTIII"/>
              <w:ind w:firstLine="0"/>
              <w:jc w:val="center"/>
              <w:rPr>
                <w:b/>
                <w:sz w:val="18"/>
                <w:szCs w:val="18"/>
              </w:rPr>
            </w:pPr>
          </w:p>
          <w:p w14:paraId="1BADD39B" w14:textId="77777777" w:rsidR="00971CA1" w:rsidRPr="00FE1429" w:rsidRDefault="00971CA1" w:rsidP="00FE1429">
            <w:pPr>
              <w:pStyle w:val="TEKSTIII"/>
              <w:ind w:firstLine="0"/>
              <w:jc w:val="center"/>
              <w:rPr>
                <w:b/>
                <w:sz w:val="18"/>
                <w:szCs w:val="18"/>
              </w:rPr>
            </w:pPr>
            <w:r w:rsidRPr="00FE1429">
              <w:rPr>
                <w:b/>
                <w:sz w:val="18"/>
                <w:szCs w:val="18"/>
              </w:rPr>
              <w:t>2019</w:t>
            </w:r>
          </w:p>
        </w:tc>
        <w:tc>
          <w:tcPr>
            <w:tcW w:w="318" w:type="pct"/>
            <w:shd w:val="clear" w:color="auto" w:fill="auto"/>
            <w:vAlign w:val="center"/>
          </w:tcPr>
          <w:p w14:paraId="1BADD39C" w14:textId="77777777" w:rsidR="00971CA1" w:rsidRPr="00FE1429" w:rsidRDefault="00971CA1" w:rsidP="00FE1429">
            <w:pPr>
              <w:pStyle w:val="TEKSTIII"/>
              <w:ind w:firstLine="0"/>
              <w:jc w:val="center"/>
              <w:rPr>
                <w:b/>
                <w:sz w:val="18"/>
                <w:szCs w:val="18"/>
              </w:rPr>
            </w:pPr>
          </w:p>
          <w:p w14:paraId="1BADD39D" w14:textId="77777777" w:rsidR="00971CA1" w:rsidRPr="00FE1429" w:rsidRDefault="00971CA1" w:rsidP="00FE1429">
            <w:pPr>
              <w:pStyle w:val="TEKSTIII"/>
              <w:ind w:firstLine="0"/>
              <w:jc w:val="center"/>
              <w:rPr>
                <w:b/>
                <w:sz w:val="18"/>
                <w:szCs w:val="18"/>
              </w:rPr>
            </w:pPr>
          </w:p>
          <w:p w14:paraId="1BADD39E" w14:textId="77777777" w:rsidR="00971CA1" w:rsidRPr="00FE1429" w:rsidRDefault="00971CA1" w:rsidP="00FE1429">
            <w:pPr>
              <w:pStyle w:val="TEKSTIII"/>
              <w:ind w:firstLine="0"/>
              <w:jc w:val="center"/>
              <w:rPr>
                <w:b/>
                <w:sz w:val="18"/>
                <w:szCs w:val="18"/>
              </w:rPr>
            </w:pPr>
          </w:p>
          <w:p w14:paraId="1BADD39F" w14:textId="77777777" w:rsidR="00971CA1" w:rsidRPr="00FE1429" w:rsidRDefault="00971CA1" w:rsidP="00FE1429">
            <w:pPr>
              <w:pStyle w:val="TEKSTIII"/>
              <w:ind w:firstLine="0"/>
              <w:jc w:val="center"/>
              <w:rPr>
                <w:b/>
                <w:sz w:val="18"/>
                <w:szCs w:val="18"/>
              </w:rPr>
            </w:pPr>
            <w:r w:rsidRPr="00FE1429">
              <w:rPr>
                <w:b/>
                <w:sz w:val="18"/>
                <w:szCs w:val="18"/>
              </w:rPr>
              <w:t>65%</w:t>
            </w:r>
          </w:p>
          <w:p w14:paraId="1BADD3A0" w14:textId="77777777" w:rsidR="00971CA1" w:rsidRPr="00FE1429" w:rsidRDefault="00971CA1" w:rsidP="00FE1429">
            <w:pPr>
              <w:pStyle w:val="TEKSTIII"/>
              <w:ind w:firstLine="0"/>
              <w:jc w:val="center"/>
              <w:rPr>
                <w:b/>
                <w:sz w:val="18"/>
                <w:szCs w:val="18"/>
              </w:rPr>
            </w:pPr>
          </w:p>
        </w:tc>
        <w:tc>
          <w:tcPr>
            <w:tcW w:w="300" w:type="pct"/>
            <w:shd w:val="clear" w:color="auto" w:fill="auto"/>
            <w:vAlign w:val="center"/>
          </w:tcPr>
          <w:p w14:paraId="1BADD3A1" w14:textId="77777777" w:rsidR="00971CA1" w:rsidRPr="00FE1429" w:rsidRDefault="00971CA1" w:rsidP="00FE1429">
            <w:pPr>
              <w:pStyle w:val="TEKSTIII"/>
              <w:ind w:firstLine="0"/>
              <w:jc w:val="center"/>
              <w:rPr>
                <w:b/>
                <w:sz w:val="18"/>
                <w:szCs w:val="18"/>
              </w:rPr>
            </w:pPr>
          </w:p>
          <w:p w14:paraId="1BADD3A2" w14:textId="77777777" w:rsidR="00971CA1" w:rsidRPr="00FE1429" w:rsidRDefault="00971CA1" w:rsidP="00FE1429">
            <w:pPr>
              <w:pStyle w:val="TEKSTIII"/>
              <w:ind w:firstLine="0"/>
              <w:jc w:val="center"/>
              <w:rPr>
                <w:b/>
                <w:sz w:val="18"/>
                <w:szCs w:val="18"/>
              </w:rPr>
            </w:pPr>
          </w:p>
          <w:p w14:paraId="1BADD3A3" w14:textId="77777777" w:rsidR="00971CA1" w:rsidRPr="00FE1429" w:rsidRDefault="00971CA1" w:rsidP="00FE1429">
            <w:pPr>
              <w:pStyle w:val="TEKSTIII"/>
              <w:ind w:firstLine="0"/>
              <w:jc w:val="center"/>
              <w:rPr>
                <w:b/>
                <w:sz w:val="18"/>
                <w:szCs w:val="18"/>
              </w:rPr>
            </w:pPr>
          </w:p>
          <w:p w14:paraId="1BADD3A4" w14:textId="77777777" w:rsidR="00971CA1" w:rsidRPr="00FE1429" w:rsidRDefault="00971CA1" w:rsidP="00FE1429">
            <w:pPr>
              <w:pStyle w:val="TEKSTIII"/>
              <w:ind w:firstLine="0"/>
              <w:jc w:val="center"/>
              <w:rPr>
                <w:b/>
                <w:sz w:val="18"/>
                <w:szCs w:val="18"/>
              </w:rPr>
            </w:pPr>
            <w:r w:rsidRPr="00FE1429">
              <w:rPr>
                <w:b/>
                <w:sz w:val="18"/>
                <w:szCs w:val="18"/>
              </w:rPr>
              <w:t>2021</w:t>
            </w:r>
          </w:p>
        </w:tc>
        <w:tc>
          <w:tcPr>
            <w:tcW w:w="318" w:type="pct"/>
            <w:shd w:val="clear" w:color="auto" w:fill="auto"/>
            <w:vAlign w:val="center"/>
          </w:tcPr>
          <w:p w14:paraId="1BADD3A5" w14:textId="77777777" w:rsidR="00971CA1" w:rsidRPr="00FE1429" w:rsidRDefault="00971CA1" w:rsidP="00FE1429">
            <w:pPr>
              <w:pStyle w:val="TEKSTIII"/>
              <w:ind w:firstLine="0"/>
              <w:jc w:val="center"/>
              <w:rPr>
                <w:b/>
                <w:sz w:val="18"/>
                <w:szCs w:val="18"/>
              </w:rPr>
            </w:pPr>
          </w:p>
          <w:p w14:paraId="1BADD3A6" w14:textId="77777777" w:rsidR="00971CA1" w:rsidRPr="00FE1429" w:rsidRDefault="00971CA1" w:rsidP="00FE1429">
            <w:pPr>
              <w:pStyle w:val="TEKSTIII"/>
              <w:ind w:firstLine="0"/>
              <w:jc w:val="center"/>
              <w:rPr>
                <w:b/>
                <w:sz w:val="18"/>
                <w:szCs w:val="18"/>
              </w:rPr>
            </w:pPr>
          </w:p>
          <w:p w14:paraId="1BADD3A7" w14:textId="77777777" w:rsidR="00971CA1" w:rsidRPr="00FE1429" w:rsidRDefault="00971CA1" w:rsidP="00FE1429">
            <w:pPr>
              <w:pStyle w:val="TEKSTIII"/>
              <w:ind w:firstLine="0"/>
              <w:jc w:val="center"/>
              <w:rPr>
                <w:b/>
                <w:sz w:val="18"/>
                <w:szCs w:val="18"/>
              </w:rPr>
            </w:pPr>
          </w:p>
          <w:p w14:paraId="1BADD3A8" w14:textId="77777777" w:rsidR="00971CA1" w:rsidRPr="00FE1429" w:rsidRDefault="00971CA1" w:rsidP="00FE1429">
            <w:pPr>
              <w:pStyle w:val="TEKSTIII"/>
              <w:ind w:firstLine="0"/>
              <w:jc w:val="center"/>
              <w:rPr>
                <w:b/>
                <w:sz w:val="18"/>
                <w:szCs w:val="18"/>
              </w:rPr>
            </w:pPr>
            <w:r w:rsidRPr="00FE1429">
              <w:rPr>
                <w:b/>
                <w:sz w:val="18"/>
                <w:szCs w:val="18"/>
              </w:rPr>
              <w:t>70%</w:t>
            </w:r>
          </w:p>
        </w:tc>
        <w:tc>
          <w:tcPr>
            <w:tcW w:w="317" w:type="pct"/>
            <w:shd w:val="clear" w:color="auto" w:fill="auto"/>
            <w:vAlign w:val="center"/>
          </w:tcPr>
          <w:p w14:paraId="1BADD3A9" w14:textId="77777777" w:rsidR="00971CA1" w:rsidRPr="00FE1429" w:rsidRDefault="00971CA1" w:rsidP="00FE1429">
            <w:pPr>
              <w:pStyle w:val="TEKSTIII"/>
              <w:ind w:firstLine="0"/>
              <w:jc w:val="center"/>
              <w:rPr>
                <w:b/>
                <w:sz w:val="18"/>
                <w:szCs w:val="18"/>
              </w:rPr>
            </w:pPr>
          </w:p>
          <w:p w14:paraId="1BADD3AA" w14:textId="77777777" w:rsidR="00971CA1" w:rsidRPr="00FE1429" w:rsidRDefault="00971CA1" w:rsidP="00FE1429">
            <w:pPr>
              <w:pStyle w:val="TEKSTIII"/>
              <w:ind w:firstLine="0"/>
              <w:jc w:val="center"/>
              <w:rPr>
                <w:b/>
                <w:sz w:val="18"/>
                <w:szCs w:val="18"/>
              </w:rPr>
            </w:pPr>
          </w:p>
          <w:p w14:paraId="1BADD3AB" w14:textId="77777777" w:rsidR="00971CA1" w:rsidRPr="00FE1429" w:rsidRDefault="00971CA1" w:rsidP="00FE1429">
            <w:pPr>
              <w:pStyle w:val="TEKSTIII"/>
              <w:ind w:firstLine="0"/>
              <w:jc w:val="center"/>
              <w:rPr>
                <w:b/>
                <w:sz w:val="18"/>
                <w:szCs w:val="18"/>
              </w:rPr>
            </w:pPr>
          </w:p>
          <w:p w14:paraId="1BADD3AC" w14:textId="77777777" w:rsidR="00971CA1" w:rsidRPr="00FE1429" w:rsidRDefault="00971CA1" w:rsidP="00FE1429">
            <w:pPr>
              <w:pStyle w:val="TEKSTIII"/>
              <w:ind w:firstLine="0"/>
              <w:jc w:val="center"/>
              <w:rPr>
                <w:b/>
                <w:sz w:val="18"/>
                <w:szCs w:val="18"/>
              </w:rPr>
            </w:pPr>
            <w:r w:rsidRPr="00FE1429">
              <w:rPr>
                <w:b/>
                <w:sz w:val="18"/>
                <w:szCs w:val="18"/>
              </w:rPr>
              <w:t>2023</w:t>
            </w:r>
          </w:p>
        </w:tc>
        <w:tc>
          <w:tcPr>
            <w:tcW w:w="529" w:type="pct"/>
            <w:shd w:val="clear" w:color="auto" w:fill="auto"/>
            <w:vAlign w:val="center"/>
          </w:tcPr>
          <w:p w14:paraId="1BADD3AD"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Shërbimi i statistikave të punësimit publik</w:t>
            </w:r>
          </w:p>
        </w:tc>
        <w:tc>
          <w:tcPr>
            <w:tcW w:w="544" w:type="pct"/>
            <w:shd w:val="clear" w:color="auto" w:fill="auto"/>
            <w:vAlign w:val="center"/>
          </w:tcPr>
          <w:p w14:paraId="1BADD3AE"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Përfituesit e granteve</w:t>
            </w:r>
          </w:p>
          <w:p w14:paraId="1BADD3AF" w14:textId="77777777" w:rsidR="00971CA1" w:rsidRPr="00FE1429" w:rsidRDefault="00971CA1" w:rsidP="00FE1429">
            <w:pPr>
              <w:pStyle w:val="TEKSTIII"/>
              <w:ind w:firstLine="0"/>
              <w:jc w:val="center"/>
              <w:rPr>
                <w:b/>
                <w:sz w:val="18"/>
                <w:szCs w:val="18"/>
                <w:lang w:eastAsia="ko-KR"/>
              </w:rPr>
            </w:pPr>
            <w:r w:rsidRPr="00FE1429">
              <w:rPr>
                <w:b/>
                <w:sz w:val="18"/>
                <w:szCs w:val="18"/>
                <w:lang w:eastAsia="ko-KR"/>
              </w:rPr>
              <w:t>Raport tremujor</w:t>
            </w:r>
          </w:p>
        </w:tc>
      </w:tr>
      <w:tr w:rsidR="00971CA1" w:rsidRPr="00551729" w14:paraId="1BADD3BD" w14:textId="77777777" w:rsidTr="009F02F5">
        <w:trPr>
          <w:jc w:val="center"/>
        </w:trPr>
        <w:tc>
          <w:tcPr>
            <w:tcW w:w="523" w:type="pct"/>
            <w:shd w:val="clear" w:color="auto" w:fill="auto"/>
          </w:tcPr>
          <w:p w14:paraId="1BADD3B1" w14:textId="77777777" w:rsidR="00971CA1" w:rsidRPr="00551729" w:rsidRDefault="00971CA1" w:rsidP="00971CA1">
            <w:pPr>
              <w:pStyle w:val="TEKSTIII"/>
              <w:ind w:firstLine="0"/>
              <w:rPr>
                <w:sz w:val="18"/>
                <w:szCs w:val="18"/>
              </w:rPr>
            </w:pPr>
          </w:p>
        </w:tc>
        <w:tc>
          <w:tcPr>
            <w:tcW w:w="915" w:type="pct"/>
            <w:shd w:val="clear" w:color="auto" w:fill="auto"/>
          </w:tcPr>
          <w:p w14:paraId="1BADD3B2" w14:textId="77777777" w:rsidR="00971CA1" w:rsidRPr="00551729" w:rsidRDefault="00971CA1" w:rsidP="00971CA1">
            <w:pPr>
              <w:pStyle w:val="TEKSTIII"/>
              <w:ind w:firstLine="0"/>
              <w:rPr>
                <w:sz w:val="18"/>
                <w:szCs w:val="18"/>
              </w:rPr>
            </w:pPr>
          </w:p>
        </w:tc>
        <w:tc>
          <w:tcPr>
            <w:tcW w:w="318" w:type="pct"/>
            <w:shd w:val="clear" w:color="auto" w:fill="auto"/>
          </w:tcPr>
          <w:p w14:paraId="1BADD3B3" w14:textId="77777777" w:rsidR="00971CA1" w:rsidRPr="00551729" w:rsidRDefault="00971CA1" w:rsidP="00971CA1">
            <w:pPr>
              <w:pStyle w:val="TEKSTIII"/>
              <w:ind w:firstLine="0"/>
              <w:rPr>
                <w:sz w:val="18"/>
                <w:szCs w:val="18"/>
              </w:rPr>
            </w:pPr>
          </w:p>
        </w:tc>
        <w:tc>
          <w:tcPr>
            <w:tcW w:w="300" w:type="pct"/>
            <w:shd w:val="clear" w:color="auto" w:fill="auto"/>
          </w:tcPr>
          <w:p w14:paraId="1BADD3B4" w14:textId="77777777" w:rsidR="00971CA1" w:rsidRPr="00551729" w:rsidRDefault="00971CA1" w:rsidP="00971CA1">
            <w:pPr>
              <w:pStyle w:val="TEKSTIII"/>
              <w:ind w:firstLine="0"/>
              <w:rPr>
                <w:sz w:val="18"/>
                <w:szCs w:val="18"/>
              </w:rPr>
            </w:pPr>
          </w:p>
        </w:tc>
        <w:tc>
          <w:tcPr>
            <w:tcW w:w="318" w:type="pct"/>
            <w:shd w:val="clear" w:color="auto" w:fill="auto"/>
          </w:tcPr>
          <w:p w14:paraId="1BADD3B5" w14:textId="77777777" w:rsidR="00971CA1" w:rsidRPr="00551729" w:rsidRDefault="00971CA1" w:rsidP="00971CA1">
            <w:pPr>
              <w:pStyle w:val="TEKSTIII"/>
              <w:ind w:firstLine="0"/>
              <w:rPr>
                <w:sz w:val="18"/>
                <w:szCs w:val="18"/>
              </w:rPr>
            </w:pPr>
          </w:p>
        </w:tc>
        <w:tc>
          <w:tcPr>
            <w:tcW w:w="300" w:type="pct"/>
            <w:shd w:val="clear" w:color="auto" w:fill="auto"/>
          </w:tcPr>
          <w:p w14:paraId="1BADD3B6" w14:textId="77777777" w:rsidR="00971CA1" w:rsidRPr="00551729" w:rsidRDefault="00971CA1" w:rsidP="00971CA1">
            <w:pPr>
              <w:pStyle w:val="TEKSTIII"/>
              <w:ind w:firstLine="0"/>
              <w:rPr>
                <w:sz w:val="18"/>
                <w:szCs w:val="18"/>
              </w:rPr>
            </w:pPr>
          </w:p>
        </w:tc>
        <w:tc>
          <w:tcPr>
            <w:tcW w:w="318" w:type="pct"/>
            <w:shd w:val="clear" w:color="auto" w:fill="auto"/>
          </w:tcPr>
          <w:p w14:paraId="1BADD3B7" w14:textId="77777777" w:rsidR="00971CA1" w:rsidRPr="00551729" w:rsidRDefault="00971CA1" w:rsidP="00971CA1">
            <w:pPr>
              <w:pStyle w:val="TEKSTIII"/>
              <w:ind w:firstLine="0"/>
              <w:rPr>
                <w:sz w:val="18"/>
                <w:szCs w:val="18"/>
              </w:rPr>
            </w:pPr>
          </w:p>
        </w:tc>
        <w:tc>
          <w:tcPr>
            <w:tcW w:w="300" w:type="pct"/>
            <w:shd w:val="clear" w:color="auto" w:fill="auto"/>
          </w:tcPr>
          <w:p w14:paraId="1BADD3B8" w14:textId="77777777" w:rsidR="00971CA1" w:rsidRPr="00551729" w:rsidRDefault="00971CA1" w:rsidP="00971CA1">
            <w:pPr>
              <w:pStyle w:val="TEKSTIII"/>
              <w:ind w:firstLine="0"/>
              <w:rPr>
                <w:sz w:val="18"/>
                <w:szCs w:val="18"/>
              </w:rPr>
            </w:pPr>
          </w:p>
        </w:tc>
        <w:tc>
          <w:tcPr>
            <w:tcW w:w="318" w:type="pct"/>
            <w:shd w:val="clear" w:color="auto" w:fill="auto"/>
          </w:tcPr>
          <w:p w14:paraId="1BADD3B9" w14:textId="77777777" w:rsidR="00971CA1" w:rsidRPr="00551729" w:rsidRDefault="00971CA1" w:rsidP="00971CA1">
            <w:pPr>
              <w:pStyle w:val="TEKSTIII"/>
              <w:ind w:firstLine="0"/>
              <w:rPr>
                <w:sz w:val="18"/>
                <w:szCs w:val="18"/>
              </w:rPr>
            </w:pPr>
          </w:p>
        </w:tc>
        <w:tc>
          <w:tcPr>
            <w:tcW w:w="317" w:type="pct"/>
            <w:shd w:val="clear" w:color="auto" w:fill="auto"/>
          </w:tcPr>
          <w:p w14:paraId="1BADD3BA" w14:textId="77777777" w:rsidR="00971CA1" w:rsidRPr="00551729" w:rsidRDefault="00971CA1" w:rsidP="00971CA1">
            <w:pPr>
              <w:pStyle w:val="TEKSTIII"/>
              <w:ind w:firstLine="0"/>
              <w:rPr>
                <w:sz w:val="18"/>
                <w:szCs w:val="18"/>
              </w:rPr>
            </w:pPr>
          </w:p>
        </w:tc>
        <w:tc>
          <w:tcPr>
            <w:tcW w:w="529" w:type="pct"/>
            <w:shd w:val="clear" w:color="auto" w:fill="auto"/>
          </w:tcPr>
          <w:p w14:paraId="1BADD3BB" w14:textId="77777777" w:rsidR="00971CA1" w:rsidRPr="00551729" w:rsidRDefault="00971CA1" w:rsidP="00971CA1">
            <w:pPr>
              <w:pStyle w:val="TEKSTIII"/>
              <w:ind w:firstLine="0"/>
              <w:rPr>
                <w:sz w:val="18"/>
                <w:szCs w:val="18"/>
              </w:rPr>
            </w:pPr>
          </w:p>
        </w:tc>
        <w:tc>
          <w:tcPr>
            <w:tcW w:w="544" w:type="pct"/>
            <w:shd w:val="clear" w:color="auto" w:fill="auto"/>
          </w:tcPr>
          <w:p w14:paraId="1BADD3BC" w14:textId="77777777" w:rsidR="00971CA1" w:rsidRPr="00551729" w:rsidRDefault="00971CA1" w:rsidP="00971CA1">
            <w:pPr>
              <w:pStyle w:val="TEKSTIII"/>
              <w:ind w:firstLine="0"/>
              <w:rPr>
                <w:sz w:val="18"/>
                <w:szCs w:val="18"/>
              </w:rPr>
            </w:pPr>
          </w:p>
        </w:tc>
      </w:tr>
      <w:tr w:rsidR="00971CA1" w:rsidRPr="00551729" w14:paraId="1BADD3CA" w14:textId="77777777" w:rsidTr="009F02F5">
        <w:trPr>
          <w:jc w:val="center"/>
        </w:trPr>
        <w:tc>
          <w:tcPr>
            <w:tcW w:w="523" w:type="pct"/>
            <w:shd w:val="clear" w:color="auto" w:fill="auto"/>
          </w:tcPr>
          <w:p w14:paraId="1BADD3BE" w14:textId="77777777" w:rsidR="00971CA1" w:rsidRPr="00551729" w:rsidRDefault="00971CA1" w:rsidP="00971CA1">
            <w:pPr>
              <w:pStyle w:val="TEKSTIII"/>
              <w:ind w:firstLine="0"/>
              <w:rPr>
                <w:sz w:val="18"/>
                <w:szCs w:val="18"/>
              </w:rPr>
            </w:pPr>
          </w:p>
        </w:tc>
        <w:tc>
          <w:tcPr>
            <w:tcW w:w="915" w:type="pct"/>
            <w:shd w:val="clear" w:color="auto" w:fill="auto"/>
          </w:tcPr>
          <w:p w14:paraId="1BADD3BF" w14:textId="77777777" w:rsidR="00971CA1" w:rsidRPr="00551729" w:rsidRDefault="00971CA1" w:rsidP="00971CA1">
            <w:pPr>
              <w:pStyle w:val="TEKSTIII"/>
              <w:ind w:firstLine="0"/>
              <w:rPr>
                <w:sz w:val="18"/>
                <w:szCs w:val="18"/>
              </w:rPr>
            </w:pPr>
          </w:p>
        </w:tc>
        <w:tc>
          <w:tcPr>
            <w:tcW w:w="318" w:type="pct"/>
            <w:shd w:val="clear" w:color="auto" w:fill="auto"/>
          </w:tcPr>
          <w:p w14:paraId="1BADD3C0" w14:textId="77777777" w:rsidR="00971CA1" w:rsidRPr="00551729" w:rsidRDefault="00971CA1" w:rsidP="00971CA1">
            <w:pPr>
              <w:pStyle w:val="TEKSTIII"/>
              <w:ind w:firstLine="0"/>
              <w:rPr>
                <w:sz w:val="18"/>
                <w:szCs w:val="18"/>
              </w:rPr>
            </w:pPr>
          </w:p>
        </w:tc>
        <w:tc>
          <w:tcPr>
            <w:tcW w:w="300" w:type="pct"/>
            <w:shd w:val="clear" w:color="auto" w:fill="auto"/>
          </w:tcPr>
          <w:p w14:paraId="1BADD3C1" w14:textId="77777777" w:rsidR="00971CA1" w:rsidRPr="00551729" w:rsidRDefault="00971CA1" w:rsidP="00971CA1">
            <w:pPr>
              <w:pStyle w:val="TEKSTIII"/>
              <w:ind w:firstLine="0"/>
              <w:rPr>
                <w:sz w:val="18"/>
                <w:szCs w:val="18"/>
              </w:rPr>
            </w:pPr>
          </w:p>
        </w:tc>
        <w:tc>
          <w:tcPr>
            <w:tcW w:w="318" w:type="pct"/>
            <w:shd w:val="clear" w:color="auto" w:fill="auto"/>
          </w:tcPr>
          <w:p w14:paraId="1BADD3C2" w14:textId="77777777" w:rsidR="00971CA1" w:rsidRPr="00551729" w:rsidRDefault="00971CA1" w:rsidP="00971CA1">
            <w:pPr>
              <w:pStyle w:val="TEKSTIII"/>
              <w:ind w:firstLine="0"/>
              <w:rPr>
                <w:sz w:val="18"/>
                <w:szCs w:val="18"/>
              </w:rPr>
            </w:pPr>
          </w:p>
        </w:tc>
        <w:tc>
          <w:tcPr>
            <w:tcW w:w="300" w:type="pct"/>
            <w:shd w:val="clear" w:color="auto" w:fill="auto"/>
          </w:tcPr>
          <w:p w14:paraId="1BADD3C3" w14:textId="77777777" w:rsidR="00971CA1" w:rsidRPr="00551729" w:rsidRDefault="00971CA1" w:rsidP="00971CA1">
            <w:pPr>
              <w:pStyle w:val="TEKSTIII"/>
              <w:ind w:firstLine="0"/>
              <w:rPr>
                <w:sz w:val="18"/>
                <w:szCs w:val="18"/>
              </w:rPr>
            </w:pPr>
          </w:p>
        </w:tc>
        <w:tc>
          <w:tcPr>
            <w:tcW w:w="318" w:type="pct"/>
            <w:shd w:val="clear" w:color="auto" w:fill="auto"/>
          </w:tcPr>
          <w:p w14:paraId="1BADD3C4" w14:textId="77777777" w:rsidR="00971CA1" w:rsidRPr="00551729" w:rsidRDefault="00971CA1" w:rsidP="00971CA1">
            <w:pPr>
              <w:pStyle w:val="TEKSTIII"/>
              <w:ind w:firstLine="0"/>
              <w:rPr>
                <w:sz w:val="18"/>
                <w:szCs w:val="18"/>
              </w:rPr>
            </w:pPr>
          </w:p>
        </w:tc>
        <w:tc>
          <w:tcPr>
            <w:tcW w:w="300" w:type="pct"/>
            <w:shd w:val="clear" w:color="auto" w:fill="auto"/>
          </w:tcPr>
          <w:p w14:paraId="1BADD3C5" w14:textId="77777777" w:rsidR="00971CA1" w:rsidRPr="00551729" w:rsidRDefault="00971CA1" w:rsidP="00971CA1">
            <w:pPr>
              <w:pStyle w:val="TEKSTIII"/>
              <w:ind w:firstLine="0"/>
              <w:rPr>
                <w:sz w:val="18"/>
                <w:szCs w:val="18"/>
              </w:rPr>
            </w:pPr>
          </w:p>
        </w:tc>
        <w:tc>
          <w:tcPr>
            <w:tcW w:w="318" w:type="pct"/>
            <w:shd w:val="clear" w:color="auto" w:fill="auto"/>
          </w:tcPr>
          <w:p w14:paraId="1BADD3C6" w14:textId="77777777" w:rsidR="00971CA1" w:rsidRPr="00551729" w:rsidRDefault="00971CA1" w:rsidP="00971CA1">
            <w:pPr>
              <w:pStyle w:val="TEKSTIII"/>
              <w:ind w:firstLine="0"/>
              <w:rPr>
                <w:sz w:val="18"/>
                <w:szCs w:val="18"/>
              </w:rPr>
            </w:pPr>
          </w:p>
        </w:tc>
        <w:tc>
          <w:tcPr>
            <w:tcW w:w="317" w:type="pct"/>
            <w:shd w:val="clear" w:color="auto" w:fill="auto"/>
          </w:tcPr>
          <w:p w14:paraId="1BADD3C7" w14:textId="77777777" w:rsidR="00971CA1" w:rsidRPr="00551729" w:rsidRDefault="00971CA1" w:rsidP="00971CA1">
            <w:pPr>
              <w:pStyle w:val="TEKSTIII"/>
              <w:ind w:firstLine="0"/>
              <w:rPr>
                <w:sz w:val="18"/>
                <w:szCs w:val="18"/>
              </w:rPr>
            </w:pPr>
          </w:p>
        </w:tc>
        <w:tc>
          <w:tcPr>
            <w:tcW w:w="529" w:type="pct"/>
            <w:shd w:val="clear" w:color="auto" w:fill="auto"/>
          </w:tcPr>
          <w:p w14:paraId="1BADD3C8" w14:textId="77777777" w:rsidR="00971CA1" w:rsidRPr="00551729" w:rsidRDefault="00971CA1" w:rsidP="00971CA1">
            <w:pPr>
              <w:pStyle w:val="TEKSTIII"/>
              <w:ind w:firstLine="0"/>
              <w:rPr>
                <w:sz w:val="18"/>
                <w:szCs w:val="18"/>
              </w:rPr>
            </w:pPr>
          </w:p>
        </w:tc>
        <w:tc>
          <w:tcPr>
            <w:tcW w:w="544" w:type="pct"/>
            <w:shd w:val="clear" w:color="auto" w:fill="auto"/>
          </w:tcPr>
          <w:p w14:paraId="1BADD3C9" w14:textId="77777777" w:rsidR="00971CA1" w:rsidRPr="00551729" w:rsidRDefault="00971CA1" w:rsidP="00971CA1">
            <w:pPr>
              <w:pStyle w:val="TEKSTIII"/>
              <w:ind w:firstLine="0"/>
              <w:rPr>
                <w:sz w:val="18"/>
                <w:szCs w:val="18"/>
              </w:rPr>
            </w:pPr>
          </w:p>
        </w:tc>
      </w:tr>
    </w:tbl>
    <w:p w14:paraId="1BADD3CB" w14:textId="77777777" w:rsidR="00971CA1" w:rsidRPr="00551729" w:rsidRDefault="00971CA1" w:rsidP="00971CA1">
      <w:pPr>
        <w:pStyle w:val="TEKSTIII"/>
        <w:rPr>
          <w:lang w:eastAsia="ko-KR"/>
        </w:rPr>
      </w:pPr>
    </w:p>
    <w:p w14:paraId="1BADD3CC" w14:textId="77777777" w:rsidR="00971CA1" w:rsidRPr="00551729" w:rsidRDefault="00971CA1" w:rsidP="00971CA1">
      <w:pPr>
        <w:pStyle w:val="TEKSTIII"/>
        <w:rPr>
          <w:b/>
        </w:rPr>
      </w:pPr>
      <w:r w:rsidRPr="00551729">
        <w:rPr>
          <w:b/>
        </w:rPr>
        <w:t xml:space="preserve">Analiza cilësore </w:t>
      </w:r>
    </w:p>
    <w:p w14:paraId="1BADD3CD" w14:textId="03C48DD5" w:rsidR="00971CA1" w:rsidRPr="00551729" w:rsidRDefault="00971CA1" w:rsidP="00971CA1">
      <w:pPr>
        <w:pStyle w:val="TEKSTIII"/>
        <w:rPr>
          <w:lang w:eastAsia="ko-KR"/>
        </w:rPr>
      </w:pPr>
      <w:r w:rsidRPr="00551729">
        <w:rPr>
          <w:lang w:eastAsia="en-GB"/>
        </w:rPr>
        <w:t>&lt;</w:t>
      </w:r>
      <w:r w:rsidRPr="00551729">
        <w:rPr>
          <w:lang w:eastAsia="ko-KR"/>
        </w:rPr>
        <w:t xml:space="preserve">Analizë cilësore e progresit (përparimet konceptuale dhe përsosja e ndërhyrjeve) të realizuar gjatë zbatimit të programit të bashkëpunimit ndërkufitar, duke përfshirë analizën e ndikimit të programit në zonën e tij, me një diferencim të qëllimit gjeografik (shpërndarja harmonike/përqendrimi) dhe diferencim të zonave (rurale/urbane). </w:t>
      </w:r>
    </w:p>
    <w:p w14:paraId="1BADD3CE" w14:textId="63C45095" w:rsidR="00971CA1" w:rsidRPr="00551729" w:rsidRDefault="00971CA1" w:rsidP="00971CA1">
      <w:pPr>
        <w:pStyle w:val="TEKSTIII"/>
        <w:rPr>
          <w:lang w:eastAsia="ko-KR"/>
        </w:rPr>
      </w:pPr>
      <w:r w:rsidRPr="00551729">
        <w:rPr>
          <w:lang w:eastAsia="ko-KR"/>
        </w:rPr>
        <w:t>Shpjegoni sesi programi ka kontribuar ose do të kontribuojë në përmirësimin e marrëdhënies ndërkufitare</w:t>
      </w:r>
      <w:r w:rsidR="00875F82">
        <w:rPr>
          <w:lang w:eastAsia="ko-KR"/>
        </w:rPr>
        <w:t>,</w:t>
      </w:r>
      <w:r w:rsidRPr="00551729">
        <w:rPr>
          <w:lang w:eastAsia="ko-KR"/>
        </w:rPr>
        <w:t xml:space="preserve"> si dhe se</w:t>
      </w:r>
      <w:r w:rsidR="00875F82">
        <w:rPr>
          <w:lang w:eastAsia="ko-KR"/>
        </w:rPr>
        <w:t xml:space="preserve"> </w:t>
      </w:r>
      <w:r w:rsidRPr="00551729">
        <w:rPr>
          <w:lang w:eastAsia="ko-KR"/>
        </w:rPr>
        <w:t>si mund ta ma</w:t>
      </w:r>
      <w:r w:rsidR="00B0689F">
        <w:rPr>
          <w:lang w:eastAsia="ko-KR"/>
        </w:rPr>
        <w:t>t</w:t>
      </w:r>
      <w:r w:rsidRPr="00551729">
        <w:rPr>
          <w:lang w:eastAsia="ko-KR"/>
        </w:rPr>
        <w:t>im apo demonstrojmë atë.</w:t>
      </w:r>
    </w:p>
    <w:p w14:paraId="1BADD3CF" w14:textId="4C98219A" w:rsidR="00971CA1" w:rsidRPr="00551729" w:rsidRDefault="00971CA1" w:rsidP="00971CA1">
      <w:pPr>
        <w:pStyle w:val="TEKSTIII"/>
        <w:rPr>
          <w:lang w:eastAsia="ko-KR"/>
        </w:rPr>
      </w:pPr>
      <w:r w:rsidRPr="00551729">
        <w:rPr>
          <w:lang w:eastAsia="ko-KR"/>
        </w:rPr>
        <w:t>Shpjegoni sesi strukturat operuese dhe strukturat e ndërmjetme të ngritura gjurmojnë kët</w:t>
      </w:r>
      <w:r w:rsidR="00867377">
        <w:rPr>
          <w:lang w:eastAsia="ko-KR"/>
        </w:rPr>
        <w:t>o</w:t>
      </w:r>
      <w:r w:rsidRPr="00551729">
        <w:rPr>
          <w:lang w:eastAsia="ko-KR"/>
        </w:rPr>
        <w:t xml:space="preserve"> element</w:t>
      </w:r>
      <w:r w:rsidR="00867377">
        <w:rPr>
          <w:lang w:eastAsia="ko-KR"/>
        </w:rPr>
        <w:t>e</w:t>
      </w:r>
      <w:r w:rsidRPr="00551729">
        <w:rPr>
          <w:lang w:eastAsia="ko-KR"/>
        </w:rPr>
        <w:t xml:space="preserve"> të përmirësimit që ndodhin gjatë zbatimit</w:t>
      </w:r>
      <w:r w:rsidR="00867377">
        <w:rPr>
          <w:lang w:eastAsia="ko-KR"/>
        </w:rPr>
        <w:t xml:space="preserve"> </w:t>
      </w:r>
      <w:r w:rsidRPr="00551729">
        <w:rPr>
          <w:lang w:eastAsia="ko-KR"/>
        </w:rPr>
        <w:t>të programit, për shembull, për ngritjen dhe funskionalitetin e sistemit të mbledhjes së të dhënave (për qëllime statistikore dhe administrative).</w:t>
      </w:r>
    </w:p>
    <w:p w14:paraId="1BADD3D0" w14:textId="7D544C0D" w:rsidR="00971CA1" w:rsidRPr="00551729" w:rsidRDefault="00971CA1" w:rsidP="00971CA1">
      <w:pPr>
        <w:pStyle w:val="TEKSTIII"/>
        <w:rPr>
          <w:lang w:eastAsia="en-GB"/>
        </w:rPr>
      </w:pPr>
      <w:r w:rsidRPr="00551729">
        <w:rPr>
          <w:i/>
          <w:lang w:eastAsia="ko-KR"/>
        </w:rPr>
        <w:t>Për analiza cilësore, strukturat e programit duhet të bëjnë</w:t>
      </w:r>
      <w:r w:rsidRPr="00551729">
        <w:rPr>
          <w:i/>
        </w:rPr>
        <w:t xml:space="preserve"> </w:t>
      </w:r>
      <w:r w:rsidRPr="00551729">
        <w:rPr>
          <w:i/>
          <w:lang w:eastAsia="ko-KR"/>
        </w:rPr>
        <w:t xml:space="preserve">përpjekje për të siguruar informacion mbi pikëpamjet, mendimet ose vëzhgimet e publikut. Këto të dhëna mblidhen </w:t>
      </w:r>
      <w:r w:rsidR="00867377" w:rsidRPr="00551729">
        <w:rPr>
          <w:i/>
          <w:lang w:eastAsia="ko-KR"/>
        </w:rPr>
        <w:t>kryesisht</w:t>
      </w:r>
      <w:r w:rsidRPr="00551729">
        <w:rPr>
          <w:i/>
          <w:lang w:eastAsia="ko-KR"/>
        </w:rPr>
        <w:t xml:space="preserve"> nga vlerësimet, vizitat studimore, intervistat, takimet, grupet e fokusuara, anketave etj. Në përfundim, shtjelloni se si çështjet e ndërlidhura (veçanërisht ato që janë të rëndësishme për politikën e kohezionit: mundësi të barabarta, zhvillim të qëndrueshëm dhe luftë kundër diskriminimit) zhvillohen gjatë hartimit të thirrjeve për propozime dhe zbatimit të kontratave të granteve.</w:t>
      </w:r>
      <w:r w:rsidRPr="00551729">
        <w:rPr>
          <w:lang w:eastAsia="en-GB"/>
        </w:rPr>
        <w:t>&gt;</w:t>
      </w:r>
    </w:p>
    <w:p w14:paraId="1BADD3D1" w14:textId="77777777" w:rsidR="00971CA1" w:rsidRPr="00551729" w:rsidRDefault="00971CA1" w:rsidP="00971CA1">
      <w:pPr>
        <w:pStyle w:val="TEKSTIII"/>
      </w:pPr>
      <w:r w:rsidRPr="00551729">
        <w:t xml:space="preserve">Informacione të hollësishme rreth ekzekutimit financiar të programit të bashkëpunimit ndërkufitar </w:t>
      </w:r>
    </w:p>
    <w:p w14:paraId="1BADD3D2" w14:textId="7DA1FCA0" w:rsidR="00971CA1" w:rsidRPr="00551729" w:rsidRDefault="00971CA1" w:rsidP="00971CA1">
      <w:pPr>
        <w:pStyle w:val="TEKSTIII"/>
        <w:rPr>
          <w:i/>
          <w:iCs/>
        </w:rPr>
      </w:pPr>
      <w:r w:rsidRPr="00551729">
        <w:rPr>
          <w:i/>
          <w:iCs/>
        </w:rPr>
        <w:t>– Informacion i detajuar mbi kontraktimin dhe nën menaxhimin e tërthortë, disbursimin e alokimeve vjetore për secilin prioritet tematik dhe tip grant kontrate, duke përfshirë dhe partnerët e projekteve (</w:t>
      </w:r>
      <w:r w:rsidR="001B762F">
        <w:rPr>
          <w:i/>
          <w:iCs/>
        </w:rPr>
        <w:t>bashkë</w:t>
      </w:r>
      <w:r w:rsidRPr="00551729">
        <w:rPr>
          <w:i/>
          <w:iCs/>
        </w:rPr>
        <w:t>përfituesit)</w:t>
      </w:r>
    </w:p>
    <w:p w14:paraId="1BADD3D3" w14:textId="77777777" w:rsidR="00971CA1" w:rsidRPr="00551729" w:rsidRDefault="00971CA1" w:rsidP="00971CA1">
      <w:pPr>
        <w:pStyle w:val="TEKSTIII"/>
        <w:rPr>
          <w:i/>
          <w:iCs/>
        </w:rPr>
      </w:pPr>
      <w:r w:rsidRPr="00551729">
        <w:rPr>
          <w:i/>
          <w:iCs/>
        </w:rPr>
        <w:t xml:space="preserve">– Analiza e faktorëve të mëposhtëm: </w:t>
      </w:r>
    </w:p>
    <w:p w14:paraId="1BADD3D4" w14:textId="34D5CA93" w:rsidR="00971CA1" w:rsidRPr="00551729" w:rsidRDefault="00971CA1" w:rsidP="00971CA1">
      <w:pPr>
        <w:pStyle w:val="TEKSTIII"/>
      </w:pPr>
      <w:r w:rsidRPr="00551729">
        <w:rPr>
          <w:i/>
          <w:iCs/>
        </w:rPr>
        <w:t>-</w:t>
      </w:r>
      <w:r w:rsidR="00950449">
        <w:rPr>
          <w:i/>
          <w:iCs/>
        </w:rPr>
        <w:t xml:space="preserve"> </w:t>
      </w:r>
      <w:r w:rsidRPr="00551729">
        <w:rPr>
          <w:i/>
          <w:iCs/>
        </w:rPr>
        <w:t xml:space="preserve">Statusi financiar </w:t>
      </w:r>
    </w:p>
    <w:p w14:paraId="1BADD3D5" w14:textId="5ADDBAC9" w:rsidR="00971CA1" w:rsidRPr="00551729" w:rsidRDefault="00971CA1" w:rsidP="00971CA1">
      <w:pPr>
        <w:pStyle w:val="TEKSTIII"/>
      </w:pPr>
      <w:r w:rsidRPr="00551729">
        <w:rPr>
          <w:i/>
          <w:iCs/>
        </w:rPr>
        <w:t>-</w:t>
      </w:r>
      <w:r w:rsidR="00950449">
        <w:rPr>
          <w:i/>
          <w:iCs/>
        </w:rPr>
        <w:t xml:space="preserve"> </w:t>
      </w:r>
      <w:r w:rsidRPr="00551729">
        <w:rPr>
          <w:i/>
          <w:iCs/>
        </w:rPr>
        <w:t xml:space="preserve">Informacion mbi </w:t>
      </w:r>
      <w:r w:rsidR="001B762F">
        <w:rPr>
          <w:i/>
          <w:iCs/>
        </w:rPr>
        <w:t>bashkë</w:t>
      </w:r>
      <w:r w:rsidRPr="00551729">
        <w:rPr>
          <w:i/>
          <w:iCs/>
        </w:rPr>
        <w:t xml:space="preserve">financimin </w:t>
      </w:r>
    </w:p>
    <w:p w14:paraId="1BADD3D6" w14:textId="0753A829" w:rsidR="00971CA1" w:rsidRPr="00551729" w:rsidRDefault="00971CA1" w:rsidP="00971CA1">
      <w:pPr>
        <w:pStyle w:val="TEKSTIII"/>
      </w:pPr>
      <w:r w:rsidRPr="00551729">
        <w:rPr>
          <w:i/>
          <w:iCs/>
        </w:rPr>
        <w:t>-</w:t>
      </w:r>
      <w:r w:rsidR="00950449">
        <w:rPr>
          <w:i/>
          <w:iCs/>
        </w:rPr>
        <w:t xml:space="preserve"> </w:t>
      </w:r>
      <w:r w:rsidRPr="00551729">
        <w:rPr>
          <w:i/>
          <w:iCs/>
        </w:rPr>
        <w:t xml:space="preserve">Faktorët që kanë penguar dhe / ose vonuar zbatimin financiar </w:t>
      </w:r>
    </w:p>
    <w:p w14:paraId="1BADD3D7" w14:textId="2F66D907" w:rsidR="00971CA1" w:rsidRPr="00551729" w:rsidRDefault="00971CA1" w:rsidP="00971CA1">
      <w:pPr>
        <w:pStyle w:val="TEKSTIII"/>
      </w:pPr>
      <w:r w:rsidRPr="00551729">
        <w:rPr>
          <w:i/>
          <w:iCs/>
        </w:rPr>
        <w:t>-</w:t>
      </w:r>
      <w:r w:rsidR="00950449">
        <w:rPr>
          <w:i/>
          <w:iCs/>
        </w:rPr>
        <w:t xml:space="preserve"> </w:t>
      </w:r>
      <w:r w:rsidRPr="00551729">
        <w:rPr>
          <w:i/>
          <w:iCs/>
        </w:rPr>
        <w:t>Faktorët që</w:t>
      </w:r>
      <w:r w:rsidR="00C521D5" w:rsidRPr="00551729">
        <w:rPr>
          <w:i/>
          <w:iCs/>
        </w:rPr>
        <w:t xml:space="preserve"> </w:t>
      </w:r>
      <w:r w:rsidRPr="00551729">
        <w:rPr>
          <w:i/>
          <w:iCs/>
        </w:rPr>
        <w:t xml:space="preserve">kanë pasur ndikim pozitiv në zbatimin financiar </w:t>
      </w:r>
    </w:p>
    <w:p w14:paraId="1BADD3D8" w14:textId="77777777" w:rsidR="00971CA1" w:rsidRPr="00551729" w:rsidRDefault="00971CA1" w:rsidP="00971CA1">
      <w:pPr>
        <w:pStyle w:val="TEKSTIII"/>
        <w:rPr>
          <w:lang w:eastAsia="ko-KR"/>
        </w:rPr>
      </w:pPr>
      <w:r w:rsidRPr="00551729">
        <w:rPr>
          <w:lang w:eastAsia="ko-KR"/>
        </w:rPr>
        <w:t>Tabelë model mbi ekzekutimin financiar të kontratave të BNK-së gjatë zbatimit të periudhës raportuese:</w:t>
      </w:r>
    </w:p>
    <w:p w14:paraId="1BADD3D9" w14:textId="3A8D0067" w:rsidR="00971CA1" w:rsidRPr="00551729" w:rsidRDefault="00971CA1" w:rsidP="00971CA1">
      <w:pPr>
        <w:pStyle w:val="TEKSTIII"/>
        <w:rPr>
          <w:lang w:eastAsia="ko-KR"/>
        </w:rPr>
      </w:pPr>
      <w:r w:rsidRPr="00551729">
        <w:rPr>
          <w:lang w:eastAsia="ko-KR"/>
        </w:rPr>
        <w:t xml:space="preserve">&lt;Tabela </w:t>
      </w:r>
      <w:r w:rsidR="008C4C05" w:rsidRPr="00551729">
        <w:rPr>
          <w:lang w:eastAsia="ko-KR"/>
        </w:rPr>
        <w:t>nr</w:t>
      </w:r>
      <w:r w:rsidRPr="00551729">
        <w:rPr>
          <w:lang w:eastAsia="ko-KR"/>
        </w:rPr>
        <w:t>. XX&gt;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581"/>
        <w:gridCol w:w="1533"/>
        <w:gridCol w:w="1742"/>
        <w:gridCol w:w="1198"/>
        <w:gridCol w:w="1355"/>
        <w:gridCol w:w="908"/>
      </w:tblGrid>
      <w:tr w:rsidR="00971CA1" w:rsidRPr="00551729" w14:paraId="1BADD3E1" w14:textId="77777777" w:rsidTr="00854195">
        <w:tc>
          <w:tcPr>
            <w:tcW w:w="339" w:type="pct"/>
            <w:shd w:val="clear" w:color="auto" w:fill="auto"/>
            <w:vAlign w:val="center"/>
          </w:tcPr>
          <w:p w14:paraId="1BADD3DA" w14:textId="77777777" w:rsidR="00971CA1" w:rsidRPr="00854195" w:rsidRDefault="00971CA1" w:rsidP="00854195">
            <w:pPr>
              <w:pStyle w:val="TEKSTIII"/>
              <w:ind w:firstLine="0"/>
              <w:jc w:val="center"/>
              <w:rPr>
                <w:b/>
                <w:i/>
                <w:iCs/>
                <w:sz w:val="18"/>
                <w:szCs w:val="18"/>
                <w:lang w:eastAsia="ko-KR"/>
              </w:rPr>
            </w:pPr>
          </w:p>
        </w:tc>
        <w:tc>
          <w:tcPr>
            <w:tcW w:w="963" w:type="pct"/>
            <w:shd w:val="clear" w:color="auto" w:fill="auto"/>
            <w:vAlign w:val="center"/>
          </w:tcPr>
          <w:p w14:paraId="1BADD3DB" w14:textId="17A0BADC" w:rsidR="00971CA1" w:rsidRPr="00854195" w:rsidRDefault="00971CA1" w:rsidP="00854195">
            <w:pPr>
              <w:pStyle w:val="TEKSTIII"/>
              <w:ind w:firstLine="0"/>
              <w:jc w:val="center"/>
              <w:rPr>
                <w:b/>
                <w:i/>
                <w:iCs/>
                <w:sz w:val="18"/>
                <w:szCs w:val="18"/>
                <w:lang w:eastAsia="ko-KR"/>
              </w:rPr>
            </w:pPr>
            <w:r w:rsidRPr="00854195">
              <w:rPr>
                <w:b/>
                <w:i/>
                <w:iCs/>
                <w:sz w:val="18"/>
                <w:szCs w:val="18"/>
                <w:lang w:eastAsia="ko-KR"/>
              </w:rPr>
              <w:t>Prioriteti tematik:</w:t>
            </w:r>
            <w:r w:rsidR="00950449" w:rsidRPr="00854195">
              <w:rPr>
                <w:b/>
                <w:i/>
                <w:iCs/>
                <w:sz w:val="18"/>
                <w:szCs w:val="18"/>
                <w:lang w:eastAsia="ko-KR"/>
              </w:rPr>
              <w:t xml:space="preserve"> </w:t>
            </w:r>
            <w:r w:rsidRPr="00854195">
              <w:rPr>
                <w:b/>
                <w:i/>
                <w:iCs/>
                <w:sz w:val="18"/>
                <w:szCs w:val="18"/>
                <w:lang w:eastAsia="ko-KR"/>
              </w:rPr>
              <w:t>&lt;...&gt;</w:t>
            </w:r>
          </w:p>
        </w:tc>
        <w:tc>
          <w:tcPr>
            <w:tcW w:w="546" w:type="pct"/>
            <w:shd w:val="clear" w:color="auto" w:fill="auto"/>
            <w:vAlign w:val="center"/>
          </w:tcPr>
          <w:p w14:paraId="1BADD3DC" w14:textId="77777777" w:rsidR="00971CA1" w:rsidRPr="00854195" w:rsidRDefault="00971CA1" w:rsidP="00854195">
            <w:pPr>
              <w:pStyle w:val="TEKSTIII"/>
              <w:ind w:firstLine="0"/>
              <w:jc w:val="center"/>
              <w:rPr>
                <w:b/>
                <w:i/>
                <w:iCs/>
                <w:sz w:val="18"/>
                <w:szCs w:val="18"/>
                <w:lang w:eastAsia="ko-KR"/>
              </w:rPr>
            </w:pPr>
          </w:p>
        </w:tc>
        <w:tc>
          <w:tcPr>
            <w:tcW w:w="1050" w:type="pct"/>
            <w:shd w:val="clear" w:color="auto" w:fill="auto"/>
            <w:vAlign w:val="center"/>
          </w:tcPr>
          <w:p w14:paraId="1BADD3DD" w14:textId="77777777" w:rsidR="00971CA1" w:rsidRPr="00854195" w:rsidRDefault="00971CA1" w:rsidP="00854195">
            <w:pPr>
              <w:pStyle w:val="TEKSTIII"/>
              <w:ind w:firstLine="0"/>
              <w:jc w:val="center"/>
              <w:rPr>
                <w:b/>
                <w:i/>
                <w:iCs/>
                <w:sz w:val="18"/>
                <w:szCs w:val="18"/>
                <w:lang w:eastAsia="ko-KR"/>
              </w:rPr>
            </w:pPr>
          </w:p>
        </w:tc>
        <w:tc>
          <w:tcPr>
            <w:tcW w:w="756" w:type="pct"/>
            <w:shd w:val="clear" w:color="auto" w:fill="auto"/>
            <w:vAlign w:val="center"/>
          </w:tcPr>
          <w:p w14:paraId="1BADD3DE" w14:textId="77777777" w:rsidR="00971CA1" w:rsidRPr="00854195" w:rsidRDefault="00971CA1" w:rsidP="00854195">
            <w:pPr>
              <w:pStyle w:val="TEKSTIII"/>
              <w:ind w:firstLine="0"/>
              <w:jc w:val="center"/>
              <w:rPr>
                <w:b/>
                <w:i/>
                <w:iCs/>
                <w:sz w:val="18"/>
                <w:szCs w:val="18"/>
                <w:lang w:eastAsia="ko-KR"/>
              </w:rPr>
            </w:pPr>
          </w:p>
        </w:tc>
        <w:tc>
          <w:tcPr>
            <w:tcW w:w="840" w:type="pct"/>
            <w:shd w:val="clear" w:color="auto" w:fill="auto"/>
            <w:vAlign w:val="center"/>
          </w:tcPr>
          <w:p w14:paraId="1BADD3DF" w14:textId="77777777" w:rsidR="00971CA1" w:rsidRPr="00854195" w:rsidRDefault="00971CA1" w:rsidP="00854195">
            <w:pPr>
              <w:pStyle w:val="TEKSTIII"/>
              <w:ind w:firstLine="0"/>
              <w:jc w:val="center"/>
              <w:rPr>
                <w:b/>
                <w:i/>
                <w:iCs/>
                <w:sz w:val="18"/>
                <w:szCs w:val="18"/>
                <w:lang w:eastAsia="ko-KR"/>
              </w:rPr>
            </w:pPr>
          </w:p>
        </w:tc>
        <w:tc>
          <w:tcPr>
            <w:tcW w:w="504" w:type="pct"/>
            <w:shd w:val="clear" w:color="auto" w:fill="auto"/>
            <w:vAlign w:val="center"/>
          </w:tcPr>
          <w:p w14:paraId="1BADD3E0" w14:textId="77777777" w:rsidR="00971CA1" w:rsidRPr="00854195" w:rsidRDefault="00971CA1" w:rsidP="00854195">
            <w:pPr>
              <w:pStyle w:val="TEKSTIII"/>
              <w:ind w:firstLine="0"/>
              <w:jc w:val="center"/>
              <w:rPr>
                <w:b/>
                <w:i/>
                <w:iCs/>
                <w:sz w:val="18"/>
                <w:szCs w:val="18"/>
                <w:lang w:eastAsia="ko-KR"/>
              </w:rPr>
            </w:pPr>
          </w:p>
        </w:tc>
      </w:tr>
      <w:tr w:rsidR="00971CA1" w:rsidRPr="00551729" w14:paraId="1BADD3E9" w14:textId="77777777" w:rsidTr="00854195">
        <w:tc>
          <w:tcPr>
            <w:tcW w:w="339" w:type="pct"/>
            <w:shd w:val="clear" w:color="auto" w:fill="auto"/>
            <w:vAlign w:val="center"/>
          </w:tcPr>
          <w:p w14:paraId="1BADD3E2" w14:textId="77777777" w:rsidR="00971CA1" w:rsidRPr="00854195" w:rsidRDefault="00971CA1" w:rsidP="00854195">
            <w:pPr>
              <w:pStyle w:val="TEKSTIII"/>
              <w:ind w:firstLine="0"/>
              <w:jc w:val="center"/>
              <w:rPr>
                <w:b/>
                <w:sz w:val="18"/>
                <w:szCs w:val="18"/>
                <w:lang w:eastAsia="ko-KR"/>
              </w:rPr>
            </w:pPr>
            <w:r w:rsidRPr="00854195">
              <w:rPr>
                <w:b/>
                <w:sz w:val="18"/>
                <w:szCs w:val="18"/>
                <w:lang w:eastAsia="ko-KR"/>
              </w:rPr>
              <w:t>Numri i kontratës</w:t>
            </w:r>
          </w:p>
        </w:tc>
        <w:tc>
          <w:tcPr>
            <w:tcW w:w="963" w:type="pct"/>
            <w:shd w:val="clear" w:color="auto" w:fill="auto"/>
            <w:vAlign w:val="center"/>
          </w:tcPr>
          <w:p w14:paraId="1BADD3E3" w14:textId="77777777" w:rsidR="00971CA1" w:rsidRPr="00854195" w:rsidRDefault="00971CA1" w:rsidP="00854195">
            <w:pPr>
              <w:pStyle w:val="TEKSTIII"/>
              <w:ind w:firstLine="0"/>
              <w:jc w:val="center"/>
              <w:rPr>
                <w:b/>
                <w:sz w:val="18"/>
                <w:szCs w:val="18"/>
                <w:lang w:eastAsia="ko-KR"/>
              </w:rPr>
            </w:pPr>
            <w:r w:rsidRPr="00854195">
              <w:rPr>
                <w:b/>
                <w:sz w:val="18"/>
                <w:szCs w:val="18"/>
                <w:lang w:eastAsia="ko-KR"/>
              </w:rPr>
              <w:t>Emri, tipi dhe vendi i origjinës i koordinatorëve dhe partnerëve</w:t>
            </w:r>
          </w:p>
        </w:tc>
        <w:tc>
          <w:tcPr>
            <w:tcW w:w="546" w:type="pct"/>
            <w:shd w:val="clear" w:color="auto" w:fill="auto"/>
            <w:vAlign w:val="center"/>
          </w:tcPr>
          <w:p w14:paraId="1BADD3E4" w14:textId="77777777" w:rsidR="00971CA1" w:rsidRPr="00854195" w:rsidRDefault="00971CA1" w:rsidP="00854195">
            <w:pPr>
              <w:pStyle w:val="TEKSTIII"/>
              <w:ind w:firstLine="0"/>
              <w:jc w:val="center"/>
              <w:rPr>
                <w:b/>
                <w:sz w:val="18"/>
                <w:szCs w:val="18"/>
                <w:lang w:eastAsia="ko-KR"/>
              </w:rPr>
            </w:pPr>
            <w:r w:rsidRPr="00854195">
              <w:rPr>
                <w:b/>
                <w:sz w:val="18"/>
                <w:szCs w:val="18"/>
                <w:lang w:eastAsia="ko-KR"/>
              </w:rPr>
              <w:t>Dita e fillimit/mbarimit</w:t>
            </w:r>
          </w:p>
        </w:tc>
        <w:tc>
          <w:tcPr>
            <w:tcW w:w="1050" w:type="pct"/>
            <w:shd w:val="clear" w:color="auto" w:fill="auto"/>
            <w:vAlign w:val="center"/>
          </w:tcPr>
          <w:p w14:paraId="1BADD3E5" w14:textId="77777777" w:rsidR="00971CA1" w:rsidRPr="00854195" w:rsidRDefault="00971CA1" w:rsidP="00854195">
            <w:pPr>
              <w:pStyle w:val="TEKSTIII"/>
              <w:ind w:firstLine="0"/>
              <w:jc w:val="center"/>
              <w:rPr>
                <w:b/>
                <w:sz w:val="18"/>
                <w:szCs w:val="18"/>
                <w:lang w:eastAsia="ko-KR"/>
              </w:rPr>
            </w:pPr>
            <w:r w:rsidRPr="00854195">
              <w:rPr>
                <w:b/>
                <w:sz w:val="18"/>
                <w:szCs w:val="18"/>
                <w:lang w:eastAsia="ko-KR"/>
              </w:rPr>
              <w:t>Vlera e parashikuar e kostove të lejuara dhe vlera e grantit të BE-së</w:t>
            </w:r>
          </w:p>
        </w:tc>
        <w:tc>
          <w:tcPr>
            <w:tcW w:w="756" w:type="pct"/>
            <w:shd w:val="clear" w:color="auto" w:fill="auto"/>
            <w:vAlign w:val="center"/>
          </w:tcPr>
          <w:p w14:paraId="1BADD3E6" w14:textId="77777777" w:rsidR="00971CA1" w:rsidRPr="00854195" w:rsidRDefault="00971CA1" w:rsidP="00854195">
            <w:pPr>
              <w:pStyle w:val="TEKSTIII"/>
              <w:ind w:firstLine="0"/>
              <w:jc w:val="center"/>
              <w:rPr>
                <w:b/>
                <w:sz w:val="18"/>
                <w:szCs w:val="18"/>
                <w:lang w:eastAsia="ko-KR"/>
              </w:rPr>
            </w:pPr>
            <w:r w:rsidRPr="00854195">
              <w:rPr>
                <w:b/>
                <w:sz w:val="18"/>
                <w:szCs w:val="18"/>
                <w:lang w:eastAsia="ko-KR"/>
              </w:rPr>
              <w:t>Vlera e akumuluar e pagesave</w:t>
            </w:r>
          </w:p>
        </w:tc>
        <w:tc>
          <w:tcPr>
            <w:tcW w:w="840" w:type="pct"/>
            <w:shd w:val="clear" w:color="auto" w:fill="auto"/>
            <w:vAlign w:val="center"/>
          </w:tcPr>
          <w:p w14:paraId="1BADD3E7" w14:textId="77777777" w:rsidR="00971CA1" w:rsidRPr="00854195" w:rsidRDefault="00971CA1" w:rsidP="00854195">
            <w:pPr>
              <w:pStyle w:val="TEKSTIII"/>
              <w:ind w:firstLine="0"/>
              <w:jc w:val="center"/>
              <w:rPr>
                <w:b/>
                <w:sz w:val="18"/>
                <w:szCs w:val="18"/>
                <w:lang w:eastAsia="ko-KR"/>
              </w:rPr>
            </w:pPr>
            <w:r w:rsidRPr="00854195">
              <w:rPr>
                <w:b/>
                <w:sz w:val="18"/>
                <w:szCs w:val="18"/>
                <w:lang w:eastAsia="ko-KR"/>
              </w:rPr>
              <w:t>Përqindja e pagesave të ekzekutuara</w:t>
            </w:r>
            <w:r w:rsidRPr="00854195">
              <w:rPr>
                <w:rStyle w:val="FootnoteReference"/>
                <w:rFonts w:ascii="Times New Roman" w:hAnsi="Times New Roman"/>
                <w:b/>
                <w:sz w:val="18"/>
                <w:szCs w:val="18"/>
                <w:lang w:eastAsia="ko-KR"/>
              </w:rPr>
              <w:footnoteReference w:id="100"/>
            </w:r>
          </w:p>
        </w:tc>
        <w:tc>
          <w:tcPr>
            <w:tcW w:w="504" w:type="pct"/>
            <w:shd w:val="clear" w:color="auto" w:fill="auto"/>
            <w:vAlign w:val="center"/>
          </w:tcPr>
          <w:p w14:paraId="1BADD3E8" w14:textId="77777777" w:rsidR="00971CA1" w:rsidRPr="00854195" w:rsidRDefault="00971CA1" w:rsidP="00854195">
            <w:pPr>
              <w:pStyle w:val="TEKSTIII"/>
              <w:ind w:firstLine="0"/>
              <w:jc w:val="center"/>
              <w:rPr>
                <w:b/>
                <w:sz w:val="18"/>
                <w:szCs w:val="18"/>
                <w:lang w:eastAsia="ko-KR"/>
              </w:rPr>
            </w:pPr>
            <w:r w:rsidRPr="00854195">
              <w:rPr>
                <w:b/>
                <w:sz w:val="18"/>
                <w:szCs w:val="18"/>
                <w:lang w:eastAsia="ko-KR"/>
              </w:rPr>
              <w:t>Komente</w:t>
            </w:r>
          </w:p>
        </w:tc>
      </w:tr>
      <w:tr w:rsidR="00971CA1" w:rsidRPr="00551729" w14:paraId="1BADD3F1" w14:textId="77777777" w:rsidTr="009F02F5">
        <w:tc>
          <w:tcPr>
            <w:tcW w:w="339" w:type="pct"/>
            <w:shd w:val="clear" w:color="auto" w:fill="auto"/>
          </w:tcPr>
          <w:p w14:paraId="1BADD3EA" w14:textId="77777777" w:rsidR="00971CA1" w:rsidRPr="00551729" w:rsidRDefault="00971CA1" w:rsidP="00971CA1">
            <w:pPr>
              <w:pStyle w:val="TEKSTIII"/>
              <w:ind w:firstLine="0"/>
              <w:rPr>
                <w:sz w:val="18"/>
                <w:szCs w:val="18"/>
                <w:lang w:eastAsia="ko-KR"/>
              </w:rPr>
            </w:pPr>
          </w:p>
        </w:tc>
        <w:tc>
          <w:tcPr>
            <w:tcW w:w="963" w:type="pct"/>
            <w:shd w:val="clear" w:color="auto" w:fill="auto"/>
          </w:tcPr>
          <w:p w14:paraId="1BADD3EB" w14:textId="77777777" w:rsidR="00971CA1" w:rsidRPr="00551729" w:rsidRDefault="00971CA1" w:rsidP="00971CA1">
            <w:pPr>
              <w:pStyle w:val="TEKSTIII"/>
              <w:ind w:firstLine="0"/>
              <w:rPr>
                <w:sz w:val="18"/>
                <w:szCs w:val="18"/>
                <w:lang w:eastAsia="ko-KR"/>
              </w:rPr>
            </w:pPr>
          </w:p>
        </w:tc>
        <w:tc>
          <w:tcPr>
            <w:tcW w:w="546" w:type="pct"/>
            <w:shd w:val="clear" w:color="auto" w:fill="auto"/>
          </w:tcPr>
          <w:p w14:paraId="1BADD3EC" w14:textId="77777777" w:rsidR="00971CA1" w:rsidRPr="00551729" w:rsidRDefault="00971CA1" w:rsidP="00971CA1">
            <w:pPr>
              <w:pStyle w:val="TEKSTIII"/>
              <w:ind w:firstLine="0"/>
              <w:rPr>
                <w:sz w:val="18"/>
                <w:szCs w:val="18"/>
                <w:lang w:eastAsia="ko-KR"/>
              </w:rPr>
            </w:pPr>
          </w:p>
        </w:tc>
        <w:tc>
          <w:tcPr>
            <w:tcW w:w="1050" w:type="pct"/>
            <w:shd w:val="clear" w:color="auto" w:fill="auto"/>
          </w:tcPr>
          <w:p w14:paraId="1BADD3ED" w14:textId="77777777" w:rsidR="00971CA1" w:rsidRPr="00551729" w:rsidRDefault="00971CA1" w:rsidP="00971CA1">
            <w:pPr>
              <w:pStyle w:val="TEKSTIII"/>
              <w:ind w:firstLine="0"/>
              <w:rPr>
                <w:sz w:val="18"/>
                <w:szCs w:val="18"/>
                <w:lang w:eastAsia="ko-KR"/>
              </w:rPr>
            </w:pPr>
          </w:p>
        </w:tc>
        <w:tc>
          <w:tcPr>
            <w:tcW w:w="756" w:type="pct"/>
            <w:shd w:val="clear" w:color="auto" w:fill="auto"/>
          </w:tcPr>
          <w:p w14:paraId="1BADD3EE" w14:textId="77777777" w:rsidR="00971CA1" w:rsidRPr="00551729" w:rsidRDefault="00971CA1" w:rsidP="00971CA1">
            <w:pPr>
              <w:pStyle w:val="TEKSTIII"/>
              <w:ind w:firstLine="0"/>
              <w:rPr>
                <w:sz w:val="18"/>
                <w:szCs w:val="18"/>
                <w:lang w:eastAsia="ko-KR"/>
              </w:rPr>
            </w:pPr>
          </w:p>
        </w:tc>
        <w:tc>
          <w:tcPr>
            <w:tcW w:w="840" w:type="pct"/>
            <w:shd w:val="clear" w:color="auto" w:fill="auto"/>
          </w:tcPr>
          <w:p w14:paraId="1BADD3EF" w14:textId="77777777" w:rsidR="00971CA1" w:rsidRPr="00551729" w:rsidRDefault="00971CA1" w:rsidP="00971CA1">
            <w:pPr>
              <w:pStyle w:val="TEKSTIII"/>
              <w:ind w:firstLine="0"/>
              <w:rPr>
                <w:sz w:val="18"/>
                <w:szCs w:val="18"/>
                <w:lang w:eastAsia="ko-KR"/>
              </w:rPr>
            </w:pPr>
          </w:p>
        </w:tc>
        <w:tc>
          <w:tcPr>
            <w:tcW w:w="504" w:type="pct"/>
            <w:shd w:val="clear" w:color="auto" w:fill="auto"/>
          </w:tcPr>
          <w:p w14:paraId="1BADD3F0" w14:textId="77777777" w:rsidR="00971CA1" w:rsidRPr="00551729" w:rsidRDefault="00971CA1" w:rsidP="00971CA1">
            <w:pPr>
              <w:pStyle w:val="TEKSTIII"/>
              <w:ind w:firstLine="0"/>
              <w:rPr>
                <w:sz w:val="18"/>
                <w:szCs w:val="18"/>
                <w:lang w:eastAsia="ko-KR"/>
              </w:rPr>
            </w:pPr>
          </w:p>
        </w:tc>
      </w:tr>
    </w:tbl>
    <w:p w14:paraId="1BADD3F2" w14:textId="77777777" w:rsidR="00971CA1" w:rsidRPr="00551729" w:rsidRDefault="00971CA1" w:rsidP="00971CA1">
      <w:pPr>
        <w:pStyle w:val="TEKSTIII"/>
      </w:pPr>
    </w:p>
    <w:p w14:paraId="1BADD3F3" w14:textId="77777777" w:rsidR="00971CA1" w:rsidRPr="00551729" w:rsidRDefault="00971CA1" w:rsidP="00971CA1">
      <w:pPr>
        <w:pStyle w:val="TEKSTIII"/>
        <w:rPr>
          <w:b/>
        </w:rPr>
      </w:pPr>
      <w:r w:rsidRPr="00551729">
        <w:rPr>
          <w:b/>
        </w:rPr>
        <w:t xml:space="preserve">2.4 Informacion mbi hapat e ndërmarrë nga strukturat operuese dhe/ose Komiteti i Përbashkët Monitorues për të siguruar cilësinë dhe efektivitetin e zbatimit: </w:t>
      </w:r>
    </w:p>
    <w:p w14:paraId="1BADD3F4" w14:textId="77777777" w:rsidR="00971CA1" w:rsidRPr="00551729" w:rsidRDefault="00971CA1" w:rsidP="00971CA1">
      <w:pPr>
        <w:pStyle w:val="TEKSTIII"/>
        <w:rPr>
          <w:b/>
        </w:rPr>
      </w:pPr>
      <w:r w:rsidRPr="00551729">
        <w:rPr>
          <w:b/>
        </w:rPr>
        <w:t xml:space="preserve">2.4.1 Monitorimi dhe vlerësimi </w:t>
      </w:r>
    </w:p>
    <w:p w14:paraId="1BADD3F6" w14:textId="77777777" w:rsidR="00971CA1" w:rsidRPr="00551729" w:rsidRDefault="00971CA1" w:rsidP="00971CA1">
      <w:pPr>
        <w:pStyle w:val="TEKSTIII"/>
        <w:rPr>
          <w:lang w:eastAsia="ko-KR"/>
        </w:rPr>
      </w:pPr>
      <w:r w:rsidRPr="00551729">
        <w:rPr>
          <w:lang w:eastAsia="ko-KR"/>
        </w:rPr>
        <w:t>&lt;Masat monitoruese të ndërmarra nga struktura operuese ose nga Komiteti i Përbashkët i Monitorimit, duke përfshirë marrëveshjet e mbledhjes së të dhënave, rishikimet e raporteve të grant kontratave, gjetjet dhe zbatimin e rekomandimeve të vizitave monitoruese.</w:t>
      </w:r>
    </w:p>
    <w:p w14:paraId="1BADD3F7" w14:textId="6E852E05" w:rsidR="00971CA1" w:rsidRPr="00551729" w:rsidRDefault="00971CA1" w:rsidP="00971CA1">
      <w:pPr>
        <w:pStyle w:val="TEKSTIII"/>
        <w:rPr>
          <w:lang w:eastAsia="ko-KR"/>
        </w:rPr>
      </w:pPr>
      <w:r w:rsidRPr="00551729">
        <w:rPr>
          <w:lang w:eastAsia="ko-KR"/>
        </w:rPr>
        <w:t>Në programet të cilat kanë menaxhim të tërthortë, përgatitja, ekzekutimi, gjetjet, rekomandimet dhe zbatimi i rekomandimeve të ndërmarra nga struktura operuese ku ndodhet Autoriteti kontraktues (</w:t>
      </w:r>
      <w:r w:rsidR="00854195" w:rsidRPr="00551729">
        <w:rPr>
          <w:lang w:eastAsia="ko-KR"/>
        </w:rPr>
        <w:t xml:space="preserve">neni </w:t>
      </w:r>
      <w:r w:rsidRPr="00551729">
        <w:rPr>
          <w:lang w:eastAsia="ko-KR"/>
        </w:rPr>
        <w:t>57 MK). Në programet e zbatuara nën menaxhim të tërthortë, rekomandimet dhe zbatimi i rekomandimeve të ndërmarra prej Komisionit.&gt;</w:t>
      </w:r>
    </w:p>
    <w:p w14:paraId="1BADD3F8" w14:textId="77777777" w:rsidR="00971CA1" w:rsidRPr="00551729" w:rsidRDefault="00971CA1" w:rsidP="00971CA1">
      <w:pPr>
        <w:pStyle w:val="TEKSTIII"/>
        <w:rPr>
          <w:b/>
        </w:rPr>
      </w:pPr>
      <w:r w:rsidRPr="00551729">
        <w:rPr>
          <w:b/>
        </w:rPr>
        <w:t>2.4.2 Problemet e hasura dhe veprimet korrigjuese</w:t>
      </w:r>
    </w:p>
    <w:p w14:paraId="1BADD3F9" w14:textId="77777777" w:rsidR="00971CA1" w:rsidRPr="00551729" w:rsidRDefault="00971CA1" w:rsidP="00971CA1">
      <w:pPr>
        <w:pStyle w:val="TEKSTIII"/>
        <w:rPr>
          <w:lang w:eastAsia="ko-KR"/>
        </w:rPr>
      </w:pPr>
      <w:r w:rsidRPr="00551729">
        <w:rPr>
          <w:lang w:eastAsia="ko-KR"/>
        </w:rPr>
        <w:t xml:space="preserve">&lt;Përmbledhje e problemeve të rëndësishme të hasura gjatë zbatimit të programit, si dhe i masave rregulluese të ndërmarra. </w:t>
      </w:r>
    </w:p>
    <w:p w14:paraId="1BADD3FA" w14:textId="77777777" w:rsidR="00971CA1" w:rsidRPr="00551729" w:rsidRDefault="00971CA1" w:rsidP="00971CA1">
      <w:pPr>
        <w:pStyle w:val="TEKSTIII"/>
        <w:rPr>
          <w:lang w:eastAsia="ko-KR"/>
        </w:rPr>
      </w:pPr>
      <w:r w:rsidRPr="00551729">
        <w:rPr>
          <w:lang w:eastAsia="ko-KR"/>
        </w:rPr>
        <w:t>Rekomandimet për veprime (të tjera) rregulluese.&gt;</w:t>
      </w:r>
    </w:p>
    <w:p w14:paraId="1BADD3FB" w14:textId="77777777" w:rsidR="00971CA1" w:rsidRPr="00551729" w:rsidRDefault="00971CA1" w:rsidP="00971CA1">
      <w:pPr>
        <w:pStyle w:val="TEKSTIII"/>
        <w:rPr>
          <w:b/>
        </w:rPr>
      </w:pPr>
      <w:r w:rsidRPr="00551729">
        <w:rPr>
          <w:b/>
        </w:rPr>
        <w:t>2.5 Vizibiliteti dhe promovimi</w:t>
      </w:r>
    </w:p>
    <w:p w14:paraId="1BADD3FD" w14:textId="1357A8A6" w:rsidR="00971CA1" w:rsidRPr="00551729" w:rsidRDefault="00971CA1" w:rsidP="00971CA1">
      <w:pPr>
        <w:pStyle w:val="TEKSTIII"/>
        <w:rPr>
          <w:lang w:eastAsia="ko-KR"/>
        </w:rPr>
      </w:pPr>
      <w:r w:rsidRPr="00551729">
        <w:rPr>
          <w:lang w:eastAsia="ko-KR"/>
        </w:rPr>
        <w:t xml:space="preserve">&lt;Masat e ndërmarra për të garantuar vizibilitetin dhe publicitetin e programit (plani i vizibilitetit, shihni </w:t>
      </w:r>
      <w:r w:rsidR="00C820FB" w:rsidRPr="00551729">
        <w:rPr>
          <w:lang w:eastAsia="ko-KR"/>
        </w:rPr>
        <w:t xml:space="preserve">nenin </w:t>
      </w:r>
      <w:r w:rsidRPr="00551729">
        <w:rPr>
          <w:lang w:eastAsia="ko-KR"/>
        </w:rPr>
        <w:t>78 të MK</w:t>
      </w:r>
      <w:r w:rsidR="00C820FB">
        <w:rPr>
          <w:lang w:eastAsia="ko-KR"/>
        </w:rPr>
        <w:t>-së</w:t>
      </w:r>
      <w:r w:rsidRPr="00551729">
        <w:rPr>
          <w:lang w:eastAsia="ko-KR"/>
        </w:rPr>
        <w:t>), duke përfshirë materiale promovuese, reklama në masmedia, shembuj nga praktikat më të mira që theksojnë aktivitetet më të rëndësishme të seminareve, konferencave, tryezave të përbashkëta, forume, ditës së Bashkëpunimit Evropian dhe panaireve të projekteve, mbajtjes së një baze të dhënash me aplikantët e ardhshëm, faqes së internetit të programit etj.&gt;</w:t>
      </w:r>
      <w:r w:rsidR="00C521D5" w:rsidRPr="00551729">
        <w:rPr>
          <w:lang w:eastAsia="ko-KR"/>
        </w:rPr>
        <w:t xml:space="preserve"> </w:t>
      </w:r>
    </w:p>
    <w:p w14:paraId="1BADD3FE" w14:textId="77777777" w:rsidR="00971CA1" w:rsidRPr="00551729" w:rsidRDefault="00971CA1" w:rsidP="00971CA1">
      <w:pPr>
        <w:pStyle w:val="TEKSTIII"/>
        <w:rPr>
          <w:b/>
        </w:rPr>
      </w:pPr>
      <w:r w:rsidRPr="00551729">
        <w:rPr>
          <w:b/>
        </w:rPr>
        <w:t>2.6 Shfrytëzimi i Asistencës Teknike</w:t>
      </w:r>
    </w:p>
    <w:p w14:paraId="1BADD3FF" w14:textId="77777777" w:rsidR="00971CA1" w:rsidRPr="00551729" w:rsidRDefault="00971CA1" w:rsidP="00971CA1">
      <w:pPr>
        <w:pStyle w:val="TEKSTIII"/>
        <w:rPr>
          <w:lang w:eastAsia="ko-KR"/>
        </w:rPr>
      </w:pPr>
      <w:r w:rsidRPr="00551729">
        <w:rPr>
          <w:lang w:eastAsia="ko-KR"/>
        </w:rPr>
        <w:t>&lt;Sqarime të detajuara mbi përdorimin e fondeve të asistencës teknike dhe çdo problemi serioz të hasur gjatë zbatimit të buxhetit të AT-së. Si përfundim, një analizë e rezultateve dhe indikatorëve të ndikimit të kësaj kontrate të asistencës teknike duhet të prezantohet në të njëjtën mënyrë si seksioni 2.2.1 më lart.&gt;</w:t>
      </w:r>
    </w:p>
    <w:p w14:paraId="1BADD400" w14:textId="17F18301" w:rsidR="00971CA1" w:rsidRPr="00E30D94" w:rsidRDefault="00E30D94" w:rsidP="00971CA1">
      <w:pPr>
        <w:pStyle w:val="TEKSTIII"/>
        <w:rPr>
          <w:b/>
        </w:rPr>
      </w:pPr>
      <w:r w:rsidRPr="00E30D94">
        <w:rPr>
          <w:b/>
        </w:rPr>
        <w:t xml:space="preserve">2.7 </w:t>
      </w:r>
      <w:r w:rsidR="00971CA1" w:rsidRPr="00E30D94">
        <w:rPr>
          <w:b/>
        </w:rPr>
        <w:t xml:space="preserve">Ndryshimet në kuadër të zbatimit të programit ndërkufitar (nëse ka) </w:t>
      </w:r>
    </w:p>
    <w:p w14:paraId="1BADD401" w14:textId="25F68C74" w:rsidR="00971CA1" w:rsidRPr="00551729" w:rsidRDefault="00971CA1" w:rsidP="00971CA1">
      <w:pPr>
        <w:pStyle w:val="TEKSTIII"/>
        <w:rPr>
          <w:lang w:eastAsia="ko-KR"/>
        </w:rPr>
      </w:pPr>
      <w:r w:rsidRPr="00551729">
        <w:rPr>
          <w:lang w:eastAsia="ko-KR"/>
        </w:rPr>
        <w:t>&lt;Nëse është e zbatueshme, përshkrimi i çdo elementi, i cili edhe pse nuk rrjedh drejtpërdrejt nga asistenca e programit, ka ndikim të drejtpërdrejtë në zbatimin e tij (p.sh. ndryshimet legjislative, ndryshimet e rëndësishme në socio-ekonomi etj</w:t>
      </w:r>
      <w:r w:rsidR="00875F82">
        <w:rPr>
          <w:lang w:eastAsia="ko-KR"/>
        </w:rPr>
        <w:t>.</w:t>
      </w:r>
      <w:r w:rsidRPr="00551729">
        <w:rPr>
          <w:lang w:eastAsia="ko-KR"/>
        </w:rPr>
        <w:t>). &gt;</w:t>
      </w:r>
    </w:p>
    <w:p w14:paraId="1BADD402" w14:textId="00D62B62" w:rsidR="00971CA1" w:rsidRPr="00E30D94" w:rsidRDefault="00971CA1" w:rsidP="00971CA1">
      <w:pPr>
        <w:pStyle w:val="TEKSTIII"/>
        <w:rPr>
          <w:b/>
          <w:iCs/>
        </w:rPr>
      </w:pPr>
      <w:r w:rsidRPr="00E30D94">
        <w:rPr>
          <w:b/>
          <w:iCs/>
        </w:rPr>
        <w:t>2.8</w:t>
      </w:r>
      <w:r w:rsidR="00C521D5" w:rsidRPr="00E30D94">
        <w:rPr>
          <w:b/>
          <w:iCs/>
        </w:rPr>
        <w:t xml:space="preserve"> </w:t>
      </w:r>
      <w:r w:rsidRPr="00E30D94">
        <w:rPr>
          <w:b/>
          <w:iCs/>
        </w:rPr>
        <w:t>Sinergjia me politikat ose instrumentet e tjera të sektorit</w:t>
      </w:r>
    </w:p>
    <w:p w14:paraId="1BADD403" w14:textId="77777777" w:rsidR="00971CA1" w:rsidRPr="00551729" w:rsidRDefault="00971CA1" w:rsidP="00971CA1">
      <w:pPr>
        <w:pStyle w:val="TEKSTIII"/>
        <w:rPr>
          <w:iCs/>
        </w:rPr>
      </w:pPr>
      <w:r w:rsidRPr="00551729">
        <w:rPr>
          <w:iCs/>
        </w:rPr>
        <w:t>&lt;Një përmbledhje e koordinimit dhe koherencës aktuale të programit me shtetet e tjera anëtare të BE-së dhe me programet ose iniciativat kombëtare. Koordinim dhe koherenca e programit me politikat e Komunitetit. Komplementariteti me instrumentet e tjera financiare të asistencës ndërkombëtare.&gt;</w:t>
      </w:r>
    </w:p>
    <w:p w14:paraId="1BADD404" w14:textId="77777777" w:rsidR="00971CA1" w:rsidRPr="00551729" w:rsidRDefault="00971CA1" w:rsidP="00971CA1">
      <w:pPr>
        <w:pStyle w:val="TEKSTIII"/>
        <w:rPr>
          <w:b/>
          <w:iCs/>
        </w:rPr>
      </w:pPr>
      <w:r w:rsidRPr="00551729">
        <w:rPr>
          <w:b/>
          <w:iCs/>
        </w:rPr>
        <w:t>2.9</w:t>
      </w:r>
      <w:r w:rsidR="003C7A98" w:rsidRPr="00551729">
        <w:rPr>
          <w:b/>
          <w:iCs/>
        </w:rPr>
        <w:t xml:space="preserve"> </w:t>
      </w:r>
      <w:r w:rsidRPr="00551729">
        <w:rPr>
          <w:b/>
          <w:iCs/>
        </w:rPr>
        <w:t>Histori suksesi</w:t>
      </w:r>
    </w:p>
    <w:p w14:paraId="1BADD405" w14:textId="77777777" w:rsidR="00971CA1" w:rsidRPr="00551729" w:rsidRDefault="00971CA1" w:rsidP="00971CA1">
      <w:pPr>
        <w:pStyle w:val="TEKSTIII"/>
      </w:pPr>
      <w:r w:rsidRPr="00551729">
        <w:rPr>
          <w:iCs/>
        </w:rPr>
        <w:t>&lt;</w:t>
      </w:r>
      <w:r w:rsidRPr="00551729">
        <w:t>Shpjegoni në lidhje me rezultatet e arritura me një ose mundësisht dy shembuj të grant kontratave, periudha e zbatimit të të cilave ka mbaruar gjatë periudhës raportuese dhe e cila mund të konsiderohet si histori suksesi:</w:t>
      </w:r>
    </w:p>
    <w:p w14:paraId="1BADD406" w14:textId="6858D3BC" w:rsidR="00971CA1" w:rsidRPr="00551729" w:rsidRDefault="00971CA1" w:rsidP="00971CA1">
      <w:pPr>
        <w:pStyle w:val="TEKSTIII"/>
      </w:pPr>
      <w:r w:rsidRPr="00551729">
        <w:t xml:space="preserve">Dimensioni real i BNK-së (ju lutem tregoni se cili përkufizim i BNK-së është përdorur për të vlerësuar projektpropozimet, siç tregohet në udhëzimet përkatëse për aplikuesit: a) </w:t>
      </w:r>
      <w:r w:rsidR="00C521D5" w:rsidRPr="00551729">
        <w:t>“</w:t>
      </w:r>
      <w:r w:rsidRPr="00551729">
        <w:t xml:space="preserve">Zbatimi i përbashkët i aktiviteteve nga partnerët që rezultojnë në intensifikimin e lidhjeve ndërkufitare dhe partneriteteve të qëndrueshme ndërkufitare dhe heqjen e pengesave ndërkufitare për zhvillimin e qëndrueshëm socio-ekonomik </w:t>
      </w:r>
      <w:r w:rsidR="00C521D5" w:rsidRPr="00551729">
        <w:t>“</w:t>
      </w:r>
      <w:r w:rsidRPr="00551729">
        <w:t xml:space="preserve">ose b) </w:t>
      </w:r>
      <w:r w:rsidR="00C521D5" w:rsidRPr="00551729">
        <w:t>“</w:t>
      </w:r>
      <w:r w:rsidRPr="00551729">
        <w:t xml:space="preserve"> zbatimin e përbashkët të aktiviteteve nga partnerët që rezultojnë në</w:t>
      </w:r>
      <w:r w:rsidR="00C521D5" w:rsidRPr="00551729">
        <w:t xml:space="preserve"> </w:t>
      </w:r>
      <w:r w:rsidRPr="00551729">
        <w:t>intensifikimin e lidhjeve ndërkufitare dhe partneriteteve të qëndrueshme ndërkufitare ose heqjen e pengesave ndërkufitare për zhvillimin e qëndrueshëm të ekonomisë socio-ekonomike).</w:t>
      </w:r>
    </w:p>
    <w:p w14:paraId="1BADD407" w14:textId="32BFCB1C" w:rsidR="00971CA1" w:rsidRPr="00551729" w:rsidRDefault="00971CA1" w:rsidP="00971CA1">
      <w:pPr>
        <w:pStyle w:val="TEKSTIII"/>
      </w:pPr>
      <w:r w:rsidRPr="00551729">
        <w:t xml:space="preserve">Ndikimi real i BNK-së: fqinjësi më e mirë dhe përfitim për njerëzit nga të dyja anët në një mënyrë që një </w:t>
      </w:r>
      <w:r w:rsidR="009F02F5">
        <w:t>“</w:t>
      </w:r>
      <w:r w:rsidRPr="00551729">
        <w:t>projekt kombëtar</w:t>
      </w:r>
      <w:r w:rsidR="009F02F5">
        <w:t>”</w:t>
      </w:r>
      <w:r w:rsidR="00FC51BF">
        <w:t xml:space="preserve"> </w:t>
      </w:r>
      <w:r w:rsidRPr="00551729">
        <w:t>nuk do të kishte arritur.</w:t>
      </w:r>
    </w:p>
    <w:p w14:paraId="1BADD408" w14:textId="77777777" w:rsidR="00971CA1" w:rsidRPr="00551729" w:rsidRDefault="00971CA1" w:rsidP="00971CA1">
      <w:pPr>
        <w:pStyle w:val="TEKSTIII"/>
      </w:pPr>
      <w:r w:rsidRPr="00551729">
        <w:t>Inovacioni: sipas fushës, partnerëve të përfshirë dhe aktiviteteve e metodave të zbatuara.</w:t>
      </w:r>
    </w:p>
    <w:p w14:paraId="1BADD409" w14:textId="77777777" w:rsidR="00971CA1" w:rsidRPr="00551729" w:rsidRDefault="00971CA1" w:rsidP="00971CA1">
      <w:pPr>
        <w:pStyle w:val="TEKSTIII"/>
      </w:pPr>
      <w:r w:rsidRPr="00551729">
        <w:t>Efikasiteti: rezultatet e arritura në kohë dhe në përputhje me buxhetin e planifikuar.</w:t>
      </w:r>
    </w:p>
    <w:p w14:paraId="1BADD40A" w14:textId="77777777" w:rsidR="00971CA1" w:rsidRPr="00551729" w:rsidRDefault="00971CA1" w:rsidP="00971CA1">
      <w:pPr>
        <w:pStyle w:val="TEKSTIII"/>
      </w:pPr>
      <w:r w:rsidRPr="00551729">
        <w:t>Përhapja e duhur: vizibiliteti, replikueshmëria, shumëfishimi dhe efekti i shpërndarjes.</w:t>
      </w:r>
    </w:p>
    <w:p w14:paraId="1BADD40B" w14:textId="77777777" w:rsidR="00971CA1" w:rsidRPr="00551729" w:rsidRDefault="00971CA1" w:rsidP="00971CA1">
      <w:pPr>
        <w:pStyle w:val="TEKSTIII"/>
      </w:pPr>
      <w:r w:rsidRPr="00551729">
        <w:t>Perspektiva të mira të qëndrueshmërisë: përfitimet e mundshme pas kohëzgjatjes së projektit dhe partneritet afatgjatë.</w:t>
      </w:r>
      <w:r w:rsidRPr="00551729">
        <w:rPr>
          <w:iCs/>
        </w:rPr>
        <w:t xml:space="preserve"> &gt;</w:t>
      </w:r>
    </w:p>
    <w:p w14:paraId="1BADD40D" w14:textId="77777777" w:rsidR="00971CA1" w:rsidRPr="00551729" w:rsidRDefault="00971CA1" w:rsidP="00971CA1">
      <w:pPr>
        <w:pStyle w:val="TEKSTIII"/>
      </w:pPr>
      <w:r w:rsidRPr="00551729">
        <w:t>&lt;Historitë mund të kenë strukturën e mëposhtme:</w:t>
      </w:r>
    </w:p>
    <w:p w14:paraId="1BADD40E" w14:textId="77777777" w:rsidR="00971CA1" w:rsidRPr="00551729" w:rsidRDefault="00971CA1" w:rsidP="00971CA1">
      <w:pPr>
        <w:pStyle w:val="TEKSTIII"/>
      </w:pPr>
      <w:r w:rsidRPr="00551729">
        <w:t>Fjali e gjetur që përmbledh suksesin e projektit</w:t>
      </w:r>
    </w:p>
    <w:p w14:paraId="1BADD40F" w14:textId="77777777" w:rsidR="00971CA1" w:rsidRPr="00551729" w:rsidRDefault="00971CA1" w:rsidP="00971CA1">
      <w:pPr>
        <w:pStyle w:val="TEKSTIII"/>
      </w:pPr>
      <w:r w:rsidRPr="00551729">
        <w:t>Titulli i projektit</w:t>
      </w:r>
    </w:p>
    <w:p w14:paraId="1BADD410" w14:textId="77777777" w:rsidR="00971CA1" w:rsidRPr="00551729" w:rsidRDefault="00971CA1" w:rsidP="00971CA1">
      <w:pPr>
        <w:pStyle w:val="TEKSTIII"/>
      </w:pPr>
      <w:r w:rsidRPr="00551729">
        <w:t>Prioriteti tematik</w:t>
      </w:r>
    </w:p>
    <w:p w14:paraId="1BADD411" w14:textId="0C2D512F" w:rsidR="00971CA1" w:rsidRPr="00551729" w:rsidRDefault="00971CA1" w:rsidP="00971CA1">
      <w:pPr>
        <w:pStyle w:val="TEKSTIII"/>
      </w:pPr>
      <w:r w:rsidRPr="00551729">
        <w:t>Vend</w:t>
      </w:r>
      <w:r w:rsidR="00950449">
        <w:t>nd</w:t>
      </w:r>
      <w:r w:rsidRPr="00551729">
        <w:t>odhja: Bashkitë sipas vendit</w:t>
      </w:r>
    </w:p>
    <w:p w14:paraId="1BADD412" w14:textId="77777777" w:rsidR="00971CA1" w:rsidRPr="00551729" w:rsidRDefault="00971CA1" w:rsidP="00971CA1">
      <w:pPr>
        <w:pStyle w:val="TEKSTIII"/>
      </w:pPr>
      <w:r w:rsidRPr="00551729">
        <w:t>Tipi i partnerëve të projektit</w:t>
      </w:r>
    </w:p>
    <w:p w14:paraId="1BADD413" w14:textId="77777777" w:rsidR="00971CA1" w:rsidRPr="00551729" w:rsidRDefault="00971CA1" w:rsidP="00971CA1">
      <w:pPr>
        <w:pStyle w:val="TEKSTIII"/>
      </w:pPr>
      <w:r w:rsidRPr="00551729">
        <w:t>Vlera e buxhetit (duke përshirë grantin e BE-së)</w:t>
      </w:r>
    </w:p>
    <w:p w14:paraId="1BADD414" w14:textId="77777777" w:rsidR="00971CA1" w:rsidRPr="00551729" w:rsidRDefault="00971CA1" w:rsidP="00971CA1">
      <w:pPr>
        <w:pStyle w:val="TEKSTIII"/>
      </w:pPr>
      <w:r w:rsidRPr="00551729">
        <w:t>Problematikat</w:t>
      </w:r>
    </w:p>
    <w:p w14:paraId="1BADD415" w14:textId="5962FB73" w:rsidR="00971CA1" w:rsidRPr="00551729" w:rsidRDefault="00D40334" w:rsidP="00971CA1">
      <w:pPr>
        <w:pStyle w:val="TEKSTIII"/>
      </w:pPr>
      <w:r>
        <w:t>Objektivat e arritur</w:t>
      </w:r>
      <w:r w:rsidR="00971CA1" w:rsidRPr="00551729">
        <w:t xml:space="preserve"> (duke përfshirë deklaratat e partnerëve)</w:t>
      </w:r>
    </w:p>
    <w:p w14:paraId="1BADD416" w14:textId="77777777" w:rsidR="00971CA1" w:rsidRPr="00551729" w:rsidRDefault="00971CA1" w:rsidP="00971CA1">
      <w:pPr>
        <w:pStyle w:val="TEKSTIII"/>
      </w:pPr>
      <w:r w:rsidRPr="00551729">
        <w:t xml:space="preserve">Rezultatet kryesore </w:t>
      </w:r>
    </w:p>
    <w:p w14:paraId="1BADD417" w14:textId="77777777" w:rsidR="00971CA1" w:rsidRPr="00551729" w:rsidRDefault="00971CA1" w:rsidP="00971CA1">
      <w:pPr>
        <w:pStyle w:val="TEKSTIII"/>
      </w:pPr>
      <w:r w:rsidRPr="00551729">
        <w:t>Aktivitetet kryesore</w:t>
      </w:r>
    </w:p>
    <w:p w14:paraId="1BADD418" w14:textId="77777777" w:rsidR="00971CA1" w:rsidRPr="00551729" w:rsidRDefault="00971CA1" w:rsidP="00971CA1">
      <w:pPr>
        <w:pStyle w:val="TEKSTIII"/>
      </w:pPr>
      <w:r w:rsidRPr="00551729">
        <w:t>Afatet kohore</w:t>
      </w:r>
    </w:p>
    <w:p w14:paraId="1BADD419" w14:textId="77777777" w:rsidR="00971CA1" w:rsidRPr="00551729" w:rsidRDefault="00971CA1" w:rsidP="00971CA1">
      <w:pPr>
        <w:pStyle w:val="TEKSTIII"/>
      </w:pPr>
      <w:r w:rsidRPr="00551729">
        <w:t>Faqe interneti</w:t>
      </w:r>
    </w:p>
    <w:p w14:paraId="1BADD41A" w14:textId="77777777" w:rsidR="00971CA1" w:rsidRPr="00551729" w:rsidRDefault="00971CA1" w:rsidP="00971CA1">
      <w:pPr>
        <w:pStyle w:val="TEKSTIII"/>
      </w:pPr>
      <w:r w:rsidRPr="00551729">
        <w:t>Detajet e kontakteve të partnerëve BNK</w:t>
      </w:r>
    </w:p>
    <w:p w14:paraId="1BADD41B" w14:textId="77777777" w:rsidR="00BF0E09" w:rsidRPr="00551729" w:rsidRDefault="00BF0E09" w:rsidP="00971CA1">
      <w:pPr>
        <w:pStyle w:val="TEKSTIII"/>
      </w:pPr>
    </w:p>
    <w:p w14:paraId="1BADD41C" w14:textId="77777777" w:rsidR="00BF0E09" w:rsidRPr="00551729" w:rsidRDefault="00BF0E09" w:rsidP="00971CA1">
      <w:pPr>
        <w:pStyle w:val="TEKSTIII"/>
      </w:pPr>
    </w:p>
    <w:p w14:paraId="1BADD41D" w14:textId="77777777" w:rsidR="00BF0E09" w:rsidRPr="00551729" w:rsidRDefault="00BF0E09" w:rsidP="00971CA1">
      <w:pPr>
        <w:pStyle w:val="TEKSTIII"/>
      </w:pPr>
    </w:p>
    <w:p w14:paraId="1BADD41E" w14:textId="77777777" w:rsidR="00BF0E09" w:rsidRPr="00551729" w:rsidRDefault="00BF0E09" w:rsidP="00971CA1">
      <w:pPr>
        <w:pStyle w:val="TEKSTIII"/>
      </w:pPr>
    </w:p>
    <w:p w14:paraId="1BADD41F" w14:textId="77777777" w:rsidR="00BF0E09" w:rsidRPr="00551729" w:rsidRDefault="00BF0E09" w:rsidP="00971CA1">
      <w:pPr>
        <w:pStyle w:val="TEKSTIII"/>
      </w:pPr>
    </w:p>
    <w:p w14:paraId="1BADD420" w14:textId="77777777" w:rsidR="00BF0E09" w:rsidRPr="00551729" w:rsidRDefault="00BF0E09" w:rsidP="00971CA1">
      <w:pPr>
        <w:pStyle w:val="TEKSTIII"/>
      </w:pPr>
    </w:p>
    <w:p w14:paraId="1BADD421" w14:textId="77777777" w:rsidR="00BF0E09" w:rsidRPr="00551729" w:rsidRDefault="00BF0E09" w:rsidP="00971CA1">
      <w:pPr>
        <w:pStyle w:val="TEKSTIII"/>
      </w:pPr>
    </w:p>
    <w:p w14:paraId="1BADD422" w14:textId="77777777" w:rsidR="00BF0E09" w:rsidRPr="00551729" w:rsidRDefault="00BF0E09" w:rsidP="00971CA1">
      <w:pPr>
        <w:pStyle w:val="TEKSTIII"/>
      </w:pPr>
    </w:p>
    <w:p w14:paraId="1BADD424" w14:textId="77777777" w:rsidR="00BF0E09" w:rsidRPr="00551729" w:rsidRDefault="00BF0E09" w:rsidP="00971CA1">
      <w:pPr>
        <w:pStyle w:val="TEKSTIII"/>
        <w:sectPr w:rsidR="00BF0E09" w:rsidRPr="00551729" w:rsidSect="006B7BD8">
          <w:footnotePr>
            <w:numRestart w:val="eachPage"/>
          </w:footnotePr>
          <w:pgSz w:w="11906" w:h="16838" w:code="9"/>
          <w:pgMar w:top="1440" w:right="1440" w:bottom="1440" w:left="1440" w:header="709" w:footer="709" w:gutter="0"/>
          <w:cols w:space="708"/>
          <w:docGrid w:linePitch="360"/>
        </w:sectPr>
      </w:pPr>
    </w:p>
    <w:p w14:paraId="2FEF4B13" w14:textId="7F31A0A0" w:rsidR="008B1278" w:rsidRPr="008B1278" w:rsidRDefault="008B1278" w:rsidP="008B1278">
      <w:pPr>
        <w:pStyle w:val="TEKSTIII"/>
        <w:jc w:val="center"/>
      </w:pPr>
      <w:r w:rsidRPr="008B1278">
        <w:t>SHTOJCA</w:t>
      </w:r>
      <w:r>
        <w:t xml:space="preserve"> IV(a)</w:t>
      </w:r>
    </w:p>
    <w:p w14:paraId="1BADD425" w14:textId="482BA049" w:rsidR="00BF0E09" w:rsidRPr="008B1278" w:rsidRDefault="008B1278" w:rsidP="008B1278">
      <w:pPr>
        <w:pStyle w:val="TEKSTIII"/>
        <w:jc w:val="center"/>
      </w:pPr>
      <w:r w:rsidRPr="008B1278">
        <w:t>RAPORTI FINANCIAR VJETOR - BUXHETI TOTAL</w:t>
      </w:r>
    </w:p>
    <w:p w14:paraId="1BADD426" w14:textId="77777777" w:rsidR="00BF0E09" w:rsidRPr="00551729" w:rsidRDefault="00BF0E09" w:rsidP="00BF0E09">
      <w:pPr>
        <w:pStyle w:val="TEKSTIII"/>
        <w:jc w:val="center"/>
      </w:pPr>
    </w:p>
    <w:p w14:paraId="1BADD427" w14:textId="62558514" w:rsidR="00BF0E09" w:rsidRPr="00551729" w:rsidRDefault="00BF0E09" w:rsidP="00BF0E09">
      <w:pPr>
        <w:pStyle w:val="TEKSTIII"/>
        <w:jc w:val="center"/>
        <w:rPr>
          <w:b/>
        </w:rPr>
      </w:pPr>
      <w:r w:rsidRPr="00551729">
        <w:rPr>
          <w:b/>
        </w:rPr>
        <w:t xml:space="preserve">Raporti </w:t>
      </w:r>
      <w:r w:rsidR="008B1278" w:rsidRPr="00551729">
        <w:rPr>
          <w:b/>
        </w:rPr>
        <w:t xml:space="preserve">Financiar </w:t>
      </w:r>
      <w:r w:rsidR="00F5200F" w:rsidRPr="00551729">
        <w:rPr>
          <w:b/>
        </w:rPr>
        <w:t xml:space="preserve">i Përfituesit </w:t>
      </w:r>
      <w:r w:rsidRPr="00551729">
        <w:rPr>
          <w:b/>
        </w:rPr>
        <w:t>IPA II</w:t>
      </w:r>
      <w:r w:rsidR="00C521D5" w:rsidRPr="00551729">
        <w:rPr>
          <w:b/>
        </w:rPr>
        <w:t xml:space="preserve"> </w:t>
      </w:r>
      <w:r w:rsidRPr="00551729">
        <w:rPr>
          <w:b/>
        </w:rPr>
        <w:t>(*)</w:t>
      </w:r>
    </w:p>
    <w:p w14:paraId="1BADD428" w14:textId="77777777" w:rsidR="00E10FA6" w:rsidRPr="00551729" w:rsidRDefault="00E10FA6" w:rsidP="00BF0E09">
      <w:pPr>
        <w:pStyle w:val="TEKSTIII"/>
        <w:jc w:val="center"/>
        <w:rPr>
          <w:b/>
        </w:rPr>
      </w:pPr>
    </w:p>
    <w:tbl>
      <w:tblPr>
        <w:tblW w:w="14081" w:type="dxa"/>
        <w:tblInd w:w="93" w:type="dxa"/>
        <w:tblLook w:val="04A0" w:firstRow="1" w:lastRow="0" w:firstColumn="1" w:lastColumn="0" w:noHBand="0" w:noVBand="1"/>
      </w:tblPr>
      <w:tblGrid>
        <w:gridCol w:w="315"/>
        <w:gridCol w:w="345"/>
        <w:gridCol w:w="317"/>
        <w:gridCol w:w="317"/>
        <w:gridCol w:w="289"/>
        <w:gridCol w:w="316"/>
        <w:gridCol w:w="316"/>
        <w:gridCol w:w="288"/>
        <w:gridCol w:w="333"/>
        <w:gridCol w:w="336"/>
        <w:gridCol w:w="332"/>
        <w:gridCol w:w="316"/>
        <w:gridCol w:w="316"/>
        <w:gridCol w:w="288"/>
        <w:gridCol w:w="333"/>
        <w:gridCol w:w="336"/>
        <w:gridCol w:w="332"/>
        <w:gridCol w:w="316"/>
        <w:gridCol w:w="316"/>
        <w:gridCol w:w="288"/>
        <w:gridCol w:w="333"/>
        <w:gridCol w:w="336"/>
        <w:gridCol w:w="332"/>
        <w:gridCol w:w="316"/>
        <w:gridCol w:w="316"/>
        <w:gridCol w:w="288"/>
        <w:gridCol w:w="342"/>
        <w:gridCol w:w="345"/>
        <w:gridCol w:w="341"/>
        <w:gridCol w:w="316"/>
        <w:gridCol w:w="316"/>
        <w:gridCol w:w="288"/>
        <w:gridCol w:w="342"/>
        <w:gridCol w:w="345"/>
        <w:gridCol w:w="341"/>
        <w:gridCol w:w="300"/>
        <w:gridCol w:w="340"/>
        <w:gridCol w:w="321"/>
        <w:gridCol w:w="299"/>
        <w:gridCol w:w="274"/>
        <w:gridCol w:w="331"/>
        <w:gridCol w:w="331"/>
        <w:gridCol w:w="312"/>
        <w:gridCol w:w="331"/>
      </w:tblGrid>
      <w:tr w:rsidR="00E10FA6" w:rsidRPr="009F02F5" w14:paraId="1BADD434" w14:textId="77777777" w:rsidTr="00E10FA6">
        <w:trPr>
          <w:trHeight w:val="180"/>
        </w:trPr>
        <w:tc>
          <w:tcPr>
            <w:tcW w:w="3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42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Referenca e Programit</w:t>
            </w:r>
          </w:p>
        </w:tc>
        <w:tc>
          <w:tcPr>
            <w:tcW w:w="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42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Numri i</w:t>
            </w:r>
            <w:r w:rsidRPr="009F02F5">
              <w:rPr>
                <w:rFonts w:ascii="Garamond" w:eastAsia="Times New Roman" w:hAnsi="Garamond" w:cs="Arial"/>
                <w:b/>
                <w:bCs/>
                <w:sz w:val="4"/>
                <w:szCs w:val="4"/>
                <w:lang w:eastAsia="sq-AL"/>
              </w:rPr>
              <w:br/>
            </w:r>
            <w:r w:rsidRPr="009F02F5">
              <w:rPr>
                <w:rFonts w:ascii="Garamond" w:eastAsia="Times New Roman" w:hAnsi="Garamond" w:cs="Arial"/>
                <w:b/>
                <w:bCs/>
                <w:sz w:val="4"/>
                <w:szCs w:val="4"/>
                <w:lang w:eastAsia="sq-AL"/>
              </w:rPr>
              <w:br/>
              <w:t>kontratës së</w:t>
            </w:r>
            <w:r w:rsidRPr="009F02F5">
              <w:rPr>
                <w:rFonts w:ascii="Garamond" w:eastAsia="Times New Roman" w:hAnsi="Garamond" w:cs="Arial"/>
                <w:b/>
                <w:bCs/>
                <w:sz w:val="4"/>
                <w:szCs w:val="4"/>
                <w:lang w:eastAsia="sq-AL"/>
              </w:rPr>
              <w:br/>
              <w:t xml:space="preserve">Marrëveshjes së Financimit </w:t>
            </w:r>
          </w:p>
        </w:tc>
        <w:tc>
          <w:tcPr>
            <w:tcW w:w="91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BADD42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Buxheti i Programit</w:t>
            </w:r>
          </w:p>
        </w:tc>
        <w:tc>
          <w:tcPr>
            <w:tcW w:w="9577" w:type="dxa"/>
            <w:gridSpan w:val="30"/>
            <w:tcBorders>
              <w:top w:val="single" w:sz="4" w:space="0" w:color="auto"/>
              <w:left w:val="nil"/>
              <w:bottom w:val="single" w:sz="4" w:space="0" w:color="auto"/>
              <w:right w:val="single" w:sz="4" w:space="0" w:color="auto"/>
            </w:tcBorders>
            <w:shd w:val="clear" w:color="auto" w:fill="auto"/>
            <w:vAlign w:val="center"/>
            <w:hideMark/>
          </w:tcPr>
          <w:p w14:paraId="1BADD42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Aktivitetet e kontratës lokale</w:t>
            </w:r>
          </w:p>
        </w:tc>
        <w:tc>
          <w:tcPr>
            <w:tcW w:w="299" w:type="dxa"/>
            <w:tcBorders>
              <w:top w:val="single" w:sz="4" w:space="0" w:color="auto"/>
              <w:left w:val="nil"/>
              <w:bottom w:val="single" w:sz="4" w:space="0" w:color="auto"/>
              <w:right w:val="nil"/>
            </w:tcBorders>
            <w:shd w:val="clear" w:color="auto" w:fill="auto"/>
            <w:vAlign w:val="center"/>
            <w:hideMark/>
          </w:tcPr>
          <w:p w14:paraId="1BADD42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433" w:type="dxa"/>
            <w:tcBorders>
              <w:top w:val="single" w:sz="4" w:space="0" w:color="auto"/>
              <w:left w:val="nil"/>
              <w:bottom w:val="single" w:sz="4" w:space="0" w:color="auto"/>
              <w:right w:val="nil"/>
            </w:tcBorders>
            <w:shd w:val="clear" w:color="auto" w:fill="auto"/>
            <w:noWrap/>
            <w:vAlign w:val="center"/>
            <w:hideMark/>
          </w:tcPr>
          <w:p w14:paraId="1BADD42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Konteksti I kthimit</w:t>
            </w:r>
          </w:p>
        </w:tc>
        <w:tc>
          <w:tcPr>
            <w:tcW w:w="319" w:type="dxa"/>
            <w:tcBorders>
              <w:top w:val="single" w:sz="4" w:space="0" w:color="auto"/>
              <w:left w:val="nil"/>
              <w:bottom w:val="single" w:sz="4" w:space="0" w:color="auto"/>
              <w:right w:val="nil"/>
            </w:tcBorders>
            <w:shd w:val="clear" w:color="auto" w:fill="auto"/>
            <w:vAlign w:val="center"/>
            <w:hideMark/>
          </w:tcPr>
          <w:p w14:paraId="1BADD42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01" w:type="dxa"/>
            <w:tcBorders>
              <w:top w:val="single" w:sz="4" w:space="0" w:color="auto"/>
              <w:left w:val="nil"/>
              <w:bottom w:val="single" w:sz="4" w:space="0" w:color="auto"/>
              <w:right w:val="nil"/>
            </w:tcBorders>
            <w:shd w:val="clear" w:color="auto" w:fill="auto"/>
            <w:vAlign w:val="center"/>
            <w:hideMark/>
          </w:tcPr>
          <w:p w14:paraId="1BADD43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599" w:type="dxa"/>
            <w:gridSpan w:val="2"/>
            <w:tcBorders>
              <w:top w:val="single" w:sz="4" w:space="0" w:color="auto"/>
              <w:left w:val="single" w:sz="4" w:space="0" w:color="auto"/>
              <w:bottom w:val="single" w:sz="4" w:space="0" w:color="auto"/>
              <w:right w:val="nil"/>
            </w:tcBorders>
            <w:shd w:val="clear" w:color="auto" w:fill="auto"/>
            <w:vAlign w:val="center"/>
            <w:hideMark/>
          </w:tcPr>
          <w:p w14:paraId="1BADD431" w14:textId="77777777" w:rsidR="00E10FA6" w:rsidRPr="009F02F5" w:rsidRDefault="00E10FA6" w:rsidP="00E10FA6">
            <w:pPr>
              <w:spacing w:after="0" w:line="240" w:lineRule="auto"/>
              <w:jc w:val="right"/>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Balanca Bankare (Kontributi I BE)</w:t>
            </w:r>
          </w:p>
        </w:tc>
        <w:tc>
          <w:tcPr>
            <w:tcW w:w="332" w:type="dxa"/>
            <w:tcBorders>
              <w:top w:val="single" w:sz="4" w:space="0" w:color="auto"/>
              <w:left w:val="nil"/>
              <w:bottom w:val="single" w:sz="4" w:space="0" w:color="auto"/>
              <w:right w:val="single" w:sz="4" w:space="0" w:color="auto"/>
            </w:tcBorders>
            <w:shd w:val="clear" w:color="auto" w:fill="auto"/>
            <w:vAlign w:val="center"/>
            <w:hideMark/>
          </w:tcPr>
          <w:p w14:paraId="1BADD43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642" w:type="dxa"/>
            <w:gridSpan w:val="2"/>
            <w:tcBorders>
              <w:top w:val="single" w:sz="4" w:space="0" w:color="auto"/>
              <w:left w:val="nil"/>
              <w:bottom w:val="single" w:sz="4" w:space="0" w:color="auto"/>
              <w:right w:val="single" w:sz="4" w:space="0" w:color="000000"/>
            </w:tcBorders>
            <w:shd w:val="clear" w:color="auto" w:fill="auto"/>
            <w:vAlign w:val="center"/>
            <w:hideMark/>
          </w:tcPr>
          <w:p w14:paraId="1BADD43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Parashikimi I disbursimeve (BE)</w:t>
            </w:r>
          </w:p>
        </w:tc>
      </w:tr>
      <w:tr w:rsidR="00E10FA6" w:rsidRPr="009F02F5" w14:paraId="1BADD44B" w14:textId="77777777" w:rsidTr="00E10FA6">
        <w:trPr>
          <w:trHeight w:val="180"/>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1BADD435" w14:textId="77777777" w:rsidR="00E10FA6" w:rsidRPr="009F02F5" w:rsidRDefault="00E10FA6" w:rsidP="00E10FA6">
            <w:pPr>
              <w:spacing w:after="0" w:line="240" w:lineRule="auto"/>
              <w:rPr>
                <w:rFonts w:ascii="Garamond" w:eastAsia="Times New Roman" w:hAnsi="Garamond" w:cs="Arial"/>
                <w:b/>
                <w:bCs/>
                <w:sz w:val="4"/>
                <w:szCs w:val="4"/>
                <w:lang w:eastAsia="sq-AL"/>
              </w:rPr>
            </w:pPr>
          </w:p>
        </w:tc>
        <w:tc>
          <w:tcPr>
            <w:tcW w:w="348" w:type="dxa"/>
            <w:vMerge/>
            <w:tcBorders>
              <w:top w:val="single" w:sz="4" w:space="0" w:color="auto"/>
              <w:left w:val="single" w:sz="4" w:space="0" w:color="auto"/>
              <w:bottom w:val="single" w:sz="4" w:space="0" w:color="auto"/>
              <w:right w:val="single" w:sz="4" w:space="0" w:color="auto"/>
            </w:tcBorders>
            <w:vAlign w:val="center"/>
            <w:hideMark/>
          </w:tcPr>
          <w:p w14:paraId="1BADD436" w14:textId="77777777" w:rsidR="00E10FA6" w:rsidRPr="009F02F5" w:rsidRDefault="00E10FA6" w:rsidP="00E10FA6">
            <w:pPr>
              <w:spacing w:after="0" w:line="240" w:lineRule="auto"/>
              <w:rPr>
                <w:rFonts w:ascii="Garamond" w:eastAsia="Times New Roman" w:hAnsi="Garamond" w:cs="Arial"/>
                <w:b/>
                <w:bCs/>
                <w:sz w:val="4"/>
                <w:szCs w:val="4"/>
                <w:lang w:eastAsia="sq-AL"/>
              </w:rPr>
            </w:pPr>
          </w:p>
        </w:tc>
        <w:tc>
          <w:tcPr>
            <w:tcW w:w="915" w:type="dxa"/>
            <w:gridSpan w:val="3"/>
            <w:vMerge/>
            <w:tcBorders>
              <w:top w:val="single" w:sz="4" w:space="0" w:color="auto"/>
              <w:left w:val="single" w:sz="4" w:space="0" w:color="auto"/>
              <w:bottom w:val="single" w:sz="4" w:space="0" w:color="000000"/>
              <w:right w:val="single" w:sz="4" w:space="0" w:color="000000"/>
            </w:tcBorders>
            <w:vAlign w:val="center"/>
            <w:hideMark/>
          </w:tcPr>
          <w:p w14:paraId="1BADD437" w14:textId="77777777" w:rsidR="00E10FA6" w:rsidRPr="009F02F5" w:rsidRDefault="00E10FA6" w:rsidP="00E10FA6">
            <w:pPr>
              <w:spacing w:after="0" w:line="240" w:lineRule="auto"/>
              <w:rPr>
                <w:rFonts w:ascii="Garamond" w:eastAsia="Times New Roman" w:hAnsi="Garamond" w:cs="Arial"/>
                <w:b/>
                <w:bCs/>
                <w:sz w:val="4"/>
                <w:szCs w:val="4"/>
                <w:lang w:eastAsia="sq-AL"/>
              </w:rPr>
            </w:pPr>
          </w:p>
        </w:tc>
        <w:tc>
          <w:tcPr>
            <w:tcW w:w="915" w:type="dxa"/>
            <w:gridSpan w:val="3"/>
            <w:tcBorders>
              <w:top w:val="single" w:sz="4" w:space="0" w:color="auto"/>
              <w:left w:val="nil"/>
              <w:bottom w:val="single" w:sz="4" w:space="0" w:color="auto"/>
              <w:right w:val="single" w:sz="4" w:space="0" w:color="000000"/>
            </w:tcBorders>
            <w:shd w:val="clear" w:color="auto" w:fill="auto"/>
            <w:vAlign w:val="center"/>
            <w:hideMark/>
          </w:tcPr>
          <w:p w14:paraId="1BADD43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Shuma totale e kontraktuar</w:t>
            </w:r>
          </w:p>
        </w:tc>
        <w:tc>
          <w:tcPr>
            <w:tcW w:w="986" w:type="dxa"/>
            <w:gridSpan w:val="3"/>
            <w:tcBorders>
              <w:top w:val="single" w:sz="4" w:space="0" w:color="auto"/>
              <w:left w:val="nil"/>
              <w:bottom w:val="single" w:sz="4" w:space="0" w:color="auto"/>
              <w:right w:val="single" w:sz="4" w:space="0" w:color="000000"/>
            </w:tcBorders>
            <w:shd w:val="clear" w:color="auto" w:fill="auto"/>
            <w:vAlign w:val="center"/>
            <w:hideMark/>
          </w:tcPr>
          <w:p w14:paraId="1BADD43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Kontraktuar %</w:t>
            </w:r>
          </w:p>
        </w:tc>
        <w:tc>
          <w:tcPr>
            <w:tcW w:w="915" w:type="dxa"/>
            <w:gridSpan w:val="3"/>
            <w:tcBorders>
              <w:top w:val="single" w:sz="4" w:space="0" w:color="auto"/>
              <w:left w:val="nil"/>
              <w:bottom w:val="single" w:sz="4" w:space="0" w:color="auto"/>
              <w:right w:val="single" w:sz="4" w:space="0" w:color="auto"/>
            </w:tcBorders>
            <w:shd w:val="clear" w:color="auto" w:fill="auto"/>
            <w:vAlign w:val="center"/>
            <w:hideMark/>
          </w:tcPr>
          <w:p w14:paraId="1BADD43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Shuma totale e kthyer në përfundim të Programit</w:t>
            </w:r>
          </w:p>
        </w:tc>
        <w:tc>
          <w:tcPr>
            <w:tcW w:w="986" w:type="dxa"/>
            <w:gridSpan w:val="3"/>
            <w:tcBorders>
              <w:top w:val="single" w:sz="4" w:space="0" w:color="auto"/>
              <w:left w:val="nil"/>
              <w:bottom w:val="single" w:sz="4" w:space="0" w:color="auto"/>
              <w:right w:val="single" w:sz="4" w:space="0" w:color="auto"/>
            </w:tcBorders>
            <w:shd w:val="clear" w:color="auto" w:fill="auto"/>
            <w:vAlign w:val="center"/>
            <w:hideMark/>
          </w:tcPr>
          <w:p w14:paraId="1BADD43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Të kthyera %</w:t>
            </w:r>
          </w:p>
        </w:tc>
        <w:tc>
          <w:tcPr>
            <w:tcW w:w="915" w:type="dxa"/>
            <w:gridSpan w:val="3"/>
            <w:tcBorders>
              <w:top w:val="single" w:sz="4" w:space="0" w:color="auto"/>
              <w:left w:val="nil"/>
              <w:bottom w:val="single" w:sz="4" w:space="0" w:color="auto"/>
              <w:right w:val="single" w:sz="4" w:space="0" w:color="auto"/>
            </w:tcBorders>
            <w:shd w:val="clear" w:color="auto" w:fill="auto"/>
            <w:vAlign w:val="center"/>
            <w:hideMark/>
          </w:tcPr>
          <w:p w14:paraId="1BADD43C" w14:textId="77777777" w:rsidR="00E10FA6" w:rsidRPr="009F02F5" w:rsidRDefault="00E10FA6" w:rsidP="00E10FA6">
            <w:pPr>
              <w:spacing w:after="24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Shuma totale e disbursuar</w:t>
            </w:r>
          </w:p>
        </w:tc>
        <w:tc>
          <w:tcPr>
            <w:tcW w:w="986" w:type="dxa"/>
            <w:gridSpan w:val="3"/>
            <w:tcBorders>
              <w:top w:val="single" w:sz="4" w:space="0" w:color="auto"/>
              <w:left w:val="nil"/>
              <w:bottom w:val="single" w:sz="4" w:space="0" w:color="auto"/>
              <w:right w:val="single" w:sz="4" w:space="0" w:color="auto"/>
            </w:tcBorders>
            <w:shd w:val="clear" w:color="auto" w:fill="auto"/>
            <w:vAlign w:val="center"/>
            <w:hideMark/>
          </w:tcPr>
          <w:p w14:paraId="1BADD43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Disbursuar %</w:t>
            </w:r>
          </w:p>
        </w:tc>
        <w:tc>
          <w:tcPr>
            <w:tcW w:w="915" w:type="dxa"/>
            <w:gridSpan w:val="3"/>
            <w:tcBorders>
              <w:top w:val="single" w:sz="4" w:space="0" w:color="auto"/>
              <w:left w:val="nil"/>
              <w:bottom w:val="single" w:sz="4" w:space="0" w:color="auto"/>
              <w:right w:val="single" w:sz="4" w:space="0" w:color="auto"/>
            </w:tcBorders>
            <w:shd w:val="clear" w:color="auto" w:fill="auto"/>
            <w:vAlign w:val="center"/>
            <w:hideMark/>
          </w:tcPr>
          <w:p w14:paraId="1BADD43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Kostot totale të njohura</w:t>
            </w:r>
          </w:p>
        </w:tc>
        <w:tc>
          <w:tcPr>
            <w:tcW w:w="1022" w:type="dxa"/>
            <w:gridSpan w:val="3"/>
            <w:tcBorders>
              <w:top w:val="single" w:sz="4" w:space="0" w:color="auto"/>
              <w:left w:val="nil"/>
              <w:bottom w:val="single" w:sz="4" w:space="0" w:color="auto"/>
              <w:right w:val="single" w:sz="4" w:space="0" w:color="auto"/>
            </w:tcBorders>
            <w:shd w:val="clear" w:color="auto" w:fill="auto"/>
            <w:vAlign w:val="center"/>
            <w:hideMark/>
          </w:tcPr>
          <w:p w14:paraId="1BADD43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Kostot %</w:t>
            </w:r>
          </w:p>
        </w:tc>
        <w:tc>
          <w:tcPr>
            <w:tcW w:w="915" w:type="dxa"/>
            <w:gridSpan w:val="3"/>
            <w:tcBorders>
              <w:top w:val="single" w:sz="4" w:space="0" w:color="auto"/>
              <w:left w:val="nil"/>
              <w:bottom w:val="single" w:sz="4" w:space="0" w:color="auto"/>
              <w:right w:val="single" w:sz="4" w:space="0" w:color="auto"/>
            </w:tcBorders>
            <w:shd w:val="clear" w:color="auto" w:fill="auto"/>
            <w:vAlign w:val="center"/>
            <w:hideMark/>
          </w:tcPr>
          <w:p w14:paraId="1BADD440" w14:textId="15EF6896"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xml:space="preserve">Totali I </w:t>
            </w:r>
            <w:r w:rsidR="00B17AA1">
              <w:rPr>
                <w:rFonts w:ascii="Garamond" w:eastAsia="Times New Roman" w:hAnsi="Garamond" w:cs="Arial"/>
                <w:b/>
                <w:bCs/>
                <w:sz w:val="4"/>
                <w:szCs w:val="4"/>
                <w:lang w:eastAsia="sq-AL"/>
              </w:rPr>
              <w:t>Para</w:t>
            </w:r>
            <w:r w:rsidRPr="009F02F5">
              <w:rPr>
                <w:rFonts w:ascii="Garamond" w:eastAsia="Times New Roman" w:hAnsi="Garamond" w:cs="Arial"/>
                <w:b/>
                <w:bCs/>
                <w:sz w:val="4"/>
                <w:szCs w:val="4"/>
                <w:lang w:eastAsia="sq-AL"/>
              </w:rPr>
              <w:t>financimit</w:t>
            </w:r>
          </w:p>
        </w:tc>
        <w:tc>
          <w:tcPr>
            <w:tcW w:w="1022" w:type="dxa"/>
            <w:gridSpan w:val="3"/>
            <w:tcBorders>
              <w:top w:val="single" w:sz="4" w:space="0" w:color="auto"/>
              <w:left w:val="nil"/>
              <w:bottom w:val="single" w:sz="4" w:space="0" w:color="auto"/>
              <w:right w:val="single" w:sz="4" w:space="0" w:color="auto"/>
            </w:tcBorders>
            <w:shd w:val="clear" w:color="auto" w:fill="auto"/>
            <w:vAlign w:val="center"/>
            <w:hideMark/>
          </w:tcPr>
          <w:p w14:paraId="1BADD441" w14:textId="4395782B" w:rsidR="00E10FA6" w:rsidRPr="009F02F5" w:rsidRDefault="00B17AA1" w:rsidP="00E10FA6">
            <w:pPr>
              <w:spacing w:after="0" w:line="240" w:lineRule="auto"/>
              <w:jc w:val="center"/>
              <w:rPr>
                <w:rFonts w:ascii="Garamond" w:eastAsia="Times New Roman" w:hAnsi="Garamond" w:cs="Arial"/>
                <w:b/>
                <w:bCs/>
                <w:sz w:val="4"/>
                <w:szCs w:val="4"/>
                <w:lang w:eastAsia="sq-AL"/>
              </w:rPr>
            </w:pPr>
            <w:r>
              <w:rPr>
                <w:rFonts w:ascii="Garamond" w:eastAsia="Times New Roman" w:hAnsi="Garamond" w:cs="Arial"/>
                <w:b/>
                <w:bCs/>
                <w:sz w:val="4"/>
                <w:szCs w:val="4"/>
                <w:lang w:eastAsia="sq-AL"/>
              </w:rPr>
              <w:t>Para</w:t>
            </w:r>
            <w:r w:rsidR="00E10FA6" w:rsidRPr="009F02F5">
              <w:rPr>
                <w:rFonts w:ascii="Garamond" w:eastAsia="Times New Roman" w:hAnsi="Garamond" w:cs="Arial"/>
                <w:b/>
                <w:bCs/>
                <w:sz w:val="4"/>
                <w:szCs w:val="4"/>
                <w:lang w:eastAsia="sq-AL"/>
              </w:rPr>
              <w:t>financimi %</w:t>
            </w:r>
          </w:p>
        </w:tc>
        <w:tc>
          <w:tcPr>
            <w:tcW w:w="299" w:type="dxa"/>
            <w:tcBorders>
              <w:top w:val="nil"/>
              <w:left w:val="nil"/>
              <w:bottom w:val="single" w:sz="4" w:space="0" w:color="auto"/>
              <w:right w:val="single" w:sz="4" w:space="0" w:color="auto"/>
            </w:tcBorders>
            <w:shd w:val="clear" w:color="auto" w:fill="auto"/>
            <w:vAlign w:val="center"/>
            <w:hideMark/>
          </w:tcPr>
          <w:p w14:paraId="1BADD44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Gabimet</w:t>
            </w:r>
          </w:p>
        </w:tc>
        <w:tc>
          <w:tcPr>
            <w:tcW w:w="433" w:type="dxa"/>
            <w:tcBorders>
              <w:top w:val="nil"/>
              <w:left w:val="nil"/>
              <w:bottom w:val="single" w:sz="4" w:space="0" w:color="auto"/>
              <w:right w:val="single" w:sz="4" w:space="0" w:color="auto"/>
            </w:tcBorders>
            <w:shd w:val="clear" w:color="auto" w:fill="auto"/>
            <w:vAlign w:val="center"/>
            <w:hideMark/>
          </w:tcPr>
          <w:p w14:paraId="1BADD44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Parregullsitë</w:t>
            </w:r>
          </w:p>
        </w:tc>
        <w:tc>
          <w:tcPr>
            <w:tcW w:w="319" w:type="dxa"/>
            <w:tcBorders>
              <w:top w:val="nil"/>
              <w:left w:val="nil"/>
              <w:bottom w:val="single" w:sz="4" w:space="0" w:color="auto"/>
              <w:right w:val="single" w:sz="4" w:space="0" w:color="auto"/>
            </w:tcBorders>
            <w:shd w:val="clear" w:color="auto" w:fill="auto"/>
            <w:vAlign w:val="center"/>
            <w:hideMark/>
          </w:tcPr>
          <w:p w14:paraId="1BADD44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Mashtrime</w:t>
            </w:r>
          </w:p>
        </w:tc>
        <w:tc>
          <w:tcPr>
            <w:tcW w:w="301" w:type="dxa"/>
            <w:tcBorders>
              <w:top w:val="nil"/>
              <w:left w:val="nil"/>
              <w:bottom w:val="single" w:sz="4" w:space="0" w:color="auto"/>
              <w:right w:val="single" w:sz="4" w:space="0" w:color="auto"/>
            </w:tcBorders>
            <w:shd w:val="clear" w:color="auto" w:fill="auto"/>
            <w:vAlign w:val="center"/>
            <w:hideMark/>
          </w:tcPr>
          <w:p w14:paraId="1BADD44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Pa kontekst</w:t>
            </w:r>
          </w:p>
        </w:tc>
        <w:tc>
          <w:tcPr>
            <w:tcW w:w="271" w:type="dxa"/>
            <w:tcBorders>
              <w:top w:val="nil"/>
              <w:left w:val="nil"/>
              <w:bottom w:val="single" w:sz="4" w:space="0" w:color="auto"/>
              <w:right w:val="single" w:sz="4" w:space="0" w:color="auto"/>
            </w:tcBorders>
            <w:shd w:val="clear" w:color="auto" w:fill="auto"/>
            <w:vAlign w:val="center"/>
            <w:hideMark/>
          </w:tcPr>
          <w:p w14:paraId="1BADD44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Totali</w:t>
            </w:r>
          </w:p>
        </w:tc>
        <w:tc>
          <w:tcPr>
            <w:tcW w:w="328" w:type="dxa"/>
            <w:tcBorders>
              <w:top w:val="nil"/>
              <w:left w:val="nil"/>
              <w:bottom w:val="single" w:sz="4" w:space="0" w:color="auto"/>
              <w:right w:val="single" w:sz="4" w:space="0" w:color="auto"/>
            </w:tcBorders>
            <w:shd w:val="clear" w:color="auto" w:fill="auto"/>
            <w:vAlign w:val="center"/>
            <w:hideMark/>
          </w:tcPr>
          <w:p w14:paraId="1BADD44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xml:space="preserve">Totali I buxhetit në % </w:t>
            </w:r>
          </w:p>
        </w:tc>
        <w:tc>
          <w:tcPr>
            <w:tcW w:w="332" w:type="dxa"/>
            <w:tcBorders>
              <w:top w:val="nil"/>
              <w:left w:val="nil"/>
              <w:bottom w:val="single" w:sz="4" w:space="0" w:color="auto"/>
              <w:right w:val="single" w:sz="4" w:space="0" w:color="auto"/>
            </w:tcBorders>
            <w:shd w:val="clear" w:color="auto" w:fill="auto"/>
            <w:vAlign w:val="center"/>
            <w:hideMark/>
          </w:tcPr>
          <w:p w14:paraId="1BADD44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xml:space="preserve">Totali I parashikuar I disbursimit mujor </w:t>
            </w:r>
          </w:p>
        </w:tc>
        <w:tc>
          <w:tcPr>
            <w:tcW w:w="314" w:type="dxa"/>
            <w:tcBorders>
              <w:top w:val="nil"/>
              <w:left w:val="nil"/>
              <w:bottom w:val="single" w:sz="4" w:space="0" w:color="auto"/>
              <w:right w:val="single" w:sz="4" w:space="0" w:color="auto"/>
            </w:tcBorders>
            <w:shd w:val="clear" w:color="auto" w:fill="auto"/>
            <w:vAlign w:val="center"/>
            <w:hideMark/>
          </w:tcPr>
          <w:p w14:paraId="1BADD44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 muajt e ardhshëm</w:t>
            </w:r>
          </w:p>
        </w:tc>
        <w:tc>
          <w:tcPr>
            <w:tcW w:w="328" w:type="dxa"/>
            <w:tcBorders>
              <w:top w:val="nil"/>
              <w:left w:val="nil"/>
              <w:bottom w:val="single" w:sz="4" w:space="0" w:color="auto"/>
              <w:right w:val="single" w:sz="4" w:space="0" w:color="auto"/>
            </w:tcBorders>
            <w:shd w:val="clear" w:color="auto" w:fill="auto"/>
            <w:vAlign w:val="center"/>
            <w:hideMark/>
          </w:tcPr>
          <w:p w14:paraId="1BADD44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buxheti I programit</w:t>
            </w:r>
          </w:p>
        </w:tc>
      </w:tr>
      <w:tr w:rsidR="00E10FA6" w:rsidRPr="009F02F5" w14:paraId="1BADD462" w14:textId="77777777" w:rsidTr="00E10FA6">
        <w:trPr>
          <w:trHeight w:val="180"/>
        </w:trPr>
        <w:tc>
          <w:tcPr>
            <w:tcW w:w="316" w:type="dxa"/>
            <w:tcBorders>
              <w:top w:val="nil"/>
              <w:left w:val="single" w:sz="4" w:space="0" w:color="auto"/>
              <w:bottom w:val="single" w:sz="4" w:space="0" w:color="auto"/>
              <w:right w:val="single" w:sz="4" w:space="0" w:color="auto"/>
            </w:tcBorders>
            <w:shd w:val="clear" w:color="auto" w:fill="auto"/>
            <w:vAlign w:val="center"/>
            <w:hideMark/>
          </w:tcPr>
          <w:p w14:paraId="1BADD44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w:t>
            </w:r>
          </w:p>
        </w:tc>
        <w:tc>
          <w:tcPr>
            <w:tcW w:w="348" w:type="dxa"/>
            <w:tcBorders>
              <w:top w:val="nil"/>
              <w:left w:val="nil"/>
              <w:bottom w:val="single" w:sz="4" w:space="0" w:color="auto"/>
              <w:right w:val="single" w:sz="4" w:space="0" w:color="auto"/>
            </w:tcBorders>
            <w:shd w:val="clear" w:color="auto" w:fill="auto"/>
            <w:vAlign w:val="center"/>
            <w:hideMark/>
          </w:tcPr>
          <w:p w14:paraId="1BADD44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2</w:t>
            </w:r>
          </w:p>
        </w:tc>
        <w:tc>
          <w:tcPr>
            <w:tcW w:w="915" w:type="dxa"/>
            <w:gridSpan w:val="3"/>
            <w:tcBorders>
              <w:top w:val="single" w:sz="4" w:space="0" w:color="auto"/>
              <w:left w:val="nil"/>
              <w:bottom w:val="single" w:sz="4" w:space="0" w:color="auto"/>
              <w:right w:val="single" w:sz="4" w:space="0" w:color="000000"/>
            </w:tcBorders>
            <w:shd w:val="clear" w:color="auto" w:fill="auto"/>
            <w:vAlign w:val="center"/>
            <w:hideMark/>
          </w:tcPr>
          <w:p w14:paraId="1BADD44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3</w:t>
            </w:r>
          </w:p>
        </w:tc>
        <w:tc>
          <w:tcPr>
            <w:tcW w:w="915" w:type="dxa"/>
            <w:gridSpan w:val="3"/>
            <w:tcBorders>
              <w:top w:val="single" w:sz="4" w:space="0" w:color="auto"/>
              <w:left w:val="nil"/>
              <w:bottom w:val="single" w:sz="4" w:space="0" w:color="auto"/>
              <w:right w:val="single" w:sz="4" w:space="0" w:color="000000"/>
            </w:tcBorders>
            <w:shd w:val="clear" w:color="auto" w:fill="auto"/>
            <w:vAlign w:val="center"/>
            <w:hideMark/>
          </w:tcPr>
          <w:p w14:paraId="1BADD44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4</w:t>
            </w:r>
          </w:p>
        </w:tc>
        <w:tc>
          <w:tcPr>
            <w:tcW w:w="986" w:type="dxa"/>
            <w:gridSpan w:val="3"/>
            <w:tcBorders>
              <w:top w:val="single" w:sz="4" w:space="0" w:color="auto"/>
              <w:left w:val="nil"/>
              <w:bottom w:val="single" w:sz="4" w:space="0" w:color="auto"/>
              <w:right w:val="single" w:sz="4" w:space="0" w:color="000000"/>
            </w:tcBorders>
            <w:shd w:val="clear" w:color="auto" w:fill="auto"/>
            <w:vAlign w:val="center"/>
            <w:hideMark/>
          </w:tcPr>
          <w:p w14:paraId="1BADD45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5</w:t>
            </w:r>
          </w:p>
        </w:tc>
        <w:tc>
          <w:tcPr>
            <w:tcW w:w="915" w:type="dxa"/>
            <w:gridSpan w:val="3"/>
            <w:tcBorders>
              <w:top w:val="single" w:sz="4" w:space="0" w:color="auto"/>
              <w:left w:val="nil"/>
              <w:bottom w:val="single" w:sz="4" w:space="0" w:color="auto"/>
              <w:right w:val="single" w:sz="4" w:space="0" w:color="000000"/>
            </w:tcBorders>
            <w:shd w:val="clear" w:color="auto" w:fill="auto"/>
            <w:vAlign w:val="center"/>
            <w:hideMark/>
          </w:tcPr>
          <w:p w14:paraId="1BADD45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6</w:t>
            </w:r>
          </w:p>
        </w:tc>
        <w:tc>
          <w:tcPr>
            <w:tcW w:w="986" w:type="dxa"/>
            <w:gridSpan w:val="3"/>
            <w:tcBorders>
              <w:top w:val="single" w:sz="4" w:space="0" w:color="auto"/>
              <w:left w:val="nil"/>
              <w:bottom w:val="single" w:sz="4" w:space="0" w:color="auto"/>
              <w:right w:val="single" w:sz="4" w:space="0" w:color="000000"/>
            </w:tcBorders>
            <w:shd w:val="clear" w:color="auto" w:fill="auto"/>
            <w:vAlign w:val="center"/>
            <w:hideMark/>
          </w:tcPr>
          <w:p w14:paraId="1BADD45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7</w:t>
            </w:r>
          </w:p>
        </w:tc>
        <w:tc>
          <w:tcPr>
            <w:tcW w:w="915" w:type="dxa"/>
            <w:gridSpan w:val="3"/>
            <w:tcBorders>
              <w:top w:val="single" w:sz="4" w:space="0" w:color="auto"/>
              <w:left w:val="nil"/>
              <w:bottom w:val="single" w:sz="4" w:space="0" w:color="auto"/>
              <w:right w:val="single" w:sz="4" w:space="0" w:color="000000"/>
            </w:tcBorders>
            <w:shd w:val="clear" w:color="auto" w:fill="auto"/>
            <w:vAlign w:val="center"/>
            <w:hideMark/>
          </w:tcPr>
          <w:p w14:paraId="1BADD45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8</w:t>
            </w:r>
          </w:p>
        </w:tc>
        <w:tc>
          <w:tcPr>
            <w:tcW w:w="986" w:type="dxa"/>
            <w:gridSpan w:val="3"/>
            <w:tcBorders>
              <w:top w:val="single" w:sz="4" w:space="0" w:color="auto"/>
              <w:left w:val="nil"/>
              <w:bottom w:val="single" w:sz="4" w:space="0" w:color="auto"/>
              <w:right w:val="single" w:sz="4" w:space="0" w:color="000000"/>
            </w:tcBorders>
            <w:shd w:val="clear" w:color="auto" w:fill="auto"/>
            <w:vAlign w:val="center"/>
            <w:hideMark/>
          </w:tcPr>
          <w:p w14:paraId="1BADD45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9</w:t>
            </w:r>
          </w:p>
        </w:tc>
        <w:tc>
          <w:tcPr>
            <w:tcW w:w="915" w:type="dxa"/>
            <w:gridSpan w:val="3"/>
            <w:tcBorders>
              <w:top w:val="single" w:sz="4" w:space="0" w:color="auto"/>
              <w:left w:val="nil"/>
              <w:bottom w:val="single" w:sz="4" w:space="0" w:color="auto"/>
              <w:right w:val="single" w:sz="4" w:space="0" w:color="000000"/>
            </w:tcBorders>
            <w:shd w:val="clear" w:color="auto" w:fill="auto"/>
            <w:vAlign w:val="center"/>
            <w:hideMark/>
          </w:tcPr>
          <w:p w14:paraId="1BADD45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10</w:t>
            </w:r>
          </w:p>
        </w:tc>
        <w:tc>
          <w:tcPr>
            <w:tcW w:w="1022" w:type="dxa"/>
            <w:gridSpan w:val="3"/>
            <w:tcBorders>
              <w:top w:val="single" w:sz="4" w:space="0" w:color="auto"/>
              <w:left w:val="nil"/>
              <w:bottom w:val="single" w:sz="4" w:space="0" w:color="auto"/>
              <w:right w:val="single" w:sz="4" w:space="0" w:color="000000"/>
            </w:tcBorders>
            <w:shd w:val="clear" w:color="auto" w:fill="auto"/>
            <w:vAlign w:val="center"/>
            <w:hideMark/>
          </w:tcPr>
          <w:p w14:paraId="1BADD45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11</w:t>
            </w:r>
          </w:p>
        </w:tc>
        <w:tc>
          <w:tcPr>
            <w:tcW w:w="915" w:type="dxa"/>
            <w:gridSpan w:val="3"/>
            <w:tcBorders>
              <w:top w:val="single" w:sz="4" w:space="0" w:color="auto"/>
              <w:left w:val="nil"/>
              <w:bottom w:val="single" w:sz="4" w:space="0" w:color="auto"/>
              <w:right w:val="single" w:sz="4" w:space="0" w:color="000000"/>
            </w:tcBorders>
            <w:shd w:val="clear" w:color="auto" w:fill="auto"/>
            <w:vAlign w:val="center"/>
            <w:hideMark/>
          </w:tcPr>
          <w:p w14:paraId="1BADD45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w:t>
            </w:r>
          </w:p>
        </w:tc>
        <w:tc>
          <w:tcPr>
            <w:tcW w:w="1022" w:type="dxa"/>
            <w:gridSpan w:val="3"/>
            <w:tcBorders>
              <w:top w:val="single" w:sz="4" w:space="0" w:color="auto"/>
              <w:left w:val="nil"/>
              <w:bottom w:val="single" w:sz="4" w:space="0" w:color="auto"/>
              <w:right w:val="single" w:sz="4" w:space="0" w:color="000000"/>
            </w:tcBorders>
            <w:shd w:val="clear" w:color="auto" w:fill="auto"/>
            <w:vAlign w:val="center"/>
            <w:hideMark/>
          </w:tcPr>
          <w:p w14:paraId="1BADD45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13</w:t>
            </w:r>
          </w:p>
        </w:tc>
        <w:tc>
          <w:tcPr>
            <w:tcW w:w="299" w:type="dxa"/>
            <w:tcBorders>
              <w:top w:val="nil"/>
              <w:left w:val="nil"/>
              <w:bottom w:val="single" w:sz="4" w:space="0" w:color="auto"/>
              <w:right w:val="single" w:sz="4" w:space="0" w:color="auto"/>
            </w:tcBorders>
            <w:shd w:val="clear" w:color="auto" w:fill="auto"/>
            <w:vAlign w:val="center"/>
            <w:hideMark/>
          </w:tcPr>
          <w:p w14:paraId="1BADD45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14</w:t>
            </w:r>
          </w:p>
        </w:tc>
        <w:tc>
          <w:tcPr>
            <w:tcW w:w="433" w:type="dxa"/>
            <w:tcBorders>
              <w:top w:val="nil"/>
              <w:left w:val="nil"/>
              <w:bottom w:val="single" w:sz="4" w:space="0" w:color="auto"/>
              <w:right w:val="single" w:sz="4" w:space="0" w:color="auto"/>
            </w:tcBorders>
            <w:shd w:val="clear" w:color="auto" w:fill="auto"/>
            <w:vAlign w:val="center"/>
            <w:hideMark/>
          </w:tcPr>
          <w:p w14:paraId="1BADD45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15</w:t>
            </w:r>
          </w:p>
        </w:tc>
        <w:tc>
          <w:tcPr>
            <w:tcW w:w="319" w:type="dxa"/>
            <w:tcBorders>
              <w:top w:val="nil"/>
              <w:left w:val="nil"/>
              <w:bottom w:val="single" w:sz="4" w:space="0" w:color="auto"/>
              <w:right w:val="single" w:sz="4" w:space="0" w:color="auto"/>
            </w:tcBorders>
            <w:shd w:val="clear" w:color="auto" w:fill="auto"/>
            <w:vAlign w:val="center"/>
            <w:hideMark/>
          </w:tcPr>
          <w:p w14:paraId="1BADD45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16</w:t>
            </w:r>
          </w:p>
        </w:tc>
        <w:tc>
          <w:tcPr>
            <w:tcW w:w="301" w:type="dxa"/>
            <w:tcBorders>
              <w:top w:val="nil"/>
              <w:left w:val="nil"/>
              <w:bottom w:val="single" w:sz="4" w:space="0" w:color="auto"/>
              <w:right w:val="single" w:sz="4" w:space="0" w:color="auto"/>
            </w:tcBorders>
            <w:shd w:val="clear" w:color="auto" w:fill="auto"/>
            <w:vAlign w:val="center"/>
            <w:hideMark/>
          </w:tcPr>
          <w:p w14:paraId="1BADD45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17</w:t>
            </w:r>
          </w:p>
        </w:tc>
        <w:tc>
          <w:tcPr>
            <w:tcW w:w="271" w:type="dxa"/>
            <w:tcBorders>
              <w:top w:val="nil"/>
              <w:left w:val="nil"/>
              <w:bottom w:val="single" w:sz="4" w:space="0" w:color="auto"/>
              <w:right w:val="single" w:sz="4" w:space="0" w:color="auto"/>
            </w:tcBorders>
            <w:shd w:val="clear" w:color="auto" w:fill="auto"/>
            <w:vAlign w:val="center"/>
            <w:hideMark/>
          </w:tcPr>
          <w:p w14:paraId="1BADD45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18</w:t>
            </w:r>
          </w:p>
        </w:tc>
        <w:tc>
          <w:tcPr>
            <w:tcW w:w="328" w:type="dxa"/>
            <w:tcBorders>
              <w:top w:val="nil"/>
              <w:left w:val="nil"/>
              <w:bottom w:val="single" w:sz="4" w:space="0" w:color="auto"/>
              <w:right w:val="single" w:sz="4" w:space="0" w:color="auto"/>
            </w:tcBorders>
            <w:shd w:val="clear" w:color="auto" w:fill="auto"/>
            <w:vAlign w:val="center"/>
            <w:hideMark/>
          </w:tcPr>
          <w:p w14:paraId="1BADD45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19</w:t>
            </w:r>
          </w:p>
        </w:tc>
        <w:tc>
          <w:tcPr>
            <w:tcW w:w="332" w:type="dxa"/>
            <w:tcBorders>
              <w:top w:val="nil"/>
              <w:left w:val="nil"/>
              <w:bottom w:val="single" w:sz="4" w:space="0" w:color="auto"/>
              <w:right w:val="single" w:sz="4" w:space="0" w:color="auto"/>
            </w:tcBorders>
            <w:shd w:val="clear" w:color="auto" w:fill="auto"/>
            <w:vAlign w:val="center"/>
            <w:hideMark/>
          </w:tcPr>
          <w:p w14:paraId="1BADD45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20</w:t>
            </w:r>
          </w:p>
        </w:tc>
        <w:tc>
          <w:tcPr>
            <w:tcW w:w="314" w:type="dxa"/>
            <w:tcBorders>
              <w:top w:val="nil"/>
              <w:left w:val="nil"/>
              <w:bottom w:val="single" w:sz="4" w:space="0" w:color="auto"/>
              <w:right w:val="single" w:sz="4" w:space="0" w:color="auto"/>
            </w:tcBorders>
            <w:shd w:val="clear" w:color="auto" w:fill="auto"/>
            <w:vAlign w:val="center"/>
            <w:hideMark/>
          </w:tcPr>
          <w:p w14:paraId="1BADD46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21</w:t>
            </w:r>
          </w:p>
        </w:tc>
        <w:tc>
          <w:tcPr>
            <w:tcW w:w="328" w:type="dxa"/>
            <w:tcBorders>
              <w:top w:val="nil"/>
              <w:left w:val="nil"/>
              <w:bottom w:val="single" w:sz="4" w:space="0" w:color="auto"/>
              <w:right w:val="single" w:sz="4" w:space="0" w:color="auto"/>
            </w:tcBorders>
            <w:shd w:val="clear" w:color="auto" w:fill="auto"/>
            <w:vAlign w:val="center"/>
            <w:hideMark/>
          </w:tcPr>
          <w:p w14:paraId="1BADD46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22</w:t>
            </w:r>
          </w:p>
        </w:tc>
      </w:tr>
      <w:tr w:rsidR="00E10FA6" w:rsidRPr="009F02F5" w14:paraId="1BADD48F" w14:textId="77777777" w:rsidTr="00E10FA6">
        <w:trPr>
          <w:trHeight w:val="180"/>
        </w:trPr>
        <w:tc>
          <w:tcPr>
            <w:tcW w:w="316" w:type="dxa"/>
            <w:tcBorders>
              <w:top w:val="nil"/>
              <w:left w:val="single" w:sz="4" w:space="0" w:color="auto"/>
              <w:bottom w:val="single" w:sz="4" w:space="0" w:color="auto"/>
              <w:right w:val="single" w:sz="4" w:space="0" w:color="auto"/>
            </w:tcBorders>
            <w:shd w:val="clear" w:color="auto" w:fill="auto"/>
            <w:vAlign w:val="center"/>
            <w:hideMark/>
          </w:tcPr>
          <w:p w14:paraId="1BADD46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8" w:type="dxa"/>
            <w:tcBorders>
              <w:top w:val="nil"/>
              <w:left w:val="nil"/>
              <w:bottom w:val="single" w:sz="4" w:space="0" w:color="auto"/>
              <w:right w:val="single" w:sz="4" w:space="0" w:color="auto"/>
            </w:tcBorders>
            <w:shd w:val="clear" w:color="auto" w:fill="auto"/>
            <w:vAlign w:val="center"/>
            <w:hideMark/>
          </w:tcPr>
          <w:p w14:paraId="1BADD46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6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3a</w:t>
            </w:r>
          </w:p>
        </w:tc>
        <w:tc>
          <w:tcPr>
            <w:tcW w:w="314" w:type="dxa"/>
            <w:tcBorders>
              <w:top w:val="nil"/>
              <w:left w:val="nil"/>
              <w:bottom w:val="single" w:sz="4" w:space="0" w:color="auto"/>
              <w:right w:val="nil"/>
            </w:tcBorders>
            <w:shd w:val="clear" w:color="auto" w:fill="auto"/>
            <w:vAlign w:val="center"/>
            <w:hideMark/>
          </w:tcPr>
          <w:p w14:paraId="1BADD46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3b</w:t>
            </w:r>
          </w:p>
        </w:tc>
        <w:tc>
          <w:tcPr>
            <w:tcW w:w="287" w:type="dxa"/>
            <w:tcBorders>
              <w:top w:val="nil"/>
              <w:left w:val="nil"/>
              <w:bottom w:val="single" w:sz="4" w:space="0" w:color="auto"/>
              <w:right w:val="nil"/>
            </w:tcBorders>
            <w:shd w:val="clear" w:color="auto" w:fill="auto"/>
            <w:vAlign w:val="center"/>
            <w:hideMark/>
          </w:tcPr>
          <w:p w14:paraId="1BADD46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3c</w:t>
            </w:r>
          </w:p>
        </w:tc>
        <w:tc>
          <w:tcPr>
            <w:tcW w:w="314" w:type="dxa"/>
            <w:tcBorders>
              <w:top w:val="nil"/>
              <w:left w:val="single" w:sz="4" w:space="0" w:color="auto"/>
              <w:bottom w:val="single" w:sz="4" w:space="0" w:color="auto"/>
              <w:right w:val="nil"/>
            </w:tcBorders>
            <w:shd w:val="clear" w:color="auto" w:fill="auto"/>
            <w:vAlign w:val="center"/>
            <w:hideMark/>
          </w:tcPr>
          <w:p w14:paraId="1BADD46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4a</w:t>
            </w:r>
          </w:p>
        </w:tc>
        <w:tc>
          <w:tcPr>
            <w:tcW w:w="314" w:type="dxa"/>
            <w:tcBorders>
              <w:top w:val="nil"/>
              <w:left w:val="nil"/>
              <w:bottom w:val="single" w:sz="4" w:space="0" w:color="auto"/>
              <w:right w:val="nil"/>
            </w:tcBorders>
            <w:shd w:val="clear" w:color="auto" w:fill="auto"/>
            <w:vAlign w:val="center"/>
            <w:hideMark/>
          </w:tcPr>
          <w:p w14:paraId="1BADD46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4b</w:t>
            </w:r>
          </w:p>
        </w:tc>
        <w:tc>
          <w:tcPr>
            <w:tcW w:w="287" w:type="dxa"/>
            <w:tcBorders>
              <w:top w:val="nil"/>
              <w:left w:val="nil"/>
              <w:bottom w:val="single" w:sz="4" w:space="0" w:color="auto"/>
              <w:right w:val="single" w:sz="4" w:space="0" w:color="auto"/>
            </w:tcBorders>
            <w:shd w:val="clear" w:color="auto" w:fill="auto"/>
            <w:vAlign w:val="center"/>
            <w:hideMark/>
          </w:tcPr>
          <w:p w14:paraId="1BADD46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4c</w:t>
            </w:r>
          </w:p>
        </w:tc>
        <w:tc>
          <w:tcPr>
            <w:tcW w:w="328" w:type="dxa"/>
            <w:tcBorders>
              <w:top w:val="nil"/>
              <w:left w:val="nil"/>
              <w:bottom w:val="single" w:sz="4" w:space="0" w:color="auto"/>
              <w:right w:val="nil"/>
            </w:tcBorders>
            <w:shd w:val="clear" w:color="auto" w:fill="auto"/>
            <w:vAlign w:val="center"/>
            <w:hideMark/>
          </w:tcPr>
          <w:p w14:paraId="1BADD46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5a</w:t>
            </w:r>
          </w:p>
        </w:tc>
        <w:tc>
          <w:tcPr>
            <w:tcW w:w="330" w:type="dxa"/>
            <w:tcBorders>
              <w:top w:val="nil"/>
              <w:left w:val="nil"/>
              <w:bottom w:val="single" w:sz="4" w:space="0" w:color="auto"/>
              <w:right w:val="nil"/>
            </w:tcBorders>
            <w:shd w:val="clear" w:color="auto" w:fill="auto"/>
            <w:vAlign w:val="center"/>
            <w:hideMark/>
          </w:tcPr>
          <w:p w14:paraId="1BADD46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5b</w:t>
            </w:r>
          </w:p>
        </w:tc>
        <w:tc>
          <w:tcPr>
            <w:tcW w:w="328" w:type="dxa"/>
            <w:tcBorders>
              <w:top w:val="nil"/>
              <w:left w:val="nil"/>
              <w:bottom w:val="single" w:sz="4" w:space="0" w:color="auto"/>
              <w:right w:val="single" w:sz="4" w:space="0" w:color="auto"/>
            </w:tcBorders>
            <w:shd w:val="clear" w:color="auto" w:fill="auto"/>
            <w:vAlign w:val="center"/>
            <w:hideMark/>
          </w:tcPr>
          <w:p w14:paraId="1BADD46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5c</w:t>
            </w:r>
          </w:p>
        </w:tc>
        <w:tc>
          <w:tcPr>
            <w:tcW w:w="314" w:type="dxa"/>
            <w:tcBorders>
              <w:top w:val="nil"/>
              <w:left w:val="nil"/>
              <w:bottom w:val="single" w:sz="4" w:space="0" w:color="auto"/>
              <w:right w:val="nil"/>
            </w:tcBorders>
            <w:shd w:val="clear" w:color="auto" w:fill="auto"/>
            <w:vAlign w:val="center"/>
            <w:hideMark/>
          </w:tcPr>
          <w:p w14:paraId="1BADD46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6a</w:t>
            </w:r>
          </w:p>
        </w:tc>
        <w:tc>
          <w:tcPr>
            <w:tcW w:w="314" w:type="dxa"/>
            <w:tcBorders>
              <w:top w:val="nil"/>
              <w:left w:val="nil"/>
              <w:bottom w:val="single" w:sz="4" w:space="0" w:color="auto"/>
              <w:right w:val="nil"/>
            </w:tcBorders>
            <w:shd w:val="clear" w:color="auto" w:fill="auto"/>
            <w:vAlign w:val="center"/>
            <w:hideMark/>
          </w:tcPr>
          <w:p w14:paraId="1BADD46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6b</w:t>
            </w:r>
          </w:p>
        </w:tc>
        <w:tc>
          <w:tcPr>
            <w:tcW w:w="287" w:type="dxa"/>
            <w:tcBorders>
              <w:top w:val="nil"/>
              <w:left w:val="nil"/>
              <w:bottom w:val="single" w:sz="4" w:space="0" w:color="auto"/>
              <w:right w:val="single" w:sz="4" w:space="0" w:color="auto"/>
            </w:tcBorders>
            <w:shd w:val="clear" w:color="auto" w:fill="auto"/>
            <w:vAlign w:val="center"/>
            <w:hideMark/>
          </w:tcPr>
          <w:p w14:paraId="1BADD47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6c</w:t>
            </w:r>
          </w:p>
        </w:tc>
        <w:tc>
          <w:tcPr>
            <w:tcW w:w="328" w:type="dxa"/>
            <w:tcBorders>
              <w:top w:val="nil"/>
              <w:left w:val="nil"/>
              <w:bottom w:val="single" w:sz="4" w:space="0" w:color="auto"/>
              <w:right w:val="nil"/>
            </w:tcBorders>
            <w:shd w:val="clear" w:color="auto" w:fill="auto"/>
            <w:vAlign w:val="center"/>
            <w:hideMark/>
          </w:tcPr>
          <w:p w14:paraId="1BADD47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7a</w:t>
            </w:r>
          </w:p>
        </w:tc>
        <w:tc>
          <w:tcPr>
            <w:tcW w:w="330" w:type="dxa"/>
            <w:tcBorders>
              <w:top w:val="nil"/>
              <w:left w:val="nil"/>
              <w:bottom w:val="single" w:sz="4" w:space="0" w:color="auto"/>
              <w:right w:val="nil"/>
            </w:tcBorders>
            <w:shd w:val="clear" w:color="auto" w:fill="auto"/>
            <w:vAlign w:val="center"/>
            <w:hideMark/>
          </w:tcPr>
          <w:p w14:paraId="1BADD47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7b</w:t>
            </w:r>
          </w:p>
        </w:tc>
        <w:tc>
          <w:tcPr>
            <w:tcW w:w="328" w:type="dxa"/>
            <w:tcBorders>
              <w:top w:val="nil"/>
              <w:left w:val="nil"/>
              <w:bottom w:val="single" w:sz="4" w:space="0" w:color="auto"/>
              <w:right w:val="single" w:sz="4" w:space="0" w:color="auto"/>
            </w:tcBorders>
            <w:shd w:val="clear" w:color="auto" w:fill="auto"/>
            <w:vAlign w:val="center"/>
            <w:hideMark/>
          </w:tcPr>
          <w:p w14:paraId="1BADD47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7c</w:t>
            </w:r>
          </w:p>
        </w:tc>
        <w:tc>
          <w:tcPr>
            <w:tcW w:w="314" w:type="dxa"/>
            <w:tcBorders>
              <w:top w:val="nil"/>
              <w:left w:val="nil"/>
              <w:bottom w:val="single" w:sz="4" w:space="0" w:color="auto"/>
              <w:right w:val="nil"/>
            </w:tcBorders>
            <w:shd w:val="clear" w:color="auto" w:fill="auto"/>
            <w:vAlign w:val="center"/>
            <w:hideMark/>
          </w:tcPr>
          <w:p w14:paraId="1BADD47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8a</w:t>
            </w:r>
          </w:p>
        </w:tc>
        <w:tc>
          <w:tcPr>
            <w:tcW w:w="314" w:type="dxa"/>
            <w:tcBorders>
              <w:top w:val="nil"/>
              <w:left w:val="nil"/>
              <w:bottom w:val="single" w:sz="4" w:space="0" w:color="auto"/>
              <w:right w:val="nil"/>
            </w:tcBorders>
            <w:shd w:val="clear" w:color="auto" w:fill="auto"/>
            <w:vAlign w:val="center"/>
            <w:hideMark/>
          </w:tcPr>
          <w:p w14:paraId="1BADD47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8b</w:t>
            </w:r>
          </w:p>
        </w:tc>
        <w:tc>
          <w:tcPr>
            <w:tcW w:w="287" w:type="dxa"/>
            <w:tcBorders>
              <w:top w:val="nil"/>
              <w:left w:val="nil"/>
              <w:bottom w:val="single" w:sz="4" w:space="0" w:color="auto"/>
              <w:right w:val="single" w:sz="4" w:space="0" w:color="auto"/>
            </w:tcBorders>
            <w:shd w:val="clear" w:color="auto" w:fill="auto"/>
            <w:vAlign w:val="center"/>
            <w:hideMark/>
          </w:tcPr>
          <w:p w14:paraId="1BADD47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8c</w:t>
            </w:r>
          </w:p>
        </w:tc>
        <w:tc>
          <w:tcPr>
            <w:tcW w:w="328" w:type="dxa"/>
            <w:tcBorders>
              <w:top w:val="nil"/>
              <w:left w:val="nil"/>
              <w:bottom w:val="single" w:sz="4" w:space="0" w:color="auto"/>
              <w:right w:val="nil"/>
            </w:tcBorders>
            <w:shd w:val="clear" w:color="auto" w:fill="auto"/>
            <w:vAlign w:val="center"/>
            <w:hideMark/>
          </w:tcPr>
          <w:p w14:paraId="1BADD47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9a</w:t>
            </w:r>
          </w:p>
        </w:tc>
        <w:tc>
          <w:tcPr>
            <w:tcW w:w="330" w:type="dxa"/>
            <w:tcBorders>
              <w:top w:val="nil"/>
              <w:left w:val="nil"/>
              <w:bottom w:val="single" w:sz="4" w:space="0" w:color="auto"/>
              <w:right w:val="nil"/>
            </w:tcBorders>
            <w:shd w:val="clear" w:color="auto" w:fill="auto"/>
            <w:vAlign w:val="center"/>
            <w:hideMark/>
          </w:tcPr>
          <w:p w14:paraId="1BADD47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9b</w:t>
            </w:r>
          </w:p>
        </w:tc>
        <w:tc>
          <w:tcPr>
            <w:tcW w:w="328" w:type="dxa"/>
            <w:tcBorders>
              <w:top w:val="nil"/>
              <w:left w:val="nil"/>
              <w:bottom w:val="single" w:sz="4" w:space="0" w:color="auto"/>
              <w:right w:val="single" w:sz="4" w:space="0" w:color="auto"/>
            </w:tcBorders>
            <w:shd w:val="clear" w:color="auto" w:fill="auto"/>
            <w:vAlign w:val="center"/>
            <w:hideMark/>
          </w:tcPr>
          <w:p w14:paraId="1BADD47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9c</w:t>
            </w:r>
          </w:p>
        </w:tc>
        <w:tc>
          <w:tcPr>
            <w:tcW w:w="314" w:type="dxa"/>
            <w:tcBorders>
              <w:top w:val="nil"/>
              <w:left w:val="nil"/>
              <w:bottom w:val="single" w:sz="4" w:space="0" w:color="auto"/>
              <w:right w:val="nil"/>
            </w:tcBorders>
            <w:shd w:val="clear" w:color="auto" w:fill="auto"/>
            <w:vAlign w:val="center"/>
            <w:hideMark/>
          </w:tcPr>
          <w:p w14:paraId="1BADD47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10a</w:t>
            </w:r>
          </w:p>
        </w:tc>
        <w:tc>
          <w:tcPr>
            <w:tcW w:w="314" w:type="dxa"/>
            <w:tcBorders>
              <w:top w:val="nil"/>
              <w:left w:val="nil"/>
              <w:bottom w:val="single" w:sz="4" w:space="0" w:color="auto"/>
              <w:right w:val="nil"/>
            </w:tcBorders>
            <w:shd w:val="clear" w:color="auto" w:fill="auto"/>
            <w:vAlign w:val="center"/>
            <w:hideMark/>
          </w:tcPr>
          <w:p w14:paraId="1BADD47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10b</w:t>
            </w:r>
          </w:p>
        </w:tc>
        <w:tc>
          <w:tcPr>
            <w:tcW w:w="287" w:type="dxa"/>
            <w:tcBorders>
              <w:top w:val="nil"/>
              <w:left w:val="nil"/>
              <w:bottom w:val="single" w:sz="4" w:space="0" w:color="auto"/>
              <w:right w:val="single" w:sz="4" w:space="0" w:color="auto"/>
            </w:tcBorders>
            <w:shd w:val="clear" w:color="auto" w:fill="auto"/>
            <w:vAlign w:val="center"/>
            <w:hideMark/>
          </w:tcPr>
          <w:p w14:paraId="1BADD47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10c</w:t>
            </w:r>
          </w:p>
        </w:tc>
        <w:tc>
          <w:tcPr>
            <w:tcW w:w="340" w:type="dxa"/>
            <w:tcBorders>
              <w:top w:val="nil"/>
              <w:left w:val="nil"/>
              <w:bottom w:val="single" w:sz="4" w:space="0" w:color="auto"/>
              <w:right w:val="nil"/>
            </w:tcBorders>
            <w:shd w:val="clear" w:color="auto" w:fill="auto"/>
            <w:vAlign w:val="center"/>
            <w:hideMark/>
          </w:tcPr>
          <w:p w14:paraId="1BADD47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11a</w:t>
            </w:r>
          </w:p>
        </w:tc>
        <w:tc>
          <w:tcPr>
            <w:tcW w:w="342" w:type="dxa"/>
            <w:tcBorders>
              <w:top w:val="nil"/>
              <w:left w:val="nil"/>
              <w:bottom w:val="single" w:sz="4" w:space="0" w:color="auto"/>
              <w:right w:val="nil"/>
            </w:tcBorders>
            <w:shd w:val="clear" w:color="auto" w:fill="auto"/>
            <w:vAlign w:val="center"/>
            <w:hideMark/>
          </w:tcPr>
          <w:p w14:paraId="1BADD47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11b</w:t>
            </w:r>
          </w:p>
        </w:tc>
        <w:tc>
          <w:tcPr>
            <w:tcW w:w="340" w:type="dxa"/>
            <w:tcBorders>
              <w:top w:val="nil"/>
              <w:left w:val="nil"/>
              <w:bottom w:val="single" w:sz="4" w:space="0" w:color="auto"/>
              <w:right w:val="single" w:sz="4" w:space="0" w:color="auto"/>
            </w:tcBorders>
            <w:shd w:val="clear" w:color="auto" w:fill="auto"/>
            <w:vAlign w:val="center"/>
            <w:hideMark/>
          </w:tcPr>
          <w:p w14:paraId="1BADD47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11c</w:t>
            </w:r>
          </w:p>
        </w:tc>
        <w:tc>
          <w:tcPr>
            <w:tcW w:w="314" w:type="dxa"/>
            <w:tcBorders>
              <w:top w:val="nil"/>
              <w:left w:val="nil"/>
              <w:bottom w:val="single" w:sz="4" w:space="0" w:color="auto"/>
              <w:right w:val="nil"/>
            </w:tcBorders>
            <w:shd w:val="clear" w:color="auto" w:fill="auto"/>
            <w:vAlign w:val="center"/>
            <w:hideMark/>
          </w:tcPr>
          <w:p w14:paraId="1BADD48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12a</w:t>
            </w:r>
          </w:p>
        </w:tc>
        <w:tc>
          <w:tcPr>
            <w:tcW w:w="314" w:type="dxa"/>
            <w:tcBorders>
              <w:top w:val="nil"/>
              <w:left w:val="nil"/>
              <w:bottom w:val="single" w:sz="4" w:space="0" w:color="auto"/>
              <w:right w:val="nil"/>
            </w:tcBorders>
            <w:shd w:val="clear" w:color="auto" w:fill="auto"/>
            <w:vAlign w:val="center"/>
            <w:hideMark/>
          </w:tcPr>
          <w:p w14:paraId="1BADD48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12b</w:t>
            </w:r>
          </w:p>
        </w:tc>
        <w:tc>
          <w:tcPr>
            <w:tcW w:w="287" w:type="dxa"/>
            <w:tcBorders>
              <w:top w:val="nil"/>
              <w:left w:val="nil"/>
              <w:bottom w:val="single" w:sz="4" w:space="0" w:color="auto"/>
              <w:right w:val="single" w:sz="4" w:space="0" w:color="auto"/>
            </w:tcBorders>
            <w:shd w:val="clear" w:color="auto" w:fill="auto"/>
            <w:vAlign w:val="center"/>
            <w:hideMark/>
          </w:tcPr>
          <w:p w14:paraId="1BADD48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12c</w:t>
            </w:r>
          </w:p>
        </w:tc>
        <w:tc>
          <w:tcPr>
            <w:tcW w:w="340" w:type="dxa"/>
            <w:tcBorders>
              <w:top w:val="nil"/>
              <w:left w:val="nil"/>
              <w:bottom w:val="single" w:sz="4" w:space="0" w:color="auto"/>
              <w:right w:val="nil"/>
            </w:tcBorders>
            <w:shd w:val="clear" w:color="auto" w:fill="auto"/>
            <w:vAlign w:val="center"/>
            <w:hideMark/>
          </w:tcPr>
          <w:p w14:paraId="1BADD48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13a</w:t>
            </w:r>
          </w:p>
        </w:tc>
        <w:tc>
          <w:tcPr>
            <w:tcW w:w="342" w:type="dxa"/>
            <w:tcBorders>
              <w:top w:val="nil"/>
              <w:left w:val="nil"/>
              <w:bottom w:val="single" w:sz="4" w:space="0" w:color="auto"/>
              <w:right w:val="nil"/>
            </w:tcBorders>
            <w:shd w:val="clear" w:color="auto" w:fill="auto"/>
            <w:vAlign w:val="center"/>
            <w:hideMark/>
          </w:tcPr>
          <w:p w14:paraId="1BADD48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13b</w:t>
            </w:r>
          </w:p>
        </w:tc>
        <w:tc>
          <w:tcPr>
            <w:tcW w:w="340" w:type="dxa"/>
            <w:tcBorders>
              <w:top w:val="nil"/>
              <w:left w:val="nil"/>
              <w:bottom w:val="single" w:sz="4" w:space="0" w:color="auto"/>
              <w:right w:val="single" w:sz="4" w:space="0" w:color="auto"/>
            </w:tcBorders>
            <w:shd w:val="clear" w:color="auto" w:fill="auto"/>
            <w:vAlign w:val="center"/>
            <w:hideMark/>
          </w:tcPr>
          <w:p w14:paraId="1BADD48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13c</w:t>
            </w:r>
          </w:p>
        </w:tc>
        <w:tc>
          <w:tcPr>
            <w:tcW w:w="299" w:type="dxa"/>
            <w:tcBorders>
              <w:top w:val="nil"/>
              <w:left w:val="nil"/>
              <w:bottom w:val="single" w:sz="4" w:space="0" w:color="auto"/>
              <w:right w:val="single" w:sz="4" w:space="0" w:color="auto"/>
            </w:tcBorders>
            <w:shd w:val="clear" w:color="auto" w:fill="auto"/>
            <w:vAlign w:val="center"/>
            <w:hideMark/>
          </w:tcPr>
          <w:p w14:paraId="1BADD48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433" w:type="dxa"/>
            <w:tcBorders>
              <w:top w:val="nil"/>
              <w:left w:val="nil"/>
              <w:bottom w:val="single" w:sz="4" w:space="0" w:color="auto"/>
              <w:right w:val="single" w:sz="4" w:space="0" w:color="auto"/>
            </w:tcBorders>
            <w:shd w:val="clear" w:color="auto" w:fill="auto"/>
            <w:vAlign w:val="center"/>
            <w:hideMark/>
          </w:tcPr>
          <w:p w14:paraId="1BADD48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9" w:type="dxa"/>
            <w:tcBorders>
              <w:top w:val="nil"/>
              <w:left w:val="nil"/>
              <w:bottom w:val="single" w:sz="4" w:space="0" w:color="auto"/>
              <w:right w:val="single" w:sz="4" w:space="0" w:color="auto"/>
            </w:tcBorders>
            <w:shd w:val="clear" w:color="auto" w:fill="auto"/>
            <w:vAlign w:val="center"/>
            <w:hideMark/>
          </w:tcPr>
          <w:p w14:paraId="1BADD48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01" w:type="dxa"/>
            <w:tcBorders>
              <w:top w:val="nil"/>
              <w:left w:val="nil"/>
              <w:bottom w:val="single" w:sz="4" w:space="0" w:color="auto"/>
              <w:right w:val="single" w:sz="4" w:space="0" w:color="auto"/>
            </w:tcBorders>
            <w:shd w:val="clear" w:color="auto" w:fill="auto"/>
            <w:vAlign w:val="center"/>
            <w:hideMark/>
          </w:tcPr>
          <w:p w14:paraId="1BADD48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71" w:type="dxa"/>
            <w:tcBorders>
              <w:top w:val="nil"/>
              <w:left w:val="nil"/>
              <w:bottom w:val="single" w:sz="4" w:space="0" w:color="auto"/>
              <w:right w:val="single" w:sz="4" w:space="0" w:color="auto"/>
            </w:tcBorders>
            <w:shd w:val="clear" w:color="auto" w:fill="auto"/>
            <w:vAlign w:val="center"/>
            <w:hideMark/>
          </w:tcPr>
          <w:p w14:paraId="1BADD48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auto" w:fill="auto"/>
            <w:vAlign w:val="center"/>
            <w:hideMark/>
          </w:tcPr>
          <w:p w14:paraId="1BADD48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32" w:type="dxa"/>
            <w:tcBorders>
              <w:top w:val="nil"/>
              <w:left w:val="nil"/>
              <w:bottom w:val="single" w:sz="4" w:space="0" w:color="auto"/>
              <w:right w:val="single" w:sz="4" w:space="0" w:color="auto"/>
            </w:tcBorders>
            <w:shd w:val="clear" w:color="auto" w:fill="auto"/>
            <w:vAlign w:val="center"/>
            <w:hideMark/>
          </w:tcPr>
          <w:p w14:paraId="1BADD48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auto" w:fill="auto"/>
            <w:vAlign w:val="center"/>
            <w:hideMark/>
          </w:tcPr>
          <w:p w14:paraId="1BADD48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auto" w:fill="auto"/>
            <w:vAlign w:val="center"/>
            <w:hideMark/>
          </w:tcPr>
          <w:p w14:paraId="1BADD48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r>
      <w:tr w:rsidR="00E10FA6" w:rsidRPr="009F02F5" w14:paraId="1BADD4BC" w14:textId="77777777" w:rsidTr="00E10FA6">
        <w:trPr>
          <w:trHeight w:val="180"/>
        </w:trPr>
        <w:tc>
          <w:tcPr>
            <w:tcW w:w="316" w:type="dxa"/>
            <w:tcBorders>
              <w:top w:val="nil"/>
              <w:left w:val="single" w:sz="4" w:space="0" w:color="auto"/>
              <w:bottom w:val="single" w:sz="4" w:space="0" w:color="auto"/>
              <w:right w:val="single" w:sz="4" w:space="0" w:color="auto"/>
            </w:tcBorders>
            <w:shd w:val="clear" w:color="auto" w:fill="auto"/>
            <w:vAlign w:val="center"/>
            <w:hideMark/>
          </w:tcPr>
          <w:p w14:paraId="1BADD49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8" w:type="dxa"/>
            <w:tcBorders>
              <w:top w:val="nil"/>
              <w:left w:val="nil"/>
              <w:bottom w:val="single" w:sz="4" w:space="0" w:color="auto"/>
              <w:right w:val="single" w:sz="4" w:space="0" w:color="auto"/>
            </w:tcBorders>
            <w:shd w:val="clear" w:color="auto" w:fill="auto"/>
            <w:vAlign w:val="center"/>
            <w:hideMark/>
          </w:tcPr>
          <w:p w14:paraId="1BADD49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9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93" w14:textId="77777777" w:rsidR="00E10FA6" w:rsidRPr="009F02F5" w:rsidRDefault="00E10FA6" w:rsidP="00E10FA6">
            <w:pPr>
              <w:spacing w:after="0" w:line="240" w:lineRule="auto"/>
              <w:jc w:val="center"/>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287" w:type="dxa"/>
            <w:tcBorders>
              <w:top w:val="nil"/>
              <w:left w:val="nil"/>
              <w:bottom w:val="single" w:sz="4" w:space="0" w:color="auto"/>
              <w:right w:val="single" w:sz="4" w:space="0" w:color="auto"/>
            </w:tcBorders>
            <w:shd w:val="clear" w:color="auto" w:fill="auto"/>
            <w:vAlign w:val="center"/>
            <w:hideMark/>
          </w:tcPr>
          <w:p w14:paraId="1BADD494" w14:textId="77777777" w:rsidR="00E10FA6" w:rsidRPr="009F02F5" w:rsidRDefault="00E10FA6" w:rsidP="00E10FA6">
            <w:pPr>
              <w:spacing w:after="0" w:line="240" w:lineRule="auto"/>
              <w:jc w:val="center"/>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9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9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87" w:type="dxa"/>
            <w:tcBorders>
              <w:top w:val="nil"/>
              <w:left w:val="nil"/>
              <w:bottom w:val="single" w:sz="4" w:space="0" w:color="auto"/>
              <w:right w:val="single" w:sz="4" w:space="0" w:color="auto"/>
            </w:tcBorders>
            <w:shd w:val="clear" w:color="auto" w:fill="auto"/>
            <w:vAlign w:val="center"/>
            <w:hideMark/>
          </w:tcPr>
          <w:p w14:paraId="1BADD49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nil"/>
            </w:tcBorders>
            <w:shd w:val="clear" w:color="auto" w:fill="auto"/>
            <w:vAlign w:val="center"/>
            <w:hideMark/>
          </w:tcPr>
          <w:p w14:paraId="1BADD49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4a/3a*100%</w:t>
            </w:r>
          </w:p>
        </w:tc>
        <w:tc>
          <w:tcPr>
            <w:tcW w:w="330" w:type="dxa"/>
            <w:tcBorders>
              <w:top w:val="nil"/>
              <w:left w:val="nil"/>
              <w:bottom w:val="single" w:sz="4" w:space="0" w:color="auto"/>
              <w:right w:val="nil"/>
            </w:tcBorders>
            <w:shd w:val="clear" w:color="auto" w:fill="auto"/>
            <w:vAlign w:val="center"/>
            <w:hideMark/>
          </w:tcPr>
          <w:p w14:paraId="1BADD49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4b/3b*100%</w:t>
            </w:r>
          </w:p>
        </w:tc>
        <w:tc>
          <w:tcPr>
            <w:tcW w:w="328" w:type="dxa"/>
            <w:tcBorders>
              <w:top w:val="nil"/>
              <w:left w:val="nil"/>
              <w:bottom w:val="single" w:sz="4" w:space="0" w:color="auto"/>
              <w:right w:val="single" w:sz="4" w:space="0" w:color="auto"/>
            </w:tcBorders>
            <w:shd w:val="clear" w:color="auto" w:fill="auto"/>
            <w:vAlign w:val="center"/>
            <w:hideMark/>
          </w:tcPr>
          <w:p w14:paraId="1BADD49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4c/3c*100%</w:t>
            </w:r>
          </w:p>
        </w:tc>
        <w:tc>
          <w:tcPr>
            <w:tcW w:w="314" w:type="dxa"/>
            <w:tcBorders>
              <w:top w:val="nil"/>
              <w:left w:val="nil"/>
              <w:bottom w:val="single" w:sz="4" w:space="0" w:color="auto"/>
              <w:right w:val="nil"/>
            </w:tcBorders>
            <w:shd w:val="clear" w:color="auto" w:fill="auto"/>
            <w:vAlign w:val="center"/>
            <w:hideMark/>
          </w:tcPr>
          <w:p w14:paraId="1BADD49B"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9C"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287" w:type="dxa"/>
            <w:tcBorders>
              <w:top w:val="nil"/>
              <w:left w:val="nil"/>
              <w:bottom w:val="single" w:sz="4" w:space="0" w:color="auto"/>
              <w:right w:val="single" w:sz="4" w:space="0" w:color="auto"/>
            </w:tcBorders>
            <w:shd w:val="clear" w:color="auto" w:fill="auto"/>
            <w:vAlign w:val="center"/>
            <w:hideMark/>
          </w:tcPr>
          <w:p w14:paraId="1BADD49D"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28" w:type="dxa"/>
            <w:tcBorders>
              <w:top w:val="nil"/>
              <w:left w:val="nil"/>
              <w:bottom w:val="single" w:sz="4" w:space="0" w:color="auto"/>
              <w:right w:val="nil"/>
            </w:tcBorders>
            <w:shd w:val="clear" w:color="auto" w:fill="auto"/>
            <w:vAlign w:val="center"/>
            <w:hideMark/>
          </w:tcPr>
          <w:p w14:paraId="1BADD49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6a/4a*100%</w:t>
            </w:r>
          </w:p>
        </w:tc>
        <w:tc>
          <w:tcPr>
            <w:tcW w:w="330" w:type="dxa"/>
            <w:tcBorders>
              <w:top w:val="nil"/>
              <w:left w:val="nil"/>
              <w:bottom w:val="single" w:sz="4" w:space="0" w:color="auto"/>
              <w:right w:val="nil"/>
            </w:tcBorders>
            <w:shd w:val="clear" w:color="auto" w:fill="auto"/>
            <w:vAlign w:val="center"/>
            <w:hideMark/>
          </w:tcPr>
          <w:p w14:paraId="1BADD49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6b/4b*100%</w:t>
            </w:r>
          </w:p>
        </w:tc>
        <w:tc>
          <w:tcPr>
            <w:tcW w:w="328" w:type="dxa"/>
            <w:tcBorders>
              <w:top w:val="nil"/>
              <w:left w:val="nil"/>
              <w:bottom w:val="single" w:sz="4" w:space="0" w:color="auto"/>
              <w:right w:val="single" w:sz="4" w:space="0" w:color="auto"/>
            </w:tcBorders>
            <w:shd w:val="clear" w:color="auto" w:fill="auto"/>
            <w:vAlign w:val="center"/>
            <w:hideMark/>
          </w:tcPr>
          <w:p w14:paraId="1BADD4A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6c/4c*100%</w:t>
            </w:r>
          </w:p>
        </w:tc>
        <w:tc>
          <w:tcPr>
            <w:tcW w:w="314" w:type="dxa"/>
            <w:tcBorders>
              <w:top w:val="nil"/>
              <w:left w:val="nil"/>
              <w:bottom w:val="single" w:sz="4" w:space="0" w:color="auto"/>
              <w:right w:val="nil"/>
            </w:tcBorders>
            <w:shd w:val="clear" w:color="auto" w:fill="auto"/>
            <w:vAlign w:val="center"/>
            <w:hideMark/>
          </w:tcPr>
          <w:p w14:paraId="1BADD4A1"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A2"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287" w:type="dxa"/>
            <w:tcBorders>
              <w:top w:val="nil"/>
              <w:left w:val="nil"/>
              <w:bottom w:val="single" w:sz="4" w:space="0" w:color="auto"/>
              <w:right w:val="single" w:sz="4" w:space="0" w:color="auto"/>
            </w:tcBorders>
            <w:shd w:val="clear" w:color="auto" w:fill="auto"/>
            <w:vAlign w:val="center"/>
            <w:hideMark/>
          </w:tcPr>
          <w:p w14:paraId="1BADD4A3"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28" w:type="dxa"/>
            <w:tcBorders>
              <w:top w:val="nil"/>
              <w:left w:val="nil"/>
              <w:bottom w:val="single" w:sz="4" w:space="0" w:color="auto"/>
              <w:right w:val="nil"/>
            </w:tcBorders>
            <w:shd w:val="clear" w:color="auto" w:fill="auto"/>
            <w:vAlign w:val="center"/>
            <w:hideMark/>
          </w:tcPr>
          <w:p w14:paraId="1BADD4A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8a/4a*100%</w:t>
            </w:r>
          </w:p>
        </w:tc>
        <w:tc>
          <w:tcPr>
            <w:tcW w:w="330" w:type="dxa"/>
            <w:tcBorders>
              <w:top w:val="nil"/>
              <w:left w:val="nil"/>
              <w:bottom w:val="single" w:sz="4" w:space="0" w:color="auto"/>
              <w:right w:val="nil"/>
            </w:tcBorders>
            <w:shd w:val="clear" w:color="auto" w:fill="auto"/>
            <w:vAlign w:val="center"/>
            <w:hideMark/>
          </w:tcPr>
          <w:p w14:paraId="1BADD4A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8b/4b*100%</w:t>
            </w:r>
          </w:p>
        </w:tc>
        <w:tc>
          <w:tcPr>
            <w:tcW w:w="328" w:type="dxa"/>
            <w:tcBorders>
              <w:top w:val="nil"/>
              <w:left w:val="nil"/>
              <w:bottom w:val="single" w:sz="4" w:space="0" w:color="auto"/>
              <w:right w:val="single" w:sz="4" w:space="0" w:color="auto"/>
            </w:tcBorders>
            <w:shd w:val="clear" w:color="auto" w:fill="auto"/>
            <w:vAlign w:val="center"/>
            <w:hideMark/>
          </w:tcPr>
          <w:p w14:paraId="1BADD4A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8c/4c*100%</w:t>
            </w:r>
          </w:p>
        </w:tc>
        <w:tc>
          <w:tcPr>
            <w:tcW w:w="314" w:type="dxa"/>
            <w:tcBorders>
              <w:top w:val="nil"/>
              <w:left w:val="nil"/>
              <w:bottom w:val="single" w:sz="4" w:space="0" w:color="auto"/>
              <w:right w:val="nil"/>
            </w:tcBorders>
            <w:shd w:val="clear" w:color="auto" w:fill="auto"/>
            <w:vAlign w:val="center"/>
            <w:hideMark/>
          </w:tcPr>
          <w:p w14:paraId="1BADD4A7"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A8"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287" w:type="dxa"/>
            <w:tcBorders>
              <w:top w:val="nil"/>
              <w:left w:val="nil"/>
              <w:bottom w:val="single" w:sz="4" w:space="0" w:color="auto"/>
              <w:right w:val="single" w:sz="4" w:space="0" w:color="auto"/>
            </w:tcBorders>
            <w:shd w:val="clear" w:color="auto" w:fill="auto"/>
            <w:vAlign w:val="center"/>
            <w:hideMark/>
          </w:tcPr>
          <w:p w14:paraId="1BADD4A9"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40" w:type="dxa"/>
            <w:tcBorders>
              <w:top w:val="nil"/>
              <w:left w:val="nil"/>
              <w:bottom w:val="single" w:sz="4" w:space="0" w:color="auto"/>
              <w:right w:val="nil"/>
            </w:tcBorders>
            <w:shd w:val="clear" w:color="auto" w:fill="auto"/>
            <w:vAlign w:val="center"/>
            <w:hideMark/>
          </w:tcPr>
          <w:p w14:paraId="1BADD4A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10a/4a*100%</w:t>
            </w:r>
          </w:p>
        </w:tc>
        <w:tc>
          <w:tcPr>
            <w:tcW w:w="342" w:type="dxa"/>
            <w:tcBorders>
              <w:top w:val="nil"/>
              <w:left w:val="nil"/>
              <w:bottom w:val="single" w:sz="4" w:space="0" w:color="auto"/>
              <w:right w:val="nil"/>
            </w:tcBorders>
            <w:shd w:val="clear" w:color="auto" w:fill="auto"/>
            <w:vAlign w:val="center"/>
            <w:hideMark/>
          </w:tcPr>
          <w:p w14:paraId="1BADD4A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10b/4b*100%</w:t>
            </w:r>
          </w:p>
        </w:tc>
        <w:tc>
          <w:tcPr>
            <w:tcW w:w="340" w:type="dxa"/>
            <w:tcBorders>
              <w:top w:val="nil"/>
              <w:left w:val="nil"/>
              <w:bottom w:val="single" w:sz="4" w:space="0" w:color="auto"/>
              <w:right w:val="single" w:sz="4" w:space="0" w:color="auto"/>
            </w:tcBorders>
            <w:shd w:val="clear" w:color="auto" w:fill="auto"/>
            <w:vAlign w:val="center"/>
            <w:hideMark/>
          </w:tcPr>
          <w:p w14:paraId="1BADD4A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10c/4c*100%</w:t>
            </w:r>
          </w:p>
        </w:tc>
        <w:tc>
          <w:tcPr>
            <w:tcW w:w="314" w:type="dxa"/>
            <w:tcBorders>
              <w:top w:val="nil"/>
              <w:left w:val="nil"/>
              <w:bottom w:val="single" w:sz="4" w:space="0" w:color="auto"/>
              <w:right w:val="nil"/>
            </w:tcBorders>
            <w:shd w:val="clear" w:color="auto" w:fill="auto"/>
            <w:vAlign w:val="center"/>
            <w:hideMark/>
          </w:tcPr>
          <w:p w14:paraId="1BADD4AD"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14" w:type="dxa"/>
            <w:tcBorders>
              <w:top w:val="nil"/>
              <w:left w:val="nil"/>
              <w:bottom w:val="single" w:sz="4" w:space="0" w:color="auto"/>
              <w:right w:val="nil"/>
            </w:tcBorders>
            <w:shd w:val="clear" w:color="auto" w:fill="auto"/>
            <w:vAlign w:val="center"/>
            <w:hideMark/>
          </w:tcPr>
          <w:p w14:paraId="1BADD4AE"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287" w:type="dxa"/>
            <w:tcBorders>
              <w:top w:val="nil"/>
              <w:left w:val="nil"/>
              <w:bottom w:val="single" w:sz="4" w:space="0" w:color="auto"/>
              <w:right w:val="single" w:sz="4" w:space="0" w:color="auto"/>
            </w:tcBorders>
            <w:shd w:val="clear" w:color="auto" w:fill="auto"/>
            <w:vAlign w:val="center"/>
            <w:hideMark/>
          </w:tcPr>
          <w:p w14:paraId="1BADD4AF"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40" w:type="dxa"/>
            <w:tcBorders>
              <w:top w:val="nil"/>
              <w:left w:val="nil"/>
              <w:bottom w:val="single" w:sz="4" w:space="0" w:color="auto"/>
              <w:right w:val="nil"/>
            </w:tcBorders>
            <w:shd w:val="clear" w:color="auto" w:fill="auto"/>
            <w:vAlign w:val="center"/>
            <w:hideMark/>
          </w:tcPr>
          <w:p w14:paraId="1BADD4B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12a/4a*100%</w:t>
            </w:r>
          </w:p>
        </w:tc>
        <w:tc>
          <w:tcPr>
            <w:tcW w:w="342" w:type="dxa"/>
            <w:tcBorders>
              <w:top w:val="nil"/>
              <w:left w:val="nil"/>
              <w:bottom w:val="single" w:sz="4" w:space="0" w:color="auto"/>
              <w:right w:val="nil"/>
            </w:tcBorders>
            <w:shd w:val="clear" w:color="auto" w:fill="auto"/>
            <w:vAlign w:val="center"/>
            <w:hideMark/>
          </w:tcPr>
          <w:p w14:paraId="1BADD4B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12b/4b*100%</w:t>
            </w:r>
          </w:p>
        </w:tc>
        <w:tc>
          <w:tcPr>
            <w:tcW w:w="340" w:type="dxa"/>
            <w:tcBorders>
              <w:top w:val="nil"/>
              <w:left w:val="nil"/>
              <w:bottom w:val="single" w:sz="4" w:space="0" w:color="auto"/>
              <w:right w:val="single" w:sz="4" w:space="0" w:color="auto"/>
            </w:tcBorders>
            <w:shd w:val="clear" w:color="auto" w:fill="auto"/>
            <w:vAlign w:val="center"/>
            <w:hideMark/>
          </w:tcPr>
          <w:p w14:paraId="1BADD4B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12c/4c*100%</w:t>
            </w:r>
          </w:p>
        </w:tc>
        <w:tc>
          <w:tcPr>
            <w:tcW w:w="299" w:type="dxa"/>
            <w:tcBorders>
              <w:top w:val="nil"/>
              <w:left w:val="nil"/>
              <w:bottom w:val="single" w:sz="4" w:space="0" w:color="auto"/>
              <w:right w:val="single" w:sz="4" w:space="0" w:color="auto"/>
            </w:tcBorders>
            <w:shd w:val="clear" w:color="auto" w:fill="auto"/>
            <w:vAlign w:val="center"/>
            <w:hideMark/>
          </w:tcPr>
          <w:p w14:paraId="1BADD4B3"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433" w:type="dxa"/>
            <w:tcBorders>
              <w:top w:val="nil"/>
              <w:left w:val="nil"/>
              <w:bottom w:val="single" w:sz="4" w:space="0" w:color="auto"/>
              <w:right w:val="single" w:sz="4" w:space="0" w:color="auto"/>
            </w:tcBorders>
            <w:shd w:val="clear" w:color="auto" w:fill="auto"/>
            <w:vAlign w:val="center"/>
            <w:hideMark/>
          </w:tcPr>
          <w:p w14:paraId="1BADD4B4"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19" w:type="dxa"/>
            <w:tcBorders>
              <w:top w:val="nil"/>
              <w:left w:val="nil"/>
              <w:bottom w:val="single" w:sz="4" w:space="0" w:color="auto"/>
              <w:right w:val="single" w:sz="4" w:space="0" w:color="auto"/>
            </w:tcBorders>
            <w:shd w:val="clear" w:color="auto" w:fill="auto"/>
            <w:vAlign w:val="center"/>
            <w:hideMark/>
          </w:tcPr>
          <w:p w14:paraId="1BADD4B5"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01" w:type="dxa"/>
            <w:tcBorders>
              <w:top w:val="nil"/>
              <w:left w:val="nil"/>
              <w:bottom w:val="single" w:sz="4" w:space="0" w:color="auto"/>
              <w:right w:val="single" w:sz="4" w:space="0" w:color="auto"/>
            </w:tcBorders>
            <w:shd w:val="clear" w:color="auto" w:fill="auto"/>
            <w:vAlign w:val="center"/>
            <w:hideMark/>
          </w:tcPr>
          <w:p w14:paraId="1BADD4B6"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271" w:type="dxa"/>
            <w:tcBorders>
              <w:top w:val="nil"/>
              <w:left w:val="nil"/>
              <w:bottom w:val="single" w:sz="4" w:space="0" w:color="auto"/>
              <w:right w:val="single" w:sz="4" w:space="0" w:color="auto"/>
            </w:tcBorders>
            <w:shd w:val="clear" w:color="auto" w:fill="auto"/>
            <w:vAlign w:val="center"/>
            <w:hideMark/>
          </w:tcPr>
          <w:p w14:paraId="1BADD4B7"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28" w:type="dxa"/>
            <w:tcBorders>
              <w:top w:val="nil"/>
              <w:left w:val="nil"/>
              <w:bottom w:val="single" w:sz="4" w:space="0" w:color="auto"/>
              <w:right w:val="single" w:sz="4" w:space="0" w:color="auto"/>
            </w:tcBorders>
            <w:shd w:val="clear" w:color="auto" w:fill="auto"/>
            <w:vAlign w:val="center"/>
            <w:hideMark/>
          </w:tcPr>
          <w:p w14:paraId="1BADD4B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18/3a*100%</w:t>
            </w:r>
          </w:p>
        </w:tc>
        <w:tc>
          <w:tcPr>
            <w:tcW w:w="332" w:type="dxa"/>
            <w:tcBorders>
              <w:top w:val="nil"/>
              <w:left w:val="nil"/>
              <w:bottom w:val="single" w:sz="4" w:space="0" w:color="auto"/>
              <w:right w:val="single" w:sz="4" w:space="0" w:color="auto"/>
            </w:tcBorders>
            <w:shd w:val="clear" w:color="auto" w:fill="auto"/>
            <w:vAlign w:val="center"/>
            <w:hideMark/>
          </w:tcPr>
          <w:p w14:paraId="1BADD4B9"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14" w:type="dxa"/>
            <w:tcBorders>
              <w:top w:val="nil"/>
              <w:left w:val="nil"/>
              <w:bottom w:val="single" w:sz="4" w:space="0" w:color="auto"/>
              <w:right w:val="single" w:sz="4" w:space="0" w:color="auto"/>
            </w:tcBorders>
            <w:shd w:val="clear" w:color="auto" w:fill="auto"/>
            <w:vAlign w:val="center"/>
            <w:hideMark/>
          </w:tcPr>
          <w:p w14:paraId="1BADD4BA" w14:textId="77777777" w:rsidR="00E10FA6" w:rsidRPr="009F02F5" w:rsidRDefault="00E10FA6" w:rsidP="00E10FA6">
            <w:pPr>
              <w:spacing w:after="0" w:line="240" w:lineRule="auto"/>
              <w:jc w:val="center"/>
              <w:rPr>
                <w:rFonts w:ascii="Garamond" w:eastAsia="Times New Roman" w:hAnsi="Garamond" w:cs="Arial"/>
                <w:b/>
                <w:bCs/>
                <w:color w:val="FF0000"/>
                <w:sz w:val="4"/>
                <w:szCs w:val="4"/>
                <w:lang w:eastAsia="sq-AL"/>
              </w:rPr>
            </w:pPr>
            <w:r w:rsidRPr="009F02F5">
              <w:rPr>
                <w:rFonts w:ascii="Garamond" w:eastAsia="Times New Roman" w:hAnsi="Garamond" w:cs="Arial"/>
                <w:b/>
                <w:bCs/>
                <w:color w:val="FF0000"/>
                <w:sz w:val="4"/>
                <w:szCs w:val="4"/>
                <w:lang w:eastAsia="sq-AL"/>
              </w:rPr>
              <w:t> </w:t>
            </w:r>
          </w:p>
        </w:tc>
        <w:tc>
          <w:tcPr>
            <w:tcW w:w="328" w:type="dxa"/>
            <w:tcBorders>
              <w:top w:val="nil"/>
              <w:left w:val="nil"/>
              <w:bottom w:val="single" w:sz="4" w:space="0" w:color="auto"/>
              <w:right w:val="single" w:sz="4" w:space="0" w:color="auto"/>
            </w:tcBorders>
            <w:shd w:val="clear" w:color="auto" w:fill="auto"/>
            <w:vAlign w:val="center"/>
            <w:hideMark/>
          </w:tcPr>
          <w:p w14:paraId="1BADD4B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21/3a*100%</w:t>
            </w:r>
          </w:p>
        </w:tc>
      </w:tr>
      <w:tr w:rsidR="00E10FA6" w:rsidRPr="009F02F5" w14:paraId="1BADD4E9" w14:textId="77777777" w:rsidTr="00E10FA6">
        <w:trPr>
          <w:trHeight w:val="180"/>
        </w:trPr>
        <w:tc>
          <w:tcPr>
            <w:tcW w:w="316" w:type="dxa"/>
            <w:tcBorders>
              <w:top w:val="nil"/>
              <w:left w:val="single" w:sz="4" w:space="0" w:color="auto"/>
              <w:bottom w:val="single" w:sz="4" w:space="0" w:color="auto"/>
              <w:right w:val="single" w:sz="4" w:space="0" w:color="auto"/>
            </w:tcBorders>
            <w:shd w:val="clear" w:color="auto" w:fill="auto"/>
            <w:vAlign w:val="center"/>
            <w:hideMark/>
          </w:tcPr>
          <w:p w14:paraId="1BADD4B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8" w:type="dxa"/>
            <w:tcBorders>
              <w:top w:val="nil"/>
              <w:left w:val="nil"/>
              <w:bottom w:val="single" w:sz="4" w:space="0" w:color="auto"/>
              <w:right w:val="single" w:sz="4" w:space="0" w:color="auto"/>
            </w:tcBorders>
            <w:shd w:val="clear" w:color="auto" w:fill="auto"/>
            <w:vAlign w:val="center"/>
            <w:hideMark/>
          </w:tcPr>
          <w:p w14:paraId="1BADD4B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auto" w:fill="auto"/>
            <w:vAlign w:val="center"/>
            <w:hideMark/>
          </w:tcPr>
          <w:p w14:paraId="1BADD4B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14" w:type="dxa"/>
            <w:tcBorders>
              <w:top w:val="nil"/>
              <w:left w:val="nil"/>
              <w:bottom w:val="single" w:sz="4" w:space="0" w:color="auto"/>
              <w:right w:val="single" w:sz="4" w:space="0" w:color="auto"/>
            </w:tcBorders>
            <w:shd w:val="clear" w:color="auto" w:fill="auto"/>
            <w:vAlign w:val="center"/>
            <w:hideMark/>
          </w:tcPr>
          <w:p w14:paraId="1BADD4C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287" w:type="dxa"/>
            <w:tcBorders>
              <w:top w:val="nil"/>
              <w:left w:val="nil"/>
              <w:bottom w:val="single" w:sz="4" w:space="0" w:color="auto"/>
              <w:right w:val="single" w:sz="4" w:space="0" w:color="auto"/>
            </w:tcBorders>
            <w:shd w:val="clear" w:color="auto" w:fill="auto"/>
            <w:vAlign w:val="center"/>
            <w:hideMark/>
          </w:tcPr>
          <w:p w14:paraId="1BADD4C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14" w:type="dxa"/>
            <w:tcBorders>
              <w:top w:val="nil"/>
              <w:left w:val="nil"/>
              <w:bottom w:val="single" w:sz="4" w:space="0" w:color="auto"/>
              <w:right w:val="single" w:sz="4" w:space="0" w:color="auto"/>
            </w:tcBorders>
            <w:shd w:val="clear" w:color="auto" w:fill="auto"/>
            <w:vAlign w:val="center"/>
            <w:hideMark/>
          </w:tcPr>
          <w:p w14:paraId="1BADD4C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14" w:type="dxa"/>
            <w:tcBorders>
              <w:top w:val="nil"/>
              <w:left w:val="nil"/>
              <w:bottom w:val="single" w:sz="4" w:space="0" w:color="auto"/>
              <w:right w:val="single" w:sz="4" w:space="0" w:color="auto"/>
            </w:tcBorders>
            <w:shd w:val="clear" w:color="auto" w:fill="auto"/>
            <w:vAlign w:val="center"/>
            <w:hideMark/>
          </w:tcPr>
          <w:p w14:paraId="1BADD4C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287" w:type="dxa"/>
            <w:tcBorders>
              <w:top w:val="nil"/>
              <w:left w:val="nil"/>
              <w:bottom w:val="single" w:sz="4" w:space="0" w:color="auto"/>
              <w:right w:val="single" w:sz="4" w:space="0" w:color="auto"/>
            </w:tcBorders>
            <w:shd w:val="clear" w:color="auto" w:fill="auto"/>
            <w:vAlign w:val="center"/>
            <w:hideMark/>
          </w:tcPr>
          <w:p w14:paraId="1BADD4C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28" w:type="dxa"/>
            <w:tcBorders>
              <w:top w:val="nil"/>
              <w:left w:val="nil"/>
              <w:bottom w:val="single" w:sz="4" w:space="0" w:color="auto"/>
              <w:right w:val="single" w:sz="4" w:space="0" w:color="auto"/>
            </w:tcBorders>
            <w:shd w:val="clear" w:color="auto" w:fill="auto"/>
            <w:vAlign w:val="center"/>
            <w:hideMark/>
          </w:tcPr>
          <w:p w14:paraId="1BADD4C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30" w:type="dxa"/>
            <w:tcBorders>
              <w:top w:val="nil"/>
              <w:left w:val="nil"/>
              <w:bottom w:val="single" w:sz="4" w:space="0" w:color="auto"/>
              <w:right w:val="single" w:sz="4" w:space="0" w:color="auto"/>
            </w:tcBorders>
            <w:shd w:val="clear" w:color="auto" w:fill="auto"/>
            <w:vAlign w:val="center"/>
            <w:hideMark/>
          </w:tcPr>
          <w:p w14:paraId="1BADD4C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328" w:type="dxa"/>
            <w:tcBorders>
              <w:top w:val="nil"/>
              <w:left w:val="nil"/>
              <w:bottom w:val="single" w:sz="4" w:space="0" w:color="auto"/>
              <w:right w:val="single" w:sz="4" w:space="0" w:color="auto"/>
            </w:tcBorders>
            <w:shd w:val="clear" w:color="auto" w:fill="auto"/>
            <w:vAlign w:val="center"/>
            <w:hideMark/>
          </w:tcPr>
          <w:p w14:paraId="1BADD4C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14" w:type="dxa"/>
            <w:tcBorders>
              <w:top w:val="nil"/>
              <w:left w:val="nil"/>
              <w:bottom w:val="single" w:sz="4" w:space="0" w:color="auto"/>
              <w:right w:val="single" w:sz="4" w:space="0" w:color="auto"/>
            </w:tcBorders>
            <w:shd w:val="clear" w:color="auto" w:fill="auto"/>
            <w:vAlign w:val="center"/>
            <w:hideMark/>
          </w:tcPr>
          <w:p w14:paraId="1BADD4C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14" w:type="dxa"/>
            <w:tcBorders>
              <w:top w:val="nil"/>
              <w:left w:val="nil"/>
              <w:bottom w:val="single" w:sz="4" w:space="0" w:color="auto"/>
              <w:right w:val="single" w:sz="4" w:space="0" w:color="auto"/>
            </w:tcBorders>
            <w:shd w:val="clear" w:color="auto" w:fill="auto"/>
            <w:vAlign w:val="center"/>
            <w:hideMark/>
          </w:tcPr>
          <w:p w14:paraId="1BADD4C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287" w:type="dxa"/>
            <w:tcBorders>
              <w:top w:val="nil"/>
              <w:left w:val="nil"/>
              <w:bottom w:val="single" w:sz="4" w:space="0" w:color="auto"/>
              <w:right w:val="single" w:sz="4" w:space="0" w:color="auto"/>
            </w:tcBorders>
            <w:shd w:val="clear" w:color="auto" w:fill="auto"/>
            <w:vAlign w:val="center"/>
            <w:hideMark/>
          </w:tcPr>
          <w:p w14:paraId="1BADD4C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28" w:type="dxa"/>
            <w:tcBorders>
              <w:top w:val="nil"/>
              <w:left w:val="nil"/>
              <w:bottom w:val="single" w:sz="4" w:space="0" w:color="auto"/>
              <w:right w:val="single" w:sz="4" w:space="0" w:color="auto"/>
            </w:tcBorders>
            <w:shd w:val="clear" w:color="auto" w:fill="auto"/>
            <w:vAlign w:val="center"/>
            <w:hideMark/>
          </w:tcPr>
          <w:p w14:paraId="1BADD4C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30" w:type="dxa"/>
            <w:tcBorders>
              <w:top w:val="nil"/>
              <w:left w:val="nil"/>
              <w:bottom w:val="single" w:sz="4" w:space="0" w:color="auto"/>
              <w:right w:val="single" w:sz="4" w:space="0" w:color="auto"/>
            </w:tcBorders>
            <w:shd w:val="clear" w:color="auto" w:fill="auto"/>
            <w:vAlign w:val="center"/>
            <w:hideMark/>
          </w:tcPr>
          <w:p w14:paraId="1BADD4C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328" w:type="dxa"/>
            <w:tcBorders>
              <w:top w:val="nil"/>
              <w:left w:val="nil"/>
              <w:bottom w:val="single" w:sz="4" w:space="0" w:color="auto"/>
              <w:right w:val="single" w:sz="4" w:space="0" w:color="auto"/>
            </w:tcBorders>
            <w:shd w:val="clear" w:color="auto" w:fill="auto"/>
            <w:vAlign w:val="center"/>
            <w:hideMark/>
          </w:tcPr>
          <w:p w14:paraId="1BADD4C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14" w:type="dxa"/>
            <w:tcBorders>
              <w:top w:val="nil"/>
              <w:left w:val="nil"/>
              <w:bottom w:val="single" w:sz="4" w:space="0" w:color="auto"/>
              <w:right w:val="single" w:sz="4" w:space="0" w:color="auto"/>
            </w:tcBorders>
            <w:shd w:val="clear" w:color="auto" w:fill="auto"/>
            <w:vAlign w:val="center"/>
            <w:hideMark/>
          </w:tcPr>
          <w:p w14:paraId="1BADD4C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14" w:type="dxa"/>
            <w:tcBorders>
              <w:top w:val="nil"/>
              <w:left w:val="nil"/>
              <w:bottom w:val="single" w:sz="4" w:space="0" w:color="auto"/>
              <w:right w:val="single" w:sz="4" w:space="0" w:color="auto"/>
            </w:tcBorders>
            <w:shd w:val="clear" w:color="auto" w:fill="auto"/>
            <w:vAlign w:val="center"/>
            <w:hideMark/>
          </w:tcPr>
          <w:p w14:paraId="1BADD4C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287" w:type="dxa"/>
            <w:tcBorders>
              <w:top w:val="nil"/>
              <w:left w:val="nil"/>
              <w:bottom w:val="single" w:sz="4" w:space="0" w:color="auto"/>
              <w:right w:val="single" w:sz="4" w:space="0" w:color="auto"/>
            </w:tcBorders>
            <w:shd w:val="clear" w:color="auto" w:fill="auto"/>
            <w:vAlign w:val="center"/>
            <w:hideMark/>
          </w:tcPr>
          <w:p w14:paraId="1BADD4D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28" w:type="dxa"/>
            <w:tcBorders>
              <w:top w:val="nil"/>
              <w:left w:val="nil"/>
              <w:bottom w:val="single" w:sz="4" w:space="0" w:color="auto"/>
              <w:right w:val="single" w:sz="4" w:space="0" w:color="auto"/>
            </w:tcBorders>
            <w:shd w:val="clear" w:color="auto" w:fill="auto"/>
            <w:vAlign w:val="center"/>
            <w:hideMark/>
          </w:tcPr>
          <w:p w14:paraId="1BADD4D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30" w:type="dxa"/>
            <w:tcBorders>
              <w:top w:val="nil"/>
              <w:left w:val="nil"/>
              <w:bottom w:val="single" w:sz="4" w:space="0" w:color="auto"/>
              <w:right w:val="single" w:sz="4" w:space="0" w:color="auto"/>
            </w:tcBorders>
            <w:shd w:val="clear" w:color="auto" w:fill="auto"/>
            <w:vAlign w:val="center"/>
            <w:hideMark/>
          </w:tcPr>
          <w:p w14:paraId="1BADD4D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328" w:type="dxa"/>
            <w:tcBorders>
              <w:top w:val="nil"/>
              <w:left w:val="nil"/>
              <w:bottom w:val="single" w:sz="4" w:space="0" w:color="auto"/>
              <w:right w:val="single" w:sz="4" w:space="0" w:color="auto"/>
            </w:tcBorders>
            <w:shd w:val="clear" w:color="auto" w:fill="auto"/>
            <w:vAlign w:val="center"/>
            <w:hideMark/>
          </w:tcPr>
          <w:p w14:paraId="1BADD4D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14" w:type="dxa"/>
            <w:tcBorders>
              <w:top w:val="nil"/>
              <w:left w:val="nil"/>
              <w:bottom w:val="single" w:sz="4" w:space="0" w:color="auto"/>
              <w:right w:val="single" w:sz="4" w:space="0" w:color="auto"/>
            </w:tcBorders>
            <w:shd w:val="clear" w:color="auto" w:fill="auto"/>
            <w:vAlign w:val="center"/>
            <w:hideMark/>
          </w:tcPr>
          <w:p w14:paraId="1BADD4D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14" w:type="dxa"/>
            <w:tcBorders>
              <w:top w:val="nil"/>
              <w:left w:val="nil"/>
              <w:bottom w:val="single" w:sz="4" w:space="0" w:color="auto"/>
              <w:right w:val="single" w:sz="4" w:space="0" w:color="auto"/>
            </w:tcBorders>
            <w:shd w:val="clear" w:color="auto" w:fill="auto"/>
            <w:vAlign w:val="center"/>
            <w:hideMark/>
          </w:tcPr>
          <w:p w14:paraId="1BADD4D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287" w:type="dxa"/>
            <w:tcBorders>
              <w:top w:val="nil"/>
              <w:left w:val="nil"/>
              <w:bottom w:val="single" w:sz="4" w:space="0" w:color="auto"/>
              <w:right w:val="single" w:sz="4" w:space="0" w:color="auto"/>
            </w:tcBorders>
            <w:shd w:val="clear" w:color="auto" w:fill="auto"/>
            <w:vAlign w:val="center"/>
            <w:hideMark/>
          </w:tcPr>
          <w:p w14:paraId="1BADD4D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40" w:type="dxa"/>
            <w:tcBorders>
              <w:top w:val="nil"/>
              <w:left w:val="nil"/>
              <w:bottom w:val="single" w:sz="4" w:space="0" w:color="auto"/>
              <w:right w:val="single" w:sz="4" w:space="0" w:color="auto"/>
            </w:tcBorders>
            <w:shd w:val="clear" w:color="auto" w:fill="auto"/>
            <w:vAlign w:val="center"/>
            <w:hideMark/>
          </w:tcPr>
          <w:p w14:paraId="1BADD4D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42" w:type="dxa"/>
            <w:tcBorders>
              <w:top w:val="nil"/>
              <w:left w:val="nil"/>
              <w:bottom w:val="single" w:sz="4" w:space="0" w:color="auto"/>
              <w:right w:val="single" w:sz="4" w:space="0" w:color="auto"/>
            </w:tcBorders>
            <w:shd w:val="clear" w:color="auto" w:fill="auto"/>
            <w:vAlign w:val="center"/>
            <w:hideMark/>
          </w:tcPr>
          <w:p w14:paraId="1BADD4D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340" w:type="dxa"/>
            <w:tcBorders>
              <w:top w:val="nil"/>
              <w:left w:val="nil"/>
              <w:bottom w:val="single" w:sz="4" w:space="0" w:color="auto"/>
              <w:right w:val="single" w:sz="4" w:space="0" w:color="auto"/>
            </w:tcBorders>
            <w:shd w:val="clear" w:color="auto" w:fill="auto"/>
            <w:vAlign w:val="center"/>
            <w:hideMark/>
          </w:tcPr>
          <w:p w14:paraId="1BADD4D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14" w:type="dxa"/>
            <w:tcBorders>
              <w:top w:val="nil"/>
              <w:left w:val="nil"/>
              <w:bottom w:val="single" w:sz="4" w:space="0" w:color="auto"/>
              <w:right w:val="single" w:sz="4" w:space="0" w:color="auto"/>
            </w:tcBorders>
            <w:shd w:val="clear" w:color="auto" w:fill="auto"/>
            <w:vAlign w:val="center"/>
            <w:hideMark/>
          </w:tcPr>
          <w:p w14:paraId="1BADD4D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14" w:type="dxa"/>
            <w:tcBorders>
              <w:top w:val="nil"/>
              <w:left w:val="nil"/>
              <w:bottom w:val="single" w:sz="4" w:space="0" w:color="auto"/>
              <w:right w:val="single" w:sz="4" w:space="0" w:color="auto"/>
            </w:tcBorders>
            <w:shd w:val="clear" w:color="auto" w:fill="auto"/>
            <w:vAlign w:val="center"/>
            <w:hideMark/>
          </w:tcPr>
          <w:p w14:paraId="1BADD4D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287" w:type="dxa"/>
            <w:tcBorders>
              <w:top w:val="nil"/>
              <w:left w:val="nil"/>
              <w:bottom w:val="single" w:sz="4" w:space="0" w:color="auto"/>
              <w:right w:val="single" w:sz="4" w:space="0" w:color="auto"/>
            </w:tcBorders>
            <w:shd w:val="clear" w:color="auto" w:fill="auto"/>
            <w:vAlign w:val="center"/>
            <w:hideMark/>
          </w:tcPr>
          <w:p w14:paraId="1BADD4D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340" w:type="dxa"/>
            <w:tcBorders>
              <w:top w:val="nil"/>
              <w:left w:val="nil"/>
              <w:bottom w:val="single" w:sz="4" w:space="0" w:color="auto"/>
              <w:right w:val="single" w:sz="4" w:space="0" w:color="auto"/>
            </w:tcBorders>
            <w:shd w:val="clear" w:color="auto" w:fill="auto"/>
            <w:vAlign w:val="center"/>
            <w:hideMark/>
          </w:tcPr>
          <w:p w14:paraId="1BADD4D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I BE</w:t>
            </w:r>
          </w:p>
        </w:tc>
        <w:tc>
          <w:tcPr>
            <w:tcW w:w="342" w:type="dxa"/>
            <w:tcBorders>
              <w:top w:val="nil"/>
              <w:left w:val="nil"/>
              <w:bottom w:val="single" w:sz="4" w:space="0" w:color="auto"/>
              <w:right w:val="single" w:sz="4" w:space="0" w:color="auto"/>
            </w:tcBorders>
            <w:shd w:val="clear" w:color="auto" w:fill="auto"/>
            <w:vAlign w:val="center"/>
            <w:hideMark/>
          </w:tcPr>
          <w:p w14:paraId="1BADD4D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Kontributi Kombëtar</w:t>
            </w:r>
          </w:p>
        </w:tc>
        <w:tc>
          <w:tcPr>
            <w:tcW w:w="340" w:type="dxa"/>
            <w:tcBorders>
              <w:top w:val="nil"/>
              <w:left w:val="nil"/>
              <w:bottom w:val="single" w:sz="4" w:space="0" w:color="auto"/>
              <w:right w:val="single" w:sz="4" w:space="0" w:color="auto"/>
            </w:tcBorders>
            <w:shd w:val="clear" w:color="auto" w:fill="auto"/>
            <w:vAlign w:val="center"/>
            <w:hideMark/>
          </w:tcPr>
          <w:p w14:paraId="1BADD4D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Burime të tjera</w:t>
            </w:r>
          </w:p>
        </w:tc>
        <w:tc>
          <w:tcPr>
            <w:tcW w:w="299" w:type="dxa"/>
            <w:tcBorders>
              <w:top w:val="nil"/>
              <w:left w:val="nil"/>
              <w:bottom w:val="single" w:sz="4" w:space="0" w:color="auto"/>
              <w:right w:val="single" w:sz="4" w:space="0" w:color="auto"/>
            </w:tcBorders>
            <w:shd w:val="clear" w:color="auto" w:fill="auto"/>
            <w:vAlign w:val="center"/>
            <w:hideMark/>
          </w:tcPr>
          <w:p w14:paraId="1BADD4E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433" w:type="dxa"/>
            <w:tcBorders>
              <w:top w:val="nil"/>
              <w:left w:val="nil"/>
              <w:bottom w:val="single" w:sz="4" w:space="0" w:color="auto"/>
              <w:right w:val="single" w:sz="4" w:space="0" w:color="auto"/>
            </w:tcBorders>
            <w:shd w:val="clear" w:color="auto" w:fill="auto"/>
            <w:vAlign w:val="center"/>
            <w:hideMark/>
          </w:tcPr>
          <w:p w14:paraId="1BADD4E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9" w:type="dxa"/>
            <w:tcBorders>
              <w:top w:val="nil"/>
              <w:left w:val="nil"/>
              <w:bottom w:val="single" w:sz="4" w:space="0" w:color="auto"/>
              <w:right w:val="single" w:sz="4" w:space="0" w:color="auto"/>
            </w:tcBorders>
            <w:shd w:val="clear" w:color="auto" w:fill="auto"/>
            <w:vAlign w:val="center"/>
            <w:hideMark/>
          </w:tcPr>
          <w:p w14:paraId="1BADD4E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01" w:type="dxa"/>
            <w:tcBorders>
              <w:top w:val="nil"/>
              <w:left w:val="nil"/>
              <w:bottom w:val="single" w:sz="4" w:space="0" w:color="auto"/>
              <w:right w:val="single" w:sz="4" w:space="0" w:color="auto"/>
            </w:tcBorders>
            <w:shd w:val="clear" w:color="auto" w:fill="auto"/>
            <w:vAlign w:val="center"/>
            <w:hideMark/>
          </w:tcPr>
          <w:p w14:paraId="1BADD4E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71" w:type="dxa"/>
            <w:tcBorders>
              <w:top w:val="nil"/>
              <w:left w:val="nil"/>
              <w:bottom w:val="single" w:sz="4" w:space="0" w:color="auto"/>
              <w:right w:val="single" w:sz="4" w:space="0" w:color="auto"/>
            </w:tcBorders>
            <w:shd w:val="clear" w:color="auto" w:fill="auto"/>
            <w:vAlign w:val="center"/>
            <w:hideMark/>
          </w:tcPr>
          <w:p w14:paraId="1BADD4E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auto" w:fill="auto"/>
            <w:vAlign w:val="center"/>
            <w:hideMark/>
          </w:tcPr>
          <w:p w14:paraId="1BADD4E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32" w:type="dxa"/>
            <w:tcBorders>
              <w:top w:val="nil"/>
              <w:left w:val="nil"/>
              <w:bottom w:val="single" w:sz="4" w:space="0" w:color="auto"/>
              <w:right w:val="single" w:sz="4" w:space="0" w:color="auto"/>
            </w:tcBorders>
            <w:shd w:val="clear" w:color="auto" w:fill="auto"/>
            <w:vAlign w:val="center"/>
            <w:hideMark/>
          </w:tcPr>
          <w:p w14:paraId="1BADD4E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auto" w:fill="auto"/>
            <w:vAlign w:val="center"/>
            <w:hideMark/>
          </w:tcPr>
          <w:p w14:paraId="1BADD4E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auto" w:fill="auto"/>
            <w:vAlign w:val="center"/>
            <w:hideMark/>
          </w:tcPr>
          <w:p w14:paraId="1BADD4E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r>
      <w:tr w:rsidR="008274CD" w:rsidRPr="009F02F5" w14:paraId="1BADD516" w14:textId="77777777" w:rsidTr="00E10FA6">
        <w:trPr>
          <w:trHeight w:val="180"/>
        </w:trPr>
        <w:tc>
          <w:tcPr>
            <w:tcW w:w="316" w:type="dxa"/>
            <w:tcBorders>
              <w:top w:val="nil"/>
              <w:left w:val="single" w:sz="4" w:space="0" w:color="auto"/>
              <w:bottom w:val="single" w:sz="4" w:space="0" w:color="auto"/>
              <w:right w:val="single" w:sz="4" w:space="0" w:color="auto"/>
            </w:tcBorders>
            <w:shd w:val="clear" w:color="000000" w:fill="C0C0C0"/>
            <w:noWrap/>
            <w:vAlign w:val="center"/>
            <w:hideMark/>
          </w:tcPr>
          <w:p w14:paraId="1BADD4E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NP2010</w:t>
            </w:r>
          </w:p>
        </w:tc>
        <w:tc>
          <w:tcPr>
            <w:tcW w:w="348" w:type="dxa"/>
            <w:tcBorders>
              <w:top w:val="nil"/>
              <w:left w:val="nil"/>
              <w:bottom w:val="single" w:sz="4" w:space="0" w:color="auto"/>
              <w:right w:val="single" w:sz="4" w:space="0" w:color="auto"/>
            </w:tcBorders>
            <w:shd w:val="clear" w:color="000000" w:fill="C0C0C0"/>
            <w:vAlign w:val="center"/>
            <w:hideMark/>
          </w:tcPr>
          <w:p w14:paraId="1BADD4E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2010/123-456</w:t>
            </w:r>
          </w:p>
        </w:tc>
        <w:tc>
          <w:tcPr>
            <w:tcW w:w="314" w:type="dxa"/>
            <w:tcBorders>
              <w:top w:val="nil"/>
              <w:left w:val="nil"/>
              <w:bottom w:val="single" w:sz="4" w:space="0" w:color="auto"/>
              <w:right w:val="single" w:sz="4" w:space="0" w:color="auto"/>
            </w:tcBorders>
            <w:shd w:val="clear" w:color="000000" w:fill="C0C0C0"/>
            <w:vAlign w:val="center"/>
            <w:hideMark/>
          </w:tcPr>
          <w:p w14:paraId="1BADD4E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vAlign w:val="center"/>
            <w:hideMark/>
          </w:tcPr>
          <w:p w14:paraId="1BADD4E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4E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4E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4F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4F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4F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30" w:type="dxa"/>
            <w:tcBorders>
              <w:top w:val="nil"/>
              <w:left w:val="nil"/>
              <w:bottom w:val="single" w:sz="4" w:space="0" w:color="auto"/>
              <w:right w:val="single" w:sz="4" w:space="0" w:color="auto"/>
            </w:tcBorders>
            <w:shd w:val="clear" w:color="000000" w:fill="C0C0C0"/>
            <w:noWrap/>
            <w:vAlign w:val="center"/>
            <w:hideMark/>
          </w:tcPr>
          <w:p w14:paraId="1BADD4F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4F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4F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4F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4F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4F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30" w:type="dxa"/>
            <w:tcBorders>
              <w:top w:val="nil"/>
              <w:left w:val="nil"/>
              <w:bottom w:val="single" w:sz="4" w:space="0" w:color="auto"/>
              <w:right w:val="single" w:sz="4" w:space="0" w:color="auto"/>
            </w:tcBorders>
            <w:shd w:val="clear" w:color="000000" w:fill="C0C0C0"/>
            <w:noWrap/>
            <w:vAlign w:val="center"/>
            <w:hideMark/>
          </w:tcPr>
          <w:p w14:paraId="1BADD4F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4F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4F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4F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4F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4F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30" w:type="dxa"/>
            <w:tcBorders>
              <w:top w:val="nil"/>
              <w:left w:val="nil"/>
              <w:bottom w:val="single" w:sz="4" w:space="0" w:color="auto"/>
              <w:right w:val="single" w:sz="4" w:space="0" w:color="auto"/>
            </w:tcBorders>
            <w:shd w:val="clear" w:color="000000" w:fill="C0C0C0"/>
            <w:noWrap/>
            <w:vAlign w:val="center"/>
            <w:hideMark/>
          </w:tcPr>
          <w:p w14:paraId="1BADD4F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0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0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0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0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0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2" w:type="dxa"/>
            <w:tcBorders>
              <w:top w:val="nil"/>
              <w:left w:val="nil"/>
              <w:bottom w:val="single" w:sz="4" w:space="0" w:color="auto"/>
              <w:right w:val="single" w:sz="4" w:space="0" w:color="auto"/>
            </w:tcBorders>
            <w:shd w:val="clear" w:color="000000" w:fill="C0C0C0"/>
            <w:noWrap/>
            <w:vAlign w:val="center"/>
            <w:hideMark/>
          </w:tcPr>
          <w:p w14:paraId="1BADD50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06"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07"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08"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09"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0A"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2" w:type="dxa"/>
            <w:tcBorders>
              <w:top w:val="nil"/>
              <w:left w:val="nil"/>
              <w:bottom w:val="single" w:sz="4" w:space="0" w:color="auto"/>
              <w:right w:val="single" w:sz="4" w:space="0" w:color="auto"/>
            </w:tcBorders>
            <w:shd w:val="clear" w:color="000000" w:fill="C0C0C0"/>
            <w:noWrap/>
            <w:vAlign w:val="center"/>
            <w:hideMark/>
          </w:tcPr>
          <w:p w14:paraId="1BADD50B"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0C"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99" w:type="dxa"/>
            <w:tcBorders>
              <w:top w:val="nil"/>
              <w:left w:val="nil"/>
              <w:bottom w:val="single" w:sz="4" w:space="0" w:color="auto"/>
              <w:right w:val="single" w:sz="4" w:space="0" w:color="auto"/>
            </w:tcBorders>
            <w:shd w:val="clear" w:color="000000" w:fill="C0C0C0"/>
            <w:noWrap/>
            <w:vAlign w:val="center"/>
            <w:hideMark/>
          </w:tcPr>
          <w:p w14:paraId="1BADD50D"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433" w:type="dxa"/>
            <w:tcBorders>
              <w:top w:val="nil"/>
              <w:left w:val="nil"/>
              <w:bottom w:val="single" w:sz="4" w:space="0" w:color="auto"/>
              <w:right w:val="single" w:sz="4" w:space="0" w:color="auto"/>
            </w:tcBorders>
            <w:shd w:val="clear" w:color="000000" w:fill="C0C0C0"/>
            <w:noWrap/>
            <w:vAlign w:val="center"/>
            <w:hideMark/>
          </w:tcPr>
          <w:p w14:paraId="1BADD50E"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9" w:type="dxa"/>
            <w:tcBorders>
              <w:top w:val="nil"/>
              <w:left w:val="nil"/>
              <w:bottom w:val="single" w:sz="4" w:space="0" w:color="auto"/>
              <w:right w:val="single" w:sz="4" w:space="0" w:color="auto"/>
            </w:tcBorders>
            <w:shd w:val="clear" w:color="000000" w:fill="C0C0C0"/>
            <w:noWrap/>
            <w:vAlign w:val="center"/>
            <w:hideMark/>
          </w:tcPr>
          <w:p w14:paraId="1BADD50F"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01" w:type="dxa"/>
            <w:tcBorders>
              <w:top w:val="nil"/>
              <w:left w:val="nil"/>
              <w:bottom w:val="single" w:sz="4" w:space="0" w:color="auto"/>
              <w:right w:val="single" w:sz="4" w:space="0" w:color="auto"/>
            </w:tcBorders>
            <w:shd w:val="clear" w:color="000000" w:fill="C0C0C0"/>
            <w:noWrap/>
            <w:vAlign w:val="center"/>
            <w:hideMark/>
          </w:tcPr>
          <w:p w14:paraId="1BADD510"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271" w:type="dxa"/>
            <w:tcBorders>
              <w:top w:val="nil"/>
              <w:left w:val="nil"/>
              <w:bottom w:val="single" w:sz="4" w:space="0" w:color="auto"/>
              <w:right w:val="single" w:sz="4" w:space="0" w:color="auto"/>
            </w:tcBorders>
            <w:shd w:val="clear" w:color="000000" w:fill="C0C0C0"/>
            <w:noWrap/>
            <w:vAlign w:val="center"/>
            <w:hideMark/>
          </w:tcPr>
          <w:p w14:paraId="1BADD511"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12"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32" w:type="dxa"/>
            <w:tcBorders>
              <w:top w:val="nil"/>
              <w:left w:val="nil"/>
              <w:bottom w:val="single" w:sz="4" w:space="0" w:color="auto"/>
              <w:right w:val="single" w:sz="4" w:space="0" w:color="auto"/>
            </w:tcBorders>
            <w:shd w:val="clear" w:color="000000" w:fill="C0C0C0"/>
            <w:noWrap/>
            <w:vAlign w:val="center"/>
            <w:hideMark/>
          </w:tcPr>
          <w:p w14:paraId="1BADD513"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14"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15" w14:textId="77777777" w:rsidR="00E10FA6" w:rsidRPr="009F02F5" w:rsidRDefault="00E10FA6" w:rsidP="00E10FA6">
            <w:pPr>
              <w:spacing w:after="0" w:line="240" w:lineRule="auto"/>
              <w:jc w:val="center"/>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 </w:t>
            </w:r>
          </w:p>
        </w:tc>
      </w:tr>
      <w:tr w:rsidR="008274CD" w:rsidRPr="009F02F5" w14:paraId="1BADD543" w14:textId="77777777" w:rsidTr="00E10FA6">
        <w:trPr>
          <w:trHeight w:val="180"/>
        </w:trPr>
        <w:tc>
          <w:tcPr>
            <w:tcW w:w="316" w:type="dxa"/>
            <w:tcBorders>
              <w:top w:val="nil"/>
              <w:left w:val="single" w:sz="4" w:space="0" w:color="auto"/>
              <w:bottom w:val="single" w:sz="4" w:space="0" w:color="auto"/>
              <w:right w:val="single" w:sz="4" w:space="0" w:color="auto"/>
            </w:tcBorders>
            <w:shd w:val="clear" w:color="000000" w:fill="C0C0C0"/>
            <w:vAlign w:val="center"/>
            <w:hideMark/>
          </w:tcPr>
          <w:p w14:paraId="1BADD517" w14:textId="77777777" w:rsidR="00E10FA6" w:rsidRPr="009F02F5" w:rsidRDefault="00E10FA6" w:rsidP="00E10FA6">
            <w:pPr>
              <w:spacing w:after="0" w:line="240" w:lineRule="auto"/>
              <w:jc w:val="center"/>
              <w:outlineLvl w:val="0"/>
              <w:rPr>
                <w:rFonts w:ascii="Garamond" w:eastAsia="Times New Roman" w:hAnsi="Garamond" w:cs="Arial"/>
                <w:b/>
                <w:bCs/>
                <w:sz w:val="4"/>
                <w:szCs w:val="4"/>
                <w:lang w:eastAsia="sq-AL"/>
              </w:rPr>
            </w:pPr>
            <w:r w:rsidRPr="009F02F5">
              <w:rPr>
                <w:rFonts w:ascii="Garamond" w:eastAsia="Times New Roman" w:hAnsi="Garamond" w:cs="Arial"/>
                <w:b/>
                <w:bCs/>
                <w:sz w:val="4"/>
                <w:szCs w:val="4"/>
                <w:lang w:eastAsia="sq-AL"/>
              </w:rPr>
              <w:t>BNK AA/BB 2010</w:t>
            </w:r>
          </w:p>
        </w:tc>
        <w:tc>
          <w:tcPr>
            <w:tcW w:w="348" w:type="dxa"/>
            <w:tcBorders>
              <w:top w:val="nil"/>
              <w:left w:val="nil"/>
              <w:bottom w:val="single" w:sz="4" w:space="0" w:color="auto"/>
              <w:right w:val="single" w:sz="4" w:space="0" w:color="auto"/>
            </w:tcBorders>
            <w:shd w:val="clear" w:color="000000" w:fill="C0C0C0"/>
            <w:noWrap/>
            <w:vAlign w:val="center"/>
            <w:hideMark/>
          </w:tcPr>
          <w:p w14:paraId="1BADD518"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19"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1A"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1B"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1C"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1D"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1E"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1F"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330" w:type="dxa"/>
            <w:tcBorders>
              <w:top w:val="nil"/>
              <w:left w:val="nil"/>
              <w:bottom w:val="single" w:sz="4" w:space="0" w:color="auto"/>
              <w:right w:val="single" w:sz="4" w:space="0" w:color="auto"/>
            </w:tcBorders>
            <w:shd w:val="clear" w:color="000000" w:fill="C0C0C0"/>
            <w:noWrap/>
            <w:vAlign w:val="center"/>
            <w:hideMark/>
          </w:tcPr>
          <w:p w14:paraId="1BADD520"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21"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22"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23"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24"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25"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30" w:type="dxa"/>
            <w:tcBorders>
              <w:top w:val="nil"/>
              <w:left w:val="nil"/>
              <w:bottom w:val="single" w:sz="4" w:space="0" w:color="auto"/>
              <w:right w:val="single" w:sz="4" w:space="0" w:color="auto"/>
            </w:tcBorders>
            <w:shd w:val="clear" w:color="000000" w:fill="C0C0C0"/>
            <w:noWrap/>
            <w:vAlign w:val="center"/>
            <w:hideMark/>
          </w:tcPr>
          <w:p w14:paraId="1BADD526"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27"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28"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29"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2A"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2B"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30" w:type="dxa"/>
            <w:tcBorders>
              <w:top w:val="nil"/>
              <w:left w:val="nil"/>
              <w:bottom w:val="single" w:sz="4" w:space="0" w:color="auto"/>
              <w:right w:val="single" w:sz="4" w:space="0" w:color="auto"/>
            </w:tcBorders>
            <w:shd w:val="clear" w:color="000000" w:fill="C0C0C0"/>
            <w:noWrap/>
            <w:vAlign w:val="center"/>
            <w:hideMark/>
          </w:tcPr>
          <w:p w14:paraId="1BADD52C"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2D"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2E"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2F"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30"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31"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42" w:type="dxa"/>
            <w:tcBorders>
              <w:top w:val="nil"/>
              <w:left w:val="nil"/>
              <w:bottom w:val="single" w:sz="4" w:space="0" w:color="auto"/>
              <w:right w:val="single" w:sz="4" w:space="0" w:color="auto"/>
            </w:tcBorders>
            <w:shd w:val="clear" w:color="000000" w:fill="C0C0C0"/>
            <w:noWrap/>
            <w:vAlign w:val="center"/>
            <w:hideMark/>
          </w:tcPr>
          <w:p w14:paraId="1BADD532"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33"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34"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35"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287" w:type="dxa"/>
            <w:tcBorders>
              <w:top w:val="nil"/>
              <w:left w:val="nil"/>
              <w:bottom w:val="single" w:sz="4" w:space="0" w:color="auto"/>
              <w:right w:val="single" w:sz="4" w:space="0" w:color="auto"/>
            </w:tcBorders>
            <w:shd w:val="clear" w:color="000000" w:fill="C0C0C0"/>
            <w:noWrap/>
            <w:vAlign w:val="center"/>
            <w:hideMark/>
          </w:tcPr>
          <w:p w14:paraId="1BADD536"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37"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42" w:type="dxa"/>
            <w:tcBorders>
              <w:top w:val="nil"/>
              <w:left w:val="nil"/>
              <w:bottom w:val="single" w:sz="4" w:space="0" w:color="auto"/>
              <w:right w:val="single" w:sz="4" w:space="0" w:color="auto"/>
            </w:tcBorders>
            <w:shd w:val="clear" w:color="000000" w:fill="C0C0C0"/>
            <w:noWrap/>
            <w:vAlign w:val="center"/>
            <w:hideMark/>
          </w:tcPr>
          <w:p w14:paraId="1BADD538"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40" w:type="dxa"/>
            <w:tcBorders>
              <w:top w:val="nil"/>
              <w:left w:val="nil"/>
              <w:bottom w:val="single" w:sz="4" w:space="0" w:color="auto"/>
              <w:right w:val="single" w:sz="4" w:space="0" w:color="auto"/>
            </w:tcBorders>
            <w:shd w:val="clear" w:color="000000" w:fill="C0C0C0"/>
            <w:noWrap/>
            <w:vAlign w:val="center"/>
            <w:hideMark/>
          </w:tcPr>
          <w:p w14:paraId="1BADD539"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299" w:type="dxa"/>
            <w:tcBorders>
              <w:top w:val="nil"/>
              <w:left w:val="nil"/>
              <w:bottom w:val="single" w:sz="4" w:space="0" w:color="auto"/>
              <w:right w:val="single" w:sz="4" w:space="0" w:color="auto"/>
            </w:tcBorders>
            <w:shd w:val="clear" w:color="000000" w:fill="C0C0C0"/>
            <w:noWrap/>
            <w:vAlign w:val="center"/>
            <w:hideMark/>
          </w:tcPr>
          <w:p w14:paraId="1BADD53A"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433" w:type="dxa"/>
            <w:tcBorders>
              <w:top w:val="nil"/>
              <w:left w:val="nil"/>
              <w:bottom w:val="single" w:sz="4" w:space="0" w:color="auto"/>
              <w:right w:val="single" w:sz="4" w:space="0" w:color="auto"/>
            </w:tcBorders>
            <w:shd w:val="clear" w:color="000000" w:fill="C0C0C0"/>
            <w:noWrap/>
            <w:vAlign w:val="center"/>
            <w:hideMark/>
          </w:tcPr>
          <w:p w14:paraId="1BADD53B"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319" w:type="dxa"/>
            <w:tcBorders>
              <w:top w:val="nil"/>
              <w:left w:val="nil"/>
              <w:bottom w:val="single" w:sz="4" w:space="0" w:color="auto"/>
              <w:right w:val="single" w:sz="4" w:space="0" w:color="auto"/>
            </w:tcBorders>
            <w:shd w:val="clear" w:color="000000" w:fill="C0C0C0"/>
            <w:noWrap/>
            <w:vAlign w:val="center"/>
            <w:hideMark/>
          </w:tcPr>
          <w:p w14:paraId="1BADD53C"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301" w:type="dxa"/>
            <w:tcBorders>
              <w:top w:val="nil"/>
              <w:left w:val="nil"/>
              <w:bottom w:val="single" w:sz="4" w:space="0" w:color="auto"/>
              <w:right w:val="single" w:sz="4" w:space="0" w:color="auto"/>
            </w:tcBorders>
            <w:shd w:val="clear" w:color="000000" w:fill="C0C0C0"/>
            <w:noWrap/>
            <w:vAlign w:val="center"/>
            <w:hideMark/>
          </w:tcPr>
          <w:p w14:paraId="1BADD53D" w14:textId="77777777" w:rsidR="00E10FA6" w:rsidRPr="009F02F5" w:rsidRDefault="00E10FA6" w:rsidP="00E10FA6">
            <w:pPr>
              <w:spacing w:after="0" w:line="240" w:lineRule="auto"/>
              <w:jc w:val="center"/>
              <w:outlineLvl w:val="0"/>
              <w:rPr>
                <w:rFonts w:ascii="Garamond" w:eastAsia="Times New Roman" w:hAnsi="Garamond" w:cs="Arial"/>
                <w:sz w:val="4"/>
                <w:szCs w:val="4"/>
                <w:lang w:eastAsia="sq-AL"/>
              </w:rPr>
            </w:pPr>
            <w:r w:rsidRPr="009F02F5">
              <w:rPr>
                <w:rFonts w:ascii="Garamond" w:eastAsia="Times New Roman" w:hAnsi="Garamond" w:cs="Arial"/>
                <w:sz w:val="4"/>
                <w:szCs w:val="4"/>
                <w:lang w:eastAsia="sq-AL"/>
              </w:rPr>
              <w:t> </w:t>
            </w:r>
          </w:p>
        </w:tc>
        <w:tc>
          <w:tcPr>
            <w:tcW w:w="271" w:type="dxa"/>
            <w:tcBorders>
              <w:top w:val="nil"/>
              <w:left w:val="nil"/>
              <w:bottom w:val="single" w:sz="4" w:space="0" w:color="auto"/>
              <w:right w:val="single" w:sz="4" w:space="0" w:color="auto"/>
            </w:tcBorders>
            <w:shd w:val="clear" w:color="000000" w:fill="C0C0C0"/>
            <w:noWrap/>
            <w:vAlign w:val="center"/>
            <w:hideMark/>
          </w:tcPr>
          <w:p w14:paraId="1BADD53E"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3F"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32" w:type="dxa"/>
            <w:tcBorders>
              <w:top w:val="nil"/>
              <w:left w:val="nil"/>
              <w:bottom w:val="single" w:sz="4" w:space="0" w:color="auto"/>
              <w:right w:val="single" w:sz="4" w:space="0" w:color="auto"/>
            </w:tcBorders>
            <w:shd w:val="clear" w:color="000000" w:fill="C0C0C0"/>
            <w:noWrap/>
            <w:vAlign w:val="center"/>
            <w:hideMark/>
          </w:tcPr>
          <w:p w14:paraId="1BADD540"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14" w:type="dxa"/>
            <w:tcBorders>
              <w:top w:val="nil"/>
              <w:left w:val="nil"/>
              <w:bottom w:val="single" w:sz="4" w:space="0" w:color="auto"/>
              <w:right w:val="single" w:sz="4" w:space="0" w:color="auto"/>
            </w:tcBorders>
            <w:shd w:val="clear" w:color="000000" w:fill="C0C0C0"/>
            <w:noWrap/>
            <w:vAlign w:val="center"/>
            <w:hideMark/>
          </w:tcPr>
          <w:p w14:paraId="1BADD541"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c>
          <w:tcPr>
            <w:tcW w:w="328" w:type="dxa"/>
            <w:tcBorders>
              <w:top w:val="nil"/>
              <w:left w:val="nil"/>
              <w:bottom w:val="single" w:sz="4" w:space="0" w:color="auto"/>
              <w:right w:val="single" w:sz="4" w:space="0" w:color="auto"/>
            </w:tcBorders>
            <w:shd w:val="clear" w:color="000000" w:fill="C0C0C0"/>
            <w:noWrap/>
            <w:vAlign w:val="center"/>
            <w:hideMark/>
          </w:tcPr>
          <w:p w14:paraId="1BADD542" w14:textId="77777777" w:rsidR="00E10FA6" w:rsidRPr="009F02F5" w:rsidRDefault="00E10FA6" w:rsidP="00E10FA6">
            <w:pPr>
              <w:spacing w:after="0" w:line="240" w:lineRule="auto"/>
              <w:jc w:val="center"/>
              <w:outlineLvl w:val="0"/>
              <w:rPr>
                <w:rFonts w:ascii="Garamond" w:eastAsia="Times New Roman" w:hAnsi="Garamond" w:cs="Arial"/>
                <w:i/>
                <w:iCs/>
                <w:sz w:val="4"/>
                <w:szCs w:val="4"/>
                <w:lang w:eastAsia="sq-AL"/>
              </w:rPr>
            </w:pPr>
            <w:r w:rsidRPr="009F02F5">
              <w:rPr>
                <w:rFonts w:ascii="Garamond" w:eastAsia="Times New Roman" w:hAnsi="Garamond" w:cs="Arial"/>
                <w:i/>
                <w:iCs/>
                <w:sz w:val="4"/>
                <w:szCs w:val="4"/>
                <w:lang w:eastAsia="sq-AL"/>
              </w:rPr>
              <w:t> </w:t>
            </w:r>
          </w:p>
        </w:tc>
      </w:tr>
      <w:tr w:rsidR="00E10FA6" w:rsidRPr="009F02F5" w14:paraId="1BADD570" w14:textId="77777777" w:rsidTr="00E10FA6">
        <w:trPr>
          <w:trHeight w:val="180"/>
        </w:trPr>
        <w:tc>
          <w:tcPr>
            <w:tcW w:w="316" w:type="dxa"/>
            <w:tcBorders>
              <w:top w:val="nil"/>
              <w:left w:val="nil"/>
              <w:bottom w:val="nil"/>
              <w:right w:val="nil"/>
            </w:tcBorders>
            <w:shd w:val="clear" w:color="auto" w:fill="auto"/>
            <w:noWrap/>
            <w:vAlign w:val="center"/>
            <w:hideMark/>
          </w:tcPr>
          <w:p w14:paraId="1BADD54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8" w:type="dxa"/>
            <w:tcBorders>
              <w:top w:val="nil"/>
              <w:left w:val="nil"/>
              <w:bottom w:val="nil"/>
              <w:right w:val="nil"/>
            </w:tcBorders>
            <w:shd w:val="clear" w:color="auto" w:fill="auto"/>
            <w:noWrap/>
            <w:vAlign w:val="center"/>
            <w:hideMark/>
          </w:tcPr>
          <w:p w14:paraId="1BADD54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4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4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4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4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4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4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4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4D"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4E"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4F"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50"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5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5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5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5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5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5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5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5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5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5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5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5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5D"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5E"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2" w:type="dxa"/>
            <w:tcBorders>
              <w:top w:val="nil"/>
              <w:left w:val="nil"/>
              <w:bottom w:val="nil"/>
              <w:right w:val="nil"/>
            </w:tcBorders>
            <w:shd w:val="clear" w:color="auto" w:fill="auto"/>
            <w:noWrap/>
            <w:vAlign w:val="center"/>
            <w:hideMark/>
          </w:tcPr>
          <w:p w14:paraId="1BADD55F"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60"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6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6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6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6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2" w:type="dxa"/>
            <w:tcBorders>
              <w:top w:val="nil"/>
              <w:left w:val="nil"/>
              <w:bottom w:val="nil"/>
              <w:right w:val="nil"/>
            </w:tcBorders>
            <w:shd w:val="clear" w:color="auto" w:fill="auto"/>
            <w:noWrap/>
            <w:vAlign w:val="center"/>
            <w:hideMark/>
          </w:tcPr>
          <w:p w14:paraId="1BADD56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6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99" w:type="dxa"/>
            <w:tcBorders>
              <w:top w:val="nil"/>
              <w:left w:val="nil"/>
              <w:bottom w:val="nil"/>
              <w:right w:val="nil"/>
            </w:tcBorders>
            <w:shd w:val="clear" w:color="auto" w:fill="auto"/>
            <w:noWrap/>
            <w:vAlign w:val="center"/>
            <w:hideMark/>
          </w:tcPr>
          <w:p w14:paraId="1BADD56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433" w:type="dxa"/>
            <w:tcBorders>
              <w:top w:val="nil"/>
              <w:left w:val="nil"/>
              <w:bottom w:val="nil"/>
              <w:right w:val="nil"/>
            </w:tcBorders>
            <w:shd w:val="clear" w:color="auto" w:fill="auto"/>
            <w:noWrap/>
            <w:vAlign w:val="center"/>
            <w:hideMark/>
          </w:tcPr>
          <w:p w14:paraId="1BADD56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9" w:type="dxa"/>
            <w:tcBorders>
              <w:top w:val="nil"/>
              <w:left w:val="nil"/>
              <w:bottom w:val="nil"/>
              <w:right w:val="nil"/>
            </w:tcBorders>
            <w:shd w:val="clear" w:color="auto" w:fill="auto"/>
            <w:noWrap/>
            <w:vAlign w:val="center"/>
            <w:hideMark/>
          </w:tcPr>
          <w:p w14:paraId="1BADD56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01" w:type="dxa"/>
            <w:tcBorders>
              <w:top w:val="nil"/>
              <w:left w:val="nil"/>
              <w:bottom w:val="nil"/>
              <w:right w:val="nil"/>
            </w:tcBorders>
            <w:shd w:val="clear" w:color="auto" w:fill="auto"/>
            <w:noWrap/>
            <w:vAlign w:val="center"/>
            <w:hideMark/>
          </w:tcPr>
          <w:p w14:paraId="1BADD56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71" w:type="dxa"/>
            <w:tcBorders>
              <w:top w:val="nil"/>
              <w:left w:val="nil"/>
              <w:bottom w:val="nil"/>
              <w:right w:val="nil"/>
            </w:tcBorders>
            <w:shd w:val="clear" w:color="auto" w:fill="auto"/>
            <w:noWrap/>
            <w:vAlign w:val="center"/>
            <w:hideMark/>
          </w:tcPr>
          <w:p w14:paraId="1BADD56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6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2" w:type="dxa"/>
            <w:tcBorders>
              <w:top w:val="nil"/>
              <w:left w:val="nil"/>
              <w:bottom w:val="nil"/>
              <w:right w:val="nil"/>
            </w:tcBorders>
            <w:shd w:val="clear" w:color="auto" w:fill="auto"/>
            <w:noWrap/>
            <w:vAlign w:val="center"/>
            <w:hideMark/>
          </w:tcPr>
          <w:p w14:paraId="1BADD56D"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6E"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6F"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r>
      <w:tr w:rsidR="00E10FA6" w:rsidRPr="009F02F5" w14:paraId="1BADD59D" w14:textId="77777777" w:rsidTr="00E10FA6">
        <w:trPr>
          <w:trHeight w:val="180"/>
        </w:trPr>
        <w:tc>
          <w:tcPr>
            <w:tcW w:w="316" w:type="dxa"/>
            <w:tcBorders>
              <w:top w:val="nil"/>
              <w:left w:val="nil"/>
              <w:bottom w:val="nil"/>
              <w:right w:val="nil"/>
            </w:tcBorders>
            <w:shd w:val="clear" w:color="auto" w:fill="auto"/>
            <w:noWrap/>
            <w:vAlign w:val="center"/>
            <w:hideMark/>
          </w:tcPr>
          <w:p w14:paraId="1BADD57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8" w:type="dxa"/>
            <w:tcBorders>
              <w:top w:val="nil"/>
              <w:left w:val="nil"/>
              <w:bottom w:val="nil"/>
              <w:right w:val="nil"/>
            </w:tcBorders>
            <w:shd w:val="clear" w:color="auto" w:fill="auto"/>
            <w:noWrap/>
            <w:vAlign w:val="center"/>
            <w:hideMark/>
          </w:tcPr>
          <w:p w14:paraId="1BADD57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7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vAlign w:val="center"/>
            <w:hideMark/>
          </w:tcPr>
          <w:p w14:paraId="1BADD574" w14:textId="77777777" w:rsidR="00E10FA6" w:rsidRPr="009F02F5" w:rsidRDefault="00E10FA6" w:rsidP="00E10FA6">
            <w:pPr>
              <w:spacing w:after="0" w:line="240" w:lineRule="auto"/>
              <w:rPr>
                <w:rFonts w:ascii="Garamond" w:eastAsia="Times New Roman" w:hAnsi="Garamond" w:cs="Arial"/>
                <w:b/>
                <w:bCs/>
                <w:sz w:val="4"/>
                <w:szCs w:val="4"/>
                <w:lang w:eastAsia="sq-AL"/>
              </w:rPr>
            </w:pPr>
          </w:p>
        </w:tc>
        <w:tc>
          <w:tcPr>
            <w:tcW w:w="287" w:type="dxa"/>
            <w:tcBorders>
              <w:top w:val="nil"/>
              <w:left w:val="nil"/>
              <w:bottom w:val="nil"/>
              <w:right w:val="nil"/>
            </w:tcBorders>
            <w:shd w:val="clear" w:color="auto" w:fill="auto"/>
            <w:noWrap/>
            <w:vAlign w:val="center"/>
            <w:hideMark/>
          </w:tcPr>
          <w:p w14:paraId="1BADD57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7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7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7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7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7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7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7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7D"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7E"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7F"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80"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8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8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8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8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8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8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8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8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8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8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8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2" w:type="dxa"/>
            <w:tcBorders>
              <w:top w:val="nil"/>
              <w:left w:val="nil"/>
              <w:bottom w:val="nil"/>
              <w:right w:val="nil"/>
            </w:tcBorders>
            <w:shd w:val="clear" w:color="auto" w:fill="auto"/>
            <w:noWrap/>
            <w:vAlign w:val="center"/>
            <w:hideMark/>
          </w:tcPr>
          <w:p w14:paraId="1BADD58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8D"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8E"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8F"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90"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9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2" w:type="dxa"/>
            <w:tcBorders>
              <w:top w:val="nil"/>
              <w:left w:val="nil"/>
              <w:bottom w:val="nil"/>
              <w:right w:val="nil"/>
            </w:tcBorders>
            <w:shd w:val="clear" w:color="auto" w:fill="auto"/>
            <w:noWrap/>
            <w:vAlign w:val="center"/>
            <w:hideMark/>
          </w:tcPr>
          <w:p w14:paraId="1BADD59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9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99" w:type="dxa"/>
            <w:tcBorders>
              <w:top w:val="nil"/>
              <w:left w:val="nil"/>
              <w:bottom w:val="nil"/>
              <w:right w:val="nil"/>
            </w:tcBorders>
            <w:shd w:val="clear" w:color="auto" w:fill="auto"/>
            <w:noWrap/>
            <w:vAlign w:val="center"/>
            <w:hideMark/>
          </w:tcPr>
          <w:p w14:paraId="1BADD59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433" w:type="dxa"/>
            <w:tcBorders>
              <w:top w:val="nil"/>
              <w:left w:val="nil"/>
              <w:bottom w:val="nil"/>
              <w:right w:val="nil"/>
            </w:tcBorders>
            <w:shd w:val="clear" w:color="auto" w:fill="auto"/>
            <w:noWrap/>
            <w:vAlign w:val="center"/>
            <w:hideMark/>
          </w:tcPr>
          <w:p w14:paraId="1BADD59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9" w:type="dxa"/>
            <w:tcBorders>
              <w:top w:val="nil"/>
              <w:left w:val="nil"/>
              <w:bottom w:val="nil"/>
              <w:right w:val="nil"/>
            </w:tcBorders>
            <w:shd w:val="clear" w:color="auto" w:fill="auto"/>
            <w:noWrap/>
            <w:vAlign w:val="center"/>
            <w:hideMark/>
          </w:tcPr>
          <w:p w14:paraId="1BADD59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01" w:type="dxa"/>
            <w:tcBorders>
              <w:top w:val="nil"/>
              <w:left w:val="nil"/>
              <w:bottom w:val="nil"/>
              <w:right w:val="nil"/>
            </w:tcBorders>
            <w:shd w:val="clear" w:color="auto" w:fill="auto"/>
            <w:noWrap/>
            <w:vAlign w:val="center"/>
            <w:hideMark/>
          </w:tcPr>
          <w:p w14:paraId="1BADD59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71" w:type="dxa"/>
            <w:tcBorders>
              <w:top w:val="nil"/>
              <w:left w:val="nil"/>
              <w:bottom w:val="nil"/>
              <w:right w:val="nil"/>
            </w:tcBorders>
            <w:shd w:val="clear" w:color="auto" w:fill="auto"/>
            <w:noWrap/>
            <w:vAlign w:val="center"/>
            <w:hideMark/>
          </w:tcPr>
          <w:p w14:paraId="1BADD59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9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2" w:type="dxa"/>
            <w:tcBorders>
              <w:top w:val="nil"/>
              <w:left w:val="nil"/>
              <w:bottom w:val="nil"/>
              <w:right w:val="nil"/>
            </w:tcBorders>
            <w:shd w:val="clear" w:color="auto" w:fill="auto"/>
            <w:noWrap/>
            <w:vAlign w:val="center"/>
            <w:hideMark/>
          </w:tcPr>
          <w:p w14:paraId="1BADD59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9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9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r>
      <w:tr w:rsidR="00E10FA6" w:rsidRPr="009F02F5" w14:paraId="1BADD5C8" w14:textId="77777777" w:rsidTr="00E10FA6">
        <w:trPr>
          <w:trHeight w:val="180"/>
        </w:trPr>
        <w:tc>
          <w:tcPr>
            <w:tcW w:w="978" w:type="dxa"/>
            <w:gridSpan w:val="3"/>
            <w:tcBorders>
              <w:top w:val="nil"/>
              <w:left w:val="nil"/>
              <w:bottom w:val="nil"/>
              <w:right w:val="nil"/>
            </w:tcBorders>
            <w:shd w:val="clear" w:color="auto" w:fill="auto"/>
            <w:noWrap/>
            <w:vAlign w:val="center"/>
            <w:hideMark/>
          </w:tcPr>
          <w:p w14:paraId="1BADD59E" w14:textId="77777777" w:rsidR="00E10FA6" w:rsidRPr="009F02F5" w:rsidRDefault="00E10FA6" w:rsidP="00E10FA6">
            <w:pPr>
              <w:spacing w:after="0" w:line="240" w:lineRule="auto"/>
              <w:jc w:val="center"/>
              <w:rPr>
                <w:rFonts w:ascii="Garamond" w:eastAsia="Times New Roman" w:hAnsi="Garamond" w:cs="Arial"/>
                <w:sz w:val="4"/>
                <w:szCs w:val="4"/>
                <w:lang w:eastAsia="sq-AL"/>
              </w:rPr>
            </w:pPr>
            <w:r w:rsidRPr="009F02F5">
              <w:rPr>
                <w:rFonts w:ascii="Garamond" w:eastAsia="Times New Roman" w:hAnsi="Garamond" w:cs="Arial"/>
                <w:sz w:val="8"/>
                <w:szCs w:val="4"/>
                <w:lang w:eastAsia="sq-AL"/>
              </w:rPr>
              <w:t>(*) 15 Shkurt</w:t>
            </w:r>
          </w:p>
        </w:tc>
        <w:tc>
          <w:tcPr>
            <w:tcW w:w="314" w:type="dxa"/>
            <w:tcBorders>
              <w:top w:val="nil"/>
              <w:left w:val="nil"/>
              <w:bottom w:val="nil"/>
              <w:right w:val="nil"/>
            </w:tcBorders>
            <w:shd w:val="clear" w:color="auto" w:fill="auto"/>
            <w:vAlign w:val="center"/>
            <w:hideMark/>
          </w:tcPr>
          <w:p w14:paraId="1BADD59F" w14:textId="77777777" w:rsidR="00E10FA6" w:rsidRPr="009F02F5" w:rsidRDefault="00E10FA6" w:rsidP="00E10FA6">
            <w:pPr>
              <w:spacing w:after="0" w:line="240" w:lineRule="auto"/>
              <w:rPr>
                <w:rFonts w:ascii="Garamond" w:eastAsia="Times New Roman" w:hAnsi="Garamond" w:cs="Arial"/>
                <w:b/>
                <w:bCs/>
                <w:sz w:val="4"/>
                <w:szCs w:val="4"/>
                <w:lang w:eastAsia="sq-AL"/>
              </w:rPr>
            </w:pPr>
          </w:p>
        </w:tc>
        <w:tc>
          <w:tcPr>
            <w:tcW w:w="287" w:type="dxa"/>
            <w:tcBorders>
              <w:top w:val="nil"/>
              <w:left w:val="nil"/>
              <w:bottom w:val="nil"/>
              <w:right w:val="nil"/>
            </w:tcBorders>
            <w:shd w:val="clear" w:color="auto" w:fill="auto"/>
            <w:noWrap/>
            <w:vAlign w:val="center"/>
            <w:hideMark/>
          </w:tcPr>
          <w:p w14:paraId="1BADD5A0"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A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A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A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A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A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A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A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A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A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A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A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A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AD"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AE"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AF"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B0"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0" w:type="dxa"/>
            <w:tcBorders>
              <w:top w:val="nil"/>
              <w:left w:val="nil"/>
              <w:bottom w:val="nil"/>
              <w:right w:val="nil"/>
            </w:tcBorders>
            <w:shd w:val="clear" w:color="auto" w:fill="auto"/>
            <w:noWrap/>
            <w:vAlign w:val="center"/>
            <w:hideMark/>
          </w:tcPr>
          <w:p w14:paraId="1BADD5B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B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B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B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B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B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2" w:type="dxa"/>
            <w:tcBorders>
              <w:top w:val="nil"/>
              <w:left w:val="nil"/>
              <w:bottom w:val="nil"/>
              <w:right w:val="nil"/>
            </w:tcBorders>
            <w:shd w:val="clear" w:color="auto" w:fill="auto"/>
            <w:noWrap/>
            <w:vAlign w:val="center"/>
            <w:hideMark/>
          </w:tcPr>
          <w:p w14:paraId="1BADD5B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B8"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B9"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BA"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87" w:type="dxa"/>
            <w:tcBorders>
              <w:top w:val="nil"/>
              <w:left w:val="nil"/>
              <w:bottom w:val="nil"/>
              <w:right w:val="nil"/>
            </w:tcBorders>
            <w:shd w:val="clear" w:color="auto" w:fill="auto"/>
            <w:noWrap/>
            <w:vAlign w:val="center"/>
            <w:hideMark/>
          </w:tcPr>
          <w:p w14:paraId="1BADD5BB"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BC"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2" w:type="dxa"/>
            <w:tcBorders>
              <w:top w:val="nil"/>
              <w:left w:val="nil"/>
              <w:bottom w:val="nil"/>
              <w:right w:val="nil"/>
            </w:tcBorders>
            <w:shd w:val="clear" w:color="auto" w:fill="auto"/>
            <w:noWrap/>
            <w:vAlign w:val="center"/>
            <w:hideMark/>
          </w:tcPr>
          <w:p w14:paraId="1BADD5BD"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40" w:type="dxa"/>
            <w:tcBorders>
              <w:top w:val="nil"/>
              <w:left w:val="nil"/>
              <w:bottom w:val="nil"/>
              <w:right w:val="nil"/>
            </w:tcBorders>
            <w:shd w:val="clear" w:color="auto" w:fill="auto"/>
            <w:noWrap/>
            <w:vAlign w:val="center"/>
            <w:hideMark/>
          </w:tcPr>
          <w:p w14:paraId="1BADD5BE"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99" w:type="dxa"/>
            <w:tcBorders>
              <w:top w:val="nil"/>
              <w:left w:val="nil"/>
              <w:bottom w:val="nil"/>
              <w:right w:val="nil"/>
            </w:tcBorders>
            <w:shd w:val="clear" w:color="auto" w:fill="auto"/>
            <w:noWrap/>
            <w:vAlign w:val="center"/>
            <w:hideMark/>
          </w:tcPr>
          <w:p w14:paraId="1BADD5BF"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433" w:type="dxa"/>
            <w:tcBorders>
              <w:top w:val="nil"/>
              <w:left w:val="nil"/>
              <w:bottom w:val="nil"/>
              <w:right w:val="nil"/>
            </w:tcBorders>
            <w:shd w:val="clear" w:color="auto" w:fill="auto"/>
            <w:noWrap/>
            <w:vAlign w:val="center"/>
            <w:hideMark/>
          </w:tcPr>
          <w:p w14:paraId="1BADD5C0"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9" w:type="dxa"/>
            <w:tcBorders>
              <w:top w:val="nil"/>
              <w:left w:val="nil"/>
              <w:bottom w:val="nil"/>
              <w:right w:val="nil"/>
            </w:tcBorders>
            <w:shd w:val="clear" w:color="auto" w:fill="auto"/>
            <w:noWrap/>
            <w:vAlign w:val="center"/>
            <w:hideMark/>
          </w:tcPr>
          <w:p w14:paraId="1BADD5C1"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01" w:type="dxa"/>
            <w:tcBorders>
              <w:top w:val="nil"/>
              <w:left w:val="nil"/>
              <w:bottom w:val="nil"/>
              <w:right w:val="nil"/>
            </w:tcBorders>
            <w:shd w:val="clear" w:color="auto" w:fill="auto"/>
            <w:noWrap/>
            <w:vAlign w:val="center"/>
            <w:hideMark/>
          </w:tcPr>
          <w:p w14:paraId="1BADD5C2"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271" w:type="dxa"/>
            <w:tcBorders>
              <w:top w:val="nil"/>
              <w:left w:val="nil"/>
              <w:bottom w:val="nil"/>
              <w:right w:val="nil"/>
            </w:tcBorders>
            <w:shd w:val="clear" w:color="auto" w:fill="auto"/>
            <w:noWrap/>
            <w:vAlign w:val="center"/>
            <w:hideMark/>
          </w:tcPr>
          <w:p w14:paraId="1BADD5C3"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C4"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32" w:type="dxa"/>
            <w:tcBorders>
              <w:top w:val="nil"/>
              <w:left w:val="nil"/>
              <w:bottom w:val="nil"/>
              <w:right w:val="nil"/>
            </w:tcBorders>
            <w:shd w:val="clear" w:color="auto" w:fill="auto"/>
            <w:noWrap/>
            <w:vAlign w:val="center"/>
            <w:hideMark/>
          </w:tcPr>
          <w:p w14:paraId="1BADD5C5"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14" w:type="dxa"/>
            <w:tcBorders>
              <w:top w:val="nil"/>
              <w:left w:val="nil"/>
              <w:bottom w:val="nil"/>
              <w:right w:val="nil"/>
            </w:tcBorders>
            <w:shd w:val="clear" w:color="auto" w:fill="auto"/>
            <w:noWrap/>
            <w:vAlign w:val="center"/>
            <w:hideMark/>
          </w:tcPr>
          <w:p w14:paraId="1BADD5C6"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c>
          <w:tcPr>
            <w:tcW w:w="328" w:type="dxa"/>
            <w:tcBorders>
              <w:top w:val="nil"/>
              <w:left w:val="nil"/>
              <w:bottom w:val="nil"/>
              <w:right w:val="nil"/>
            </w:tcBorders>
            <w:shd w:val="clear" w:color="auto" w:fill="auto"/>
            <w:noWrap/>
            <w:vAlign w:val="center"/>
            <w:hideMark/>
          </w:tcPr>
          <w:p w14:paraId="1BADD5C7" w14:textId="77777777" w:rsidR="00E10FA6" w:rsidRPr="009F02F5" w:rsidRDefault="00E10FA6" w:rsidP="00E10FA6">
            <w:pPr>
              <w:spacing w:after="0" w:line="240" w:lineRule="auto"/>
              <w:jc w:val="center"/>
              <w:rPr>
                <w:rFonts w:ascii="Garamond" w:eastAsia="Times New Roman" w:hAnsi="Garamond" w:cs="Arial"/>
                <w:sz w:val="4"/>
                <w:szCs w:val="4"/>
                <w:lang w:eastAsia="sq-AL"/>
              </w:rPr>
            </w:pPr>
          </w:p>
        </w:tc>
      </w:tr>
    </w:tbl>
    <w:p w14:paraId="1BADD5C9" w14:textId="77777777" w:rsidR="00E10FA6" w:rsidRPr="00551729" w:rsidRDefault="00E10FA6" w:rsidP="00E10FA6">
      <w:pPr>
        <w:pStyle w:val="TEKSTIII"/>
        <w:ind w:firstLine="0"/>
        <w:jc w:val="center"/>
        <w:rPr>
          <w:b/>
        </w:rPr>
      </w:pPr>
    </w:p>
    <w:p w14:paraId="1BADD5CC" w14:textId="77777777" w:rsidR="003F17B7" w:rsidRPr="00551729" w:rsidRDefault="003F17B7" w:rsidP="00E10FA6">
      <w:pPr>
        <w:pStyle w:val="TEKSTIII"/>
        <w:ind w:firstLine="0"/>
        <w:jc w:val="center"/>
        <w:rPr>
          <w:b/>
        </w:rPr>
      </w:pPr>
    </w:p>
    <w:p w14:paraId="1BADD5CD" w14:textId="77777777" w:rsidR="003F17B7" w:rsidRPr="00551729" w:rsidRDefault="003F17B7" w:rsidP="00E10FA6">
      <w:pPr>
        <w:pStyle w:val="TEKSTIII"/>
        <w:ind w:firstLine="0"/>
        <w:jc w:val="center"/>
        <w:rPr>
          <w:b/>
        </w:rPr>
      </w:pPr>
    </w:p>
    <w:tbl>
      <w:tblPr>
        <w:tblW w:w="5000" w:type="pct"/>
        <w:tblLook w:val="04A0" w:firstRow="1" w:lastRow="0" w:firstColumn="1" w:lastColumn="0" w:noHBand="0" w:noVBand="1"/>
      </w:tblPr>
      <w:tblGrid>
        <w:gridCol w:w="3347"/>
        <w:gridCol w:w="2925"/>
        <w:gridCol w:w="672"/>
        <w:gridCol w:w="712"/>
        <w:gridCol w:w="730"/>
        <w:gridCol w:w="735"/>
        <w:gridCol w:w="735"/>
        <w:gridCol w:w="713"/>
        <w:gridCol w:w="741"/>
        <w:gridCol w:w="543"/>
        <w:gridCol w:w="672"/>
        <w:gridCol w:w="837"/>
        <w:gridCol w:w="812"/>
      </w:tblGrid>
      <w:tr w:rsidR="008B1278" w:rsidRPr="009F02F5" w14:paraId="1BADD5DA" w14:textId="77777777" w:rsidTr="008B1278">
        <w:trPr>
          <w:trHeight w:val="180"/>
        </w:trPr>
        <w:tc>
          <w:tcPr>
            <w:tcW w:w="5000" w:type="pct"/>
            <w:gridSpan w:val="13"/>
            <w:tcBorders>
              <w:top w:val="nil"/>
              <w:left w:val="nil"/>
              <w:bottom w:val="nil"/>
              <w:right w:val="nil"/>
            </w:tcBorders>
            <w:shd w:val="clear" w:color="auto" w:fill="auto"/>
            <w:noWrap/>
            <w:vAlign w:val="center"/>
            <w:hideMark/>
          </w:tcPr>
          <w:p w14:paraId="7FC41ED5" w14:textId="3C683536" w:rsidR="008B1278" w:rsidRPr="008B1278" w:rsidRDefault="008B1278" w:rsidP="008B1278">
            <w:pPr>
              <w:spacing w:after="0" w:line="240" w:lineRule="auto"/>
              <w:jc w:val="center"/>
              <w:rPr>
                <w:rFonts w:ascii="Garamond" w:eastAsia="Times New Roman" w:hAnsi="Garamond" w:cs="Arial"/>
                <w:sz w:val="24"/>
                <w:szCs w:val="24"/>
                <w:lang w:eastAsia="sq-AL"/>
              </w:rPr>
            </w:pPr>
            <w:r w:rsidRPr="008B1278">
              <w:rPr>
                <w:rFonts w:ascii="Garamond" w:eastAsia="Times New Roman" w:hAnsi="Garamond" w:cs="Arial"/>
                <w:sz w:val="24"/>
                <w:szCs w:val="24"/>
                <w:lang w:eastAsia="sq-AL"/>
              </w:rPr>
              <w:t>SHTOJCA IV(</w:t>
            </w:r>
            <w:r>
              <w:rPr>
                <w:rFonts w:ascii="Garamond" w:eastAsia="Times New Roman" w:hAnsi="Garamond" w:cs="Arial"/>
                <w:sz w:val="24"/>
                <w:szCs w:val="24"/>
                <w:lang w:eastAsia="sq-AL"/>
              </w:rPr>
              <w:t>b</w:t>
            </w:r>
            <w:r w:rsidRPr="008B1278">
              <w:rPr>
                <w:rFonts w:ascii="Garamond" w:eastAsia="Times New Roman" w:hAnsi="Garamond" w:cs="Arial"/>
                <w:sz w:val="24"/>
                <w:szCs w:val="24"/>
                <w:lang w:eastAsia="sq-AL"/>
              </w:rPr>
              <w:t>)</w:t>
            </w:r>
          </w:p>
          <w:p w14:paraId="1BADD5D9" w14:textId="21DFCF1C" w:rsidR="008B1278" w:rsidRPr="009F02F5" w:rsidRDefault="008B1278" w:rsidP="003F17B7">
            <w:pPr>
              <w:spacing w:after="0" w:line="240" w:lineRule="auto"/>
              <w:jc w:val="center"/>
              <w:rPr>
                <w:rFonts w:ascii="Garamond" w:eastAsia="Times New Roman" w:hAnsi="Garamond" w:cs="Arial"/>
                <w:sz w:val="10"/>
                <w:szCs w:val="10"/>
                <w:lang w:eastAsia="sq-AL"/>
              </w:rPr>
            </w:pPr>
            <w:r w:rsidRPr="008B1278">
              <w:rPr>
                <w:rFonts w:ascii="Garamond" w:eastAsia="Times New Roman" w:hAnsi="Garamond" w:cs="Arial"/>
                <w:sz w:val="24"/>
                <w:szCs w:val="24"/>
                <w:lang w:eastAsia="sq-AL"/>
              </w:rPr>
              <w:t>RAPORTIMI VJETOR FINANCIAR – KONTRIBUTI I BE PËR PROGRAMIN</w:t>
            </w:r>
          </w:p>
        </w:tc>
      </w:tr>
      <w:tr w:rsidR="008B1278" w:rsidRPr="009F02F5" w14:paraId="1BADD5DD" w14:textId="77777777" w:rsidTr="008B1278">
        <w:trPr>
          <w:trHeight w:val="180"/>
        </w:trPr>
        <w:tc>
          <w:tcPr>
            <w:tcW w:w="5000" w:type="pct"/>
            <w:gridSpan w:val="13"/>
            <w:tcBorders>
              <w:top w:val="nil"/>
              <w:left w:val="nil"/>
              <w:bottom w:val="nil"/>
              <w:right w:val="nil"/>
            </w:tcBorders>
            <w:shd w:val="clear" w:color="auto" w:fill="auto"/>
            <w:noWrap/>
            <w:vAlign w:val="center"/>
            <w:hideMark/>
          </w:tcPr>
          <w:p w14:paraId="1BADD5DC" w14:textId="77777777" w:rsidR="008B1278" w:rsidRPr="008B1278" w:rsidRDefault="008B1278" w:rsidP="008B1278">
            <w:pPr>
              <w:spacing w:after="0" w:line="240" w:lineRule="auto"/>
              <w:jc w:val="center"/>
              <w:rPr>
                <w:rFonts w:ascii="Garamond" w:eastAsia="Times New Roman" w:hAnsi="Garamond" w:cs="Arial"/>
                <w:b/>
                <w:bCs/>
                <w:sz w:val="24"/>
                <w:szCs w:val="24"/>
                <w:lang w:eastAsia="sq-AL"/>
              </w:rPr>
            </w:pPr>
            <w:r w:rsidRPr="008B1278">
              <w:rPr>
                <w:rFonts w:ascii="Garamond" w:eastAsia="Times New Roman" w:hAnsi="Garamond" w:cs="Arial"/>
                <w:b/>
                <w:bCs/>
                <w:sz w:val="24"/>
                <w:szCs w:val="24"/>
                <w:lang w:eastAsia="sq-AL"/>
              </w:rPr>
              <w:t>Raporti Financiar i vendit përfitues IPA II (*)</w:t>
            </w:r>
          </w:p>
        </w:tc>
      </w:tr>
      <w:tr w:rsidR="003F17B7" w:rsidRPr="009F02F5" w14:paraId="1BADD5EB" w14:textId="77777777" w:rsidTr="008B1278">
        <w:trPr>
          <w:trHeight w:val="180"/>
        </w:trPr>
        <w:tc>
          <w:tcPr>
            <w:tcW w:w="1181" w:type="pct"/>
            <w:tcBorders>
              <w:top w:val="nil"/>
              <w:left w:val="nil"/>
              <w:bottom w:val="nil"/>
              <w:right w:val="nil"/>
            </w:tcBorders>
            <w:shd w:val="clear" w:color="auto" w:fill="auto"/>
            <w:noWrap/>
            <w:vAlign w:val="center"/>
            <w:hideMark/>
          </w:tcPr>
          <w:p w14:paraId="1BADD5DE"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1032" w:type="pct"/>
            <w:tcBorders>
              <w:top w:val="nil"/>
              <w:left w:val="nil"/>
              <w:bottom w:val="nil"/>
              <w:right w:val="nil"/>
            </w:tcBorders>
            <w:shd w:val="clear" w:color="auto" w:fill="auto"/>
            <w:noWrap/>
            <w:vAlign w:val="center"/>
            <w:hideMark/>
          </w:tcPr>
          <w:p w14:paraId="1BADD5DF"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5E0"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1" w:type="pct"/>
            <w:tcBorders>
              <w:top w:val="nil"/>
              <w:left w:val="nil"/>
              <w:bottom w:val="nil"/>
              <w:right w:val="nil"/>
            </w:tcBorders>
            <w:shd w:val="clear" w:color="auto" w:fill="auto"/>
            <w:noWrap/>
            <w:vAlign w:val="center"/>
            <w:hideMark/>
          </w:tcPr>
          <w:p w14:paraId="1BADD5E1"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8" w:type="pct"/>
            <w:tcBorders>
              <w:top w:val="nil"/>
              <w:left w:val="nil"/>
              <w:bottom w:val="nil"/>
              <w:right w:val="nil"/>
            </w:tcBorders>
            <w:shd w:val="clear" w:color="auto" w:fill="auto"/>
            <w:noWrap/>
            <w:vAlign w:val="center"/>
            <w:hideMark/>
          </w:tcPr>
          <w:p w14:paraId="1BADD5E2"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5E3"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5E4"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2" w:type="pct"/>
            <w:tcBorders>
              <w:top w:val="nil"/>
              <w:left w:val="nil"/>
              <w:bottom w:val="nil"/>
              <w:right w:val="nil"/>
            </w:tcBorders>
            <w:shd w:val="clear" w:color="auto" w:fill="auto"/>
            <w:noWrap/>
            <w:vAlign w:val="center"/>
            <w:hideMark/>
          </w:tcPr>
          <w:p w14:paraId="1BADD5E5"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61" w:type="pct"/>
            <w:tcBorders>
              <w:top w:val="nil"/>
              <w:left w:val="nil"/>
              <w:bottom w:val="nil"/>
              <w:right w:val="nil"/>
            </w:tcBorders>
            <w:shd w:val="clear" w:color="auto" w:fill="auto"/>
            <w:noWrap/>
            <w:vAlign w:val="center"/>
            <w:hideMark/>
          </w:tcPr>
          <w:p w14:paraId="1BADD5E6"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192" w:type="pct"/>
            <w:tcBorders>
              <w:top w:val="nil"/>
              <w:left w:val="nil"/>
              <w:bottom w:val="nil"/>
              <w:right w:val="nil"/>
            </w:tcBorders>
            <w:shd w:val="clear" w:color="auto" w:fill="auto"/>
            <w:noWrap/>
            <w:vAlign w:val="center"/>
            <w:hideMark/>
          </w:tcPr>
          <w:p w14:paraId="1BADD5E7"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5E8"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95" w:type="pct"/>
            <w:tcBorders>
              <w:top w:val="nil"/>
              <w:left w:val="nil"/>
              <w:bottom w:val="nil"/>
              <w:right w:val="nil"/>
            </w:tcBorders>
            <w:shd w:val="clear" w:color="auto" w:fill="auto"/>
            <w:noWrap/>
            <w:vAlign w:val="center"/>
            <w:hideMark/>
          </w:tcPr>
          <w:p w14:paraId="1BADD5E9"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86" w:type="pct"/>
            <w:tcBorders>
              <w:top w:val="nil"/>
              <w:left w:val="nil"/>
              <w:bottom w:val="nil"/>
              <w:right w:val="nil"/>
            </w:tcBorders>
            <w:shd w:val="clear" w:color="auto" w:fill="auto"/>
            <w:noWrap/>
            <w:vAlign w:val="center"/>
            <w:hideMark/>
          </w:tcPr>
          <w:p w14:paraId="1BADD5EA"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r>
      <w:tr w:rsidR="003F17B7" w:rsidRPr="009F02F5" w14:paraId="1BADD5F0" w14:textId="77777777" w:rsidTr="008B1278">
        <w:trPr>
          <w:trHeight w:val="180"/>
        </w:trPr>
        <w:tc>
          <w:tcPr>
            <w:tcW w:w="11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5EC"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Referenca e Programit</w:t>
            </w:r>
          </w:p>
        </w:tc>
        <w:tc>
          <w:tcPr>
            <w:tcW w:w="10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5ED"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xml:space="preserve">Numri i kontratës së Marrëveshjes së Financimit </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5EE"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Buxheti i kontributit të BE për Programin</w:t>
            </w:r>
          </w:p>
        </w:tc>
        <w:tc>
          <w:tcPr>
            <w:tcW w:w="2550" w:type="pct"/>
            <w:gridSpan w:val="10"/>
            <w:tcBorders>
              <w:top w:val="single" w:sz="4" w:space="0" w:color="auto"/>
              <w:left w:val="nil"/>
              <w:bottom w:val="single" w:sz="4" w:space="0" w:color="auto"/>
              <w:right w:val="single" w:sz="4" w:space="0" w:color="auto"/>
            </w:tcBorders>
            <w:shd w:val="clear" w:color="auto" w:fill="auto"/>
            <w:vAlign w:val="center"/>
            <w:hideMark/>
          </w:tcPr>
          <w:p w14:paraId="1BADD5EF"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Aktivitetet e kontratave lokale</w:t>
            </w:r>
          </w:p>
        </w:tc>
      </w:tr>
      <w:tr w:rsidR="003F17B7" w:rsidRPr="009F02F5" w14:paraId="1BADD5FE" w14:textId="77777777" w:rsidTr="008B1278">
        <w:trPr>
          <w:trHeight w:val="180"/>
        </w:trPr>
        <w:tc>
          <w:tcPr>
            <w:tcW w:w="1181" w:type="pct"/>
            <w:vMerge/>
            <w:tcBorders>
              <w:top w:val="single" w:sz="4" w:space="0" w:color="auto"/>
              <w:left w:val="single" w:sz="4" w:space="0" w:color="auto"/>
              <w:bottom w:val="single" w:sz="4" w:space="0" w:color="auto"/>
              <w:right w:val="single" w:sz="4" w:space="0" w:color="auto"/>
            </w:tcBorders>
            <w:vAlign w:val="center"/>
            <w:hideMark/>
          </w:tcPr>
          <w:p w14:paraId="1BADD5F1" w14:textId="77777777" w:rsidR="003F17B7" w:rsidRPr="009F02F5" w:rsidRDefault="003F17B7" w:rsidP="003F17B7">
            <w:pPr>
              <w:spacing w:after="0" w:line="240" w:lineRule="auto"/>
              <w:rPr>
                <w:rFonts w:ascii="Garamond" w:eastAsia="Times New Roman" w:hAnsi="Garamond" w:cs="Arial"/>
                <w:b/>
                <w:bCs/>
                <w:sz w:val="10"/>
                <w:szCs w:val="10"/>
                <w:lang w:eastAsia="sq-AL"/>
              </w:rPr>
            </w:pPr>
          </w:p>
        </w:tc>
        <w:tc>
          <w:tcPr>
            <w:tcW w:w="1032" w:type="pct"/>
            <w:vMerge/>
            <w:tcBorders>
              <w:top w:val="single" w:sz="4" w:space="0" w:color="auto"/>
              <w:left w:val="single" w:sz="4" w:space="0" w:color="auto"/>
              <w:bottom w:val="single" w:sz="4" w:space="0" w:color="auto"/>
              <w:right w:val="single" w:sz="4" w:space="0" w:color="auto"/>
            </w:tcBorders>
            <w:vAlign w:val="center"/>
            <w:hideMark/>
          </w:tcPr>
          <w:p w14:paraId="1BADD5F2" w14:textId="77777777" w:rsidR="003F17B7" w:rsidRPr="009F02F5" w:rsidRDefault="003F17B7" w:rsidP="003F17B7">
            <w:pPr>
              <w:spacing w:after="0" w:line="240" w:lineRule="auto"/>
              <w:rPr>
                <w:rFonts w:ascii="Garamond" w:eastAsia="Times New Roman" w:hAnsi="Garamond" w:cs="Arial"/>
                <w:b/>
                <w:bCs/>
                <w:sz w:val="10"/>
                <w:szCs w:val="10"/>
                <w:lang w:eastAsia="sq-AL"/>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14:paraId="1BADD5F3" w14:textId="77777777" w:rsidR="003F17B7" w:rsidRPr="009F02F5" w:rsidRDefault="003F17B7" w:rsidP="003F17B7">
            <w:pPr>
              <w:spacing w:after="0" w:line="240" w:lineRule="auto"/>
              <w:rPr>
                <w:rFonts w:ascii="Garamond" w:eastAsia="Times New Roman" w:hAnsi="Garamond" w:cs="Arial"/>
                <w:b/>
                <w:bCs/>
                <w:sz w:val="10"/>
                <w:szCs w:val="10"/>
                <w:lang w:eastAsia="sq-AL"/>
              </w:rPr>
            </w:pPr>
          </w:p>
        </w:tc>
        <w:tc>
          <w:tcPr>
            <w:tcW w:w="251" w:type="pct"/>
            <w:tcBorders>
              <w:top w:val="nil"/>
              <w:left w:val="nil"/>
              <w:bottom w:val="single" w:sz="4" w:space="0" w:color="auto"/>
              <w:right w:val="single" w:sz="4" w:space="0" w:color="auto"/>
            </w:tcBorders>
            <w:shd w:val="clear" w:color="auto" w:fill="auto"/>
            <w:vAlign w:val="center"/>
            <w:hideMark/>
          </w:tcPr>
          <w:p w14:paraId="1BADD5F4"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Totali I shumës së kontraktuar</w:t>
            </w:r>
          </w:p>
        </w:tc>
        <w:tc>
          <w:tcPr>
            <w:tcW w:w="258" w:type="pct"/>
            <w:tcBorders>
              <w:top w:val="nil"/>
              <w:left w:val="nil"/>
              <w:bottom w:val="single" w:sz="4" w:space="0" w:color="auto"/>
              <w:right w:val="single" w:sz="4" w:space="0" w:color="auto"/>
            </w:tcBorders>
            <w:shd w:val="clear" w:color="auto" w:fill="auto"/>
            <w:vAlign w:val="center"/>
            <w:hideMark/>
          </w:tcPr>
          <w:p w14:paraId="1BADD5F5"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Kontraktimi në %</w:t>
            </w:r>
          </w:p>
        </w:tc>
        <w:tc>
          <w:tcPr>
            <w:tcW w:w="259" w:type="pct"/>
            <w:tcBorders>
              <w:top w:val="nil"/>
              <w:left w:val="nil"/>
              <w:bottom w:val="single" w:sz="4" w:space="0" w:color="auto"/>
              <w:right w:val="single" w:sz="4" w:space="0" w:color="auto"/>
            </w:tcBorders>
            <w:shd w:val="clear" w:color="auto" w:fill="auto"/>
            <w:vAlign w:val="center"/>
            <w:hideMark/>
          </w:tcPr>
          <w:p w14:paraId="1BADD5F6"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Shuma totale të fondeve të papërdorura në mbyllje</w:t>
            </w:r>
          </w:p>
        </w:tc>
        <w:tc>
          <w:tcPr>
            <w:tcW w:w="259" w:type="pct"/>
            <w:tcBorders>
              <w:top w:val="nil"/>
              <w:left w:val="nil"/>
              <w:bottom w:val="single" w:sz="4" w:space="0" w:color="auto"/>
              <w:right w:val="single" w:sz="4" w:space="0" w:color="auto"/>
            </w:tcBorders>
            <w:shd w:val="clear" w:color="auto" w:fill="auto"/>
            <w:vAlign w:val="center"/>
            <w:hideMark/>
          </w:tcPr>
          <w:p w14:paraId="1BADD5F7"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Fondet e papërdorura %</w:t>
            </w:r>
          </w:p>
        </w:tc>
        <w:tc>
          <w:tcPr>
            <w:tcW w:w="252" w:type="pct"/>
            <w:tcBorders>
              <w:top w:val="nil"/>
              <w:left w:val="nil"/>
              <w:bottom w:val="single" w:sz="4" w:space="0" w:color="auto"/>
              <w:right w:val="single" w:sz="4" w:space="0" w:color="auto"/>
            </w:tcBorders>
            <w:shd w:val="clear" w:color="auto" w:fill="auto"/>
            <w:vAlign w:val="center"/>
            <w:hideMark/>
          </w:tcPr>
          <w:p w14:paraId="1BADD5F8"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Totali I fondeve të disbursuara</w:t>
            </w:r>
          </w:p>
        </w:tc>
        <w:tc>
          <w:tcPr>
            <w:tcW w:w="261" w:type="pct"/>
            <w:tcBorders>
              <w:top w:val="nil"/>
              <w:left w:val="nil"/>
              <w:bottom w:val="single" w:sz="4" w:space="0" w:color="auto"/>
              <w:right w:val="single" w:sz="4" w:space="0" w:color="auto"/>
            </w:tcBorders>
            <w:shd w:val="clear" w:color="auto" w:fill="auto"/>
            <w:vAlign w:val="center"/>
            <w:hideMark/>
          </w:tcPr>
          <w:p w14:paraId="1BADD5F9"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Disbursimet %</w:t>
            </w:r>
          </w:p>
        </w:tc>
        <w:tc>
          <w:tcPr>
            <w:tcW w:w="192" w:type="pct"/>
            <w:tcBorders>
              <w:top w:val="nil"/>
              <w:left w:val="nil"/>
              <w:bottom w:val="single" w:sz="4" w:space="0" w:color="auto"/>
              <w:right w:val="single" w:sz="4" w:space="0" w:color="auto"/>
            </w:tcBorders>
            <w:shd w:val="clear" w:color="auto" w:fill="auto"/>
            <w:vAlign w:val="center"/>
            <w:hideMark/>
          </w:tcPr>
          <w:p w14:paraId="1BADD5FA"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Shuma e kostove të njohura</w:t>
            </w:r>
          </w:p>
        </w:tc>
        <w:tc>
          <w:tcPr>
            <w:tcW w:w="237" w:type="pct"/>
            <w:tcBorders>
              <w:top w:val="nil"/>
              <w:left w:val="nil"/>
              <w:bottom w:val="single" w:sz="4" w:space="0" w:color="auto"/>
              <w:right w:val="single" w:sz="4" w:space="0" w:color="auto"/>
            </w:tcBorders>
            <w:shd w:val="clear" w:color="auto" w:fill="auto"/>
            <w:vAlign w:val="center"/>
            <w:hideMark/>
          </w:tcPr>
          <w:p w14:paraId="1BADD5FB"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Kostot %</w:t>
            </w:r>
          </w:p>
        </w:tc>
        <w:tc>
          <w:tcPr>
            <w:tcW w:w="295" w:type="pct"/>
            <w:tcBorders>
              <w:top w:val="nil"/>
              <w:left w:val="nil"/>
              <w:bottom w:val="single" w:sz="4" w:space="0" w:color="auto"/>
              <w:right w:val="single" w:sz="4" w:space="0" w:color="auto"/>
            </w:tcBorders>
            <w:shd w:val="clear" w:color="auto" w:fill="auto"/>
            <w:vAlign w:val="center"/>
            <w:hideMark/>
          </w:tcPr>
          <w:p w14:paraId="1BADD5FC" w14:textId="3DD772D4"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xml:space="preserve">Shuma e </w:t>
            </w:r>
            <w:r w:rsidR="00B17AA1">
              <w:rPr>
                <w:rFonts w:ascii="Garamond" w:eastAsia="Times New Roman" w:hAnsi="Garamond" w:cs="Arial"/>
                <w:b/>
                <w:bCs/>
                <w:sz w:val="10"/>
                <w:szCs w:val="10"/>
                <w:lang w:eastAsia="sq-AL"/>
              </w:rPr>
              <w:t>para</w:t>
            </w:r>
            <w:r w:rsidRPr="009F02F5">
              <w:rPr>
                <w:rFonts w:ascii="Garamond" w:eastAsia="Times New Roman" w:hAnsi="Garamond" w:cs="Arial"/>
                <w:b/>
                <w:bCs/>
                <w:sz w:val="10"/>
                <w:szCs w:val="10"/>
                <w:lang w:eastAsia="sq-AL"/>
              </w:rPr>
              <w:t>financimit</w:t>
            </w:r>
          </w:p>
        </w:tc>
        <w:tc>
          <w:tcPr>
            <w:tcW w:w="286" w:type="pct"/>
            <w:tcBorders>
              <w:top w:val="nil"/>
              <w:left w:val="nil"/>
              <w:bottom w:val="single" w:sz="4" w:space="0" w:color="auto"/>
              <w:right w:val="single" w:sz="4" w:space="0" w:color="auto"/>
            </w:tcBorders>
            <w:shd w:val="clear" w:color="auto" w:fill="auto"/>
            <w:vAlign w:val="center"/>
            <w:hideMark/>
          </w:tcPr>
          <w:p w14:paraId="1BADD5FD" w14:textId="432CC21F" w:rsidR="003F17B7" w:rsidRPr="009F02F5" w:rsidRDefault="00B17AA1" w:rsidP="003F17B7">
            <w:pPr>
              <w:spacing w:after="0" w:line="240" w:lineRule="auto"/>
              <w:jc w:val="center"/>
              <w:rPr>
                <w:rFonts w:ascii="Garamond" w:eastAsia="Times New Roman" w:hAnsi="Garamond" w:cs="Arial"/>
                <w:b/>
                <w:bCs/>
                <w:sz w:val="10"/>
                <w:szCs w:val="10"/>
                <w:lang w:eastAsia="sq-AL"/>
              </w:rPr>
            </w:pPr>
            <w:r>
              <w:rPr>
                <w:rFonts w:ascii="Garamond" w:eastAsia="Times New Roman" w:hAnsi="Garamond" w:cs="Arial"/>
                <w:b/>
                <w:bCs/>
                <w:sz w:val="10"/>
                <w:szCs w:val="10"/>
                <w:lang w:eastAsia="sq-AL"/>
              </w:rPr>
              <w:t>Para</w:t>
            </w:r>
            <w:r w:rsidR="003F17B7" w:rsidRPr="009F02F5">
              <w:rPr>
                <w:rFonts w:ascii="Garamond" w:eastAsia="Times New Roman" w:hAnsi="Garamond" w:cs="Arial"/>
                <w:b/>
                <w:bCs/>
                <w:sz w:val="10"/>
                <w:szCs w:val="10"/>
                <w:lang w:eastAsia="sq-AL"/>
              </w:rPr>
              <w:t>financimi %</w:t>
            </w:r>
          </w:p>
        </w:tc>
      </w:tr>
      <w:tr w:rsidR="003F17B7" w:rsidRPr="009F02F5" w14:paraId="1BADD60C" w14:textId="77777777" w:rsidTr="008B1278">
        <w:trPr>
          <w:trHeight w:val="180"/>
        </w:trPr>
        <w:tc>
          <w:tcPr>
            <w:tcW w:w="1181" w:type="pct"/>
            <w:tcBorders>
              <w:top w:val="nil"/>
              <w:left w:val="single" w:sz="4" w:space="0" w:color="auto"/>
              <w:bottom w:val="single" w:sz="4" w:space="0" w:color="auto"/>
              <w:right w:val="single" w:sz="4" w:space="0" w:color="auto"/>
            </w:tcBorders>
            <w:shd w:val="clear" w:color="auto" w:fill="auto"/>
            <w:vAlign w:val="center"/>
            <w:hideMark/>
          </w:tcPr>
          <w:p w14:paraId="1BADD5FF"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1</w:t>
            </w:r>
          </w:p>
        </w:tc>
        <w:tc>
          <w:tcPr>
            <w:tcW w:w="1032" w:type="pct"/>
            <w:tcBorders>
              <w:top w:val="nil"/>
              <w:left w:val="nil"/>
              <w:bottom w:val="single" w:sz="4" w:space="0" w:color="auto"/>
              <w:right w:val="single" w:sz="4" w:space="0" w:color="auto"/>
            </w:tcBorders>
            <w:shd w:val="clear" w:color="auto" w:fill="auto"/>
            <w:vAlign w:val="center"/>
            <w:hideMark/>
          </w:tcPr>
          <w:p w14:paraId="1BADD600"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2</w:t>
            </w:r>
          </w:p>
        </w:tc>
        <w:tc>
          <w:tcPr>
            <w:tcW w:w="237" w:type="pct"/>
            <w:tcBorders>
              <w:top w:val="nil"/>
              <w:left w:val="nil"/>
              <w:bottom w:val="single" w:sz="4" w:space="0" w:color="auto"/>
              <w:right w:val="single" w:sz="4" w:space="0" w:color="auto"/>
            </w:tcBorders>
            <w:shd w:val="clear" w:color="auto" w:fill="auto"/>
            <w:vAlign w:val="center"/>
            <w:hideMark/>
          </w:tcPr>
          <w:p w14:paraId="1BADD601"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3</w:t>
            </w:r>
          </w:p>
        </w:tc>
        <w:tc>
          <w:tcPr>
            <w:tcW w:w="251" w:type="pct"/>
            <w:tcBorders>
              <w:top w:val="nil"/>
              <w:left w:val="nil"/>
              <w:bottom w:val="single" w:sz="4" w:space="0" w:color="auto"/>
              <w:right w:val="single" w:sz="4" w:space="0" w:color="auto"/>
            </w:tcBorders>
            <w:shd w:val="clear" w:color="auto" w:fill="auto"/>
            <w:vAlign w:val="center"/>
            <w:hideMark/>
          </w:tcPr>
          <w:p w14:paraId="1BADD602"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4</w:t>
            </w:r>
          </w:p>
        </w:tc>
        <w:tc>
          <w:tcPr>
            <w:tcW w:w="258" w:type="pct"/>
            <w:tcBorders>
              <w:top w:val="nil"/>
              <w:left w:val="nil"/>
              <w:bottom w:val="single" w:sz="4" w:space="0" w:color="auto"/>
              <w:right w:val="single" w:sz="4" w:space="0" w:color="auto"/>
            </w:tcBorders>
            <w:shd w:val="clear" w:color="auto" w:fill="auto"/>
            <w:vAlign w:val="center"/>
            <w:hideMark/>
          </w:tcPr>
          <w:p w14:paraId="1BADD603"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5</w:t>
            </w:r>
          </w:p>
        </w:tc>
        <w:tc>
          <w:tcPr>
            <w:tcW w:w="259" w:type="pct"/>
            <w:tcBorders>
              <w:top w:val="nil"/>
              <w:left w:val="nil"/>
              <w:bottom w:val="single" w:sz="4" w:space="0" w:color="auto"/>
              <w:right w:val="single" w:sz="4" w:space="0" w:color="auto"/>
            </w:tcBorders>
            <w:shd w:val="clear" w:color="auto" w:fill="auto"/>
            <w:vAlign w:val="center"/>
            <w:hideMark/>
          </w:tcPr>
          <w:p w14:paraId="1BADD604"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6</w:t>
            </w:r>
          </w:p>
        </w:tc>
        <w:tc>
          <w:tcPr>
            <w:tcW w:w="259" w:type="pct"/>
            <w:tcBorders>
              <w:top w:val="nil"/>
              <w:left w:val="nil"/>
              <w:bottom w:val="single" w:sz="4" w:space="0" w:color="auto"/>
              <w:right w:val="single" w:sz="4" w:space="0" w:color="auto"/>
            </w:tcBorders>
            <w:shd w:val="clear" w:color="auto" w:fill="auto"/>
            <w:vAlign w:val="center"/>
            <w:hideMark/>
          </w:tcPr>
          <w:p w14:paraId="1BADD605"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7</w:t>
            </w:r>
          </w:p>
        </w:tc>
        <w:tc>
          <w:tcPr>
            <w:tcW w:w="252" w:type="pct"/>
            <w:tcBorders>
              <w:top w:val="nil"/>
              <w:left w:val="nil"/>
              <w:bottom w:val="single" w:sz="4" w:space="0" w:color="auto"/>
              <w:right w:val="single" w:sz="4" w:space="0" w:color="auto"/>
            </w:tcBorders>
            <w:shd w:val="clear" w:color="auto" w:fill="auto"/>
            <w:vAlign w:val="center"/>
            <w:hideMark/>
          </w:tcPr>
          <w:p w14:paraId="1BADD606"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8</w:t>
            </w:r>
          </w:p>
        </w:tc>
        <w:tc>
          <w:tcPr>
            <w:tcW w:w="261" w:type="pct"/>
            <w:tcBorders>
              <w:top w:val="nil"/>
              <w:left w:val="nil"/>
              <w:bottom w:val="single" w:sz="4" w:space="0" w:color="auto"/>
              <w:right w:val="single" w:sz="4" w:space="0" w:color="auto"/>
            </w:tcBorders>
            <w:shd w:val="clear" w:color="auto" w:fill="auto"/>
            <w:vAlign w:val="center"/>
            <w:hideMark/>
          </w:tcPr>
          <w:p w14:paraId="1BADD607"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9</w:t>
            </w:r>
          </w:p>
        </w:tc>
        <w:tc>
          <w:tcPr>
            <w:tcW w:w="192" w:type="pct"/>
            <w:tcBorders>
              <w:top w:val="nil"/>
              <w:left w:val="nil"/>
              <w:bottom w:val="single" w:sz="4" w:space="0" w:color="auto"/>
              <w:right w:val="single" w:sz="4" w:space="0" w:color="auto"/>
            </w:tcBorders>
            <w:shd w:val="clear" w:color="auto" w:fill="auto"/>
            <w:vAlign w:val="center"/>
            <w:hideMark/>
          </w:tcPr>
          <w:p w14:paraId="1BADD608"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10</w:t>
            </w:r>
          </w:p>
        </w:tc>
        <w:tc>
          <w:tcPr>
            <w:tcW w:w="237" w:type="pct"/>
            <w:tcBorders>
              <w:top w:val="nil"/>
              <w:left w:val="nil"/>
              <w:bottom w:val="single" w:sz="4" w:space="0" w:color="auto"/>
              <w:right w:val="single" w:sz="4" w:space="0" w:color="auto"/>
            </w:tcBorders>
            <w:shd w:val="clear" w:color="auto" w:fill="auto"/>
            <w:vAlign w:val="center"/>
            <w:hideMark/>
          </w:tcPr>
          <w:p w14:paraId="1BADD609"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11</w:t>
            </w:r>
          </w:p>
        </w:tc>
        <w:tc>
          <w:tcPr>
            <w:tcW w:w="295" w:type="pct"/>
            <w:tcBorders>
              <w:top w:val="nil"/>
              <w:left w:val="nil"/>
              <w:bottom w:val="single" w:sz="4" w:space="0" w:color="auto"/>
              <w:right w:val="single" w:sz="4" w:space="0" w:color="auto"/>
            </w:tcBorders>
            <w:shd w:val="clear" w:color="auto" w:fill="auto"/>
            <w:vAlign w:val="center"/>
            <w:hideMark/>
          </w:tcPr>
          <w:p w14:paraId="1BADD60A"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12</w:t>
            </w:r>
          </w:p>
        </w:tc>
        <w:tc>
          <w:tcPr>
            <w:tcW w:w="286" w:type="pct"/>
            <w:tcBorders>
              <w:top w:val="nil"/>
              <w:left w:val="nil"/>
              <w:bottom w:val="single" w:sz="4" w:space="0" w:color="auto"/>
              <w:right w:val="single" w:sz="4" w:space="0" w:color="auto"/>
            </w:tcBorders>
            <w:shd w:val="clear" w:color="auto" w:fill="auto"/>
            <w:vAlign w:val="center"/>
            <w:hideMark/>
          </w:tcPr>
          <w:p w14:paraId="1BADD60B"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13</w:t>
            </w:r>
          </w:p>
        </w:tc>
      </w:tr>
      <w:tr w:rsidR="003F17B7" w:rsidRPr="009F02F5" w14:paraId="1BADD61A" w14:textId="77777777" w:rsidTr="008B1278">
        <w:trPr>
          <w:trHeight w:val="180"/>
        </w:trPr>
        <w:tc>
          <w:tcPr>
            <w:tcW w:w="1181" w:type="pct"/>
            <w:tcBorders>
              <w:top w:val="nil"/>
              <w:left w:val="single" w:sz="4" w:space="0" w:color="auto"/>
              <w:bottom w:val="single" w:sz="4" w:space="0" w:color="auto"/>
              <w:right w:val="single" w:sz="4" w:space="0" w:color="auto"/>
            </w:tcBorders>
            <w:shd w:val="clear" w:color="auto" w:fill="auto"/>
            <w:vAlign w:val="center"/>
            <w:hideMark/>
          </w:tcPr>
          <w:p w14:paraId="1BADD60D"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1032" w:type="pct"/>
            <w:tcBorders>
              <w:top w:val="nil"/>
              <w:left w:val="nil"/>
              <w:bottom w:val="single" w:sz="4" w:space="0" w:color="auto"/>
              <w:right w:val="single" w:sz="4" w:space="0" w:color="auto"/>
            </w:tcBorders>
            <w:shd w:val="clear" w:color="auto" w:fill="auto"/>
            <w:vAlign w:val="center"/>
            <w:hideMark/>
          </w:tcPr>
          <w:p w14:paraId="1BADD60E"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37" w:type="pct"/>
            <w:tcBorders>
              <w:top w:val="nil"/>
              <w:left w:val="nil"/>
              <w:bottom w:val="single" w:sz="4" w:space="0" w:color="auto"/>
              <w:right w:val="single" w:sz="4" w:space="0" w:color="auto"/>
            </w:tcBorders>
            <w:shd w:val="clear" w:color="auto" w:fill="auto"/>
            <w:vAlign w:val="center"/>
            <w:hideMark/>
          </w:tcPr>
          <w:p w14:paraId="1BADD60F"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1" w:type="pct"/>
            <w:tcBorders>
              <w:top w:val="nil"/>
              <w:left w:val="nil"/>
              <w:bottom w:val="single" w:sz="4" w:space="0" w:color="auto"/>
              <w:right w:val="single" w:sz="4" w:space="0" w:color="auto"/>
            </w:tcBorders>
            <w:shd w:val="clear" w:color="auto" w:fill="auto"/>
            <w:vAlign w:val="center"/>
            <w:hideMark/>
          </w:tcPr>
          <w:p w14:paraId="1BADD610"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8" w:type="pct"/>
            <w:tcBorders>
              <w:top w:val="nil"/>
              <w:left w:val="nil"/>
              <w:bottom w:val="single" w:sz="4" w:space="0" w:color="auto"/>
              <w:right w:val="single" w:sz="4" w:space="0" w:color="auto"/>
            </w:tcBorders>
            <w:shd w:val="clear" w:color="auto" w:fill="auto"/>
            <w:vAlign w:val="center"/>
            <w:hideMark/>
          </w:tcPr>
          <w:p w14:paraId="1BADD611"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4/3*100%</w:t>
            </w:r>
          </w:p>
        </w:tc>
        <w:tc>
          <w:tcPr>
            <w:tcW w:w="259" w:type="pct"/>
            <w:tcBorders>
              <w:top w:val="nil"/>
              <w:left w:val="nil"/>
              <w:bottom w:val="single" w:sz="4" w:space="0" w:color="auto"/>
              <w:right w:val="single" w:sz="4" w:space="0" w:color="auto"/>
            </w:tcBorders>
            <w:shd w:val="clear" w:color="auto" w:fill="auto"/>
            <w:vAlign w:val="center"/>
            <w:hideMark/>
          </w:tcPr>
          <w:p w14:paraId="1BADD612"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9" w:type="pct"/>
            <w:tcBorders>
              <w:top w:val="nil"/>
              <w:left w:val="nil"/>
              <w:bottom w:val="single" w:sz="4" w:space="0" w:color="auto"/>
              <w:right w:val="single" w:sz="4" w:space="0" w:color="auto"/>
            </w:tcBorders>
            <w:shd w:val="clear" w:color="auto" w:fill="auto"/>
            <w:vAlign w:val="center"/>
            <w:hideMark/>
          </w:tcPr>
          <w:p w14:paraId="1BADD613"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6/4*100%</w:t>
            </w:r>
          </w:p>
        </w:tc>
        <w:tc>
          <w:tcPr>
            <w:tcW w:w="252" w:type="pct"/>
            <w:tcBorders>
              <w:top w:val="nil"/>
              <w:left w:val="nil"/>
              <w:bottom w:val="single" w:sz="4" w:space="0" w:color="auto"/>
              <w:right w:val="single" w:sz="4" w:space="0" w:color="auto"/>
            </w:tcBorders>
            <w:shd w:val="clear" w:color="auto" w:fill="auto"/>
            <w:vAlign w:val="center"/>
            <w:hideMark/>
          </w:tcPr>
          <w:p w14:paraId="1BADD614"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61" w:type="pct"/>
            <w:tcBorders>
              <w:top w:val="nil"/>
              <w:left w:val="nil"/>
              <w:bottom w:val="single" w:sz="4" w:space="0" w:color="auto"/>
              <w:right w:val="single" w:sz="4" w:space="0" w:color="auto"/>
            </w:tcBorders>
            <w:shd w:val="clear" w:color="auto" w:fill="auto"/>
            <w:vAlign w:val="center"/>
            <w:hideMark/>
          </w:tcPr>
          <w:p w14:paraId="1BADD615"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8/4*100%</w:t>
            </w:r>
          </w:p>
        </w:tc>
        <w:tc>
          <w:tcPr>
            <w:tcW w:w="192" w:type="pct"/>
            <w:tcBorders>
              <w:top w:val="nil"/>
              <w:left w:val="nil"/>
              <w:bottom w:val="single" w:sz="4" w:space="0" w:color="auto"/>
              <w:right w:val="single" w:sz="4" w:space="0" w:color="auto"/>
            </w:tcBorders>
            <w:shd w:val="clear" w:color="auto" w:fill="auto"/>
            <w:vAlign w:val="center"/>
            <w:hideMark/>
          </w:tcPr>
          <w:p w14:paraId="1BADD616"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37" w:type="pct"/>
            <w:tcBorders>
              <w:top w:val="nil"/>
              <w:left w:val="nil"/>
              <w:bottom w:val="single" w:sz="4" w:space="0" w:color="auto"/>
              <w:right w:val="single" w:sz="4" w:space="0" w:color="auto"/>
            </w:tcBorders>
            <w:shd w:val="clear" w:color="auto" w:fill="auto"/>
            <w:vAlign w:val="center"/>
            <w:hideMark/>
          </w:tcPr>
          <w:p w14:paraId="1BADD617"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10/4*100%</w:t>
            </w:r>
          </w:p>
        </w:tc>
        <w:tc>
          <w:tcPr>
            <w:tcW w:w="295" w:type="pct"/>
            <w:tcBorders>
              <w:top w:val="nil"/>
              <w:left w:val="nil"/>
              <w:bottom w:val="single" w:sz="4" w:space="0" w:color="auto"/>
              <w:right w:val="single" w:sz="4" w:space="0" w:color="auto"/>
            </w:tcBorders>
            <w:shd w:val="clear" w:color="auto" w:fill="auto"/>
            <w:vAlign w:val="center"/>
            <w:hideMark/>
          </w:tcPr>
          <w:p w14:paraId="1BADD618"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86" w:type="pct"/>
            <w:tcBorders>
              <w:top w:val="nil"/>
              <w:left w:val="nil"/>
              <w:bottom w:val="single" w:sz="4" w:space="0" w:color="auto"/>
              <w:right w:val="single" w:sz="4" w:space="0" w:color="auto"/>
            </w:tcBorders>
            <w:shd w:val="clear" w:color="auto" w:fill="auto"/>
            <w:vAlign w:val="center"/>
            <w:hideMark/>
          </w:tcPr>
          <w:p w14:paraId="1BADD619"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12/4*100%</w:t>
            </w:r>
          </w:p>
        </w:tc>
      </w:tr>
      <w:tr w:rsidR="008B1278" w:rsidRPr="009F02F5" w14:paraId="1BADD628" w14:textId="77777777" w:rsidTr="008B1278">
        <w:trPr>
          <w:trHeight w:val="180"/>
        </w:trPr>
        <w:tc>
          <w:tcPr>
            <w:tcW w:w="1181" w:type="pct"/>
            <w:tcBorders>
              <w:top w:val="nil"/>
              <w:left w:val="single" w:sz="4" w:space="0" w:color="auto"/>
              <w:bottom w:val="single" w:sz="4" w:space="0" w:color="auto"/>
              <w:right w:val="single" w:sz="4" w:space="0" w:color="auto"/>
            </w:tcBorders>
            <w:shd w:val="clear" w:color="000000" w:fill="C0C0C0"/>
            <w:noWrap/>
            <w:vAlign w:val="center"/>
            <w:hideMark/>
          </w:tcPr>
          <w:p w14:paraId="1BADD61B"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NP2010</w:t>
            </w:r>
          </w:p>
        </w:tc>
        <w:tc>
          <w:tcPr>
            <w:tcW w:w="1032" w:type="pct"/>
            <w:tcBorders>
              <w:top w:val="nil"/>
              <w:left w:val="nil"/>
              <w:bottom w:val="single" w:sz="4" w:space="0" w:color="auto"/>
              <w:right w:val="single" w:sz="4" w:space="0" w:color="auto"/>
            </w:tcBorders>
            <w:shd w:val="clear" w:color="000000" w:fill="C0C0C0"/>
            <w:vAlign w:val="center"/>
            <w:hideMark/>
          </w:tcPr>
          <w:p w14:paraId="1BADD61C"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2010/123-456</w:t>
            </w:r>
          </w:p>
        </w:tc>
        <w:tc>
          <w:tcPr>
            <w:tcW w:w="237" w:type="pct"/>
            <w:tcBorders>
              <w:top w:val="nil"/>
              <w:left w:val="nil"/>
              <w:bottom w:val="single" w:sz="4" w:space="0" w:color="auto"/>
              <w:right w:val="single" w:sz="4" w:space="0" w:color="auto"/>
            </w:tcBorders>
            <w:shd w:val="clear" w:color="000000" w:fill="C0C0C0"/>
            <w:noWrap/>
            <w:vAlign w:val="center"/>
            <w:hideMark/>
          </w:tcPr>
          <w:p w14:paraId="1BADD61D"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1" w:type="pct"/>
            <w:tcBorders>
              <w:top w:val="nil"/>
              <w:left w:val="nil"/>
              <w:bottom w:val="single" w:sz="4" w:space="0" w:color="auto"/>
              <w:right w:val="single" w:sz="4" w:space="0" w:color="auto"/>
            </w:tcBorders>
            <w:shd w:val="clear" w:color="000000" w:fill="C0C0C0"/>
            <w:noWrap/>
            <w:vAlign w:val="center"/>
            <w:hideMark/>
          </w:tcPr>
          <w:p w14:paraId="1BADD61E"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8" w:type="pct"/>
            <w:tcBorders>
              <w:top w:val="nil"/>
              <w:left w:val="nil"/>
              <w:bottom w:val="single" w:sz="4" w:space="0" w:color="auto"/>
              <w:right w:val="single" w:sz="4" w:space="0" w:color="auto"/>
            </w:tcBorders>
            <w:shd w:val="clear" w:color="000000" w:fill="C0C0C0"/>
            <w:noWrap/>
            <w:vAlign w:val="center"/>
            <w:hideMark/>
          </w:tcPr>
          <w:p w14:paraId="1BADD61F"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9" w:type="pct"/>
            <w:tcBorders>
              <w:top w:val="nil"/>
              <w:left w:val="nil"/>
              <w:bottom w:val="single" w:sz="4" w:space="0" w:color="auto"/>
              <w:right w:val="single" w:sz="4" w:space="0" w:color="auto"/>
            </w:tcBorders>
            <w:shd w:val="clear" w:color="000000" w:fill="C0C0C0"/>
            <w:noWrap/>
            <w:vAlign w:val="center"/>
            <w:hideMark/>
          </w:tcPr>
          <w:p w14:paraId="1BADD620"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9" w:type="pct"/>
            <w:tcBorders>
              <w:top w:val="nil"/>
              <w:left w:val="nil"/>
              <w:bottom w:val="single" w:sz="4" w:space="0" w:color="auto"/>
              <w:right w:val="single" w:sz="4" w:space="0" w:color="auto"/>
            </w:tcBorders>
            <w:shd w:val="clear" w:color="000000" w:fill="C0C0C0"/>
            <w:noWrap/>
            <w:vAlign w:val="center"/>
            <w:hideMark/>
          </w:tcPr>
          <w:p w14:paraId="1BADD621"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52" w:type="pct"/>
            <w:tcBorders>
              <w:top w:val="nil"/>
              <w:left w:val="nil"/>
              <w:bottom w:val="single" w:sz="4" w:space="0" w:color="auto"/>
              <w:right w:val="single" w:sz="4" w:space="0" w:color="auto"/>
            </w:tcBorders>
            <w:shd w:val="clear" w:color="000000" w:fill="C0C0C0"/>
            <w:noWrap/>
            <w:vAlign w:val="center"/>
            <w:hideMark/>
          </w:tcPr>
          <w:p w14:paraId="1BADD622"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61" w:type="pct"/>
            <w:tcBorders>
              <w:top w:val="nil"/>
              <w:left w:val="nil"/>
              <w:bottom w:val="single" w:sz="4" w:space="0" w:color="auto"/>
              <w:right w:val="single" w:sz="4" w:space="0" w:color="auto"/>
            </w:tcBorders>
            <w:shd w:val="clear" w:color="000000" w:fill="C0C0C0"/>
            <w:noWrap/>
            <w:vAlign w:val="center"/>
            <w:hideMark/>
          </w:tcPr>
          <w:p w14:paraId="1BADD623"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192" w:type="pct"/>
            <w:tcBorders>
              <w:top w:val="nil"/>
              <w:left w:val="nil"/>
              <w:bottom w:val="single" w:sz="4" w:space="0" w:color="auto"/>
              <w:right w:val="single" w:sz="4" w:space="0" w:color="auto"/>
            </w:tcBorders>
            <w:shd w:val="clear" w:color="000000" w:fill="C0C0C0"/>
            <w:noWrap/>
            <w:vAlign w:val="center"/>
            <w:hideMark/>
          </w:tcPr>
          <w:p w14:paraId="1BADD624"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37" w:type="pct"/>
            <w:tcBorders>
              <w:top w:val="nil"/>
              <w:left w:val="nil"/>
              <w:bottom w:val="single" w:sz="4" w:space="0" w:color="auto"/>
              <w:right w:val="single" w:sz="4" w:space="0" w:color="auto"/>
            </w:tcBorders>
            <w:shd w:val="clear" w:color="000000" w:fill="C0C0C0"/>
            <w:noWrap/>
            <w:vAlign w:val="center"/>
            <w:hideMark/>
          </w:tcPr>
          <w:p w14:paraId="1BADD625"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95" w:type="pct"/>
            <w:tcBorders>
              <w:top w:val="nil"/>
              <w:left w:val="nil"/>
              <w:bottom w:val="single" w:sz="4" w:space="0" w:color="auto"/>
              <w:right w:val="single" w:sz="4" w:space="0" w:color="auto"/>
            </w:tcBorders>
            <w:shd w:val="clear" w:color="000000" w:fill="C0C0C0"/>
            <w:noWrap/>
            <w:vAlign w:val="center"/>
            <w:hideMark/>
          </w:tcPr>
          <w:p w14:paraId="1BADD626"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c>
          <w:tcPr>
            <w:tcW w:w="286" w:type="pct"/>
            <w:tcBorders>
              <w:top w:val="nil"/>
              <w:left w:val="nil"/>
              <w:bottom w:val="single" w:sz="4" w:space="0" w:color="auto"/>
              <w:right w:val="single" w:sz="4" w:space="0" w:color="auto"/>
            </w:tcBorders>
            <w:shd w:val="clear" w:color="000000" w:fill="C0C0C0"/>
            <w:noWrap/>
            <w:vAlign w:val="center"/>
            <w:hideMark/>
          </w:tcPr>
          <w:p w14:paraId="1BADD627" w14:textId="77777777" w:rsidR="003F17B7" w:rsidRPr="009F02F5" w:rsidRDefault="003F17B7" w:rsidP="003F17B7">
            <w:pPr>
              <w:spacing w:after="0" w:line="240" w:lineRule="auto"/>
              <w:jc w:val="center"/>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 </w:t>
            </w:r>
          </w:p>
        </w:tc>
      </w:tr>
      <w:tr w:rsidR="008B1278" w:rsidRPr="009F02F5" w14:paraId="1BADD636" w14:textId="77777777" w:rsidTr="008B1278">
        <w:trPr>
          <w:trHeight w:val="180"/>
        </w:trPr>
        <w:tc>
          <w:tcPr>
            <w:tcW w:w="1181" w:type="pct"/>
            <w:tcBorders>
              <w:top w:val="nil"/>
              <w:left w:val="single" w:sz="4" w:space="0" w:color="auto"/>
              <w:bottom w:val="single" w:sz="4" w:space="0" w:color="auto"/>
              <w:right w:val="single" w:sz="4" w:space="0" w:color="auto"/>
            </w:tcBorders>
            <w:shd w:val="clear" w:color="000000" w:fill="C0C0C0"/>
            <w:noWrap/>
            <w:vAlign w:val="center"/>
            <w:hideMark/>
          </w:tcPr>
          <w:p w14:paraId="1BADD629" w14:textId="77777777" w:rsidR="003F17B7" w:rsidRPr="009F02F5" w:rsidRDefault="003F17B7" w:rsidP="003F17B7">
            <w:pPr>
              <w:spacing w:after="0" w:line="240" w:lineRule="auto"/>
              <w:jc w:val="center"/>
              <w:outlineLvl w:val="0"/>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Nën- programi</w:t>
            </w:r>
          </w:p>
        </w:tc>
        <w:tc>
          <w:tcPr>
            <w:tcW w:w="1032" w:type="pct"/>
            <w:tcBorders>
              <w:top w:val="nil"/>
              <w:left w:val="nil"/>
              <w:bottom w:val="single" w:sz="4" w:space="0" w:color="auto"/>
              <w:right w:val="single" w:sz="4" w:space="0" w:color="auto"/>
            </w:tcBorders>
            <w:shd w:val="clear" w:color="000000" w:fill="C0C0C0"/>
            <w:noWrap/>
            <w:vAlign w:val="center"/>
            <w:hideMark/>
          </w:tcPr>
          <w:p w14:paraId="1BADD62A"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37" w:type="pct"/>
            <w:tcBorders>
              <w:top w:val="nil"/>
              <w:left w:val="nil"/>
              <w:bottom w:val="single" w:sz="4" w:space="0" w:color="auto"/>
              <w:right w:val="single" w:sz="4" w:space="0" w:color="auto"/>
            </w:tcBorders>
            <w:shd w:val="clear" w:color="000000" w:fill="C0C0C0"/>
            <w:noWrap/>
            <w:vAlign w:val="center"/>
            <w:hideMark/>
          </w:tcPr>
          <w:p w14:paraId="1BADD62B"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51" w:type="pct"/>
            <w:tcBorders>
              <w:top w:val="nil"/>
              <w:left w:val="nil"/>
              <w:bottom w:val="single" w:sz="4" w:space="0" w:color="auto"/>
              <w:right w:val="single" w:sz="4" w:space="0" w:color="auto"/>
            </w:tcBorders>
            <w:shd w:val="clear" w:color="000000" w:fill="C0C0C0"/>
            <w:noWrap/>
            <w:vAlign w:val="center"/>
            <w:hideMark/>
          </w:tcPr>
          <w:p w14:paraId="1BADD62C" w14:textId="77777777" w:rsidR="003F17B7" w:rsidRPr="009F02F5" w:rsidRDefault="003F17B7" w:rsidP="003F17B7">
            <w:pPr>
              <w:spacing w:after="0" w:line="240" w:lineRule="auto"/>
              <w:jc w:val="center"/>
              <w:outlineLvl w:val="0"/>
              <w:rPr>
                <w:rFonts w:ascii="Garamond" w:eastAsia="Times New Roman" w:hAnsi="Garamond" w:cs="Arial"/>
                <w:sz w:val="10"/>
                <w:szCs w:val="10"/>
                <w:lang w:eastAsia="sq-AL"/>
              </w:rPr>
            </w:pPr>
            <w:r w:rsidRPr="009F02F5">
              <w:rPr>
                <w:rFonts w:ascii="Garamond" w:eastAsia="Times New Roman" w:hAnsi="Garamond" w:cs="Arial"/>
                <w:sz w:val="10"/>
                <w:szCs w:val="10"/>
                <w:lang w:eastAsia="sq-AL"/>
              </w:rPr>
              <w:t> </w:t>
            </w:r>
          </w:p>
        </w:tc>
        <w:tc>
          <w:tcPr>
            <w:tcW w:w="258" w:type="pct"/>
            <w:tcBorders>
              <w:top w:val="nil"/>
              <w:left w:val="nil"/>
              <w:bottom w:val="single" w:sz="4" w:space="0" w:color="auto"/>
              <w:right w:val="single" w:sz="4" w:space="0" w:color="auto"/>
            </w:tcBorders>
            <w:shd w:val="clear" w:color="000000" w:fill="C0C0C0"/>
            <w:noWrap/>
            <w:vAlign w:val="center"/>
            <w:hideMark/>
          </w:tcPr>
          <w:p w14:paraId="1BADD62D" w14:textId="77777777" w:rsidR="003F17B7" w:rsidRPr="009F02F5" w:rsidRDefault="003F17B7" w:rsidP="003F17B7">
            <w:pPr>
              <w:spacing w:after="0" w:line="240" w:lineRule="auto"/>
              <w:jc w:val="center"/>
              <w:outlineLvl w:val="0"/>
              <w:rPr>
                <w:rFonts w:ascii="Garamond" w:eastAsia="Times New Roman" w:hAnsi="Garamond" w:cs="Arial"/>
                <w:sz w:val="10"/>
                <w:szCs w:val="10"/>
                <w:lang w:eastAsia="sq-AL"/>
              </w:rPr>
            </w:pPr>
            <w:r w:rsidRPr="009F02F5">
              <w:rPr>
                <w:rFonts w:ascii="Garamond" w:eastAsia="Times New Roman" w:hAnsi="Garamond" w:cs="Arial"/>
                <w:sz w:val="10"/>
                <w:szCs w:val="10"/>
                <w:lang w:eastAsia="sq-AL"/>
              </w:rPr>
              <w:t> </w:t>
            </w:r>
          </w:p>
        </w:tc>
        <w:tc>
          <w:tcPr>
            <w:tcW w:w="259" w:type="pct"/>
            <w:tcBorders>
              <w:top w:val="nil"/>
              <w:left w:val="nil"/>
              <w:bottom w:val="single" w:sz="4" w:space="0" w:color="auto"/>
              <w:right w:val="single" w:sz="4" w:space="0" w:color="auto"/>
            </w:tcBorders>
            <w:shd w:val="clear" w:color="000000" w:fill="C0C0C0"/>
            <w:noWrap/>
            <w:vAlign w:val="center"/>
            <w:hideMark/>
          </w:tcPr>
          <w:p w14:paraId="1BADD62E"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59" w:type="pct"/>
            <w:tcBorders>
              <w:top w:val="nil"/>
              <w:left w:val="nil"/>
              <w:bottom w:val="single" w:sz="4" w:space="0" w:color="auto"/>
              <w:right w:val="single" w:sz="4" w:space="0" w:color="auto"/>
            </w:tcBorders>
            <w:shd w:val="clear" w:color="000000" w:fill="C0C0C0"/>
            <w:noWrap/>
            <w:vAlign w:val="center"/>
            <w:hideMark/>
          </w:tcPr>
          <w:p w14:paraId="1BADD62F"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52" w:type="pct"/>
            <w:tcBorders>
              <w:top w:val="nil"/>
              <w:left w:val="nil"/>
              <w:bottom w:val="single" w:sz="4" w:space="0" w:color="auto"/>
              <w:right w:val="single" w:sz="4" w:space="0" w:color="auto"/>
            </w:tcBorders>
            <w:shd w:val="clear" w:color="000000" w:fill="C0C0C0"/>
            <w:noWrap/>
            <w:vAlign w:val="center"/>
            <w:hideMark/>
          </w:tcPr>
          <w:p w14:paraId="1BADD630"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61" w:type="pct"/>
            <w:tcBorders>
              <w:top w:val="nil"/>
              <w:left w:val="nil"/>
              <w:bottom w:val="single" w:sz="4" w:space="0" w:color="auto"/>
              <w:right w:val="single" w:sz="4" w:space="0" w:color="auto"/>
            </w:tcBorders>
            <w:shd w:val="clear" w:color="000000" w:fill="C0C0C0"/>
            <w:noWrap/>
            <w:vAlign w:val="center"/>
            <w:hideMark/>
          </w:tcPr>
          <w:p w14:paraId="1BADD631"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192" w:type="pct"/>
            <w:tcBorders>
              <w:top w:val="nil"/>
              <w:left w:val="nil"/>
              <w:bottom w:val="single" w:sz="4" w:space="0" w:color="auto"/>
              <w:right w:val="single" w:sz="4" w:space="0" w:color="auto"/>
            </w:tcBorders>
            <w:shd w:val="clear" w:color="000000" w:fill="C0C0C0"/>
            <w:noWrap/>
            <w:vAlign w:val="center"/>
            <w:hideMark/>
          </w:tcPr>
          <w:p w14:paraId="1BADD632"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37" w:type="pct"/>
            <w:tcBorders>
              <w:top w:val="nil"/>
              <w:left w:val="nil"/>
              <w:bottom w:val="single" w:sz="4" w:space="0" w:color="auto"/>
              <w:right w:val="single" w:sz="4" w:space="0" w:color="auto"/>
            </w:tcBorders>
            <w:shd w:val="clear" w:color="000000" w:fill="C0C0C0"/>
            <w:noWrap/>
            <w:vAlign w:val="center"/>
            <w:hideMark/>
          </w:tcPr>
          <w:p w14:paraId="1BADD633"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95" w:type="pct"/>
            <w:tcBorders>
              <w:top w:val="nil"/>
              <w:left w:val="nil"/>
              <w:bottom w:val="single" w:sz="4" w:space="0" w:color="auto"/>
              <w:right w:val="single" w:sz="4" w:space="0" w:color="auto"/>
            </w:tcBorders>
            <w:shd w:val="clear" w:color="000000" w:fill="C0C0C0"/>
            <w:noWrap/>
            <w:vAlign w:val="center"/>
            <w:hideMark/>
          </w:tcPr>
          <w:p w14:paraId="1BADD634"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86" w:type="pct"/>
            <w:tcBorders>
              <w:top w:val="nil"/>
              <w:left w:val="nil"/>
              <w:bottom w:val="single" w:sz="4" w:space="0" w:color="auto"/>
              <w:right w:val="single" w:sz="4" w:space="0" w:color="auto"/>
            </w:tcBorders>
            <w:shd w:val="clear" w:color="000000" w:fill="C0C0C0"/>
            <w:noWrap/>
            <w:vAlign w:val="center"/>
            <w:hideMark/>
          </w:tcPr>
          <w:p w14:paraId="1BADD635" w14:textId="77777777" w:rsidR="003F17B7" w:rsidRPr="009F02F5" w:rsidRDefault="003F17B7" w:rsidP="003F17B7">
            <w:pPr>
              <w:spacing w:after="0" w:line="240" w:lineRule="auto"/>
              <w:jc w:val="center"/>
              <w:outlineLvl w:val="0"/>
              <w:rPr>
                <w:rFonts w:ascii="Garamond" w:eastAsia="Times New Roman" w:hAnsi="Garamond" w:cs="Arial"/>
                <w:sz w:val="10"/>
                <w:szCs w:val="10"/>
                <w:lang w:eastAsia="sq-AL"/>
              </w:rPr>
            </w:pPr>
            <w:r w:rsidRPr="009F02F5">
              <w:rPr>
                <w:rFonts w:ascii="Garamond" w:eastAsia="Times New Roman" w:hAnsi="Garamond" w:cs="Arial"/>
                <w:sz w:val="10"/>
                <w:szCs w:val="10"/>
                <w:lang w:eastAsia="sq-AL"/>
              </w:rPr>
              <w:t> </w:t>
            </w:r>
          </w:p>
        </w:tc>
      </w:tr>
      <w:tr w:rsidR="008B1278" w:rsidRPr="009F02F5" w14:paraId="1BADD644" w14:textId="77777777" w:rsidTr="008B1278">
        <w:trPr>
          <w:trHeight w:val="180"/>
        </w:trPr>
        <w:tc>
          <w:tcPr>
            <w:tcW w:w="1181" w:type="pct"/>
            <w:tcBorders>
              <w:top w:val="nil"/>
              <w:left w:val="single" w:sz="4" w:space="0" w:color="auto"/>
              <w:bottom w:val="single" w:sz="4" w:space="0" w:color="auto"/>
              <w:right w:val="single" w:sz="4" w:space="0" w:color="auto"/>
            </w:tcBorders>
            <w:shd w:val="clear" w:color="000000" w:fill="C0C0C0"/>
            <w:noWrap/>
            <w:vAlign w:val="center"/>
            <w:hideMark/>
          </w:tcPr>
          <w:p w14:paraId="1BADD637" w14:textId="77777777" w:rsidR="003F17B7" w:rsidRPr="009F02F5" w:rsidRDefault="003F17B7" w:rsidP="003F17B7">
            <w:pPr>
              <w:spacing w:after="0" w:line="240" w:lineRule="auto"/>
              <w:jc w:val="center"/>
              <w:outlineLvl w:val="0"/>
              <w:rPr>
                <w:rFonts w:ascii="Garamond" w:eastAsia="Times New Roman" w:hAnsi="Garamond" w:cs="Arial"/>
                <w:b/>
                <w:bCs/>
                <w:sz w:val="10"/>
                <w:szCs w:val="10"/>
                <w:lang w:eastAsia="sq-AL"/>
              </w:rPr>
            </w:pPr>
            <w:r w:rsidRPr="009F02F5">
              <w:rPr>
                <w:rFonts w:ascii="Garamond" w:eastAsia="Times New Roman" w:hAnsi="Garamond" w:cs="Arial"/>
                <w:b/>
                <w:bCs/>
                <w:sz w:val="10"/>
                <w:szCs w:val="10"/>
                <w:lang w:eastAsia="sq-AL"/>
              </w:rPr>
              <w:t>Projekti</w:t>
            </w:r>
          </w:p>
        </w:tc>
        <w:tc>
          <w:tcPr>
            <w:tcW w:w="1032" w:type="pct"/>
            <w:tcBorders>
              <w:top w:val="nil"/>
              <w:left w:val="nil"/>
              <w:bottom w:val="single" w:sz="4" w:space="0" w:color="auto"/>
              <w:right w:val="single" w:sz="4" w:space="0" w:color="auto"/>
            </w:tcBorders>
            <w:shd w:val="clear" w:color="000000" w:fill="C0C0C0"/>
            <w:noWrap/>
            <w:vAlign w:val="center"/>
            <w:hideMark/>
          </w:tcPr>
          <w:p w14:paraId="1BADD638"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37" w:type="pct"/>
            <w:tcBorders>
              <w:top w:val="nil"/>
              <w:left w:val="nil"/>
              <w:bottom w:val="single" w:sz="4" w:space="0" w:color="auto"/>
              <w:right w:val="single" w:sz="4" w:space="0" w:color="auto"/>
            </w:tcBorders>
            <w:shd w:val="clear" w:color="000000" w:fill="C0C0C0"/>
            <w:noWrap/>
            <w:vAlign w:val="center"/>
            <w:hideMark/>
          </w:tcPr>
          <w:p w14:paraId="1BADD639"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51" w:type="pct"/>
            <w:tcBorders>
              <w:top w:val="nil"/>
              <w:left w:val="nil"/>
              <w:bottom w:val="single" w:sz="4" w:space="0" w:color="auto"/>
              <w:right w:val="single" w:sz="4" w:space="0" w:color="auto"/>
            </w:tcBorders>
            <w:shd w:val="clear" w:color="000000" w:fill="C0C0C0"/>
            <w:noWrap/>
            <w:vAlign w:val="center"/>
            <w:hideMark/>
          </w:tcPr>
          <w:p w14:paraId="1BADD63A" w14:textId="77777777" w:rsidR="003F17B7" w:rsidRPr="009F02F5" w:rsidRDefault="003F17B7" w:rsidP="003F17B7">
            <w:pPr>
              <w:spacing w:after="0" w:line="240" w:lineRule="auto"/>
              <w:jc w:val="center"/>
              <w:outlineLvl w:val="0"/>
              <w:rPr>
                <w:rFonts w:ascii="Garamond" w:eastAsia="Times New Roman" w:hAnsi="Garamond" w:cs="Arial"/>
                <w:sz w:val="10"/>
                <w:szCs w:val="10"/>
                <w:lang w:eastAsia="sq-AL"/>
              </w:rPr>
            </w:pPr>
            <w:r w:rsidRPr="009F02F5">
              <w:rPr>
                <w:rFonts w:ascii="Garamond" w:eastAsia="Times New Roman" w:hAnsi="Garamond" w:cs="Arial"/>
                <w:sz w:val="10"/>
                <w:szCs w:val="10"/>
                <w:lang w:eastAsia="sq-AL"/>
              </w:rPr>
              <w:t> </w:t>
            </w:r>
          </w:p>
        </w:tc>
        <w:tc>
          <w:tcPr>
            <w:tcW w:w="258" w:type="pct"/>
            <w:tcBorders>
              <w:top w:val="nil"/>
              <w:left w:val="nil"/>
              <w:bottom w:val="single" w:sz="4" w:space="0" w:color="auto"/>
              <w:right w:val="single" w:sz="4" w:space="0" w:color="auto"/>
            </w:tcBorders>
            <w:shd w:val="clear" w:color="000000" w:fill="C0C0C0"/>
            <w:noWrap/>
            <w:vAlign w:val="center"/>
            <w:hideMark/>
          </w:tcPr>
          <w:p w14:paraId="1BADD63B" w14:textId="77777777" w:rsidR="003F17B7" w:rsidRPr="009F02F5" w:rsidRDefault="003F17B7" w:rsidP="003F17B7">
            <w:pPr>
              <w:spacing w:after="0" w:line="240" w:lineRule="auto"/>
              <w:jc w:val="center"/>
              <w:outlineLvl w:val="0"/>
              <w:rPr>
                <w:rFonts w:ascii="Garamond" w:eastAsia="Times New Roman" w:hAnsi="Garamond" w:cs="Arial"/>
                <w:sz w:val="10"/>
                <w:szCs w:val="10"/>
                <w:lang w:eastAsia="sq-AL"/>
              </w:rPr>
            </w:pPr>
            <w:r w:rsidRPr="009F02F5">
              <w:rPr>
                <w:rFonts w:ascii="Garamond" w:eastAsia="Times New Roman" w:hAnsi="Garamond" w:cs="Arial"/>
                <w:sz w:val="10"/>
                <w:szCs w:val="10"/>
                <w:lang w:eastAsia="sq-AL"/>
              </w:rPr>
              <w:t> </w:t>
            </w:r>
          </w:p>
        </w:tc>
        <w:tc>
          <w:tcPr>
            <w:tcW w:w="259" w:type="pct"/>
            <w:tcBorders>
              <w:top w:val="nil"/>
              <w:left w:val="nil"/>
              <w:bottom w:val="single" w:sz="4" w:space="0" w:color="auto"/>
              <w:right w:val="single" w:sz="4" w:space="0" w:color="auto"/>
            </w:tcBorders>
            <w:shd w:val="clear" w:color="000000" w:fill="C0C0C0"/>
            <w:noWrap/>
            <w:vAlign w:val="center"/>
            <w:hideMark/>
          </w:tcPr>
          <w:p w14:paraId="1BADD63C"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59" w:type="pct"/>
            <w:tcBorders>
              <w:top w:val="nil"/>
              <w:left w:val="nil"/>
              <w:bottom w:val="single" w:sz="4" w:space="0" w:color="auto"/>
              <w:right w:val="single" w:sz="4" w:space="0" w:color="auto"/>
            </w:tcBorders>
            <w:shd w:val="clear" w:color="000000" w:fill="C0C0C0"/>
            <w:noWrap/>
            <w:vAlign w:val="center"/>
            <w:hideMark/>
          </w:tcPr>
          <w:p w14:paraId="1BADD63D"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52" w:type="pct"/>
            <w:tcBorders>
              <w:top w:val="nil"/>
              <w:left w:val="nil"/>
              <w:bottom w:val="single" w:sz="4" w:space="0" w:color="auto"/>
              <w:right w:val="single" w:sz="4" w:space="0" w:color="auto"/>
            </w:tcBorders>
            <w:shd w:val="clear" w:color="000000" w:fill="C0C0C0"/>
            <w:noWrap/>
            <w:vAlign w:val="center"/>
            <w:hideMark/>
          </w:tcPr>
          <w:p w14:paraId="1BADD63E"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61" w:type="pct"/>
            <w:tcBorders>
              <w:top w:val="nil"/>
              <w:left w:val="nil"/>
              <w:bottom w:val="single" w:sz="4" w:space="0" w:color="auto"/>
              <w:right w:val="single" w:sz="4" w:space="0" w:color="auto"/>
            </w:tcBorders>
            <w:shd w:val="clear" w:color="000000" w:fill="C0C0C0"/>
            <w:noWrap/>
            <w:vAlign w:val="center"/>
            <w:hideMark/>
          </w:tcPr>
          <w:p w14:paraId="1BADD63F"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192" w:type="pct"/>
            <w:tcBorders>
              <w:top w:val="nil"/>
              <w:left w:val="nil"/>
              <w:bottom w:val="single" w:sz="4" w:space="0" w:color="auto"/>
              <w:right w:val="single" w:sz="4" w:space="0" w:color="auto"/>
            </w:tcBorders>
            <w:shd w:val="clear" w:color="000000" w:fill="C0C0C0"/>
            <w:noWrap/>
            <w:vAlign w:val="center"/>
            <w:hideMark/>
          </w:tcPr>
          <w:p w14:paraId="1BADD640"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37" w:type="pct"/>
            <w:tcBorders>
              <w:top w:val="nil"/>
              <w:left w:val="nil"/>
              <w:bottom w:val="single" w:sz="4" w:space="0" w:color="auto"/>
              <w:right w:val="single" w:sz="4" w:space="0" w:color="auto"/>
            </w:tcBorders>
            <w:shd w:val="clear" w:color="000000" w:fill="C0C0C0"/>
            <w:noWrap/>
            <w:vAlign w:val="center"/>
            <w:hideMark/>
          </w:tcPr>
          <w:p w14:paraId="1BADD641"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95" w:type="pct"/>
            <w:tcBorders>
              <w:top w:val="nil"/>
              <w:left w:val="nil"/>
              <w:bottom w:val="single" w:sz="4" w:space="0" w:color="auto"/>
              <w:right w:val="single" w:sz="4" w:space="0" w:color="auto"/>
            </w:tcBorders>
            <w:shd w:val="clear" w:color="000000" w:fill="C0C0C0"/>
            <w:noWrap/>
            <w:vAlign w:val="center"/>
            <w:hideMark/>
          </w:tcPr>
          <w:p w14:paraId="1BADD642" w14:textId="77777777" w:rsidR="003F17B7" w:rsidRPr="009F02F5" w:rsidRDefault="003F17B7" w:rsidP="003F17B7">
            <w:pPr>
              <w:spacing w:after="0" w:line="240" w:lineRule="auto"/>
              <w:jc w:val="center"/>
              <w:outlineLvl w:val="0"/>
              <w:rPr>
                <w:rFonts w:ascii="Garamond" w:eastAsia="Times New Roman" w:hAnsi="Garamond" w:cs="Arial"/>
                <w:i/>
                <w:iCs/>
                <w:sz w:val="10"/>
                <w:szCs w:val="10"/>
                <w:lang w:eastAsia="sq-AL"/>
              </w:rPr>
            </w:pPr>
            <w:r w:rsidRPr="009F02F5">
              <w:rPr>
                <w:rFonts w:ascii="Garamond" w:eastAsia="Times New Roman" w:hAnsi="Garamond" w:cs="Arial"/>
                <w:i/>
                <w:iCs/>
                <w:sz w:val="10"/>
                <w:szCs w:val="10"/>
                <w:lang w:eastAsia="sq-AL"/>
              </w:rPr>
              <w:t> </w:t>
            </w:r>
          </w:p>
        </w:tc>
        <w:tc>
          <w:tcPr>
            <w:tcW w:w="286" w:type="pct"/>
            <w:tcBorders>
              <w:top w:val="nil"/>
              <w:left w:val="nil"/>
              <w:bottom w:val="single" w:sz="4" w:space="0" w:color="auto"/>
              <w:right w:val="single" w:sz="4" w:space="0" w:color="auto"/>
            </w:tcBorders>
            <w:shd w:val="clear" w:color="000000" w:fill="C0C0C0"/>
            <w:noWrap/>
            <w:vAlign w:val="center"/>
            <w:hideMark/>
          </w:tcPr>
          <w:p w14:paraId="1BADD643" w14:textId="77777777" w:rsidR="003F17B7" w:rsidRPr="009F02F5" w:rsidRDefault="003F17B7" w:rsidP="003F17B7">
            <w:pPr>
              <w:spacing w:after="0" w:line="240" w:lineRule="auto"/>
              <w:jc w:val="center"/>
              <w:outlineLvl w:val="0"/>
              <w:rPr>
                <w:rFonts w:ascii="Garamond" w:eastAsia="Times New Roman" w:hAnsi="Garamond" w:cs="Arial"/>
                <w:sz w:val="10"/>
                <w:szCs w:val="10"/>
                <w:lang w:eastAsia="sq-AL"/>
              </w:rPr>
            </w:pPr>
            <w:r w:rsidRPr="009F02F5">
              <w:rPr>
                <w:rFonts w:ascii="Garamond" w:eastAsia="Times New Roman" w:hAnsi="Garamond" w:cs="Arial"/>
                <w:sz w:val="10"/>
                <w:szCs w:val="10"/>
                <w:lang w:eastAsia="sq-AL"/>
              </w:rPr>
              <w:t> </w:t>
            </w:r>
          </w:p>
        </w:tc>
      </w:tr>
      <w:tr w:rsidR="003F17B7" w:rsidRPr="009F02F5" w14:paraId="1BADD652" w14:textId="77777777" w:rsidTr="008B1278">
        <w:trPr>
          <w:trHeight w:val="180"/>
        </w:trPr>
        <w:tc>
          <w:tcPr>
            <w:tcW w:w="1181" w:type="pct"/>
            <w:tcBorders>
              <w:top w:val="nil"/>
              <w:left w:val="nil"/>
              <w:bottom w:val="nil"/>
              <w:right w:val="nil"/>
            </w:tcBorders>
            <w:shd w:val="clear" w:color="auto" w:fill="auto"/>
            <w:noWrap/>
            <w:vAlign w:val="center"/>
            <w:hideMark/>
          </w:tcPr>
          <w:p w14:paraId="1BADD645"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1032" w:type="pct"/>
            <w:tcBorders>
              <w:top w:val="nil"/>
              <w:left w:val="nil"/>
              <w:bottom w:val="nil"/>
              <w:right w:val="nil"/>
            </w:tcBorders>
            <w:shd w:val="clear" w:color="auto" w:fill="auto"/>
            <w:noWrap/>
            <w:vAlign w:val="center"/>
            <w:hideMark/>
          </w:tcPr>
          <w:p w14:paraId="1BADD646"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647"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1" w:type="pct"/>
            <w:tcBorders>
              <w:top w:val="nil"/>
              <w:left w:val="nil"/>
              <w:bottom w:val="nil"/>
              <w:right w:val="nil"/>
            </w:tcBorders>
            <w:shd w:val="clear" w:color="auto" w:fill="auto"/>
            <w:noWrap/>
            <w:vAlign w:val="center"/>
            <w:hideMark/>
          </w:tcPr>
          <w:p w14:paraId="1BADD648"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8" w:type="pct"/>
            <w:tcBorders>
              <w:top w:val="nil"/>
              <w:left w:val="nil"/>
              <w:bottom w:val="nil"/>
              <w:right w:val="nil"/>
            </w:tcBorders>
            <w:shd w:val="clear" w:color="auto" w:fill="auto"/>
            <w:noWrap/>
            <w:vAlign w:val="center"/>
            <w:hideMark/>
          </w:tcPr>
          <w:p w14:paraId="1BADD649"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64A"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64B"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2" w:type="pct"/>
            <w:tcBorders>
              <w:top w:val="nil"/>
              <w:left w:val="nil"/>
              <w:bottom w:val="nil"/>
              <w:right w:val="nil"/>
            </w:tcBorders>
            <w:shd w:val="clear" w:color="auto" w:fill="auto"/>
            <w:noWrap/>
            <w:vAlign w:val="center"/>
            <w:hideMark/>
          </w:tcPr>
          <w:p w14:paraId="1BADD64C"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61" w:type="pct"/>
            <w:tcBorders>
              <w:top w:val="nil"/>
              <w:left w:val="nil"/>
              <w:bottom w:val="nil"/>
              <w:right w:val="nil"/>
            </w:tcBorders>
            <w:shd w:val="clear" w:color="auto" w:fill="auto"/>
            <w:noWrap/>
            <w:vAlign w:val="center"/>
            <w:hideMark/>
          </w:tcPr>
          <w:p w14:paraId="1BADD64D"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192" w:type="pct"/>
            <w:tcBorders>
              <w:top w:val="nil"/>
              <w:left w:val="nil"/>
              <w:bottom w:val="nil"/>
              <w:right w:val="nil"/>
            </w:tcBorders>
            <w:shd w:val="clear" w:color="auto" w:fill="auto"/>
            <w:noWrap/>
            <w:vAlign w:val="center"/>
            <w:hideMark/>
          </w:tcPr>
          <w:p w14:paraId="1BADD64E"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64F"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95" w:type="pct"/>
            <w:tcBorders>
              <w:top w:val="nil"/>
              <w:left w:val="nil"/>
              <w:bottom w:val="nil"/>
              <w:right w:val="nil"/>
            </w:tcBorders>
            <w:shd w:val="clear" w:color="auto" w:fill="auto"/>
            <w:noWrap/>
            <w:vAlign w:val="center"/>
            <w:hideMark/>
          </w:tcPr>
          <w:p w14:paraId="1BADD650"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86" w:type="pct"/>
            <w:tcBorders>
              <w:top w:val="nil"/>
              <w:left w:val="nil"/>
              <w:bottom w:val="nil"/>
              <w:right w:val="nil"/>
            </w:tcBorders>
            <w:shd w:val="clear" w:color="auto" w:fill="auto"/>
            <w:noWrap/>
            <w:vAlign w:val="center"/>
            <w:hideMark/>
          </w:tcPr>
          <w:p w14:paraId="1BADD651"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r>
      <w:tr w:rsidR="003F17B7" w:rsidRPr="009F02F5" w14:paraId="1BADD660" w14:textId="77777777" w:rsidTr="008B1278">
        <w:trPr>
          <w:trHeight w:val="180"/>
        </w:trPr>
        <w:tc>
          <w:tcPr>
            <w:tcW w:w="1181" w:type="pct"/>
            <w:tcBorders>
              <w:top w:val="nil"/>
              <w:left w:val="nil"/>
              <w:bottom w:val="nil"/>
              <w:right w:val="nil"/>
            </w:tcBorders>
            <w:shd w:val="clear" w:color="auto" w:fill="auto"/>
            <w:noWrap/>
            <w:vAlign w:val="center"/>
            <w:hideMark/>
          </w:tcPr>
          <w:p w14:paraId="1BADD653"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1032" w:type="pct"/>
            <w:tcBorders>
              <w:top w:val="nil"/>
              <w:left w:val="nil"/>
              <w:bottom w:val="nil"/>
              <w:right w:val="nil"/>
            </w:tcBorders>
            <w:shd w:val="clear" w:color="auto" w:fill="auto"/>
            <w:noWrap/>
            <w:vAlign w:val="center"/>
            <w:hideMark/>
          </w:tcPr>
          <w:p w14:paraId="1BADD654"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655"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1" w:type="pct"/>
            <w:tcBorders>
              <w:top w:val="nil"/>
              <w:left w:val="nil"/>
              <w:bottom w:val="nil"/>
              <w:right w:val="nil"/>
            </w:tcBorders>
            <w:shd w:val="clear" w:color="auto" w:fill="auto"/>
            <w:noWrap/>
            <w:vAlign w:val="center"/>
            <w:hideMark/>
          </w:tcPr>
          <w:p w14:paraId="1BADD656"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8" w:type="pct"/>
            <w:tcBorders>
              <w:top w:val="nil"/>
              <w:left w:val="nil"/>
              <w:bottom w:val="nil"/>
              <w:right w:val="nil"/>
            </w:tcBorders>
            <w:shd w:val="clear" w:color="auto" w:fill="auto"/>
            <w:noWrap/>
            <w:vAlign w:val="center"/>
            <w:hideMark/>
          </w:tcPr>
          <w:p w14:paraId="1BADD657"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658"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659"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2" w:type="pct"/>
            <w:tcBorders>
              <w:top w:val="nil"/>
              <w:left w:val="nil"/>
              <w:bottom w:val="nil"/>
              <w:right w:val="nil"/>
            </w:tcBorders>
            <w:shd w:val="clear" w:color="auto" w:fill="auto"/>
            <w:noWrap/>
            <w:vAlign w:val="center"/>
            <w:hideMark/>
          </w:tcPr>
          <w:p w14:paraId="1BADD65A"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61" w:type="pct"/>
            <w:tcBorders>
              <w:top w:val="nil"/>
              <w:left w:val="nil"/>
              <w:bottom w:val="nil"/>
              <w:right w:val="nil"/>
            </w:tcBorders>
            <w:shd w:val="clear" w:color="auto" w:fill="auto"/>
            <w:noWrap/>
            <w:vAlign w:val="center"/>
            <w:hideMark/>
          </w:tcPr>
          <w:p w14:paraId="1BADD65B"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192" w:type="pct"/>
            <w:tcBorders>
              <w:top w:val="nil"/>
              <w:left w:val="nil"/>
              <w:bottom w:val="nil"/>
              <w:right w:val="nil"/>
            </w:tcBorders>
            <w:shd w:val="clear" w:color="auto" w:fill="auto"/>
            <w:noWrap/>
            <w:vAlign w:val="center"/>
            <w:hideMark/>
          </w:tcPr>
          <w:p w14:paraId="1BADD65C"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65D"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95" w:type="pct"/>
            <w:tcBorders>
              <w:top w:val="nil"/>
              <w:left w:val="nil"/>
              <w:bottom w:val="nil"/>
              <w:right w:val="nil"/>
            </w:tcBorders>
            <w:shd w:val="clear" w:color="auto" w:fill="auto"/>
            <w:noWrap/>
            <w:vAlign w:val="center"/>
            <w:hideMark/>
          </w:tcPr>
          <w:p w14:paraId="1BADD65E"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86" w:type="pct"/>
            <w:tcBorders>
              <w:top w:val="nil"/>
              <w:left w:val="nil"/>
              <w:bottom w:val="nil"/>
              <w:right w:val="nil"/>
            </w:tcBorders>
            <w:shd w:val="clear" w:color="auto" w:fill="auto"/>
            <w:noWrap/>
            <w:vAlign w:val="center"/>
            <w:hideMark/>
          </w:tcPr>
          <w:p w14:paraId="1BADD65F"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r>
      <w:tr w:rsidR="003F17B7" w:rsidRPr="009F02F5" w14:paraId="1BADD66E" w14:textId="77777777" w:rsidTr="008B1278">
        <w:trPr>
          <w:trHeight w:val="180"/>
        </w:trPr>
        <w:tc>
          <w:tcPr>
            <w:tcW w:w="1181" w:type="pct"/>
            <w:tcBorders>
              <w:top w:val="nil"/>
              <w:left w:val="nil"/>
              <w:bottom w:val="nil"/>
              <w:right w:val="nil"/>
            </w:tcBorders>
            <w:shd w:val="clear" w:color="auto" w:fill="auto"/>
            <w:noWrap/>
            <w:vAlign w:val="center"/>
            <w:hideMark/>
          </w:tcPr>
          <w:p w14:paraId="1BADD661" w14:textId="62B07EE6" w:rsidR="003F17B7" w:rsidRPr="009F02F5" w:rsidRDefault="003F17B7" w:rsidP="003F17B7">
            <w:pPr>
              <w:spacing w:after="0" w:line="240" w:lineRule="auto"/>
              <w:rPr>
                <w:rFonts w:ascii="Garamond" w:eastAsia="Times New Roman" w:hAnsi="Garamond" w:cs="Arial"/>
                <w:sz w:val="10"/>
                <w:szCs w:val="10"/>
                <w:lang w:eastAsia="sq-AL"/>
              </w:rPr>
            </w:pPr>
            <w:r w:rsidRPr="009F02F5">
              <w:rPr>
                <w:rFonts w:ascii="Garamond" w:eastAsia="Times New Roman" w:hAnsi="Garamond" w:cs="Arial"/>
                <w:sz w:val="10"/>
                <w:szCs w:val="10"/>
                <w:lang w:eastAsia="sq-AL"/>
              </w:rPr>
              <w:t xml:space="preserve">(*) 15 </w:t>
            </w:r>
            <w:r w:rsidR="00F5200F" w:rsidRPr="009F02F5">
              <w:rPr>
                <w:rFonts w:ascii="Garamond" w:eastAsia="Times New Roman" w:hAnsi="Garamond" w:cs="Arial"/>
                <w:sz w:val="10"/>
                <w:szCs w:val="10"/>
                <w:lang w:eastAsia="sq-AL"/>
              </w:rPr>
              <w:t>shkurt</w:t>
            </w:r>
          </w:p>
        </w:tc>
        <w:tc>
          <w:tcPr>
            <w:tcW w:w="1032" w:type="pct"/>
            <w:tcBorders>
              <w:top w:val="nil"/>
              <w:left w:val="nil"/>
              <w:bottom w:val="nil"/>
              <w:right w:val="nil"/>
            </w:tcBorders>
            <w:shd w:val="clear" w:color="auto" w:fill="auto"/>
            <w:noWrap/>
            <w:vAlign w:val="center"/>
            <w:hideMark/>
          </w:tcPr>
          <w:p w14:paraId="1BADD662"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663"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1" w:type="pct"/>
            <w:tcBorders>
              <w:top w:val="nil"/>
              <w:left w:val="nil"/>
              <w:bottom w:val="nil"/>
              <w:right w:val="nil"/>
            </w:tcBorders>
            <w:shd w:val="clear" w:color="auto" w:fill="auto"/>
            <w:noWrap/>
            <w:vAlign w:val="center"/>
            <w:hideMark/>
          </w:tcPr>
          <w:p w14:paraId="1BADD664"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8" w:type="pct"/>
            <w:tcBorders>
              <w:top w:val="nil"/>
              <w:left w:val="nil"/>
              <w:bottom w:val="nil"/>
              <w:right w:val="nil"/>
            </w:tcBorders>
            <w:shd w:val="clear" w:color="auto" w:fill="auto"/>
            <w:noWrap/>
            <w:vAlign w:val="center"/>
            <w:hideMark/>
          </w:tcPr>
          <w:p w14:paraId="1BADD665"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666"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9" w:type="pct"/>
            <w:tcBorders>
              <w:top w:val="nil"/>
              <w:left w:val="nil"/>
              <w:bottom w:val="nil"/>
              <w:right w:val="nil"/>
            </w:tcBorders>
            <w:shd w:val="clear" w:color="auto" w:fill="auto"/>
            <w:noWrap/>
            <w:vAlign w:val="center"/>
            <w:hideMark/>
          </w:tcPr>
          <w:p w14:paraId="1BADD667"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52" w:type="pct"/>
            <w:tcBorders>
              <w:top w:val="nil"/>
              <w:left w:val="nil"/>
              <w:bottom w:val="nil"/>
              <w:right w:val="nil"/>
            </w:tcBorders>
            <w:shd w:val="clear" w:color="auto" w:fill="auto"/>
            <w:noWrap/>
            <w:vAlign w:val="center"/>
            <w:hideMark/>
          </w:tcPr>
          <w:p w14:paraId="1BADD668"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61" w:type="pct"/>
            <w:tcBorders>
              <w:top w:val="nil"/>
              <w:left w:val="nil"/>
              <w:bottom w:val="nil"/>
              <w:right w:val="nil"/>
            </w:tcBorders>
            <w:shd w:val="clear" w:color="auto" w:fill="auto"/>
            <w:noWrap/>
            <w:vAlign w:val="center"/>
            <w:hideMark/>
          </w:tcPr>
          <w:p w14:paraId="1BADD669"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192" w:type="pct"/>
            <w:tcBorders>
              <w:top w:val="nil"/>
              <w:left w:val="nil"/>
              <w:bottom w:val="nil"/>
              <w:right w:val="nil"/>
            </w:tcBorders>
            <w:shd w:val="clear" w:color="auto" w:fill="auto"/>
            <w:noWrap/>
            <w:vAlign w:val="center"/>
            <w:hideMark/>
          </w:tcPr>
          <w:p w14:paraId="1BADD66A"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37" w:type="pct"/>
            <w:tcBorders>
              <w:top w:val="nil"/>
              <w:left w:val="nil"/>
              <w:bottom w:val="nil"/>
              <w:right w:val="nil"/>
            </w:tcBorders>
            <w:shd w:val="clear" w:color="auto" w:fill="auto"/>
            <w:noWrap/>
            <w:vAlign w:val="center"/>
            <w:hideMark/>
          </w:tcPr>
          <w:p w14:paraId="1BADD66B"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95" w:type="pct"/>
            <w:tcBorders>
              <w:top w:val="nil"/>
              <w:left w:val="nil"/>
              <w:bottom w:val="nil"/>
              <w:right w:val="nil"/>
            </w:tcBorders>
            <w:shd w:val="clear" w:color="auto" w:fill="auto"/>
            <w:noWrap/>
            <w:vAlign w:val="center"/>
            <w:hideMark/>
          </w:tcPr>
          <w:p w14:paraId="1BADD66C"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c>
          <w:tcPr>
            <w:tcW w:w="286" w:type="pct"/>
            <w:tcBorders>
              <w:top w:val="nil"/>
              <w:left w:val="nil"/>
              <w:bottom w:val="nil"/>
              <w:right w:val="nil"/>
            </w:tcBorders>
            <w:shd w:val="clear" w:color="auto" w:fill="auto"/>
            <w:noWrap/>
            <w:vAlign w:val="center"/>
            <w:hideMark/>
          </w:tcPr>
          <w:p w14:paraId="1BADD66D" w14:textId="77777777" w:rsidR="003F17B7" w:rsidRPr="009F02F5" w:rsidRDefault="003F17B7" w:rsidP="003F17B7">
            <w:pPr>
              <w:spacing w:after="0" w:line="240" w:lineRule="auto"/>
              <w:jc w:val="center"/>
              <w:rPr>
                <w:rFonts w:ascii="Garamond" w:eastAsia="Times New Roman" w:hAnsi="Garamond" w:cs="Arial"/>
                <w:sz w:val="10"/>
                <w:szCs w:val="10"/>
                <w:lang w:eastAsia="sq-AL"/>
              </w:rPr>
            </w:pPr>
          </w:p>
        </w:tc>
      </w:tr>
    </w:tbl>
    <w:p w14:paraId="1BADD66F" w14:textId="77777777" w:rsidR="003F17B7" w:rsidRPr="00551729" w:rsidRDefault="003F17B7" w:rsidP="00E10FA6">
      <w:pPr>
        <w:pStyle w:val="TEKSTIII"/>
        <w:ind w:firstLine="0"/>
        <w:jc w:val="center"/>
        <w:rPr>
          <w:b/>
        </w:rPr>
      </w:pPr>
    </w:p>
    <w:p w14:paraId="1BADD670" w14:textId="77777777" w:rsidR="003F17B7" w:rsidRPr="00551729" w:rsidRDefault="003F17B7" w:rsidP="00E10FA6">
      <w:pPr>
        <w:pStyle w:val="TEKSTIII"/>
        <w:ind w:firstLine="0"/>
        <w:jc w:val="center"/>
        <w:rPr>
          <w:b/>
        </w:rPr>
      </w:pPr>
    </w:p>
    <w:p w14:paraId="1BADD671" w14:textId="77777777" w:rsidR="003F17B7" w:rsidRPr="00551729" w:rsidRDefault="003F17B7" w:rsidP="00E10FA6">
      <w:pPr>
        <w:pStyle w:val="TEKSTIII"/>
        <w:ind w:firstLine="0"/>
        <w:jc w:val="center"/>
        <w:rPr>
          <w:b/>
        </w:rPr>
      </w:pPr>
    </w:p>
    <w:p w14:paraId="1BADD672" w14:textId="77777777" w:rsidR="003F17B7" w:rsidRDefault="003F17B7" w:rsidP="00E10FA6">
      <w:pPr>
        <w:pStyle w:val="TEKSTIII"/>
        <w:ind w:firstLine="0"/>
        <w:jc w:val="center"/>
        <w:rPr>
          <w:b/>
        </w:rPr>
      </w:pPr>
    </w:p>
    <w:p w14:paraId="687CC9D5" w14:textId="77777777" w:rsidR="009F02F5" w:rsidRPr="00551729" w:rsidRDefault="009F02F5" w:rsidP="00E10FA6">
      <w:pPr>
        <w:pStyle w:val="TEKSTIII"/>
        <w:ind w:firstLine="0"/>
        <w:jc w:val="center"/>
        <w:rPr>
          <w:b/>
        </w:rPr>
      </w:pPr>
    </w:p>
    <w:p w14:paraId="1BADD673" w14:textId="77777777" w:rsidR="003F17B7" w:rsidRPr="00551729" w:rsidRDefault="003F17B7" w:rsidP="00E10FA6">
      <w:pPr>
        <w:pStyle w:val="TEKSTIII"/>
        <w:ind w:firstLine="0"/>
        <w:jc w:val="center"/>
        <w:rPr>
          <w:b/>
        </w:rPr>
      </w:pPr>
    </w:p>
    <w:tbl>
      <w:tblPr>
        <w:tblW w:w="13560" w:type="dxa"/>
        <w:jc w:val="center"/>
        <w:tblLook w:val="04A0" w:firstRow="1" w:lastRow="0" w:firstColumn="1" w:lastColumn="0" w:noHBand="0" w:noVBand="1"/>
      </w:tblPr>
      <w:tblGrid>
        <w:gridCol w:w="1620"/>
        <w:gridCol w:w="1780"/>
        <w:gridCol w:w="1700"/>
        <w:gridCol w:w="1420"/>
        <w:gridCol w:w="1720"/>
        <w:gridCol w:w="1440"/>
        <w:gridCol w:w="1440"/>
        <w:gridCol w:w="1340"/>
        <w:gridCol w:w="1100"/>
      </w:tblGrid>
      <w:tr w:rsidR="009F02F5" w:rsidRPr="009F02F5" w14:paraId="1BADD67B" w14:textId="77777777" w:rsidTr="00EC0B50">
        <w:trPr>
          <w:trHeight w:val="255"/>
          <w:jc w:val="center"/>
        </w:trPr>
        <w:tc>
          <w:tcPr>
            <w:tcW w:w="13560" w:type="dxa"/>
            <w:gridSpan w:val="9"/>
            <w:tcBorders>
              <w:top w:val="nil"/>
              <w:left w:val="nil"/>
              <w:bottom w:val="nil"/>
              <w:right w:val="nil"/>
            </w:tcBorders>
            <w:shd w:val="clear" w:color="auto" w:fill="auto"/>
            <w:noWrap/>
            <w:vAlign w:val="center"/>
            <w:hideMark/>
          </w:tcPr>
          <w:p w14:paraId="7EA87A46" w14:textId="3EB9035D" w:rsidR="00F5200F" w:rsidRPr="00F5200F" w:rsidRDefault="00F5200F" w:rsidP="00F5200F">
            <w:pPr>
              <w:spacing w:after="0" w:line="240" w:lineRule="auto"/>
              <w:jc w:val="center"/>
              <w:rPr>
                <w:rFonts w:ascii="Garamond" w:eastAsia="Times New Roman" w:hAnsi="Garamond" w:cs="Arial"/>
                <w:sz w:val="24"/>
                <w:szCs w:val="24"/>
                <w:lang w:eastAsia="sq-AL"/>
              </w:rPr>
            </w:pPr>
            <w:r w:rsidRPr="00F5200F">
              <w:rPr>
                <w:rFonts w:ascii="Garamond" w:eastAsia="Times New Roman" w:hAnsi="Garamond" w:cs="Arial"/>
                <w:sz w:val="24"/>
                <w:szCs w:val="24"/>
                <w:lang w:eastAsia="sq-AL"/>
              </w:rPr>
              <w:t>SHTOJCA IV (</w:t>
            </w:r>
            <w:r w:rsidR="008C4C05" w:rsidRPr="00F5200F">
              <w:rPr>
                <w:rFonts w:ascii="Garamond" w:eastAsia="Times New Roman" w:hAnsi="Garamond" w:cs="Arial"/>
                <w:sz w:val="24"/>
                <w:szCs w:val="24"/>
                <w:lang w:eastAsia="sq-AL"/>
              </w:rPr>
              <w:t>c</w:t>
            </w:r>
            <w:r w:rsidRPr="00F5200F">
              <w:rPr>
                <w:rFonts w:ascii="Garamond" w:eastAsia="Times New Roman" w:hAnsi="Garamond" w:cs="Arial"/>
                <w:sz w:val="24"/>
                <w:szCs w:val="24"/>
                <w:lang w:eastAsia="sq-AL"/>
              </w:rPr>
              <w:t>)</w:t>
            </w:r>
          </w:p>
          <w:p w14:paraId="1BADD67A" w14:textId="17A9D3BB" w:rsidR="009F02F5" w:rsidRPr="009F02F5" w:rsidRDefault="00F5200F" w:rsidP="00F5200F">
            <w:pPr>
              <w:spacing w:after="0" w:line="240" w:lineRule="auto"/>
              <w:jc w:val="center"/>
              <w:rPr>
                <w:rFonts w:ascii="Garamond" w:eastAsia="Times New Roman" w:hAnsi="Garamond" w:cs="Arial"/>
                <w:b/>
                <w:sz w:val="12"/>
                <w:szCs w:val="12"/>
                <w:lang w:eastAsia="sq-AL"/>
              </w:rPr>
            </w:pPr>
            <w:r w:rsidRPr="00F5200F">
              <w:rPr>
                <w:rFonts w:ascii="Garamond" w:eastAsia="Times New Roman" w:hAnsi="Garamond" w:cs="Arial"/>
                <w:sz w:val="24"/>
                <w:szCs w:val="24"/>
                <w:lang w:eastAsia="sq-AL"/>
              </w:rPr>
              <w:t>RAPORTI VJETOR I FINANCIMIT - KONTRIBUTI I THJESHTUAR I KONSOLIDUAR I BE-së</w:t>
            </w:r>
          </w:p>
        </w:tc>
      </w:tr>
      <w:tr w:rsidR="00DD0196" w:rsidRPr="009F02F5" w14:paraId="1BADD685" w14:textId="77777777" w:rsidTr="00DD0196">
        <w:trPr>
          <w:trHeight w:val="255"/>
          <w:jc w:val="center"/>
        </w:trPr>
        <w:tc>
          <w:tcPr>
            <w:tcW w:w="1620" w:type="dxa"/>
            <w:tcBorders>
              <w:top w:val="nil"/>
              <w:left w:val="nil"/>
              <w:bottom w:val="nil"/>
              <w:right w:val="nil"/>
            </w:tcBorders>
            <w:shd w:val="clear" w:color="auto" w:fill="auto"/>
            <w:noWrap/>
            <w:vAlign w:val="center"/>
            <w:hideMark/>
          </w:tcPr>
          <w:p w14:paraId="1BADD67C"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80" w:type="dxa"/>
            <w:tcBorders>
              <w:top w:val="nil"/>
              <w:left w:val="nil"/>
              <w:bottom w:val="nil"/>
              <w:right w:val="nil"/>
            </w:tcBorders>
            <w:shd w:val="clear" w:color="auto" w:fill="auto"/>
            <w:noWrap/>
            <w:vAlign w:val="center"/>
            <w:hideMark/>
          </w:tcPr>
          <w:p w14:paraId="1BADD67D"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00" w:type="dxa"/>
            <w:tcBorders>
              <w:top w:val="nil"/>
              <w:left w:val="nil"/>
              <w:bottom w:val="nil"/>
              <w:right w:val="nil"/>
            </w:tcBorders>
            <w:shd w:val="clear" w:color="auto" w:fill="auto"/>
            <w:noWrap/>
            <w:vAlign w:val="center"/>
            <w:hideMark/>
          </w:tcPr>
          <w:p w14:paraId="1BADD67E"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20" w:type="dxa"/>
            <w:tcBorders>
              <w:top w:val="nil"/>
              <w:left w:val="nil"/>
              <w:bottom w:val="nil"/>
              <w:right w:val="nil"/>
            </w:tcBorders>
            <w:shd w:val="clear" w:color="auto" w:fill="auto"/>
            <w:noWrap/>
            <w:vAlign w:val="center"/>
            <w:hideMark/>
          </w:tcPr>
          <w:p w14:paraId="1BADD67F"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20" w:type="dxa"/>
            <w:tcBorders>
              <w:top w:val="nil"/>
              <w:left w:val="nil"/>
              <w:bottom w:val="nil"/>
              <w:right w:val="nil"/>
            </w:tcBorders>
            <w:shd w:val="clear" w:color="auto" w:fill="auto"/>
            <w:noWrap/>
            <w:vAlign w:val="center"/>
            <w:hideMark/>
          </w:tcPr>
          <w:p w14:paraId="1BADD680"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81"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82"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340" w:type="dxa"/>
            <w:tcBorders>
              <w:top w:val="nil"/>
              <w:left w:val="nil"/>
              <w:bottom w:val="nil"/>
              <w:right w:val="nil"/>
            </w:tcBorders>
            <w:shd w:val="clear" w:color="auto" w:fill="auto"/>
            <w:noWrap/>
            <w:vAlign w:val="center"/>
            <w:hideMark/>
          </w:tcPr>
          <w:p w14:paraId="1BADD683"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100" w:type="dxa"/>
            <w:tcBorders>
              <w:top w:val="nil"/>
              <w:left w:val="nil"/>
              <w:bottom w:val="nil"/>
              <w:right w:val="nil"/>
            </w:tcBorders>
            <w:shd w:val="clear" w:color="auto" w:fill="auto"/>
            <w:noWrap/>
            <w:vAlign w:val="center"/>
            <w:hideMark/>
          </w:tcPr>
          <w:p w14:paraId="1BADD684"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r>
      <w:tr w:rsidR="008B1278" w:rsidRPr="009F02F5" w14:paraId="1BADD688" w14:textId="77777777" w:rsidTr="00452A6C">
        <w:trPr>
          <w:trHeight w:val="255"/>
          <w:jc w:val="center"/>
        </w:trPr>
        <w:tc>
          <w:tcPr>
            <w:tcW w:w="13560" w:type="dxa"/>
            <w:gridSpan w:val="9"/>
            <w:tcBorders>
              <w:top w:val="nil"/>
              <w:left w:val="nil"/>
              <w:bottom w:val="nil"/>
              <w:right w:val="nil"/>
            </w:tcBorders>
            <w:shd w:val="clear" w:color="auto" w:fill="auto"/>
            <w:noWrap/>
            <w:vAlign w:val="center"/>
            <w:hideMark/>
          </w:tcPr>
          <w:p w14:paraId="1BADD687" w14:textId="12529102" w:rsidR="008B1278" w:rsidRPr="008B1278" w:rsidRDefault="008B1278" w:rsidP="008B1278">
            <w:pPr>
              <w:spacing w:after="0" w:line="240" w:lineRule="auto"/>
              <w:jc w:val="center"/>
              <w:rPr>
                <w:rFonts w:ascii="Garamond" w:eastAsia="Times New Roman" w:hAnsi="Garamond" w:cs="Arial"/>
                <w:b/>
                <w:bCs/>
                <w:sz w:val="24"/>
                <w:szCs w:val="24"/>
                <w:lang w:eastAsia="sq-AL"/>
              </w:rPr>
            </w:pPr>
            <w:r w:rsidRPr="008B1278">
              <w:rPr>
                <w:rFonts w:ascii="Garamond" w:eastAsia="Times New Roman" w:hAnsi="Garamond" w:cs="Arial"/>
                <w:b/>
                <w:bCs/>
                <w:sz w:val="24"/>
                <w:szCs w:val="24"/>
                <w:lang w:eastAsia="sq-AL"/>
              </w:rPr>
              <w:t>Raporti Financiar i vendit përfitues IPA II (*)</w:t>
            </w:r>
          </w:p>
        </w:tc>
      </w:tr>
      <w:tr w:rsidR="00DD0196" w:rsidRPr="009F02F5" w14:paraId="1BADD692" w14:textId="77777777" w:rsidTr="00DD0196">
        <w:trPr>
          <w:trHeight w:val="255"/>
          <w:jc w:val="center"/>
        </w:trPr>
        <w:tc>
          <w:tcPr>
            <w:tcW w:w="1620" w:type="dxa"/>
            <w:tcBorders>
              <w:top w:val="nil"/>
              <w:left w:val="nil"/>
              <w:bottom w:val="nil"/>
              <w:right w:val="nil"/>
            </w:tcBorders>
            <w:shd w:val="clear" w:color="auto" w:fill="auto"/>
            <w:noWrap/>
            <w:vAlign w:val="center"/>
            <w:hideMark/>
          </w:tcPr>
          <w:p w14:paraId="1BADD689"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80" w:type="dxa"/>
            <w:tcBorders>
              <w:top w:val="nil"/>
              <w:left w:val="nil"/>
              <w:bottom w:val="nil"/>
              <w:right w:val="nil"/>
            </w:tcBorders>
            <w:shd w:val="clear" w:color="auto" w:fill="auto"/>
            <w:noWrap/>
            <w:vAlign w:val="center"/>
            <w:hideMark/>
          </w:tcPr>
          <w:p w14:paraId="1BADD68A"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00" w:type="dxa"/>
            <w:tcBorders>
              <w:top w:val="nil"/>
              <w:left w:val="nil"/>
              <w:bottom w:val="nil"/>
              <w:right w:val="nil"/>
            </w:tcBorders>
            <w:shd w:val="clear" w:color="auto" w:fill="auto"/>
            <w:noWrap/>
            <w:vAlign w:val="center"/>
            <w:hideMark/>
          </w:tcPr>
          <w:p w14:paraId="1BADD68B"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20" w:type="dxa"/>
            <w:tcBorders>
              <w:top w:val="nil"/>
              <w:left w:val="nil"/>
              <w:bottom w:val="nil"/>
              <w:right w:val="nil"/>
            </w:tcBorders>
            <w:shd w:val="clear" w:color="auto" w:fill="auto"/>
            <w:noWrap/>
            <w:vAlign w:val="center"/>
            <w:hideMark/>
          </w:tcPr>
          <w:p w14:paraId="1BADD68C"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20" w:type="dxa"/>
            <w:tcBorders>
              <w:top w:val="nil"/>
              <w:left w:val="nil"/>
              <w:bottom w:val="nil"/>
              <w:right w:val="nil"/>
            </w:tcBorders>
            <w:shd w:val="clear" w:color="auto" w:fill="auto"/>
            <w:noWrap/>
            <w:vAlign w:val="center"/>
            <w:hideMark/>
          </w:tcPr>
          <w:p w14:paraId="1BADD68D"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8E"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8F"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340" w:type="dxa"/>
            <w:tcBorders>
              <w:top w:val="nil"/>
              <w:left w:val="nil"/>
              <w:bottom w:val="nil"/>
              <w:right w:val="nil"/>
            </w:tcBorders>
            <w:shd w:val="clear" w:color="auto" w:fill="auto"/>
            <w:noWrap/>
            <w:vAlign w:val="center"/>
            <w:hideMark/>
          </w:tcPr>
          <w:p w14:paraId="1BADD690"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100" w:type="dxa"/>
            <w:tcBorders>
              <w:top w:val="nil"/>
              <w:left w:val="nil"/>
              <w:bottom w:val="nil"/>
              <w:right w:val="nil"/>
            </w:tcBorders>
            <w:shd w:val="clear" w:color="auto" w:fill="auto"/>
            <w:noWrap/>
            <w:vAlign w:val="center"/>
            <w:hideMark/>
          </w:tcPr>
          <w:p w14:paraId="1BADD691"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r>
      <w:tr w:rsidR="00DD0196" w:rsidRPr="009F02F5" w14:paraId="1BADD697" w14:textId="77777777" w:rsidTr="00DD0196">
        <w:trPr>
          <w:trHeight w:val="630"/>
          <w:jc w:val="center"/>
        </w:trPr>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693"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Referenca e Programit</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694"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xml:space="preserve">Numri i kontratës së Marrëveshjes së Financimit </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DD695"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Buxheti i kontributit të BE-së për Programin</w:t>
            </w:r>
          </w:p>
        </w:tc>
        <w:tc>
          <w:tcPr>
            <w:tcW w:w="8460" w:type="dxa"/>
            <w:gridSpan w:val="6"/>
            <w:tcBorders>
              <w:top w:val="single" w:sz="4" w:space="0" w:color="auto"/>
              <w:left w:val="nil"/>
              <w:bottom w:val="single" w:sz="4" w:space="0" w:color="auto"/>
              <w:right w:val="single" w:sz="4" w:space="0" w:color="auto"/>
            </w:tcBorders>
            <w:shd w:val="clear" w:color="auto" w:fill="auto"/>
            <w:vAlign w:val="center"/>
            <w:hideMark/>
          </w:tcPr>
          <w:p w14:paraId="1BADD696"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Aktivitetet e kontratave lokale</w:t>
            </w:r>
          </w:p>
        </w:tc>
      </w:tr>
      <w:tr w:rsidR="00DD0196" w:rsidRPr="009F02F5" w14:paraId="1BADD6A1" w14:textId="77777777" w:rsidTr="00DD0196">
        <w:trPr>
          <w:trHeight w:val="495"/>
          <w:jc w:val="center"/>
        </w:trPr>
        <w:tc>
          <w:tcPr>
            <w:tcW w:w="1620" w:type="dxa"/>
            <w:vMerge/>
            <w:tcBorders>
              <w:top w:val="single" w:sz="4" w:space="0" w:color="auto"/>
              <w:left w:val="single" w:sz="4" w:space="0" w:color="auto"/>
              <w:bottom w:val="single" w:sz="4" w:space="0" w:color="auto"/>
              <w:right w:val="single" w:sz="4" w:space="0" w:color="auto"/>
            </w:tcBorders>
            <w:vAlign w:val="center"/>
            <w:hideMark/>
          </w:tcPr>
          <w:p w14:paraId="1BADD698" w14:textId="77777777" w:rsidR="00DD0196" w:rsidRPr="009F02F5" w:rsidRDefault="00DD0196" w:rsidP="00DD0196">
            <w:pPr>
              <w:spacing w:after="0" w:line="240" w:lineRule="auto"/>
              <w:rPr>
                <w:rFonts w:ascii="Garamond" w:eastAsia="Times New Roman" w:hAnsi="Garamond" w:cs="Arial"/>
                <w:b/>
                <w:bCs/>
                <w:sz w:val="12"/>
                <w:szCs w:val="12"/>
                <w:lang w:eastAsia="sq-AL"/>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1BADD699" w14:textId="77777777" w:rsidR="00DD0196" w:rsidRPr="009F02F5" w:rsidRDefault="00DD0196" w:rsidP="00DD0196">
            <w:pPr>
              <w:spacing w:after="0" w:line="240" w:lineRule="auto"/>
              <w:rPr>
                <w:rFonts w:ascii="Garamond" w:eastAsia="Times New Roman" w:hAnsi="Garamond" w:cs="Arial"/>
                <w:b/>
                <w:bCs/>
                <w:sz w:val="12"/>
                <w:szCs w:val="12"/>
                <w:lang w:eastAsia="sq-AL"/>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BADD69A" w14:textId="77777777" w:rsidR="00DD0196" w:rsidRPr="009F02F5" w:rsidRDefault="00DD0196" w:rsidP="00DD0196">
            <w:pPr>
              <w:spacing w:after="0" w:line="240" w:lineRule="auto"/>
              <w:rPr>
                <w:rFonts w:ascii="Garamond" w:eastAsia="Times New Roman" w:hAnsi="Garamond" w:cs="Arial"/>
                <w:b/>
                <w:bCs/>
                <w:sz w:val="12"/>
                <w:szCs w:val="12"/>
                <w:lang w:eastAsia="sq-AL"/>
              </w:rPr>
            </w:pPr>
          </w:p>
        </w:tc>
        <w:tc>
          <w:tcPr>
            <w:tcW w:w="1420" w:type="dxa"/>
            <w:tcBorders>
              <w:top w:val="nil"/>
              <w:left w:val="nil"/>
              <w:bottom w:val="single" w:sz="4" w:space="0" w:color="auto"/>
              <w:right w:val="single" w:sz="4" w:space="0" w:color="auto"/>
            </w:tcBorders>
            <w:shd w:val="clear" w:color="auto" w:fill="auto"/>
            <w:vAlign w:val="center"/>
            <w:hideMark/>
          </w:tcPr>
          <w:p w14:paraId="1BADD69B"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Totali i shumës së kontraktuar</w:t>
            </w:r>
          </w:p>
        </w:tc>
        <w:tc>
          <w:tcPr>
            <w:tcW w:w="1720" w:type="dxa"/>
            <w:tcBorders>
              <w:top w:val="nil"/>
              <w:left w:val="nil"/>
              <w:bottom w:val="single" w:sz="4" w:space="0" w:color="auto"/>
              <w:right w:val="single" w:sz="4" w:space="0" w:color="auto"/>
            </w:tcBorders>
            <w:shd w:val="clear" w:color="auto" w:fill="auto"/>
            <w:vAlign w:val="center"/>
            <w:hideMark/>
          </w:tcPr>
          <w:p w14:paraId="1BADD69C"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Shuma totale të fondeve të papërdorura në mbyllje</w:t>
            </w:r>
          </w:p>
        </w:tc>
        <w:tc>
          <w:tcPr>
            <w:tcW w:w="1440" w:type="dxa"/>
            <w:tcBorders>
              <w:top w:val="nil"/>
              <w:left w:val="nil"/>
              <w:bottom w:val="single" w:sz="4" w:space="0" w:color="auto"/>
              <w:right w:val="single" w:sz="4" w:space="0" w:color="auto"/>
            </w:tcBorders>
            <w:shd w:val="clear" w:color="auto" w:fill="auto"/>
            <w:vAlign w:val="center"/>
            <w:hideMark/>
          </w:tcPr>
          <w:p w14:paraId="1BADD69D"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Totali i fondeve të disbursuara</w:t>
            </w:r>
          </w:p>
        </w:tc>
        <w:tc>
          <w:tcPr>
            <w:tcW w:w="1440" w:type="dxa"/>
            <w:tcBorders>
              <w:top w:val="nil"/>
              <w:left w:val="nil"/>
              <w:bottom w:val="single" w:sz="4" w:space="0" w:color="auto"/>
              <w:right w:val="single" w:sz="4" w:space="0" w:color="auto"/>
            </w:tcBorders>
            <w:shd w:val="clear" w:color="auto" w:fill="auto"/>
            <w:vAlign w:val="center"/>
            <w:hideMark/>
          </w:tcPr>
          <w:p w14:paraId="1BADD69E"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Shuma e kostove të njohura</w:t>
            </w:r>
          </w:p>
        </w:tc>
        <w:tc>
          <w:tcPr>
            <w:tcW w:w="1340" w:type="dxa"/>
            <w:tcBorders>
              <w:top w:val="nil"/>
              <w:left w:val="nil"/>
              <w:bottom w:val="single" w:sz="4" w:space="0" w:color="auto"/>
              <w:right w:val="single" w:sz="4" w:space="0" w:color="auto"/>
            </w:tcBorders>
            <w:shd w:val="clear" w:color="auto" w:fill="auto"/>
            <w:vAlign w:val="center"/>
            <w:hideMark/>
          </w:tcPr>
          <w:p w14:paraId="1BADD69F" w14:textId="10A70BFE"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xml:space="preserve">Shuma e </w:t>
            </w:r>
            <w:r w:rsidR="00B17AA1">
              <w:rPr>
                <w:rFonts w:ascii="Garamond" w:eastAsia="Times New Roman" w:hAnsi="Garamond" w:cs="Arial"/>
                <w:b/>
                <w:bCs/>
                <w:sz w:val="12"/>
                <w:szCs w:val="12"/>
                <w:lang w:eastAsia="sq-AL"/>
              </w:rPr>
              <w:t>para</w:t>
            </w:r>
            <w:r w:rsidRPr="009F02F5">
              <w:rPr>
                <w:rFonts w:ascii="Garamond" w:eastAsia="Times New Roman" w:hAnsi="Garamond" w:cs="Arial"/>
                <w:b/>
                <w:bCs/>
                <w:sz w:val="12"/>
                <w:szCs w:val="12"/>
                <w:lang w:eastAsia="sq-AL"/>
              </w:rPr>
              <w:t>financimit</w:t>
            </w:r>
          </w:p>
        </w:tc>
        <w:tc>
          <w:tcPr>
            <w:tcW w:w="1100" w:type="dxa"/>
            <w:tcBorders>
              <w:top w:val="nil"/>
              <w:left w:val="nil"/>
              <w:bottom w:val="single" w:sz="4" w:space="0" w:color="auto"/>
              <w:right w:val="single" w:sz="4" w:space="0" w:color="auto"/>
            </w:tcBorders>
            <w:shd w:val="clear" w:color="auto" w:fill="auto"/>
            <w:vAlign w:val="center"/>
            <w:hideMark/>
          </w:tcPr>
          <w:p w14:paraId="1BADD6A0"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Totali</w:t>
            </w:r>
          </w:p>
        </w:tc>
      </w:tr>
      <w:tr w:rsidR="00DD0196" w:rsidRPr="009F02F5" w14:paraId="1BADD6AB" w14:textId="77777777" w:rsidTr="00DD0196">
        <w:trPr>
          <w:trHeight w:val="255"/>
          <w:jc w:val="center"/>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1BADD6A2"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1</w:t>
            </w:r>
          </w:p>
        </w:tc>
        <w:tc>
          <w:tcPr>
            <w:tcW w:w="1780" w:type="dxa"/>
            <w:tcBorders>
              <w:top w:val="nil"/>
              <w:left w:val="nil"/>
              <w:bottom w:val="single" w:sz="4" w:space="0" w:color="auto"/>
              <w:right w:val="single" w:sz="4" w:space="0" w:color="auto"/>
            </w:tcBorders>
            <w:shd w:val="clear" w:color="auto" w:fill="auto"/>
            <w:vAlign w:val="center"/>
            <w:hideMark/>
          </w:tcPr>
          <w:p w14:paraId="1BADD6A3"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2</w:t>
            </w:r>
          </w:p>
        </w:tc>
        <w:tc>
          <w:tcPr>
            <w:tcW w:w="1700" w:type="dxa"/>
            <w:tcBorders>
              <w:top w:val="nil"/>
              <w:left w:val="nil"/>
              <w:bottom w:val="single" w:sz="4" w:space="0" w:color="auto"/>
              <w:right w:val="single" w:sz="4" w:space="0" w:color="auto"/>
            </w:tcBorders>
            <w:shd w:val="clear" w:color="auto" w:fill="auto"/>
            <w:vAlign w:val="center"/>
            <w:hideMark/>
          </w:tcPr>
          <w:p w14:paraId="1BADD6A4"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3</w:t>
            </w:r>
          </w:p>
        </w:tc>
        <w:tc>
          <w:tcPr>
            <w:tcW w:w="1420" w:type="dxa"/>
            <w:tcBorders>
              <w:top w:val="nil"/>
              <w:left w:val="nil"/>
              <w:bottom w:val="single" w:sz="4" w:space="0" w:color="auto"/>
              <w:right w:val="single" w:sz="4" w:space="0" w:color="auto"/>
            </w:tcBorders>
            <w:shd w:val="clear" w:color="auto" w:fill="auto"/>
            <w:vAlign w:val="center"/>
            <w:hideMark/>
          </w:tcPr>
          <w:p w14:paraId="1BADD6A5"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4</w:t>
            </w:r>
          </w:p>
        </w:tc>
        <w:tc>
          <w:tcPr>
            <w:tcW w:w="1720" w:type="dxa"/>
            <w:tcBorders>
              <w:top w:val="nil"/>
              <w:left w:val="nil"/>
              <w:bottom w:val="single" w:sz="4" w:space="0" w:color="auto"/>
              <w:right w:val="single" w:sz="4" w:space="0" w:color="auto"/>
            </w:tcBorders>
            <w:shd w:val="clear" w:color="auto" w:fill="auto"/>
            <w:vAlign w:val="center"/>
            <w:hideMark/>
          </w:tcPr>
          <w:p w14:paraId="1BADD6A6"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5</w:t>
            </w:r>
          </w:p>
        </w:tc>
        <w:tc>
          <w:tcPr>
            <w:tcW w:w="1440" w:type="dxa"/>
            <w:tcBorders>
              <w:top w:val="nil"/>
              <w:left w:val="nil"/>
              <w:bottom w:val="single" w:sz="4" w:space="0" w:color="auto"/>
              <w:right w:val="single" w:sz="4" w:space="0" w:color="auto"/>
            </w:tcBorders>
            <w:shd w:val="clear" w:color="auto" w:fill="auto"/>
            <w:vAlign w:val="center"/>
            <w:hideMark/>
          </w:tcPr>
          <w:p w14:paraId="1BADD6A7"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6</w:t>
            </w:r>
          </w:p>
        </w:tc>
        <w:tc>
          <w:tcPr>
            <w:tcW w:w="1440" w:type="dxa"/>
            <w:tcBorders>
              <w:top w:val="nil"/>
              <w:left w:val="nil"/>
              <w:bottom w:val="single" w:sz="4" w:space="0" w:color="auto"/>
              <w:right w:val="single" w:sz="4" w:space="0" w:color="auto"/>
            </w:tcBorders>
            <w:shd w:val="clear" w:color="auto" w:fill="auto"/>
            <w:vAlign w:val="center"/>
            <w:hideMark/>
          </w:tcPr>
          <w:p w14:paraId="1BADD6A8"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7</w:t>
            </w:r>
          </w:p>
        </w:tc>
        <w:tc>
          <w:tcPr>
            <w:tcW w:w="1340" w:type="dxa"/>
            <w:tcBorders>
              <w:top w:val="nil"/>
              <w:left w:val="nil"/>
              <w:bottom w:val="single" w:sz="4" w:space="0" w:color="auto"/>
              <w:right w:val="single" w:sz="4" w:space="0" w:color="auto"/>
            </w:tcBorders>
            <w:shd w:val="clear" w:color="auto" w:fill="auto"/>
            <w:vAlign w:val="center"/>
            <w:hideMark/>
          </w:tcPr>
          <w:p w14:paraId="1BADD6A9"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8</w:t>
            </w:r>
          </w:p>
        </w:tc>
        <w:tc>
          <w:tcPr>
            <w:tcW w:w="1100" w:type="dxa"/>
            <w:tcBorders>
              <w:top w:val="nil"/>
              <w:left w:val="nil"/>
              <w:bottom w:val="single" w:sz="4" w:space="0" w:color="auto"/>
              <w:right w:val="single" w:sz="4" w:space="0" w:color="auto"/>
            </w:tcBorders>
            <w:shd w:val="clear" w:color="auto" w:fill="auto"/>
            <w:vAlign w:val="center"/>
            <w:hideMark/>
          </w:tcPr>
          <w:p w14:paraId="1BADD6AA"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9</w:t>
            </w:r>
          </w:p>
        </w:tc>
      </w:tr>
      <w:tr w:rsidR="00DD0196" w:rsidRPr="009F02F5" w14:paraId="1BADD6B5" w14:textId="77777777" w:rsidTr="00DD0196">
        <w:trPr>
          <w:trHeight w:val="735"/>
          <w:jc w:val="center"/>
        </w:trPr>
        <w:tc>
          <w:tcPr>
            <w:tcW w:w="1620" w:type="dxa"/>
            <w:tcBorders>
              <w:top w:val="nil"/>
              <w:left w:val="single" w:sz="4" w:space="0" w:color="auto"/>
              <w:bottom w:val="single" w:sz="4" w:space="0" w:color="auto"/>
              <w:right w:val="single" w:sz="4" w:space="0" w:color="auto"/>
            </w:tcBorders>
            <w:shd w:val="clear" w:color="000000" w:fill="C0C0C0"/>
            <w:noWrap/>
            <w:vAlign w:val="center"/>
            <w:hideMark/>
          </w:tcPr>
          <w:p w14:paraId="1BADD6AC"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NP2010</w:t>
            </w:r>
          </w:p>
        </w:tc>
        <w:tc>
          <w:tcPr>
            <w:tcW w:w="1780" w:type="dxa"/>
            <w:tcBorders>
              <w:top w:val="nil"/>
              <w:left w:val="nil"/>
              <w:bottom w:val="single" w:sz="4" w:space="0" w:color="auto"/>
              <w:right w:val="single" w:sz="4" w:space="0" w:color="auto"/>
            </w:tcBorders>
            <w:shd w:val="clear" w:color="000000" w:fill="C0C0C0"/>
            <w:vAlign w:val="center"/>
            <w:hideMark/>
          </w:tcPr>
          <w:p w14:paraId="1BADD6AD"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2010/123-456</w:t>
            </w:r>
          </w:p>
        </w:tc>
        <w:tc>
          <w:tcPr>
            <w:tcW w:w="1700" w:type="dxa"/>
            <w:tcBorders>
              <w:top w:val="nil"/>
              <w:left w:val="nil"/>
              <w:bottom w:val="single" w:sz="4" w:space="0" w:color="auto"/>
              <w:right w:val="single" w:sz="4" w:space="0" w:color="auto"/>
            </w:tcBorders>
            <w:shd w:val="clear" w:color="000000" w:fill="C0C0C0"/>
            <w:noWrap/>
            <w:vAlign w:val="center"/>
            <w:hideMark/>
          </w:tcPr>
          <w:p w14:paraId="1BADD6AE"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c>
          <w:tcPr>
            <w:tcW w:w="1420" w:type="dxa"/>
            <w:tcBorders>
              <w:top w:val="nil"/>
              <w:left w:val="nil"/>
              <w:bottom w:val="single" w:sz="4" w:space="0" w:color="auto"/>
              <w:right w:val="single" w:sz="4" w:space="0" w:color="auto"/>
            </w:tcBorders>
            <w:shd w:val="clear" w:color="000000" w:fill="C0C0C0"/>
            <w:noWrap/>
            <w:vAlign w:val="center"/>
            <w:hideMark/>
          </w:tcPr>
          <w:p w14:paraId="1BADD6AF"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c>
          <w:tcPr>
            <w:tcW w:w="1720" w:type="dxa"/>
            <w:tcBorders>
              <w:top w:val="nil"/>
              <w:left w:val="nil"/>
              <w:bottom w:val="single" w:sz="4" w:space="0" w:color="auto"/>
              <w:right w:val="single" w:sz="4" w:space="0" w:color="auto"/>
            </w:tcBorders>
            <w:shd w:val="clear" w:color="000000" w:fill="C0C0C0"/>
            <w:noWrap/>
            <w:vAlign w:val="center"/>
            <w:hideMark/>
          </w:tcPr>
          <w:p w14:paraId="1BADD6B0"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c>
          <w:tcPr>
            <w:tcW w:w="1440" w:type="dxa"/>
            <w:tcBorders>
              <w:top w:val="nil"/>
              <w:left w:val="nil"/>
              <w:bottom w:val="single" w:sz="4" w:space="0" w:color="auto"/>
              <w:right w:val="single" w:sz="4" w:space="0" w:color="auto"/>
            </w:tcBorders>
            <w:shd w:val="clear" w:color="000000" w:fill="C0C0C0"/>
            <w:noWrap/>
            <w:vAlign w:val="center"/>
            <w:hideMark/>
          </w:tcPr>
          <w:p w14:paraId="1BADD6B1"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c>
          <w:tcPr>
            <w:tcW w:w="1440" w:type="dxa"/>
            <w:tcBorders>
              <w:top w:val="nil"/>
              <w:left w:val="nil"/>
              <w:bottom w:val="single" w:sz="4" w:space="0" w:color="auto"/>
              <w:right w:val="single" w:sz="4" w:space="0" w:color="auto"/>
            </w:tcBorders>
            <w:shd w:val="clear" w:color="000000" w:fill="C0C0C0"/>
            <w:noWrap/>
            <w:vAlign w:val="center"/>
            <w:hideMark/>
          </w:tcPr>
          <w:p w14:paraId="1BADD6B2"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c>
          <w:tcPr>
            <w:tcW w:w="1340" w:type="dxa"/>
            <w:tcBorders>
              <w:top w:val="nil"/>
              <w:left w:val="nil"/>
              <w:bottom w:val="single" w:sz="4" w:space="0" w:color="auto"/>
              <w:right w:val="single" w:sz="4" w:space="0" w:color="auto"/>
            </w:tcBorders>
            <w:shd w:val="clear" w:color="000000" w:fill="C0C0C0"/>
            <w:noWrap/>
            <w:vAlign w:val="center"/>
            <w:hideMark/>
          </w:tcPr>
          <w:p w14:paraId="1BADD6B3"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c>
          <w:tcPr>
            <w:tcW w:w="1100" w:type="dxa"/>
            <w:tcBorders>
              <w:top w:val="nil"/>
              <w:left w:val="nil"/>
              <w:bottom w:val="single" w:sz="4" w:space="0" w:color="auto"/>
              <w:right w:val="single" w:sz="4" w:space="0" w:color="auto"/>
            </w:tcBorders>
            <w:shd w:val="clear" w:color="000000" w:fill="C0C0C0"/>
            <w:noWrap/>
            <w:vAlign w:val="center"/>
            <w:hideMark/>
          </w:tcPr>
          <w:p w14:paraId="1BADD6B4" w14:textId="77777777" w:rsidR="00DD0196" w:rsidRPr="009F02F5" w:rsidRDefault="00DD0196" w:rsidP="00DD0196">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r>
      <w:tr w:rsidR="00DD0196" w:rsidRPr="009F02F5" w14:paraId="1BADD6BF" w14:textId="77777777" w:rsidTr="00DD0196">
        <w:trPr>
          <w:trHeight w:val="255"/>
          <w:jc w:val="center"/>
        </w:trPr>
        <w:tc>
          <w:tcPr>
            <w:tcW w:w="1620" w:type="dxa"/>
            <w:tcBorders>
              <w:top w:val="nil"/>
              <w:left w:val="nil"/>
              <w:bottom w:val="nil"/>
              <w:right w:val="nil"/>
            </w:tcBorders>
            <w:shd w:val="clear" w:color="auto" w:fill="auto"/>
            <w:noWrap/>
            <w:vAlign w:val="center"/>
            <w:hideMark/>
          </w:tcPr>
          <w:p w14:paraId="1BADD6B6"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80" w:type="dxa"/>
            <w:tcBorders>
              <w:top w:val="nil"/>
              <w:left w:val="nil"/>
              <w:bottom w:val="nil"/>
              <w:right w:val="nil"/>
            </w:tcBorders>
            <w:shd w:val="clear" w:color="auto" w:fill="auto"/>
            <w:noWrap/>
            <w:vAlign w:val="center"/>
            <w:hideMark/>
          </w:tcPr>
          <w:p w14:paraId="1BADD6B7"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00" w:type="dxa"/>
            <w:tcBorders>
              <w:top w:val="nil"/>
              <w:left w:val="nil"/>
              <w:bottom w:val="nil"/>
              <w:right w:val="nil"/>
            </w:tcBorders>
            <w:shd w:val="clear" w:color="auto" w:fill="auto"/>
            <w:noWrap/>
            <w:vAlign w:val="center"/>
            <w:hideMark/>
          </w:tcPr>
          <w:p w14:paraId="1BADD6B8"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20" w:type="dxa"/>
            <w:tcBorders>
              <w:top w:val="nil"/>
              <w:left w:val="nil"/>
              <w:bottom w:val="nil"/>
              <w:right w:val="nil"/>
            </w:tcBorders>
            <w:shd w:val="clear" w:color="auto" w:fill="auto"/>
            <w:noWrap/>
            <w:vAlign w:val="center"/>
            <w:hideMark/>
          </w:tcPr>
          <w:p w14:paraId="1BADD6B9"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20" w:type="dxa"/>
            <w:tcBorders>
              <w:top w:val="nil"/>
              <w:left w:val="nil"/>
              <w:bottom w:val="nil"/>
              <w:right w:val="nil"/>
            </w:tcBorders>
            <w:shd w:val="clear" w:color="auto" w:fill="auto"/>
            <w:noWrap/>
            <w:vAlign w:val="center"/>
            <w:hideMark/>
          </w:tcPr>
          <w:p w14:paraId="1BADD6BA"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BB"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BC"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340" w:type="dxa"/>
            <w:tcBorders>
              <w:top w:val="nil"/>
              <w:left w:val="nil"/>
              <w:bottom w:val="nil"/>
              <w:right w:val="nil"/>
            </w:tcBorders>
            <w:shd w:val="clear" w:color="auto" w:fill="auto"/>
            <w:noWrap/>
            <w:vAlign w:val="center"/>
            <w:hideMark/>
          </w:tcPr>
          <w:p w14:paraId="1BADD6BD"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100" w:type="dxa"/>
            <w:tcBorders>
              <w:top w:val="nil"/>
              <w:left w:val="nil"/>
              <w:bottom w:val="nil"/>
              <w:right w:val="nil"/>
            </w:tcBorders>
            <w:shd w:val="clear" w:color="auto" w:fill="auto"/>
            <w:noWrap/>
            <w:vAlign w:val="center"/>
            <w:hideMark/>
          </w:tcPr>
          <w:p w14:paraId="1BADD6BE"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r>
      <w:tr w:rsidR="00DD0196" w:rsidRPr="009F02F5" w14:paraId="1BADD6C9" w14:textId="77777777" w:rsidTr="00DD0196">
        <w:trPr>
          <w:trHeight w:val="255"/>
          <w:jc w:val="center"/>
        </w:trPr>
        <w:tc>
          <w:tcPr>
            <w:tcW w:w="1620" w:type="dxa"/>
            <w:tcBorders>
              <w:top w:val="nil"/>
              <w:left w:val="nil"/>
              <w:bottom w:val="nil"/>
              <w:right w:val="nil"/>
            </w:tcBorders>
            <w:shd w:val="clear" w:color="auto" w:fill="auto"/>
            <w:noWrap/>
            <w:vAlign w:val="center"/>
            <w:hideMark/>
          </w:tcPr>
          <w:p w14:paraId="1BADD6C0" w14:textId="77777777" w:rsidR="00DD0196" w:rsidRPr="009F02F5" w:rsidRDefault="00DD0196" w:rsidP="00DD0196">
            <w:pPr>
              <w:spacing w:after="0" w:line="240" w:lineRule="auto"/>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15 Janar</w:t>
            </w:r>
          </w:p>
        </w:tc>
        <w:tc>
          <w:tcPr>
            <w:tcW w:w="1780" w:type="dxa"/>
            <w:tcBorders>
              <w:top w:val="nil"/>
              <w:left w:val="nil"/>
              <w:bottom w:val="nil"/>
              <w:right w:val="nil"/>
            </w:tcBorders>
            <w:shd w:val="clear" w:color="auto" w:fill="auto"/>
            <w:noWrap/>
            <w:vAlign w:val="center"/>
            <w:hideMark/>
          </w:tcPr>
          <w:p w14:paraId="1BADD6C1"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00" w:type="dxa"/>
            <w:tcBorders>
              <w:top w:val="nil"/>
              <w:left w:val="nil"/>
              <w:bottom w:val="nil"/>
              <w:right w:val="nil"/>
            </w:tcBorders>
            <w:shd w:val="clear" w:color="auto" w:fill="auto"/>
            <w:noWrap/>
            <w:vAlign w:val="center"/>
            <w:hideMark/>
          </w:tcPr>
          <w:p w14:paraId="1BADD6C2"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20" w:type="dxa"/>
            <w:tcBorders>
              <w:top w:val="nil"/>
              <w:left w:val="nil"/>
              <w:bottom w:val="nil"/>
              <w:right w:val="nil"/>
            </w:tcBorders>
            <w:shd w:val="clear" w:color="auto" w:fill="auto"/>
            <w:noWrap/>
            <w:vAlign w:val="center"/>
            <w:hideMark/>
          </w:tcPr>
          <w:p w14:paraId="1BADD6C3"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20" w:type="dxa"/>
            <w:tcBorders>
              <w:top w:val="nil"/>
              <w:left w:val="nil"/>
              <w:bottom w:val="nil"/>
              <w:right w:val="nil"/>
            </w:tcBorders>
            <w:shd w:val="clear" w:color="auto" w:fill="auto"/>
            <w:noWrap/>
            <w:vAlign w:val="center"/>
            <w:hideMark/>
          </w:tcPr>
          <w:p w14:paraId="1BADD6C4"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C5"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C6"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340" w:type="dxa"/>
            <w:tcBorders>
              <w:top w:val="nil"/>
              <w:left w:val="nil"/>
              <w:bottom w:val="nil"/>
              <w:right w:val="nil"/>
            </w:tcBorders>
            <w:shd w:val="clear" w:color="auto" w:fill="auto"/>
            <w:noWrap/>
            <w:vAlign w:val="center"/>
            <w:hideMark/>
          </w:tcPr>
          <w:p w14:paraId="1BADD6C7"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100" w:type="dxa"/>
            <w:tcBorders>
              <w:top w:val="nil"/>
              <w:left w:val="nil"/>
              <w:bottom w:val="nil"/>
              <w:right w:val="nil"/>
            </w:tcBorders>
            <w:shd w:val="clear" w:color="auto" w:fill="auto"/>
            <w:noWrap/>
            <w:vAlign w:val="center"/>
            <w:hideMark/>
          </w:tcPr>
          <w:p w14:paraId="1BADD6C8"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r>
      <w:tr w:rsidR="00DD0196" w:rsidRPr="009F02F5" w14:paraId="1BADD6D3" w14:textId="77777777" w:rsidTr="00DD0196">
        <w:trPr>
          <w:trHeight w:val="255"/>
          <w:jc w:val="center"/>
        </w:trPr>
        <w:tc>
          <w:tcPr>
            <w:tcW w:w="1620" w:type="dxa"/>
            <w:tcBorders>
              <w:top w:val="nil"/>
              <w:left w:val="nil"/>
              <w:bottom w:val="nil"/>
              <w:right w:val="nil"/>
            </w:tcBorders>
            <w:shd w:val="clear" w:color="auto" w:fill="auto"/>
            <w:noWrap/>
            <w:vAlign w:val="center"/>
            <w:hideMark/>
          </w:tcPr>
          <w:p w14:paraId="1BADD6CA"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80" w:type="dxa"/>
            <w:tcBorders>
              <w:top w:val="nil"/>
              <w:left w:val="nil"/>
              <w:bottom w:val="nil"/>
              <w:right w:val="nil"/>
            </w:tcBorders>
            <w:shd w:val="clear" w:color="auto" w:fill="auto"/>
            <w:noWrap/>
            <w:vAlign w:val="center"/>
            <w:hideMark/>
          </w:tcPr>
          <w:p w14:paraId="1BADD6CB"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00" w:type="dxa"/>
            <w:tcBorders>
              <w:top w:val="nil"/>
              <w:left w:val="nil"/>
              <w:bottom w:val="nil"/>
              <w:right w:val="nil"/>
            </w:tcBorders>
            <w:shd w:val="clear" w:color="auto" w:fill="auto"/>
            <w:noWrap/>
            <w:vAlign w:val="center"/>
            <w:hideMark/>
          </w:tcPr>
          <w:p w14:paraId="1BADD6CC"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20" w:type="dxa"/>
            <w:tcBorders>
              <w:top w:val="nil"/>
              <w:left w:val="nil"/>
              <w:bottom w:val="nil"/>
              <w:right w:val="nil"/>
            </w:tcBorders>
            <w:shd w:val="clear" w:color="auto" w:fill="auto"/>
            <w:noWrap/>
            <w:vAlign w:val="center"/>
            <w:hideMark/>
          </w:tcPr>
          <w:p w14:paraId="1BADD6CD"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720" w:type="dxa"/>
            <w:tcBorders>
              <w:top w:val="nil"/>
              <w:left w:val="nil"/>
              <w:bottom w:val="nil"/>
              <w:right w:val="nil"/>
            </w:tcBorders>
            <w:shd w:val="clear" w:color="auto" w:fill="auto"/>
            <w:noWrap/>
            <w:vAlign w:val="center"/>
            <w:hideMark/>
          </w:tcPr>
          <w:p w14:paraId="1BADD6CE"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CF"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440" w:type="dxa"/>
            <w:tcBorders>
              <w:top w:val="nil"/>
              <w:left w:val="nil"/>
              <w:bottom w:val="nil"/>
              <w:right w:val="nil"/>
            </w:tcBorders>
            <w:shd w:val="clear" w:color="auto" w:fill="auto"/>
            <w:noWrap/>
            <w:vAlign w:val="center"/>
            <w:hideMark/>
          </w:tcPr>
          <w:p w14:paraId="1BADD6D0"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340" w:type="dxa"/>
            <w:tcBorders>
              <w:top w:val="nil"/>
              <w:left w:val="nil"/>
              <w:bottom w:val="nil"/>
              <w:right w:val="nil"/>
            </w:tcBorders>
            <w:shd w:val="clear" w:color="auto" w:fill="auto"/>
            <w:noWrap/>
            <w:vAlign w:val="center"/>
            <w:hideMark/>
          </w:tcPr>
          <w:p w14:paraId="1BADD6D1"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c>
          <w:tcPr>
            <w:tcW w:w="1100" w:type="dxa"/>
            <w:tcBorders>
              <w:top w:val="nil"/>
              <w:left w:val="nil"/>
              <w:bottom w:val="nil"/>
              <w:right w:val="nil"/>
            </w:tcBorders>
            <w:shd w:val="clear" w:color="auto" w:fill="auto"/>
            <w:noWrap/>
            <w:vAlign w:val="center"/>
            <w:hideMark/>
          </w:tcPr>
          <w:p w14:paraId="1BADD6D2" w14:textId="77777777" w:rsidR="00DD0196" w:rsidRPr="009F02F5" w:rsidRDefault="00DD0196" w:rsidP="00DD0196">
            <w:pPr>
              <w:spacing w:after="0" w:line="240" w:lineRule="auto"/>
              <w:jc w:val="center"/>
              <w:rPr>
                <w:rFonts w:ascii="Garamond" w:eastAsia="Times New Roman" w:hAnsi="Garamond" w:cs="Arial"/>
                <w:sz w:val="12"/>
                <w:szCs w:val="12"/>
                <w:lang w:eastAsia="sq-AL"/>
              </w:rPr>
            </w:pPr>
          </w:p>
        </w:tc>
      </w:tr>
    </w:tbl>
    <w:p w14:paraId="1BADD6D6" w14:textId="77777777" w:rsidR="00476C4D" w:rsidRPr="00551729" w:rsidRDefault="00476C4D" w:rsidP="00E10FA6">
      <w:pPr>
        <w:pStyle w:val="TEKSTIII"/>
        <w:ind w:firstLine="0"/>
        <w:jc w:val="center"/>
        <w:rPr>
          <w:b/>
        </w:rPr>
      </w:pPr>
    </w:p>
    <w:tbl>
      <w:tblPr>
        <w:tblW w:w="13360" w:type="dxa"/>
        <w:tblInd w:w="93" w:type="dxa"/>
        <w:tblLook w:val="04A0" w:firstRow="1" w:lastRow="0" w:firstColumn="1" w:lastColumn="0" w:noHBand="0" w:noVBand="1"/>
      </w:tblPr>
      <w:tblGrid>
        <w:gridCol w:w="1300"/>
        <w:gridCol w:w="660"/>
        <w:gridCol w:w="600"/>
        <w:gridCol w:w="680"/>
        <w:gridCol w:w="700"/>
        <w:gridCol w:w="620"/>
        <w:gridCol w:w="640"/>
        <w:gridCol w:w="660"/>
        <w:gridCol w:w="680"/>
        <w:gridCol w:w="640"/>
        <w:gridCol w:w="660"/>
        <w:gridCol w:w="720"/>
        <w:gridCol w:w="760"/>
        <w:gridCol w:w="760"/>
        <w:gridCol w:w="680"/>
        <w:gridCol w:w="1040"/>
        <w:gridCol w:w="740"/>
        <w:gridCol w:w="820"/>
      </w:tblGrid>
      <w:tr w:rsidR="008B1278" w:rsidRPr="009F02F5" w14:paraId="1BADD6E6" w14:textId="77777777" w:rsidTr="00452A6C">
        <w:trPr>
          <w:trHeight w:val="255"/>
        </w:trPr>
        <w:tc>
          <w:tcPr>
            <w:tcW w:w="13360" w:type="dxa"/>
            <w:gridSpan w:val="18"/>
            <w:tcBorders>
              <w:top w:val="nil"/>
              <w:left w:val="nil"/>
              <w:bottom w:val="nil"/>
              <w:right w:val="nil"/>
            </w:tcBorders>
            <w:shd w:val="clear" w:color="auto" w:fill="auto"/>
            <w:noWrap/>
            <w:vAlign w:val="center"/>
            <w:hideMark/>
          </w:tcPr>
          <w:p w14:paraId="0BE38E80" w14:textId="34CD5F1D" w:rsidR="008B1278" w:rsidRPr="008B1278" w:rsidRDefault="008B1278" w:rsidP="008B1278">
            <w:pPr>
              <w:spacing w:after="0" w:line="240" w:lineRule="auto"/>
              <w:jc w:val="center"/>
              <w:rPr>
                <w:rFonts w:ascii="Garamond" w:eastAsia="Times New Roman" w:hAnsi="Garamond" w:cs="Arial"/>
                <w:sz w:val="24"/>
                <w:szCs w:val="24"/>
                <w:lang w:eastAsia="sq-AL"/>
              </w:rPr>
            </w:pPr>
            <w:r w:rsidRPr="008B1278">
              <w:rPr>
                <w:rFonts w:ascii="Garamond" w:eastAsia="Times New Roman" w:hAnsi="Garamond" w:cs="Arial"/>
                <w:sz w:val="24"/>
                <w:szCs w:val="24"/>
                <w:lang w:eastAsia="sq-AL"/>
              </w:rPr>
              <w:t>ANNEX IV (d)</w:t>
            </w:r>
          </w:p>
          <w:p w14:paraId="1BADD6E5" w14:textId="1BC8B0B6" w:rsidR="008B1278" w:rsidRPr="008B1278" w:rsidRDefault="008B1278" w:rsidP="008B1278">
            <w:pPr>
              <w:spacing w:after="0" w:line="240" w:lineRule="auto"/>
              <w:jc w:val="center"/>
              <w:rPr>
                <w:rFonts w:ascii="Garamond" w:eastAsia="Times New Roman" w:hAnsi="Garamond" w:cs="Arial"/>
                <w:sz w:val="24"/>
                <w:szCs w:val="24"/>
                <w:lang w:eastAsia="sq-AL"/>
              </w:rPr>
            </w:pPr>
            <w:r w:rsidRPr="008B1278">
              <w:rPr>
                <w:rFonts w:ascii="Garamond" w:eastAsia="Times New Roman" w:hAnsi="Garamond" w:cs="Arial"/>
                <w:sz w:val="24"/>
                <w:szCs w:val="24"/>
                <w:lang w:eastAsia="sq-AL"/>
              </w:rPr>
              <w:t>PARASHIKIMI I PAGESAVE</w:t>
            </w:r>
          </w:p>
        </w:tc>
      </w:tr>
      <w:tr w:rsidR="00476C4D" w:rsidRPr="009F02F5" w14:paraId="1BADD70F" w14:textId="77777777" w:rsidTr="00476C4D">
        <w:trPr>
          <w:trHeight w:val="945"/>
        </w:trPr>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ADD70D"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Referenca e Programit</w:t>
            </w:r>
          </w:p>
        </w:tc>
        <w:tc>
          <w:tcPr>
            <w:tcW w:w="12060" w:type="dxa"/>
            <w:gridSpan w:val="17"/>
            <w:tcBorders>
              <w:top w:val="single" w:sz="4" w:space="0" w:color="auto"/>
              <w:left w:val="nil"/>
              <w:bottom w:val="single" w:sz="4" w:space="0" w:color="auto"/>
              <w:right w:val="single" w:sz="4" w:space="0" w:color="000000"/>
            </w:tcBorders>
            <w:shd w:val="clear" w:color="auto" w:fill="auto"/>
            <w:vAlign w:val="center"/>
            <w:hideMark/>
          </w:tcPr>
          <w:p w14:paraId="1BADD70E"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Parashikimi i disbursimeve të planifikuara</w:t>
            </w:r>
            <w:r w:rsidRPr="009F02F5">
              <w:rPr>
                <w:rFonts w:ascii="Garamond" w:eastAsia="Times New Roman" w:hAnsi="Garamond" w:cs="Arial"/>
                <w:sz w:val="12"/>
                <w:szCs w:val="12"/>
                <w:lang w:eastAsia="sq-AL"/>
              </w:rPr>
              <w:br/>
              <w:t>(Shtoni vite sipas nevojës)</w:t>
            </w:r>
          </w:p>
        </w:tc>
      </w:tr>
      <w:tr w:rsidR="00476C4D" w:rsidRPr="009F02F5" w14:paraId="1BADD715" w14:textId="77777777" w:rsidTr="00476C4D">
        <w:trPr>
          <w:trHeight w:val="255"/>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1BADD710" w14:textId="77777777" w:rsidR="00476C4D" w:rsidRPr="009F02F5" w:rsidRDefault="00476C4D" w:rsidP="00476C4D">
            <w:pPr>
              <w:spacing w:after="0" w:line="240" w:lineRule="auto"/>
              <w:rPr>
                <w:rFonts w:ascii="Garamond" w:eastAsia="Times New Roman" w:hAnsi="Garamond" w:cs="Arial"/>
                <w:sz w:val="12"/>
                <w:szCs w:val="12"/>
                <w:lang w:eastAsia="sq-AL"/>
              </w:rPr>
            </w:pPr>
          </w:p>
        </w:tc>
        <w:tc>
          <w:tcPr>
            <w:tcW w:w="9460" w:type="dxa"/>
            <w:gridSpan w:val="14"/>
            <w:tcBorders>
              <w:top w:val="single" w:sz="4" w:space="0" w:color="auto"/>
              <w:left w:val="nil"/>
              <w:bottom w:val="single" w:sz="4" w:space="0" w:color="auto"/>
              <w:right w:val="single" w:sz="4" w:space="0" w:color="auto"/>
            </w:tcBorders>
            <w:shd w:val="clear" w:color="auto" w:fill="auto"/>
            <w:vAlign w:val="center"/>
            <w:hideMark/>
          </w:tcPr>
          <w:p w14:paraId="1BADD711" w14:textId="2023B950"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xml:space="preserve">Parashikimi I disbursimeve mujore </w:t>
            </w:r>
            <w:r w:rsidRPr="009F02F5">
              <w:rPr>
                <w:rFonts w:ascii="Garamond" w:eastAsia="Times New Roman" w:hAnsi="Garamond" w:cs="Arial"/>
                <w:sz w:val="12"/>
                <w:szCs w:val="12"/>
                <w:lang w:eastAsia="sq-AL"/>
              </w:rPr>
              <w:t xml:space="preserve">(12 muaj për </w:t>
            </w:r>
            <w:r w:rsidR="00B17AA1">
              <w:rPr>
                <w:rFonts w:ascii="Garamond" w:eastAsia="Times New Roman" w:hAnsi="Garamond" w:cs="Arial"/>
                <w:sz w:val="12"/>
                <w:szCs w:val="12"/>
                <w:lang w:eastAsia="sq-AL"/>
              </w:rPr>
              <w:t>para</w:t>
            </w:r>
            <w:r w:rsidRPr="009F02F5">
              <w:rPr>
                <w:rFonts w:ascii="Garamond" w:eastAsia="Times New Roman" w:hAnsi="Garamond" w:cs="Arial"/>
                <w:sz w:val="12"/>
                <w:szCs w:val="12"/>
                <w:lang w:eastAsia="sq-AL"/>
              </w:rPr>
              <w:t>financimin/14 muaj për pagesat e</w:t>
            </w:r>
            <w:r w:rsidR="00C521D5" w:rsidRPr="009F02F5">
              <w:rPr>
                <w:rFonts w:ascii="Garamond" w:eastAsia="Times New Roman" w:hAnsi="Garamond" w:cs="Arial"/>
                <w:sz w:val="12"/>
                <w:szCs w:val="12"/>
                <w:lang w:eastAsia="sq-AL"/>
              </w:rPr>
              <w:t xml:space="preserve"> </w:t>
            </w:r>
            <w:r w:rsidRPr="009F02F5">
              <w:rPr>
                <w:rFonts w:ascii="Garamond" w:eastAsia="Times New Roman" w:hAnsi="Garamond" w:cs="Arial"/>
                <w:sz w:val="12"/>
                <w:szCs w:val="12"/>
                <w:lang w:eastAsia="sq-AL"/>
              </w:rPr>
              <w:t>mëvonshme)</w:t>
            </w:r>
          </w:p>
        </w:tc>
        <w:tc>
          <w:tcPr>
            <w:tcW w:w="1040" w:type="dxa"/>
            <w:tcBorders>
              <w:top w:val="nil"/>
              <w:left w:val="nil"/>
              <w:bottom w:val="single" w:sz="4" w:space="0" w:color="auto"/>
              <w:right w:val="single" w:sz="4" w:space="0" w:color="auto"/>
            </w:tcBorders>
            <w:shd w:val="clear" w:color="auto" w:fill="auto"/>
            <w:vAlign w:val="center"/>
            <w:hideMark/>
          </w:tcPr>
          <w:p w14:paraId="1BADD712"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Totali Viti 1</w:t>
            </w:r>
          </w:p>
        </w:tc>
        <w:tc>
          <w:tcPr>
            <w:tcW w:w="740" w:type="dxa"/>
            <w:tcBorders>
              <w:top w:val="nil"/>
              <w:left w:val="nil"/>
              <w:bottom w:val="single" w:sz="4" w:space="0" w:color="auto"/>
              <w:right w:val="single" w:sz="4" w:space="0" w:color="auto"/>
            </w:tcBorders>
            <w:shd w:val="clear" w:color="auto" w:fill="auto"/>
            <w:vAlign w:val="center"/>
            <w:hideMark/>
          </w:tcPr>
          <w:p w14:paraId="1BADD713"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Viti 2</w:t>
            </w:r>
          </w:p>
        </w:tc>
        <w:tc>
          <w:tcPr>
            <w:tcW w:w="820" w:type="dxa"/>
            <w:tcBorders>
              <w:top w:val="nil"/>
              <w:left w:val="nil"/>
              <w:bottom w:val="single" w:sz="4" w:space="0" w:color="auto"/>
              <w:right w:val="single" w:sz="4" w:space="0" w:color="auto"/>
            </w:tcBorders>
            <w:shd w:val="clear" w:color="auto" w:fill="auto"/>
            <w:vAlign w:val="center"/>
            <w:hideMark/>
          </w:tcPr>
          <w:p w14:paraId="1BADD714"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Viti 3</w:t>
            </w:r>
          </w:p>
        </w:tc>
      </w:tr>
      <w:tr w:rsidR="00476C4D" w:rsidRPr="009F02F5" w14:paraId="1BADD728" w14:textId="77777777" w:rsidTr="00476C4D">
        <w:trPr>
          <w:trHeight w:val="255"/>
        </w:trPr>
        <w:tc>
          <w:tcPr>
            <w:tcW w:w="1300" w:type="dxa"/>
            <w:vMerge/>
            <w:tcBorders>
              <w:top w:val="single" w:sz="4" w:space="0" w:color="auto"/>
              <w:left w:val="single" w:sz="4" w:space="0" w:color="auto"/>
              <w:bottom w:val="single" w:sz="4" w:space="0" w:color="000000"/>
              <w:right w:val="single" w:sz="4" w:space="0" w:color="auto"/>
            </w:tcBorders>
            <w:vAlign w:val="center"/>
            <w:hideMark/>
          </w:tcPr>
          <w:p w14:paraId="1BADD716" w14:textId="77777777" w:rsidR="00476C4D" w:rsidRPr="009F02F5" w:rsidRDefault="00476C4D" w:rsidP="00476C4D">
            <w:pPr>
              <w:spacing w:after="0" w:line="240" w:lineRule="auto"/>
              <w:rPr>
                <w:rFonts w:ascii="Garamond" w:eastAsia="Times New Roman" w:hAnsi="Garamond" w:cs="Arial"/>
                <w:sz w:val="12"/>
                <w:szCs w:val="12"/>
                <w:lang w:eastAsia="sq-AL"/>
              </w:rPr>
            </w:pPr>
          </w:p>
        </w:tc>
        <w:tc>
          <w:tcPr>
            <w:tcW w:w="660" w:type="dxa"/>
            <w:tcBorders>
              <w:top w:val="nil"/>
              <w:left w:val="nil"/>
              <w:bottom w:val="single" w:sz="4" w:space="0" w:color="auto"/>
              <w:right w:val="single" w:sz="4" w:space="0" w:color="auto"/>
            </w:tcBorders>
            <w:shd w:val="clear" w:color="auto" w:fill="auto"/>
            <w:vAlign w:val="center"/>
            <w:hideMark/>
          </w:tcPr>
          <w:p w14:paraId="1BADD717"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1</w:t>
            </w:r>
          </w:p>
        </w:tc>
        <w:tc>
          <w:tcPr>
            <w:tcW w:w="600" w:type="dxa"/>
            <w:tcBorders>
              <w:top w:val="nil"/>
              <w:left w:val="nil"/>
              <w:bottom w:val="single" w:sz="4" w:space="0" w:color="auto"/>
              <w:right w:val="single" w:sz="4" w:space="0" w:color="auto"/>
            </w:tcBorders>
            <w:shd w:val="clear" w:color="auto" w:fill="auto"/>
            <w:vAlign w:val="center"/>
            <w:hideMark/>
          </w:tcPr>
          <w:p w14:paraId="1BADD718"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2</w:t>
            </w:r>
          </w:p>
        </w:tc>
        <w:tc>
          <w:tcPr>
            <w:tcW w:w="680" w:type="dxa"/>
            <w:tcBorders>
              <w:top w:val="nil"/>
              <w:left w:val="nil"/>
              <w:bottom w:val="single" w:sz="4" w:space="0" w:color="auto"/>
              <w:right w:val="single" w:sz="4" w:space="0" w:color="auto"/>
            </w:tcBorders>
            <w:shd w:val="clear" w:color="auto" w:fill="auto"/>
            <w:vAlign w:val="center"/>
            <w:hideMark/>
          </w:tcPr>
          <w:p w14:paraId="1BADD719"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3</w:t>
            </w:r>
          </w:p>
        </w:tc>
        <w:tc>
          <w:tcPr>
            <w:tcW w:w="700" w:type="dxa"/>
            <w:tcBorders>
              <w:top w:val="nil"/>
              <w:left w:val="nil"/>
              <w:bottom w:val="single" w:sz="4" w:space="0" w:color="auto"/>
              <w:right w:val="single" w:sz="4" w:space="0" w:color="auto"/>
            </w:tcBorders>
            <w:shd w:val="clear" w:color="auto" w:fill="auto"/>
            <w:vAlign w:val="center"/>
            <w:hideMark/>
          </w:tcPr>
          <w:p w14:paraId="1BADD71A"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4</w:t>
            </w:r>
          </w:p>
        </w:tc>
        <w:tc>
          <w:tcPr>
            <w:tcW w:w="620" w:type="dxa"/>
            <w:tcBorders>
              <w:top w:val="nil"/>
              <w:left w:val="nil"/>
              <w:bottom w:val="single" w:sz="4" w:space="0" w:color="auto"/>
              <w:right w:val="single" w:sz="4" w:space="0" w:color="auto"/>
            </w:tcBorders>
            <w:shd w:val="clear" w:color="auto" w:fill="auto"/>
            <w:vAlign w:val="center"/>
            <w:hideMark/>
          </w:tcPr>
          <w:p w14:paraId="1BADD71B"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5</w:t>
            </w:r>
          </w:p>
        </w:tc>
        <w:tc>
          <w:tcPr>
            <w:tcW w:w="640" w:type="dxa"/>
            <w:tcBorders>
              <w:top w:val="nil"/>
              <w:left w:val="nil"/>
              <w:bottom w:val="single" w:sz="4" w:space="0" w:color="auto"/>
              <w:right w:val="single" w:sz="4" w:space="0" w:color="auto"/>
            </w:tcBorders>
            <w:shd w:val="clear" w:color="auto" w:fill="auto"/>
            <w:vAlign w:val="center"/>
            <w:hideMark/>
          </w:tcPr>
          <w:p w14:paraId="1BADD71C"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6</w:t>
            </w:r>
          </w:p>
        </w:tc>
        <w:tc>
          <w:tcPr>
            <w:tcW w:w="660" w:type="dxa"/>
            <w:tcBorders>
              <w:top w:val="nil"/>
              <w:left w:val="nil"/>
              <w:bottom w:val="single" w:sz="4" w:space="0" w:color="auto"/>
              <w:right w:val="single" w:sz="4" w:space="0" w:color="auto"/>
            </w:tcBorders>
            <w:shd w:val="clear" w:color="auto" w:fill="auto"/>
            <w:vAlign w:val="center"/>
            <w:hideMark/>
          </w:tcPr>
          <w:p w14:paraId="1BADD71D"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7</w:t>
            </w:r>
          </w:p>
        </w:tc>
        <w:tc>
          <w:tcPr>
            <w:tcW w:w="680" w:type="dxa"/>
            <w:tcBorders>
              <w:top w:val="nil"/>
              <w:left w:val="nil"/>
              <w:bottom w:val="single" w:sz="4" w:space="0" w:color="auto"/>
              <w:right w:val="single" w:sz="4" w:space="0" w:color="auto"/>
            </w:tcBorders>
            <w:shd w:val="clear" w:color="auto" w:fill="auto"/>
            <w:vAlign w:val="center"/>
            <w:hideMark/>
          </w:tcPr>
          <w:p w14:paraId="1BADD71E"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8</w:t>
            </w:r>
          </w:p>
        </w:tc>
        <w:tc>
          <w:tcPr>
            <w:tcW w:w="640" w:type="dxa"/>
            <w:tcBorders>
              <w:top w:val="nil"/>
              <w:left w:val="nil"/>
              <w:bottom w:val="single" w:sz="4" w:space="0" w:color="auto"/>
              <w:right w:val="single" w:sz="4" w:space="0" w:color="auto"/>
            </w:tcBorders>
            <w:shd w:val="clear" w:color="auto" w:fill="auto"/>
            <w:vAlign w:val="center"/>
            <w:hideMark/>
          </w:tcPr>
          <w:p w14:paraId="1BADD71F"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9</w:t>
            </w:r>
          </w:p>
        </w:tc>
        <w:tc>
          <w:tcPr>
            <w:tcW w:w="660" w:type="dxa"/>
            <w:tcBorders>
              <w:top w:val="nil"/>
              <w:left w:val="nil"/>
              <w:bottom w:val="single" w:sz="4" w:space="0" w:color="auto"/>
              <w:right w:val="single" w:sz="4" w:space="0" w:color="auto"/>
            </w:tcBorders>
            <w:shd w:val="clear" w:color="auto" w:fill="auto"/>
            <w:vAlign w:val="center"/>
            <w:hideMark/>
          </w:tcPr>
          <w:p w14:paraId="1BADD720"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10</w:t>
            </w:r>
          </w:p>
        </w:tc>
        <w:tc>
          <w:tcPr>
            <w:tcW w:w="720" w:type="dxa"/>
            <w:tcBorders>
              <w:top w:val="nil"/>
              <w:left w:val="nil"/>
              <w:bottom w:val="single" w:sz="4" w:space="0" w:color="auto"/>
              <w:right w:val="single" w:sz="4" w:space="0" w:color="auto"/>
            </w:tcBorders>
            <w:shd w:val="clear" w:color="auto" w:fill="auto"/>
            <w:vAlign w:val="center"/>
            <w:hideMark/>
          </w:tcPr>
          <w:p w14:paraId="1BADD721"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11</w:t>
            </w:r>
          </w:p>
        </w:tc>
        <w:tc>
          <w:tcPr>
            <w:tcW w:w="760" w:type="dxa"/>
            <w:tcBorders>
              <w:top w:val="nil"/>
              <w:left w:val="nil"/>
              <w:bottom w:val="single" w:sz="4" w:space="0" w:color="auto"/>
              <w:right w:val="single" w:sz="4" w:space="0" w:color="auto"/>
            </w:tcBorders>
            <w:shd w:val="clear" w:color="auto" w:fill="auto"/>
            <w:vAlign w:val="center"/>
            <w:hideMark/>
          </w:tcPr>
          <w:p w14:paraId="1BADD722"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12</w:t>
            </w:r>
          </w:p>
        </w:tc>
        <w:tc>
          <w:tcPr>
            <w:tcW w:w="760" w:type="dxa"/>
            <w:tcBorders>
              <w:top w:val="nil"/>
              <w:left w:val="nil"/>
              <w:bottom w:val="single" w:sz="4" w:space="0" w:color="auto"/>
              <w:right w:val="single" w:sz="4" w:space="0" w:color="auto"/>
            </w:tcBorders>
            <w:shd w:val="clear" w:color="auto" w:fill="auto"/>
            <w:vAlign w:val="center"/>
            <w:hideMark/>
          </w:tcPr>
          <w:p w14:paraId="1BADD723"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13</w:t>
            </w:r>
          </w:p>
        </w:tc>
        <w:tc>
          <w:tcPr>
            <w:tcW w:w="680" w:type="dxa"/>
            <w:tcBorders>
              <w:top w:val="nil"/>
              <w:left w:val="nil"/>
              <w:bottom w:val="single" w:sz="4" w:space="0" w:color="auto"/>
              <w:right w:val="single" w:sz="4" w:space="0" w:color="auto"/>
            </w:tcBorders>
            <w:shd w:val="clear" w:color="auto" w:fill="auto"/>
            <w:vAlign w:val="center"/>
            <w:hideMark/>
          </w:tcPr>
          <w:p w14:paraId="1BADD724"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14</w:t>
            </w:r>
          </w:p>
        </w:tc>
        <w:tc>
          <w:tcPr>
            <w:tcW w:w="1040" w:type="dxa"/>
            <w:tcBorders>
              <w:top w:val="nil"/>
              <w:left w:val="nil"/>
              <w:bottom w:val="single" w:sz="4" w:space="0" w:color="auto"/>
              <w:right w:val="single" w:sz="4" w:space="0" w:color="auto"/>
            </w:tcBorders>
            <w:shd w:val="clear" w:color="auto" w:fill="auto"/>
            <w:vAlign w:val="center"/>
            <w:hideMark/>
          </w:tcPr>
          <w:p w14:paraId="1BADD725"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 </w:t>
            </w:r>
          </w:p>
        </w:tc>
        <w:tc>
          <w:tcPr>
            <w:tcW w:w="740" w:type="dxa"/>
            <w:tcBorders>
              <w:top w:val="nil"/>
              <w:left w:val="nil"/>
              <w:bottom w:val="single" w:sz="4" w:space="0" w:color="auto"/>
              <w:right w:val="single" w:sz="4" w:space="0" w:color="auto"/>
            </w:tcBorders>
            <w:shd w:val="clear" w:color="auto" w:fill="auto"/>
            <w:vAlign w:val="center"/>
            <w:hideMark/>
          </w:tcPr>
          <w:p w14:paraId="1BADD726" w14:textId="77777777" w:rsidR="00476C4D" w:rsidRPr="009F02F5" w:rsidRDefault="00476C4D" w:rsidP="00476C4D">
            <w:pPr>
              <w:spacing w:after="0" w:line="240" w:lineRule="auto"/>
              <w:jc w:val="center"/>
              <w:rPr>
                <w:rFonts w:ascii="Garamond" w:eastAsia="Times New Roman" w:hAnsi="Garamond" w:cs="Arial"/>
                <w:b/>
                <w:bCs/>
                <w:color w:val="FF0000"/>
                <w:sz w:val="12"/>
                <w:szCs w:val="12"/>
                <w:lang w:eastAsia="sq-AL"/>
              </w:rPr>
            </w:pPr>
            <w:r w:rsidRPr="009F02F5">
              <w:rPr>
                <w:rFonts w:ascii="Garamond" w:eastAsia="Times New Roman" w:hAnsi="Garamond" w:cs="Arial"/>
                <w:b/>
                <w:bCs/>
                <w:color w:val="FF0000"/>
                <w:sz w:val="12"/>
                <w:szCs w:val="12"/>
                <w:lang w:eastAsia="sq-AL"/>
              </w:rPr>
              <w:t> </w:t>
            </w:r>
          </w:p>
        </w:tc>
        <w:tc>
          <w:tcPr>
            <w:tcW w:w="820" w:type="dxa"/>
            <w:tcBorders>
              <w:top w:val="nil"/>
              <w:left w:val="nil"/>
              <w:bottom w:val="single" w:sz="4" w:space="0" w:color="auto"/>
              <w:right w:val="single" w:sz="4" w:space="0" w:color="auto"/>
            </w:tcBorders>
            <w:shd w:val="clear" w:color="auto" w:fill="auto"/>
            <w:vAlign w:val="center"/>
            <w:hideMark/>
          </w:tcPr>
          <w:p w14:paraId="1BADD727" w14:textId="77777777" w:rsidR="00476C4D" w:rsidRPr="009F02F5" w:rsidRDefault="00476C4D" w:rsidP="00476C4D">
            <w:pPr>
              <w:spacing w:after="0" w:line="240" w:lineRule="auto"/>
              <w:jc w:val="center"/>
              <w:rPr>
                <w:rFonts w:ascii="Garamond" w:eastAsia="Times New Roman" w:hAnsi="Garamond" w:cs="Arial"/>
                <w:b/>
                <w:bCs/>
                <w:color w:val="FF0000"/>
                <w:sz w:val="12"/>
                <w:szCs w:val="12"/>
                <w:lang w:eastAsia="sq-AL"/>
              </w:rPr>
            </w:pPr>
            <w:r w:rsidRPr="009F02F5">
              <w:rPr>
                <w:rFonts w:ascii="Garamond" w:eastAsia="Times New Roman" w:hAnsi="Garamond" w:cs="Arial"/>
                <w:b/>
                <w:bCs/>
                <w:color w:val="FF0000"/>
                <w:sz w:val="12"/>
                <w:szCs w:val="12"/>
                <w:lang w:eastAsia="sq-AL"/>
              </w:rPr>
              <w:t> </w:t>
            </w:r>
          </w:p>
        </w:tc>
      </w:tr>
      <w:tr w:rsidR="00476C4D" w:rsidRPr="009F02F5" w14:paraId="1BADD73B" w14:textId="77777777" w:rsidTr="00476C4D">
        <w:trPr>
          <w:trHeight w:val="255"/>
        </w:trPr>
        <w:tc>
          <w:tcPr>
            <w:tcW w:w="1300" w:type="dxa"/>
            <w:tcBorders>
              <w:top w:val="nil"/>
              <w:left w:val="single" w:sz="4" w:space="0" w:color="auto"/>
              <w:bottom w:val="single" w:sz="4" w:space="0" w:color="auto"/>
              <w:right w:val="single" w:sz="4" w:space="0" w:color="auto"/>
            </w:tcBorders>
            <w:shd w:val="clear" w:color="000000" w:fill="C0C0C0"/>
            <w:vAlign w:val="center"/>
            <w:hideMark/>
          </w:tcPr>
          <w:p w14:paraId="1BADD729"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NP2010</w:t>
            </w:r>
          </w:p>
        </w:tc>
        <w:tc>
          <w:tcPr>
            <w:tcW w:w="660" w:type="dxa"/>
            <w:tcBorders>
              <w:top w:val="nil"/>
              <w:left w:val="nil"/>
              <w:bottom w:val="single" w:sz="4" w:space="0" w:color="auto"/>
              <w:right w:val="single" w:sz="4" w:space="0" w:color="auto"/>
            </w:tcBorders>
            <w:shd w:val="clear" w:color="auto" w:fill="auto"/>
            <w:vAlign w:val="center"/>
            <w:hideMark/>
          </w:tcPr>
          <w:p w14:paraId="1BADD72A"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00" w:type="dxa"/>
            <w:tcBorders>
              <w:top w:val="nil"/>
              <w:left w:val="nil"/>
              <w:bottom w:val="single" w:sz="4" w:space="0" w:color="auto"/>
              <w:right w:val="single" w:sz="4" w:space="0" w:color="auto"/>
            </w:tcBorders>
            <w:shd w:val="clear" w:color="auto" w:fill="auto"/>
            <w:vAlign w:val="center"/>
            <w:hideMark/>
          </w:tcPr>
          <w:p w14:paraId="1BADD72B"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80" w:type="dxa"/>
            <w:tcBorders>
              <w:top w:val="nil"/>
              <w:left w:val="nil"/>
              <w:bottom w:val="single" w:sz="4" w:space="0" w:color="auto"/>
              <w:right w:val="single" w:sz="4" w:space="0" w:color="auto"/>
            </w:tcBorders>
            <w:shd w:val="clear" w:color="auto" w:fill="auto"/>
            <w:vAlign w:val="center"/>
            <w:hideMark/>
          </w:tcPr>
          <w:p w14:paraId="1BADD72C"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700" w:type="dxa"/>
            <w:tcBorders>
              <w:top w:val="nil"/>
              <w:left w:val="nil"/>
              <w:bottom w:val="single" w:sz="4" w:space="0" w:color="auto"/>
              <w:right w:val="single" w:sz="4" w:space="0" w:color="auto"/>
            </w:tcBorders>
            <w:shd w:val="clear" w:color="auto" w:fill="auto"/>
            <w:vAlign w:val="center"/>
            <w:hideMark/>
          </w:tcPr>
          <w:p w14:paraId="1BADD72D"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20" w:type="dxa"/>
            <w:tcBorders>
              <w:top w:val="nil"/>
              <w:left w:val="nil"/>
              <w:bottom w:val="single" w:sz="4" w:space="0" w:color="auto"/>
              <w:right w:val="single" w:sz="4" w:space="0" w:color="auto"/>
            </w:tcBorders>
            <w:shd w:val="clear" w:color="auto" w:fill="auto"/>
            <w:vAlign w:val="center"/>
            <w:hideMark/>
          </w:tcPr>
          <w:p w14:paraId="1BADD72E"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40" w:type="dxa"/>
            <w:tcBorders>
              <w:top w:val="nil"/>
              <w:left w:val="nil"/>
              <w:bottom w:val="single" w:sz="4" w:space="0" w:color="auto"/>
              <w:right w:val="single" w:sz="4" w:space="0" w:color="auto"/>
            </w:tcBorders>
            <w:shd w:val="clear" w:color="auto" w:fill="auto"/>
            <w:vAlign w:val="center"/>
            <w:hideMark/>
          </w:tcPr>
          <w:p w14:paraId="1BADD72F"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60" w:type="dxa"/>
            <w:tcBorders>
              <w:top w:val="nil"/>
              <w:left w:val="nil"/>
              <w:bottom w:val="single" w:sz="4" w:space="0" w:color="auto"/>
              <w:right w:val="single" w:sz="4" w:space="0" w:color="auto"/>
            </w:tcBorders>
            <w:shd w:val="clear" w:color="auto" w:fill="auto"/>
            <w:vAlign w:val="center"/>
            <w:hideMark/>
          </w:tcPr>
          <w:p w14:paraId="1BADD730"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80" w:type="dxa"/>
            <w:tcBorders>
              <w:top w:val="nil"/>
              <w:left w:val="nil"/>
              <w:bottom w:val="single" w:sz="4" w:space="0" w:color="auto"/>
              <w:right w:val="single" w:sz="4" w:space="0" w:color="auto"/>
            </w:tcBorders>
            <w:shd w:val="clear" w:color="auto" w:fill="auto"/>
            <w:vAlign w:val="center"/>
            <w:hideMark/>
          </w:tcPr>
          <w:p w14:paraId="1BADD731"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40" w:type="dxa"/>
            <w:tcBorders>
              <w:top w:val="nil"/>
              <w:left w:val="nil"/>
              <w:bottom w:val="single" w:sz="4" w:space="0" w:color="auto"/>
              <w:right w:val="single" w:sz="4" w:space="0" w:color="auto"/>
            </w:tcBorders>
            <w:shd w:val="clear" w:color="auto" w:fill="auto"/>
            <w:vAlign w:val="center"/>
            <w:hideMark/>
          </w:tcPr>
          <w:p w14:paraId="1BADD732"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60" w:type="dxa"/>
            <w:tcBorders>
              <w:top w:val="nil"/>
              <w:left w:val="nil"/>
              <w:bottom w:val="single" w:sz="4" w:space="0" w:color="auto"/>
              <w:right w:val="single" w:sz="4" w:space="0" w:color="auto"/>
            </w:tcBorders>
            <w:shd w:val="clear" w:color="auto" w:fill="auto"/>
            <w:vAlign w:val="center"/>
            <w:hideMark/>
          </w:tcPr>
          <w:p w14:paraId="1BADD733"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720" w:type="dxa"/>
            <w:tcBorders>
              <w:top w:val="nil"/>
              <w:left w:val="nil"/>
              <w:bottom w:val="single" w:sz="4" w:space="0" w:color="auto"/>
              <w:right w:val="single" w:sz="4" w:space="0" w:color="auto"/>
            </w:tcBorders>
            <w:shd w:val="clear" w:color="auto" w:fill="auto"/>
            <w:vAlign w:val="center"/>
            <w:hideMark/>
          </w:tcPr>
          <w:p w14:paraId="1BADD734"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760" w:type="dxa"/>
            <w:tcBorders>
              <w:top w:val="nil"/>
              <w:left w:val="nil"/>
              <w:bottom w:val="single" w:sz="4" w:space="0" w:color="auto"/>
              <w:right w:val="single" w:sz="4" w:space="0" w:color="auto"/>
            </w:tcBorders>
            <w:shd w:val="clear" w:color="auto" w:fill="auto"/>
            <w:vAlign w:val="center"/>
            <w:hideMark/>
          </w:tcPr>
          <w:p w14:paraId="1BADD735"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760" w:type="dxa"/>
            <w:tcBorders>
              <w:top w:val="nil"/>
              <w:left w:val="nil"/>
              <w:bottom w:val="single" w:sz="4" w:space="0" w:color="auto"/>
              <w:right w:val="single" w:sz="4" w:space="0" w:color="auto"/>
            </w:tcBorders>
            <w:shd w:val="clear" w:color="auto" w:fill="auto"/>
            <w:vAlign w:val="center"/>
            <w:hideMark/>
          </w:tcPr>
          <w:p w14:paraId="1BADD736"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80" w:type="dxa"/>
            <w:tcBorders>
              <w:top w:val="nil"/>
              <w:left w:val="nil"/>
              <w:bottom w:val="single" w:sz="4" w:space="0" w:color="auto"/>
              <w:right w:val="single" w:sz="4" w:space="0" w:color="auto"/>
            </w:tcBorders>
            <w:shd w:val="clear" w:color="auto" w:fill="auto"/>
            <w:vAlign w:val="center"/>
            <w:hideMark/>
          </w:tcPr>
          <w:p w14:paraId="1BADD737"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1040" w:type="dxa"/>
            <w:tcBorders>
              <w:top w:val="nil"/>
              <w:left w:val="nil"/>
              <w:bottom w:val="single" w:sz="4" w:space="0" w:color="auto"/>
              <w:right w:val="single" w:sz="4" w:space="0" w:color="auto"/>
            </w:tcBorders>
            <w:shd w:val="clear" w:color="auto" w:fill="auto"/>
            <w:vAlign w:val="center"/>
            <w:hideMark/>
          </w:tcPr>
          <w:p w14:paraId="1BADD738"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0</w:t>
            </w:r>
          </w:p>
        </w:tc>
        <w:tc>
          <w:tcPr>
            <w:tcW w:w="740" w:type="dxa"/>
            <w:tcBorders>
              <w:top w:val="nil"/>
              <w:left w:val="nil"/>
              <w:bottom w:val="single" w:sz="4" w:space="0" w:color="auto"/>
              <w:right w:val="single" w:sz="4" w:space="0" w:color="auto"/>
            </w:tcBorders>
            <w:shd w:val="clear" w:color="auto" w:fill="auto"/>
            <w:vAlign w:val="center"/>
            <w:hideMark/>
          </w:tcPr>
          <w:p w14:paraId="1BADD739"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820" w:type="dxa"/>
            <w:tcBorders>
              <w:top w:val="nil"/>
              <w:left w:val="nil"/>
              <w:bottom w:val="single" w:sz="4" w:space="0" w:color="auto"/>
              <w:right w:val="single" w:sz="4" w:space="0" w:color="auto"/>
            </w:tcBorders>
            <w:shd w:val="clear" w:color="auto" w:fill="auto"/>
            <w:vAlign w:val="center"/>
            <w:hideMark/>
          </w:tcPr>
          <w:p w14:paraId="1BADD73A"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r>
      <w:tr w:rsidR="00476C4D" w:rsidRPr="009F02F5" w14:paraId="1BADD74E" w14:textId="77777777" w:rsidTr="00476C4D">
        <w:trPr>
          <w:trHeight w:val="330"/>
        </w:trPr>
        <w:tc>
          <w:tcPr>
            <w:tcW w:w="1300" w:type="dxa"/>
            <w:tcBorders>
              <w:top w:val="nil"/>
              <w:left w:val="single" w:sz="4" w:space="0" w:color="auto"/>
              <w:bottom w:val="single" w:sz="4" w:space="0" w:color="auto"/>
              <w:right w:val="single" w:sz="4" w:space="0" w:color="auto"/>
            </w:tcBorders>
            <w:shd w:val="clear" w:color="000000" w:fill="C0C0C0"/>
            <w:vAlign w:val="center"/>
            <w:hideMark/>
          </w:tcPr>
          <w:p w14:paraId="1BADD73C" w14:textId="77777777" w:rsidR="00476C4D" w:rsidRPr="009F02F5" w:rsidRDefault="00476C4D" w:rsidP="00476C4D">
            <w:pPr>
              <w:spacing w:after="0" w:line="240" w:lineRule="auto"/>
              <w:jc w:val="center"/>
              <w:rPr>
                <w:rFonts w:ascii="Garamond" w:eastAsia="Times New Roman" w:hAnsi="Garamond" w:cs="Arial"/>
                <w:b/>
                <w:bCs/>
                <w:sz w:val="12"/>
                <w:szCs w:val="12"/>
                <w:lang w:eastAsia="sq-AL"/>
              </w:rPr>
            </w:pPr>
            <w:r w:rsidRPr="009F02F5">
              <w:rPr>
                <w:rFonts w:ascii="Garamond" w:eastAsia="Times New Roman" w:hAnsi="Garamond" w:cs="Arial"/>
                <w:b/>
                <w:bCs/>
                <w:sz w:val="12"/>
                <w:szCs w:val="12"/>
                <w:lang w:eastAsia="sq-AL"/>
              </w:rPr>
              <w:t>CBC AA/BB 2010</w:t>
            </w:r>
          </w:p>
        </w:tc>
        <w:tc>
          <w:tcPr>
            <w:tcW w:w="660" w:type="dxa"/>
            <w:tcBorders>
              <w:top w:val="nil"/>
              <w:left w:val="nil"/>
              <w:bottom w:val="single" w:sz="4" w:space="0" w:color="auto"/>
              <w:right w:val="single" w:sz="4" w:space="0" w:color="auto"/>
            </w:tcBorders>
            <w:shd w:val="clear" w:color="auto" w:fill="auto"/>
            <w:vAlign w:val="center"/>
            <w:hideMark/>
          </w:tcPr>
          <w:p w14:paraId="1BADD73D"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600" w:type="dxa"/>
            <w:tcBorders>
              <w:top w:val="nil"/>
              <w:left w:val="nil"/>
              <w:bottom w:val="single" w:sz="4" w:space="0" w:color="auto"/>
              <w:right w:val="single" w:sz="4" w:space="0" w:color="auto"/>
            </w:tcBorders>
            <w:shd w:val="clear" w:color="auto" w:fill="auto"/>
            <w:vAlign w:val="center"/>
            <w:hideMark/>
          </w:tcPr>
          <w:p w14:paraId="1BADD73E"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80" w:type="dxa"/>
            <w:tcBorders>
              <w:top w:val="nil"/>
              <w:left w:val="nil"/>
              <w:bottom w:val="single" w:sz="4" w:space="0" w:color="auto"/>
              <w:right w:val="single" w:sz="4" w:space="0" w:color="auto"/>
            </w:tcBorders>
            <w:shd w:val="clear" w:color="auto" w:fill="auto"/>
            <w:vAlign w:val="center"/>
            <w:hideMark/>
          </w:tcPr>
          <w:p w14:paraId="1BADD73F"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700" w:type="dxa"/>
            <w:tcBorders>
              <w:top w:val="nil"/>
              <w:left w:val="nil"/>
              <w:bottom w:val="single" w:sz="4" w:space="0" w:color="auto"/>
              <w:right w:val="single" w:sz="4" w:space="0" w:color="auto"/>
            </w:tcBorders>
            <w:shd w:val="clear" w:color="auto" w:fill="auto"/>
            <w:vAlign w:val="center"/>
            <w:hideMark/>
          </w:tcPr>
          <w:p w14:paraId="1BADD740"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20" w:type="dxa"/>
            <w:tcBorders>
              <w:top w:val="nil"/>
              <w:left w:val="nil"/>
              <w:bottom w:val="single" w:sz="4" w:space="0" w:color="auto"/>
              <w:right w:val="single" w:sz="4" w:space="0" w:color="auto"/>
            </w:tcBorders>
            <w:shd w:val="clear" w:color="auto" w:fill="auto"/>
            <w:vAlign w:val="center"/>
            <w:hideMark/>
          </w:tcPr>
          <w:p w14:paraId="1BADD741"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40" w:type="dxa"/>
            <w:tcBorders>
              <w:top w:val="nil"/>
              <w:left w:val="nil"/>
              <w:bottom w:val="single" w:sz="4" w:space="0" w:color="auto"/>
              <w:right w:val="single" w:sz="4" w:space="0" w:color="auto"/>
            </w:tcBorders>
            <w:shd w:val="clear" w:color="auto" w:fill="auto"/>
            <w:vAlign w:val="center"/>
            <w:hideMark/>
          </w:tcPr>
          <w:p w14:paraId="1BADD742"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60" w:type="dxa"/>
            <w:tcBorders>
              <w:top w:val="nil"/>
              <w:left w:val="nil"/>
              <w:bottom w:val="single" w:sz="4" w:space="0" w:color="auto"/>
              <w:right w:val="single" w:sz="4" w:space="0" w:color="auto"/>
            </w:tcBorders>
            <w:shd w:val="clear" w:color="auto" w:fill="auto"/>
            <w:vAlign w:val="center"/>
            <w:hideMark/>
          </w:tcPr>
          <w:p w14:paraId="1BADD743"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80" w:type="dxa"/>
            <w:tcBorders>
              <w:top w:val="nil"/>
              <w:left w:val="nil"/>
              <w:bottom w:val="single" w:sz="4" w:space="0" w:color="auto"/>
              <w:right w:val="single" w:sz="4" w:space="0" w:color="auto"/>
            </w:tcBorders>
            <w:shd w:val="clear" w:color="auto" w:fill="auto"/>
            <w:vAlign w:val="center"/>
            <w:hideMark/>
          </w:tcPr>
          <w:p w14:paraId="1BADD744"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40" w:type="dxa"/>
            <w:tcBorders>
              <w:top w:val="nil"/>
              <w:left w:val="nil"/>
              <w:bottom w:val="single" w:sz="4" w:space="0" w:color="auto"/>
              <w:right w:val="single" w:sz="4" w:space="0" w:color="auto"/>
            </w:tcBorders>
            <w:shd w:val="clear" w:color="auto" w:fill="auto"/>
            <w:vAlign w:val="center"/>
            <w:hideMark/>
          </w:tcPr>
          <w:p w14:paraId="1BADD745"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60" w:type="dxa"/>
            <w:tcBorders>
              <w:top w:val="nil"/>
              <w:left w:val="nil"/>
              <w:bottom w:val="single" w:sz="4" w:space="0" w:color="auto"/>
              <w:right w:val="single" w:sz="4" w:space="0" w:color="auto"/>
            </w:tcBorders>
            <w:shd w:val="clear" w:color="auto" w:fill="auto"/>
            <w:vAlign w:val="center"/>
            <w:hideMark/>
          </w:tcPr>
          <w:p w14:paraId="1BADD746"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720" w:type="dxa"/>
            <w:tcBorders>
              <w:top w:val="nil"/>
              <w:left w:val="nil"/>
              <w:bottom w:val="single" w:sz="4" w:space="0" w:color="auto"/>
              <w:right w:val="single" w:sz="4" w:space="0" w:color="auto"/>
            </w:tcBorders>
            <w:shd w:val="clear" w:color="auto" w:fill="auto"/>
            <w:vAlign w:val="center"/>
            <w:hideMark/>
          </w:tcPr>
          <w:p w14:paraId="1BADD747"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760" w:type="dxa"/>
            <w:tcBorders>
              <w:top w:val="nil"/>
              <w:left w:val="nil"/>
              <w:bottom w:val="single" w:sz="4" w:space="0" w:color="auto"/>
              <w:right w:val="single" w:sz="4" w:space="0" w:color="auto"/>
            </w:tcBorders>
            <w:shd w:val="clear" w:color="auto" w:fill="auto"/>
            <w:vAlign w:val="center"/>
            <w:hideMark/>
          </w:tcPr>
          <w:p w14:paraId="1BADD748"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760" w:type="dxa"/>
            <w:tcBorders>
              <w:top w:val="nil"/>
              <w:left w:val="nil"/>
              <w:bottom w:val="single" w:sz="4" w:space="0" w:color="auto"/>
              <w:right w:val="single" w:sz="4" w:space="0" w:color="auto"/>
            </w:tcBorders>
            <w:shd w:val="clear" w:color="auto" w:fill="auto"/>
            <w:vAlign w:val="center"/>
            <w:hideMark/>
          </w:tcPr>
          <w:p w14:paraId="1BADD749"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680" w:type="dxa"/>
            <w:tcBorders>
              <w:top w:val="nil"/>
              <w:left w:val="nil"/>
              <w:bottom w:val="single" w:sz="4" w:space="0" w:color="auto"/>
              <w:right w:val="single" w:sz="4" w:space="0" w:color="auto"/>
            </w:tcBorders>
            <w:shd w:val="clear" w:color="auto" w:fill="auto"/>
            <w:vAlign w:val="center"/>
            <w:hideMark/>
          </w:tcPr>
          <w:p w14:paraId="1BADD74A"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 </w:t>
            </w:r>
          </w:p>
        </w:tc>
        <w:tc>
          <w:tcPr>
            <w:tcW w:w="1040" w:type="dxa"/>
            <w:tcBorders>
              <w:top w:val="nil"/>
              <w:left w:val="nil"/>
              <w:bottom w:val="single" w:sz="4" w:space="0" w:color="auto"/>
              <w:right w:val="single" w:sz="4" w:space="0" w:color="auto"/>
            </w:tcBorders>
            <w:shd w:val="clear" w:color="auto" w:fill="auto"/>
            <w:vAlign w:val="center"/>
            <w:hideMark/>
          </w:tcPr>
          <w:p w14:paraId="1BADD74B"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r w:rsidRPr="009F02F5">
              <w:rPr>
                <w:rFonts w:ascii="Garamond" w:eastAsia="Times New Roman" w:hAnsi="Garamond" w:cs="Arial"/>
                <w:sz w:val="12"/>
                <w:szCs w:val="12"/>
                <w:lang w:eastAsia="sq-AL"/>
              </w:rPr>
              <w:t>0</w:t>
            </w:r>
          </w:p>
        </w:tc>
        <w:tc>
          <w:tcPr>
            <w:tcW w:w="740" w:type="dxa"/>
            <w:tcBorders>
              <w:top w:val="nil"/>
              <w:left w:val="nil"/>
              <w:bottom w:val="single" w:sz="4" w:space="0" w:color="auto"/>
              <w:right w:val="single" w:sz="4" w:space="0" w:color="auto"/>
            </w:tcBorders>
            <w:shd w:val="clear" w:color="auto" w:fill="auto"/>
            <w:vAlign w:val="center"/>
            <w:hideMark/>
          </w:tcPr>
          <w:p w14:paraId="1BADD74C"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c>
          <w:tcPr>
            <w:tcW w:w="820" w:type="dxa"/>
            <w:tcBorders>
              <w:top w:val="nil"/>
              <w:left w:val="nil"/>
              <w:bottom w:val="single" w:sz="4" w:space="0" w:color="auto"/>
              <w:right w:val="single" w:sz="4" w:space="0" w:color="auto"/>
            </w:tcBorders>
            <w:shd w:val="clear" w:color="auto" w:fill="auto"/>
            <w:vAlign w:val="center"/>
            <w:hideMark/>
          </w:tcPr>
          <w:p w14:paraId="1BADD74D" w14:textId="77777777" w:rsidR="00476C4D" w:rsidRPr="009F02F5" w:rsidRDefault="00476C4D" w:rsidP="00476C4D">
            <w:pPr>
              <w:spacing w:after="0" w:line="240" w:lineRule="auto"/>
              <w:jc w:val="center"/>
              <w:rPr>
                <w:rFonts w:ascii="Garamond" w:eastAsia="Times New Roman" w:hAnsi="Garamond" w:cs="Arial"/>
                <w:i/>
                <w:iCs/>
                <w:sz w:val="12"/>
                <w:szCs w:val="12"/>
                <w:lang w:eastAsia="sq-AL"/>
              </w:rPr>
            </w:pPr>
            <w:r w:rsidRPr="009F02F5">
              <w:rPr>
                <w:rFonts w:ascii="Garamond" w:eastAsia="Times New Roman" w:hAnsi="Garamond" w:cs="Arial"/>
                <w:i/>
                <w:iCs/>
                <w:sz w:val="12"/>
                <w:szCs w:val="12"/>
                <w:lang w:eastAsia="sq-AL"/>
              </w:rPr>
              <w:t> </w:t>
            </w:r>
          </w:p>
        </w:tc>
      </w:tr>
      <w:tr w:rsidR="00476C4D" w:rsidRPr="009F02F5" w14:paraId="1BADD761" w14:textId="77777777" w:rsidTr="00476C4D">
        <w:trPr>
          <w:trHeight w:val="255"/>
        </w:trPr>
        <w:tc>
          <w:tcPr>
            <w:tcW w:w="1300" w:type="dxa"/>
            <w:tcBorders>
              <w:top w:val="nil"/>
              <w:left w:val="nil"/>
              <w:bottom w:val="nil"/>
              <w:right w:val="nil"/>
            </w:tcBorders>
            <w:shd w:val="clear" w:color="auto" w:fill="auto"/>
            <w:vAlign w:val="center"/>
            <w:hideMark/>
          </w:tcPr>
          <w:p w14:paraId="1BADD74F"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60" w:type="dxa"/>
            <w:tcBorders>
              <w:top w:val="nil"/>
              <w:left w:val="nil"/>
              <w:bottom w:val="nil"/>
              <w:right w:val="nil"/>
            </w:tcBorders>
            <w:shd w:val="clear" w:color="auto" w:fill="auto"/>
            <w:vAlign w:val="center"/>
            <w:hideMark/>
          </w:tcPr>
          <w:p w14:paraId="1BADD750"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00" w:type="dxa"/>
            <w:tcBorders>
              <w:top w:val="nil"/>
              <w:left w:val="nil"/>
              <w:bottom w:val="nil"/>
              <w:right w:val="nil"/>
            </w:tcBorders>
            <w:shd w:val="clear" w:color="auto" w:fill="auto"/>
            <w:vAlign w:val="center"/>
            <w:hideMark/>
          </w:tcPr>
          <w:p w14:paraId="1BADD751"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80" w:type="dxa"/>
            <w:tcBorders>
              <w:top w:val="nil"/>
              <w:left w:val="nil"/>
              <w:bottom w:val="nil"/>
              <w:right w:val="nil"/>
            </w:tcBorders>
            <w:shd w:val="clear" w:color="auto" w:fill="auto"/>
            <w:vAlign w:val="center"/>
            <w:hideMark/>
          </w:tcPr>
          <w:p w14:paraId="1BADD752"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700" w:type="dxa"/>
            <w:tcBorders>
              <w:top w:val="nil"/>
              <w:left w:val="nil"/>
              <w:bottom w:val="nil"/>
              <w:right w:val="nil"/>
            </w:tcBorders>
            <w:shd w:val="clear" w:color="auto" w:fill="auto"/>
            <w:vAlign w:val="center"/>
            <w:hideMark/>
          </w:tcPr>
          <w:p w14:paraId="1BADD753"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20" w:type="dxa"/>
            <w:tcBorders>
              <w:top w:val="nil"/>
              <w:left w:val="nil"/>
              <w:bottom w:val="nil"/>
              <w:right w:val="nil"/>
            </w:tcBorders>
            <w:shd w:val="clear" w:color="auto" w:fill="auto"/>
            <w:vAlign w:val="center"/>
            <w:hideMark/>
          </w:tcPr>
          <w:p w14:paraId="1BADD754"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40" w:type="dxa"/>
            <w:tcBorders>
              <w:top w:val="nil"/>
              <w:left w:val="nil"/>
              <w:bottom w:val="nil"/>
              <w:right w:val="nil"/>
            </w:tcBorders>
            <w:shd w:val="clear" w:color="auto" w:fill="auto"/>
            <w:vAlign w:val="center"/>
            <w:hideMark/>
          </w:tcPr>
          <w:p w14:paraId="1BADD755"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60" w:type="dxa"/>
            <w:tcBorders>
              <w:top w:val="nil"/>
              <w:left w:val="nil"/>
              <w:bottom w:val="nil"/>
              <w:right w:val="nil"/>
            </w:tcBorders>
            <w:shd w:val="clear" w:color="auto" w:fill="auto"/>
            <w:vAlign w:val="center"/>
            <w:hideMark/>
          </w:tcPr>
          <w:p w14:paraId="1BADD756"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80" w:type="dxa"/>
            <w:tcBorders>
              <w:top w:val="nil"/>
              <w:left w:val="nil"/>
              <w:bottom w:val="nil"/>
              <w:right w:val="nil"/>
            </w:tcBorders>
            <w:shd w:val="clear" w:color="auto" w:fill="auto"/>
            <w:vAlign w:val="center"/>
            <w:hideMark/>
          </w:tcPr>
          <w:p w14:paraId="1BADD757"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40" w:type="dxa"/>
            <w:tcBorders>
              <w:top w:val="nil"/>
              <w:left w:val="nil"/>
              <w:bottom w:val="nil"/>
              <w:right w:val="nil"/>
            </w:tcBorders>
            <w:shd w:val="clear" w:color="auto" w:fill="auto"/>
            <w:vAlign w:val="center"/>
            <w:hideMark/>
          </w:tcPr>
          <w:p w14:paraId="1BADD758"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60" w:type="dxa"/>
            <w:tcBorders>
              <w:top w:val="nil"/>
              <w:left w:val="nil"/>
              <w:bottom w:val="nil"/>
              <w:right w:val="nil"/>
            </w:tcBorders>
            <w:shd w:val="clear" w:color="auto" w:fill="auto"/>
            <w:vAlign w:val="center"/>
            <w:hideMark/>
          </w:tcPr>
          <w:p w14:paraId="1BADD759"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720" w:type="dxa"/>
            <w:tcBorders>
              <w:top w:val="nil"/>
              <w:left w:val="nil"/>
              <w:bottom w:val="nil"/>
              <w:right w:val="nil"/>
            </w:tcBorders>
            <w:shd w:val="clear" w:color="auto" w:fill="auto"/>
            <w:vAlign w:val="center"/>
            <w:hideMark/>
          </w:tcPr>
          <w:p w14:paraId="1BADD75A"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760" w:type="dxa"/>
            <w:tcBorders>
              <w:top w:val="nil"/>
              <w:left w:val="nil"/>
              <w:bottom w:val="nil"/>
              <w:right w:val="nil"/>
            </w:tcBorders>
            <w:shd w:val="clear" w:color="auto" w:fill="auto"/>
            <w:vAlign w:val="center"/>
            <w:hideMark/>
          </w:tcPr>
          <w:p w14:paraId="1BADD75B"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760" w:type="dxa"/>
            <w:tcBorders>
              <w:top w:val="nil"/>
              <w:left w:val="nil"/>
              <w:bottom w:val="nil"/>
              <w:right w:val="nil"/>
            </w:tcBorders>
            <w:shd w:val="clear" w:color="auto" w:fill="auto"/>
            <w:vAlign w:val="center"/>
            <w:hideMark/>
          </w:tcPr>
          <w:p w14:paraId="1BADD75C"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680" w:type="dxa"/>
            <w:tcBorders>
              <w:top w:val="nil"/>
              <w:left w:val="nil"/>
              <w:bottom w:val="nil"/>
              <w:right w:val="nil"/>
            </w:tcBorders>
            <w:shd w:val="clear" w:color="auto" w:fill="auto"/>
            <w:vAlign w:val="center"/>
            <w:hideMark/>
          </w:tcPr>
          <w:p w14:paraId="1BADD75D"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1040" w:type="dxa"/>
            <w:tcBorders>
              <w:top w:val="nil"/>
              <w:left w:val="nil"/>
              <w:bottom w:val="nil"/>
              <w:right w:val="nil"/>
            </w:tcBorders>
            <w:shd w:val="clear" w:color="auto" w:fill="auto"/>
            <w:vAlign w:val="center"/>
            <w:hideMark/>
          </w:tcPr>
          <w:p w14:paraId="1BADD75E" w14:textId="77777777" w:rsidR="00476C4D" w:rsidRPr="009F02F5" w:rsidRDefault="00476C4D" w:rsidP="00476C4D">
            <w:pPr>
              <w:spacing w:after="0" w:line="240" w:lineRule="auto"/>
              <w:jc w:val="center"/>
              <w:rPr>
                <w:rFonts w:ascii="Garamond" w:eastAsia="Times New Roman" w:hAnsi="Garamond" w:cs="Arial"/>
                <w:sz w:val="12"/>
                <w:szCs w:val="12"/>
                <w:lang w:eastAsia="sq-AL"/>
              </w:rPr>
            </w:pPr>
          </w:p>
        </w:tc>
        <w:tc>
          <w:tcPr>
            <w:tcW w:w="740" w:type="dxa"/>
            <w:tcBorders>
              <w:top w:val="nil"/>
              <w:left w:val="nil"/>
              <w:bottom w:val="nil"/>
              <w:right w:val="nil"/>
            </w:tcBorders>
            <w:shd w:val="clear" w:color="auto" w:fill="auto"/>
            <w:vAlign w:val="bottom"/>
            <w:hideMark/>
          </w:tcPr>
          <w:p w14:paraId="1BADD75F" w14:textId="77777777" w:rsidR="00476C4D" w:rsidRPr="009F02F5" w:rsidRDefault="00476C4D" w:rsidP="00476C4D">
            <w:pPr>
              <w:spacing w:after="0" w:line="240" w:lineRule="auto"/>
              <w:rPr>
                <w:rFonts w:ascii="Garamond" w:eastAsia="Times New Roman" w:hAnsi="Garamond" w:cs="Arial"/>
                <w:sz w:val="12"/>
                <w:szCs w:val="12"/>
                <w:lang w:eastAsia="sq-AL"/>
              </w:rPr>
            </w:pPr>
          </w:p>
        </w:tc>
        <w:tc>
          <w:tcPr>
            <w:tcW w:w="820" w:type="dxa"/>
            <w:tcBorders>
              <w:top w:val="nil"/>
              <w:left w:val="nil"/>
              <w:bottom w:val="nil"/>
              <w:right w:val="nil"/>
            </w:tcBorders>
            <w:shd w:val="clear" w:color="auto" w:fill="auto"/>
            <w:vAlign w:val="bottom"/>
            <w:hideMark/>
          </w:tcPr>
          <w:p w14:paraId="1BADD760" w14:textId="77777777" w:rsidR="00476C4D" w:rsidRPr="009F02F5" w:rsidRDefault="00476C4D" w:rsidP="00476C4D">
            <w:pPr>
              <w:spacing w:after="0" w:line="240" w:lineRule="auto"/>
              <w:rPr>
                <w:rFonts w:ascii="Garamond" w:eastAsia="Times New Roman" w:hAnsi="Garamond" w:cs="Arial"/>
                <w:sz w:val="12"/>
                <w:szCs w:val="12"/>
                <w:lang w:eastAsia="sq-AL"/>
              </w:rPr>
            </w:pPr>
          </w:p>
        </w:tc>
      </w:tr>
    </w:tbl>
    <w:p w14:paraId="1BADD762" w14:textId="77777777" w:rsidR="00DD0196" w:rsidRPr="00551729" w:rsidRDefault="00DD0196" w:rsidP="00E10FA6">
      <w:pPr>
        <w:pStyle w:val="TEKSTIII"/>
        <w:ind w:firstLine="0"/>
        <w:jc w:val="center"/>
        <w:rPr>
          <w:b/>
        </w:rPr>
      </w:pPr>
    </w:p>
    <w:p w14:paraId="1BADD763" w14:textId="77777777" w:rsidR="00400B32" w:rsidRPr="00551729" w:rsidRDefault="00400B32" w:rsidP="00E10FA6">
      <w:pPr>
        <w:pStyle w:val="TEKSTIII"/>
        <w:ind w:firstLine="0"/>
        <w:jc w:val="center"/>
        <w:rPr>
          <w:b/>
        </w:rPr>
      </w:pPr>
    </w:p>
    <w:p w14:paraId="1BADD764" w14:textId="77777777" w:rsidR="003C7A98" w:rsidRPr="00551729" w:rsidRDefault="003C7A98" w:rsidP="00E10FA6">
      <w:pPr>
        <w:pStyle w:val="TEKSTIII"/>
        <w:ind w:firstLine="0"/>
        <w:jc w:val="center"/>
        <w:rPr>
          <w:b/>
        </w:rPr>
        <w:sectPr w:rsidR="003C7A98" w:rsidRPr="00551729" w:rsidSect="00BF0E09">
          <w:footnotePr>
            <w:numRestart w:val="eachPage"/>
          </w:footnotePr>
          <w:pgSz w:w="16838" w:h="11906" w:orient="landscape" w:code="9"/>
          <w:pgMar w:top="1440" w:right="1440" w:bottom="1440" w:left="1440" w:header="709" w:footer="709" w:gutter="0"/>
          <w:cols w:space="708"/>
          <w:docGrid w:linePitch="360"/>
        </w:sectPr>
      </w:pPr>
    </w:p>
    <w:p w14:paraId="1BADD765" w14:textId="6A2A4DE5" w:rsidR="003C7A98" w:rsidRPr="008B1278" w:rsidRDefault="008B1278" w:rsidP="008B1278">
      <w:pPr>
        <w:pStyle w:val="TEKSTIII"/>
        <w:ind w:firstLine="0"/>
        <w:jc w:val="center"/>
      </w:pPr>
      <w:r w:rsidRPr="008B1278">
        <w:t>SHTOJCA V E KËSAJ MARRËVESHJE FINANCIMI</w:t>
      </w:r>
    </w:p>
    <w:p w14:paraId="1BADD767" w14:textId="2EC8D510" w:rsidR="003C7A98" w:rsidRPr="008B1278" w:rsidRDefault="008B1278" w:rsidP="008B1278">
      <w:pPr>
        <w:pStyle w:val="TEKSTIII"/>
        <w:ind w:firstLine="0"/>
        <w:jc w:val="center"/>
      </w:pPr>
      <w:r w:rsidRPr="008B1278">
        <w:rPr>
          <w:color w:val="212121"/>
        </w:rPr>
        <w:t>SPECIFIKIME MINIMALE TË SISTEMIT TË KONTABILITETIT ME BAZË AKRUALE/SHTIMI</w:t>
      </w:r>
    </w:p>
    <w:p w14:paraId="1BADD768" w14:textId="77777777" w:rsidR="003C7A98" w:rsidRPr="00551729" w:rsidRDefault="003C7A98" w:rsidP="003C7A98">
      <w:pPr>
        <w:pStyle w:val="TEKSTIII"/>
        <w:rPr>
          <w:b/>
        </w:rPr>
      </w:pPr>
    </w:p>
    <w:p w14:paraId="1BADD769" w14:textId="77777777" w:rsidR="003C7A98" w:rsidRPr="00551729" w:rsidRDefault="003C7A98" w:rsidP="003C7A98">
      <w:pPr>
        <w:pStyle w:val="TEKSTIII"/>
      </w:pPr>
      <w:r w:rsidRPr="00551729">
        <w:t>Sistemi i kontabilitetit të përfituesit të IPA II duhet të plotësojë kërkesat e mëposhtme:</w:t>
      </w:r>
    </w:p>
    <w:p w14:paraId="1BADD76A" w14:textId="77777777" w:rsidR="003C7A98" w:rsidRPr="00551729" w:rsidRDefault="003C7A98" w:rsidP="003C7A98">
      <w:pPr>
        <w:pStyle w:val="TEKSTIII"/>
      </w:pPr>
      <w:r w:rsidRPr="00551729">
        <w:t xml:space="preserve">1. Të reflektojë strukturën organizative të caktuar për sistemet e kontrollit të brendshëm të përshtatur për kryerjen e detyrave. Në mënyrë të veçantë, para se të autorizohet një veprim, duhet të verifikohen të gjitha aspektet (si operative dhe financiare) e veprimit nga anëtarët e tjerë të stafit, përveç atij që e ka nisur veprimin. Personi që merret me verifikimin nuk mund të jetë në varësi të atij që e ka nisur transaksionin. </w:t>
      </w:r>
    </w:p>
    <w:p w14:paraId="1BADD76B" w14:textId="77777777" w:rsidR="003C7A98" w:rsidRPr="00551729" w:rsidRDefault="003C7A98" w:rsidP="003C7A98">
      <w:pPr>
        <w:pStyle w:val="TEKSTIII"/>
      </w:pPr>
      <w:r w:rsidRPr="00551729">
        <w:t xml:space="preserve">2. Të përfshijë një gjurmë auditimi për të gjitha transaksionet dhe ndryshimet. </w:t>
      </w:r>
    </w:p>
    <w:p w14:paraId="1BADD76C" w14:textId="77777777" w:rsidR="003C7A98" w:rsidRPr="00551729" w:rsidRDefault="003C7A98" w:rsidP="003C7A98">
      <w:pPr>
        <w:pStyle w:val="TEKSTIII"/>
      </w:pPr>
      <w:r w:rsidRPr="00551729">
        <w:t xml:space="preserve">3. Të ketë siguri të mjaftueshme fizike dhe elektronike, duke përfshirë sistemet e rikuperimit dhe të ruajtjes së një kopje rezervë/mbështetjes. </w:t>
      </w:r>
    </w:p>
    <w:p w14:paraId="1BADD76D" w14:textId="77777777" w:rsidR="003C7A98" w:rsidRPr="00551729" w:rsidRDefault="003C7A98" w:rsidP="003C7A98">
      <w:pPr>
        <w:pStyle w:val="TEKSTIII"/>
      </w:pPr>
      <w:r w:rsidRPr="00551729">
        <w:t xml:space="preserve">4. Sistemi i kontabilitetit duhet të përmbajë të paktën informacionin e mëposhtëm për kontratat lokale që menaxhohen nën secilin program: </w:t>
      </w:r>
    </w:p>
    <w:p w14:paraId="1BADD76E" w14:textId="4142AA30" w:rsidR="003C7A98" w:rsidRPr="00551729" w:rsidRDefault="003C7A98" w:rsidP="003C7A98">
      <w:pPr>
        <w:pStyle w:val="TEKSTIII"/>
      </w:pPr>
      <w:r w:rsidRPr="00551729">
        <w:t>a</w:t>
      </w:r>
      <w:r w:rsidR="009F02F5">
        <w:t>)</w:t>
      </w:r>
      <w:r w:rsidRPr="00551729">
        <w:t xml:space="preserve"> Referencën e Kontratës; </w:t>
      </w:r>
    </w:p>
    <w:p w14:paraId="1BADD76F" w14:textId="330F2EAB" w:rsidR="003C7A98" w:rsidRPr="00551729" w:rsidRDefault="003C7A98" w:rsidP="003C7A98">
      <w:pPr>
        <w:pStyle w:val="TEKSTIII"/>
      </w:pPr>
      <w:r w:rsidRPr="00551729">
        <w:t>b</w:t>
      </w:r>
      <w:r w:rsidR="009F02F5">
        <w:t>)</w:t>
      </w:r>
      <w:r w:rsidRPr="00551729">
        <w:t xml:space="preserve"> Vlerën e kontratës, duke përfshirë çdo ndryshim; </w:t>
      </w:r>
    </w:p>
    <w:p w14:paraId="1BADD770" w14:textId="4A7EB37F" w:rsidR="003C7A98" w:rsidRPr="00551729" w:rsidRDefault="003C7A98" w:rsidP="003C7A98">
      <w:pPr>
        <w:pStyle w:val="TEKSTIII"/>
      </w:pPr>
      <w:r w:rsidRPr="00551729">
        <w:t>c</w:t>
      </w:r>
      <w:r w:rsidR="009F02F5">
        <w:t>)</w:t>
      </w:r>
      <w:r w:rsidRPr="00551729">
        <w:t xml:space="preserve"> Datat e nënshkrimit të kontratës (nga të dyja palët); </w:t>
      </w:r>
    </w:p>
    <w:p w14:paraId="1BADD771" w14:textId="48A01008" w:rsidR="003C7A98" w:rsidRPr="00551729" w:rsidRDefault="003C7A98" w:rsidP="003C7A98">
      <w:pPr>
        <w:pStyle w:val="TEKSTIII"/>
      </w:pPr>
      <w:r w:rsidRPr="00551729">
        <w:t>d</w:t>
      </w:r>
      <w:r w:rsidR="009F02F5">
        <w:t>)</w:t>
      </w:r>
      <w:r w:rsidRPr="00551729">
        <w:t xml:space="preserve"> Datën e fillimit të zbatimit të kontratës;</w:t>
      </w:r>
    </w:p>
    <w:p w14:paraId="1BADD772" w14:textId="77777777" w:rsidR="003C7A98" w:rsidRPr="00551729" w:rsidRDefault="003C7A98" w:rsidP="003C7A98">
      <w:pPr>
        <w:pStyle w:val="TEKSTIII"/>
      </w:pPr>
      <w:r w:rsidRPr="00551729">
        <w:t>Kjo është përveç datës së nënshkrimit të kontratës dhe mund të jetë e ndryshme nga ajo, si në rastet kur data e fillimit të punimeve të kontratës jepet pas nënshkrimit të kontratës nëpërmjet një Urdhri Administrativ.</w:t>
      </w:r>
    </w:p>
    <w:p w14:paraId="1BADD773" w14:textId="26B09B40" w:rsidR="003C7A98" w:rsidRPr="00551729" w:rsidRDefault="003C7A98" w:rsidP="003C7A98">
      <w:pPr>
        <w:pStyle w:val="TEKSTIII"/>
      </w:pPr>
      <w:r w:rsidRPr="00551729">
        <w:t>e</w:t>
      </w:r>
      <w:r w:rsidR="009F02F5">
        <w:t>)</w:t>
      </w:r>
      <w:r w:rsidRPr="00551729">
        <w:t xml:space="preserve"> Datën e përfundimit të zbatimit të kontratës, duke përfshirë çdo ndryshim; </w:t>
      </w:r>
    </w:p>
    <w:p w14:paraId="1BADD774" w14:textId="77777777" w:rsidR="003C7A98" w:rsidRPr="00551729" w:rsidRDefault="003C7A98" w:rsidP="003C7A98">
      <w:pPr>
        <w:pStyle w:val="TEKSTIII"/>
      </w:pPr>
      <w:r w:rsidRPr="00551729">
        <w:t xml:space="preserve">Kjo është data e fundit kur mund të këtë kosto të pranueshme. Kjo nuk përfshin asnjë periudhë garancie ose kohën e lejuar për përgatitjen e raportit nga kontraktuesi. </w:t>
      </w:r>
    </w:p>
    <w:p w14:paraId="1BADD775" w14:textId="2C1F262C" w:rsidR="003C7A98" w:rsidRPr="00551729" w:rsidRDefault="003C7A98" w:rsidP="003C7A98">
      <w:pPr>
        <w:pStyle w:val="TEKSTIII"/>
      </w:pPr>
      <w:r w:rsidRPr="00551729">
        <w:t>f</w:t>
      </w:r>
      <w:r w:rsidR="009F02F5">
        <w:t>)</w:t>
      </w:r>
      <w:r w:rsidRPr="00551729">
        <w:t xml:space="preserve"> Totali i paguar (me lekë në dorë) nga kontrata; </w:t>
      </w:r>
    </w:p>
    <w:p w14:paraId="1BADD776" w14:textId="4DC53E85" w:rsidR="003C7A98" w:rsidRPr="00551729" w:rsidRDefault="003C7A98" w:rsidP="003C7A98">
      <w:pPr>
        <w:pStyle w:val="TEKSTIII"/>
      </w:pPr>
      <w:r w:rsidRPr="00551729">
        <w:t>g</w:t>
      </w:r>
      <w:r w:rsidR="009F02F5">
        <w:t>)</w:t>
      </w:r>
      <w:r w:rsidRPr="00551729">
        <w:t xml:space="preserve"> Parafinancimi i paguar sipas kontratës; </w:t>
      </w:r>
    </w:p>
    <w:p w14:paraId="1BADD777" w14:textId="42F9CCDA" w:rsidR="003C7A98" w:rsidRPr="00551729" w:rsidRDefault="003C7A98" w:rsidP="003C7A98">
      <w:pPr>
        <w:pStyle w:val="TEKSTIII"/>
      </w:pPr>
      <w:r w:rsidRPr="00551729">
        <w:t xml:space="preserve">Njohje e hollësishme dhe regjistrim në bilancin e kërkuar sipas kontratës së </w:t>
      </w:r>
      <w:r w:rsidR="00B17AA1">
        <w:t>para</w:t>
      </w:r>
      <w:r w:rsidRPr="00551729">
        <w:t xml:space="preserve">financimit. </w:t>
      </w:r>
    </w:p>
    <w:p w14:paraId="1BADD778" w14:textId="438BAEFF" w:rsidR="003C7A98" w:rsidRPr="00551729" w:rsidRDefault="003C7A98" w:rsidP="003C7A98">
      <w:pPr>
        <w:pStyle w:val="TEKSTIII"/>
      </w:pPr>
      <w:r w:rsidRPr="00551729">
        <w:t>h</w:t>
      </w:r>
      <w:r w:rsidR="009F02F5">
        <w:t>)</w:t>
      </w:r>
      <w:r w:rsidRPr="00551729">
        <w:t xml:space="preserve"> Kosto e njohur - e drejtpërdrejtë (sipas kontratës); </w:t>
      </w:r>
    </w:p>
    <w:p w14:paraId="1BADD779" w14:textId="5347F4C6" w:rsidR="003C7A98" w:rsidRPr="00551729" w:rsidRDefault="003C7A98" w:rsidP="003C7A98">
      <w:pPr>
        <w:pStyle w:val="TEKSTIII"/>
      </w:pPr>
      <w:r w:rsidRPr="00551729">
        <w:t xml:space="preserve">Njohje e hollësishme e kostos si një detyrim për shpenzimet e vitit. Disa pagesa do të mbulojnë në mënyrë të drejtpërdrejtë shpenzimet e kryera. Nuk përfshihet ndonjë </w:t>
      </w:r>
      <w:r w:rsidR="00B17AA1">
        <w:t>para</w:t>
      </w:r>
      <w:r w:rsidRPr="00551729">
        <w:t>financim. Këto mund të jenë pagesa përfundimtare</w:t>
      </w:r>
      <w:r w:rsidR="00047B59">
        <w:t>,</w:t>
      </w:r>
      <w:r w:rsidRPr="00551729">
        <w:t xml:space="preserve"> kur </w:t>
      </w:r>
      <w:r w:rsidR="00B17AA1">
        <w:t>para</w:t>
      </w:r>
      <w:r w:rsidRPr="00551729">
        <w:t xml:space="preserve">financimi është hequr tashmë ose pagesa të ndërmjetme kur </w:t>
      </w:r>
      <w:r w:rsidR="00B17AA1">
        <w:t>para</w:t>
      </w:r>
      <w:r w:rsidRPr="00551729">
        <w:t xml:space="preserve">financimi është hequr ose kur kontrata nuk përfshin sigurimin e </w:t>
      </w:r>
      <w:r w:rsidR="00B17AA1">
        <w:t>para</w:t>
      </w:r>
      <w:r w:rsidRPr="00551729">
        <w:t>financimit.</w:t>
      </w:r>
    </w:p>
    <w:p w14:paraId="1BADD77A" w14:textId="0CDCB499" w:rsidR="003C7A98" w:rsidRPr="00551729" w:rsidRDefault="003C7A98" w:rsidP="003C7A98">
      <w:pPr>
        <w:pStyle w:val="TEKSTIII"/>
      </w:pPr>
      <w:r w:rsidRPr="00551729">
        <w:t>i</w:t>
      </w:r>
      <w:r w:rsidR="009F02F5">
        <w:t>)</w:t>
      </w:r>
      <w:r w:rsidRPr="00551729">
        <w:t xml:space="preserve"> Kosto e njohur – e tërthortë (sipas kontratës); </w:t>
      </w:r>
    </w:p>
    <w:p w14:paraId="1BADD77B" w14:textId="013C486D" w:rsidR="003C7A98" w:rsidRPr="00551729" w:rsidRDefault="003C7A98" w:rsidP="003C7A98">
      <w:pPr>
        <w:pStyle w:val="TEKSTIII"/>
      </w:pPr>
      <w:r w:rsidRPr="00551729">
        <w:t xml:space="preserve">Njohje e hollësishme e kostos si një detyrim për shpenzimet e vitit. Disa fatura apo detyrime kostoje, të paraqitura nga një përfitues i grantit ose kontraktues, do të lidhen me kostot që mbulohen nga </w:t>
      </w:r>
      <w:r w:rsidR="00B17AA1">
        <w:t>para</w:t>
      </w:r>
      <w:r w:rsidRPr="00551729">
        <w:t xml:space="preserve">financimi i paguar më herët gjatë periudhës së zbatimit të marrëveshjes ose kontratës së grantit. Në këto raste, pagesa e bërë do të jetë më e vogël sesa kostoja e raportuar. Ajo mund të jetë dhe zero, nëse e gjithë kostoja është e mbuluar me </w:t>
      </w:r>
      <w:r w:rsidR="00B17AA1">
        <w:t>para</w:t>
      </w:r>
      <w:r w:rsidRPr="00551729">
        <w:t xml:space="preserve">financim (sigurisht do të jetë zero në qoftë se kostot e raportuara janë të pamjaftueshme për të thithur </w:t>
      </w:r>
      <w:r w:rsidR="00B17AA1">
        <w:t>para</w:t>
      </w:r>
      <w:r w:rsidRPr="00551729">
        <w:t xml:space="preserve">financimin dhe lëshohet një urdhër rivlerësimi për bilancin e papërdorur të </w:t>
      </w:r>
      <w:r w:rsidR="00B17AA1">
        <w:t>para</w:t>
      </w:r>
      <w:r w:rsidR="00F5200F">
        <w:t>financimit</w:t>
      </w:r>
      <w:r w:rsidRPr="00551729">
        <w:t xml:space="preserve">). Në të gjitha këto raste, sistemi gjatë përcaktimit të shumës për t’u paguar, duhet të regjistrojë vlerën e plotë të kostos së pranueshme të raportuar si shpenzime për vitin dhe të reduktojë nga bilanci i </w:t>
      </w:r>
      <w:r w:rsidR="00B17AA1">
        <w:t>para</w:t>
      </w:r>
      <w:r w:rsidRPr="00551729">
        <w:t xml:space="preserve">financimit koston e kompensuar nga </w:t>
      </w:r>
      <w:r w:rsidR="00B17AA1">
        <w:t>para</w:t>
      </w:r>
      <w:r w:rsidRPr="00551729">
        <w:t xml:space="preserve">financimi. </w:t>
      </w:r>
    </w:p>
    <w:p w14:paraId="1BADD77C" w14:textId="5AC86944" w:rsidR="003C7A98" w:rsidRPr="00551729" w:rsidRDefault="003C7A98" w:rsidP="003C7A98">
      <w:pPr>
        <w:pStyle w:val="TEKSTIII"/>
      </w:pPr>
      <w:r w:rsidRPr="00551729">
        <w:t>j</w:t>
      </w:r>
      <w:r w:rsidR="009F02F5">
        <w:t>)</w:t>
      </w:r>
      <w:r w:rsidRPr="00551729">
        <w:t xml:space="preserve"> Kthimi i fondeve të papërdorura për të ulur </w:t>
      </w:r>
      <w:r w:rsidR="00B17AA1">
        <w:t>para</w:t>
      </w:r>
      <w:r w:rsidRPr="00551729">
        <w:t xml:space="preserve">financimin (sipas kontratë); </w:t>
      </w:r>
    </w:p>
    <w:p w14:paraId="1BADD77D" w14:textId="7190FC87" w:rsidR="003C7A98" w:rsidRPr="00551729" w:rsidRDefault="003C7A98" w:rsidP="003C7A98">
      <w:pPr>
        <w:pStyle w:val="TEKSTIII"/>
      </w:pPr>
      <w:r w:rsidRPr="00551729">
        <w:t xml:space="preserve">Njohja e reduktimit të fondeve të </w:t>
      </w:r>
      <w:r w:rsidR="00B17AA1">
        <w:t>para</w:t>
      </w:r>
      <w:r w:rsidRPr="00551729">
        <w:t xml:space="preserve">financimit në bilanc pas kthimit të një </w:t>
      </w:r>
      <w:r w:rsidR="00B17AA1">
        <w:t>para</w:t>
      </w:r>
      <w:r w:rsidRPr="00551729">
        <w:t xml:space="preserve">financimi të papërdorur. </w:t>
      </w:r>
    </w:p>
    <w:p w14:paraId="1BADD77E" w14:textId="2096FFEB" w:rsidR="003C7A98" w:rsidRPr="00551729" w:rsidRDefault="003C7A98" w:rsidP="003C7A98">
      <w:pPr>
        <w:pStyle w:val="TEKSTIII"/>
      </w:pPr>
      <w:r w:rsidRPr="00551729">
        <w:t>k</w:t>
      </w:r>
      <w:r w:rsidR="009F02F5">
        <w:t>)</w:t>
      </w:r>
      <w:r w:rsidRPr="00551729">
        <w:t xml:space="preserve"> Kthimi i fondeve të papërdorura për të ulur koston (sipas kontratës); </w:t>
      </w:r>
    </w:p>
    <w:p w14:paraId="1BADD77F" w14:textId="0A0518A2" w:rsidR="003C7A98" w:rsidRPr="00551729" w:rsidRDefault="003C7A98" w:rsidP="003C7A98">
      <w:pPr>
        <w:pStyle w:val="TEKSTIII"/>
      </w:pPr>
      <w:r w:rsidRPr="00551729">
        <w:t xml:space="preserve">Kur një kthim fondesh bëhet kundrejt një kostoje të pranuar më parë </w:t>
      </w:r>
      <w:r w:rsidR="0057754B">
        <w:t>–</w:t>
      </w:r>
      <w:r w:rsidRPr="00551729">
        <w:t xml:space="preserve"> ndoshta pas një hetimi për mashtrim. Në raste të tilla, shpenzimet e regjistruara për vitin duhet të reduktohen në qoftë se kostoja është pranuar në të njëjtin vit si rikuperimi pasues; ose të ardhurat duhet të regjistrohen kur kostoja është pranuar, në një vit para tij të kthimit të fondeve. </w:t>
      </w:r>
    </w:p>
    <w:p w14:paraId="1BADD780" w14:textId="77777777" w:rsidR="003C7A98" w:rsidRPr="00551729" w:rsidRDefault="003C7A98" w:rsidP="003C7A98">
      <w:pPr>
        <w:pStyle w:val="TEKSTIII"/>
      </w:pPr>
      <w:r w:rsidRPr="00551729">
        <w:t xml:space="preserve">l. Data e faturës së furnizuesit për çdo faturë, ose dokument tjetër i shoqëruar nga një raport financiar që paraqet shpenzimet e njohura; </w:t>
      </w:r>
    </w:p>
    <w:p w14:paraId="1BADD781" w14:textId="6D0DEDE0" w:rsidR="003C7A98" w:rsidRPr="00551729" w:rsidRDefault="003C7A98" w:rsidP="003C7A98">
      <w:pPr>
        <w:pStyle w:val="TEKSTIII"/>
      </w:pPr>
      <w:r w:rsidRPr="00551729">
        <w:t>m</w:t>
      </w:r>
      <w:r w:rsidR="009F02F5">
        <w:t>)</w:t>
      </w:r>
      <w:r w:rsidRPr="00551729">
        <w:t xml:space="preserve"> Informacion mbi kontekstin e kthimit të fondeve të kostove të papranueshme dhe kthimeve të fondeve.</w:t>
      </w:r>
    </w:p>
    <w:p w14:paraId="1BADD782" w14:textId="77777777" w:rsidR="00400B32" w:rsidRPr="00551729" w:rsidRDefault="00400B32" w:rsidP="00E10FA6">
      <w:pPr>
        <w:pStyle w:val="TEKSTIII"/>
        <w:ind w:firstLine="0"/>
        <w:jc w:val="center"/>
        <w:rPr>
          <w:b/>
        </w:rPr>
      </w:pPr>
    </w:p>
    <w:sectPr w:rsidR="00400B32" w:rsidRPr="00551729" w:rsidSect="00C521D5">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FC0CB" w14:textId="77777777" w:rsidR="008274CD" w:rsidRDefault="008274CD" w:rsidP="00420682">
      <w:pPr>
        <w:spacing w:after="0" w:line="240" w:lineRule="auto"/>
      </w:pPr>
      <w:r>
        <w:separator/>
      </w:r>
    </w:p>
  </w:endnote>
  <w:endnote w:type="continuationSeparator" w:id="0">
    <w:p w14:paraId="6905257F" w14:textId="77777777" w:rsidR="008274CD" w:rsidRDefault="008274CD" w:rsidP="00420682">
      <w:pPr>
        <w:spacing w:after="0" w:line="240" w:lineRule="auto"/>
      </w:pPr>
      <w:r>
        <w:continuationSeparator/>
      </w:r>
    </w:p>
  </w:endnote>
  <w:endnote w:type="continuationNotice" w:id="1">
    <w:p w14:paraId="0F6DDCA4" w14:textId="77777777" w:rsidR="008274CD" w:rsidRDefault="008274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851619"/>
      <w:docPartObj>
        <w:docPartGallery w:val="Page Numbers (Bottom of Page)"/>
        <w:docPartUnique/>
      </w:docPartObj>
    </w:sdtPr>
    <w:sdtEndPr>
      <w:rPr>
        <w:noProof/>
      </w:rPr>
    </w:sdtEndPr>
    <w:sdtContent>
      <w:p w14:paraId="3FE50073" w14:textId="28FFD46F" w:rsidR="008274CD" w:rsidRDefault="008274CD">
        <w:pPr>
          <w:pStyle w:val="Footer"/>
          <w:jc w:val="center"/>
        </w:pPr>
        <w:r>
          <w:fldChar w:fldCharType="begin"/>
        </w:r>
        <w:r>
          <w:instrText xml:space="preserve"> PAGE   \* MERGEFORMAT </w:instrText>
        </w:r>
        <w:r>
          <w:fldChar w:fldCharType="separate"/>
        </w:r>
        <w:r w:rsidR="0082753C">
          <w:rPr>
            <w:noProof/>
          </w:rPr>
          <w:t>89</w:t>
        </w:r>
        <w:r>
          <w:rPr>
            <w:noProof/>
          </w:rPr>
          <w:fldChar w:fldCharType="end"/>
        </w:r>
      </w:p>
    </w:sdtContent>
  </w:sdt>
  <w:p w14:paraId="073BA0F5" w14:textId="77777777" w:rsidR="008274CD" w:rsidRDefault="008274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E783F" w14:textId="77777777" w:rsidR="008274CD" w:rsidRDefault="008274CD" w:rsidP="00420682">
      <w:pPr>
        <w:spacing w:after="0" w:line="240" w:lineRule="auto"/>
      </w:pPr>
      <w:r>
        <w:separator/>
      </w:r>
    </w:p>
  </w:footnote>
  <w:footnote w:type="continuationSeparator" w:id="0">
    <w:p w14:paraId="708CAD50" w14:textId="77777777" w:rsidR="008274CD" w:rsidRDefault="008274CD" w:rsidP="00420682">
      <w:pPr>
        <w:spacing w:after="0" w:line="240" w:lineRule="auto"/>
      </w:pPr>
      <w:r>
        <w:continuationSeparator/>
      </w:r>
    </w:p>
  </w:footnote>
  <w:footnote w:type="continuationNotice" w:id="1">
    <w:p w14:paraId="71931250" w14:textId="77777777" w:rsidR="008274CD" w:rsidRDefault="008274CD">
      <w:pPr>
        <w:spacing w:after="0" w:line="240" w:lineRule="auto"/>
      </w:pPr>
    </w:p>
  </w:footnote>
  <w:footnote w:id="2">
    <w:p w14:paraId="1BADD7A1" w14:textId="0CEC3720" w:rsidR="008274CD" w:rsidRPr="00E76065" w:rsidRDefault="008274CD" w:rsidP="00E76065">
      <w:pPr>
        <w:widowControl w:val="0"/>
        <w:overflowPunct w:val="0"/>
        <w:autoSpaceDE w:val="0"/>
        <w:autoSpaceDN w:val="0"/>
        <w:adjustRightInd w:val="0"/>
        <w:spacing w:after="0" w:line="210" w:lineRule="auto"/>
        <w:ind w:left="4" w:right="580"/>
        <w:jc w:val="both"/>
        <w:rPr>
          <w:rFonts w:ascii="Garamond" w:hAnsi="Garamond"/>
          <w:sz w:val="20"/>
          <w:szCs w:val="20"/>
        </w:rPr>
      </w:pPr>
      <w:r w:rsidRPr="00446633">
        <w:rPr>
          <w:rStyle w:val="FootnoteReference"/>
          <w:rFonts w:ascii="Garamond" w:hAnsi="Garamond"/>
          <w:sz w:val="20"/>
          <w:szCs w:val="20"/>
        </w:rPr>
        <w:footnoteRef/>
      </w:r>
      <w:r w:rsidRPr="00446633">
        <w:rPr>
          <w:rFonts w:ascii="Garamond" w:hAnsi="Garamond"/>
          <w:sz w:val="20"/>
          <w:szCs w:val="20"/>
        </w:rPr>
        <w:t xml:space="preserve"> Rregullorja nr. 231/2014 (BE) e Parlamentit Evropian dhe e Këshillit</w:t>
      </w:r>
      <w:r>
        <w:rPr>
          <w:rFonts w:ascii="Garamond" w:hAnsi="Garamond"/>
          <w:sz w:val="20"/>
          <w:szCs w:val="20"/>
        </w:rPr>
        <w:t>,</w:t>
      </w:r>
      <w:r w:rsidRPr="00446633">
        <w:rPr>
          <w:rFonts w:ascii="Garamond" w:hAnsi="Garamond"/>
          <w:sz w:val="20"/>
          <w:szCs w:val="20"/>
        </w:rPr>
        <w:t xml:space="preserve"> e datës 11 mars 2014</w:t>
      </w:r>
      <w:r>
        <w:rPr>
          <w:rFonts w:ascii="Garamond" w:hAnsi="Garamond"/>
          <w:sz w:val="20"/>
          <w:szCs w:val="20"/>
        </w:rPr>
        <w:t>,</w:t>
      </w:r>
      <w:r w:rsidRPr="00446633">
        <w:rPr>
          <w:rFonts w:ascii="Garamond" w:hAnsi="Garamond"/>
          <w:sz w:val="20"/>
          <w:szCs w:val="20"/>
        </w:rPr>
        <w:t xml:space="preserve"> që krijon një I</w:t>
      </w:r>
      <w:r>
        <w:rPr>
          <w:rFonts w:ascii="Garamond" w:hAnsi="Garamond"/>
          <w:sz w:val="20"/>
          <w:szCs w:val="20"/>
        </w:rPr>
        <w:t>nstrument për Asistencën e Paraa</w:t>
      </w:r>
      <w:r w:rsidRPr="00446633">
        <w:rPr>
          <w:rFonts w:ascii="Garamond" w:hAnsi="Garamond"/>
          <w:sz w:val="20"/>
          <w:szCs w:val="20"/>
        </w:rPr>
        <w:t>nëtarësimit (IPA II</w:t>
      </w:r>
      <w:r>
        <w:rPr>
          <w:rFonts w:ascii="Garamond" w:hAnsi="Garamond"/>
          <w:sz w:val="20"/>
          <w:szCs w:val="20"/>
        </w:rPr>
        <w:t>), OJ L 77, 15.3.2014, f. 11.</w:t>
      </w:r>
    </w:p>
  </w:footnote>
  <w:footnote w:id="3">
    <w:p w14:paraId="1BADD7A2" w14:textId="77777777" w:rsidR="008274CD" w:rsidRPr="00915CA3" w:rsidRDefault="008274CD" w:rsidP="00915CA3">
      <w:pPr>
        <w:pStyle w:val="FootnoteText"/>
        <w:rPr>
          <w:rFonts w:ascii="Garamond" w:hAnsi="Garamond"/>
        </w:rPr>
      </w:pPr>
      <w:r w:rsidRPr="00915CA3">
        <w:rPr>
          <w:rStyle w:val="FootnoteReference"/>
          <w:rFonts w:ascii="Garamond" w:hAnsi="Garamond"/>
        </w:rPr>
        <w:footnoteRef/>
      </w:r>
      <w:r w:rsidRPr="00915CA3">
        <w:rPr>
          <w:rFonts w:ascii="Garamond" w:hAnsi="Garamond"/>
        </w:rPr>
        <w:t xml:space="preserve"> https://ec.europa.eu/neighbourhood-enlargement/sites/near/files/pdf/albania/ipa/2015/2014_-_2020_ipa_cbc_montenegro_albania_action.pdf</w:t>
      </w:r>
    </w:p>
  </w:footnote>
  <w:footnote w:id="4">
    <w:p w14:paraId="1BADD7A3" w14:textId="77777777" w:rsidR="008274CD" w:rsidRPr="007C4BB4" w:rsidRDefault="008274CD" w:rsidP="00915CA3">
      <w:pPr>
        <w:pStyle w:val="FootnoteText"/>
      </w:pPr>
      <w:r w:rsidRPr="00915CA3">
        <w:rPr>
          <w:rStyle w:val="FootnoteReference"/>
          <w:rFonts w:ascii="Garamond" w:hAnsi="Garamond"/>
        </w:rPr>
        <w:footnoteRef/>
      </w:r>
      <w:r w:rsidRPr="00915CA3">
        <w:rPr>
          <w:rFonts w:ascii="Garamond" w:hAnsi="Garamond"/>
        </w:rPr>
        <w:t xml:space="preserve"> https://ec.europa.eu/commission/sites/beta-political/files/communication-credible-enlargement-perspective-ëestern-balkans_en.pdf</w:t>
      </w:r>
    </w:p>
  </w:footnote>
  <w:footnote w:id="5">
    <w:p w14:paraId="1BADD7A4" w14:textId="77777777" w:rsidR="008274CD" w:rsidRPr="00676C26" w:rsidRDefault="008274CD" w:rsidP="00915CA3">
      <w:pPr>
        <w:pStyle w:val="FootnoteText"/>
        <w:rPr>
          <w:rFonts w:ascii="Garamond" w:hAnsi="Garamond"/>
        </w:rPr>
      </w:pPr>
      <w:r w:rsidRPr="00676C26">
        <w:rPr>
          <w:rStyle w:val="FootnoteReference"/>
          <w:rFonts w:ascii="Garamond" w:hAnsi="Garamond"/>
        </w:rPr>
        <w:footnoteRef/>
      </w:r>
      <w:r w:rsidRPr="00676C26">
        <w:rPr>
          <w:rFonts w:ascii="Garamond" w:hAnsi="Garamond"/>
        </w:rPr>
        <w:t xml:space="preserve"> </w:t>
      </w:r>
      <w:hyperlink r:id="rId1" w:history="1">
        <w:r w:rsidRPr="00676C26">
          <w:rPr>
            <w:rStyle w:val="Hyperlink"/>
            <w:rFonts w:ascii="Garamond" w:hAnsi="Garamond"/>
          </w:rPr>
          <w:t>https://eeas.europa.eu/headquarters/headquarters-homepage/8442/consolidated-list-sanctions_en</w:t>
        </w:r>
      </w:hyperlink>
    </w:p>
  </w:footnote>
  <w:footnote w:id="6">
    <w:p w14:paraId="1BADD7A5" w14:textId="77777777" w:rsidR="008274CD" w:rsidRPr="00F37FF0" w:rsidRDefault="008274CD" w:rsidP="00915CA3">
      <w:pPr>
        <w:pStyle w:val="FootnoteText"/>
        <w:rPr>
          <w:rFonts w:ascii="Garamond" w:hAnsi="Garamond"/>
        </w:rPr>
      </w:pPr>
      <w:r w:rsidRPr="00F37FF0">
        <w:rPr>
          <w:rStyle w:val="FootnoteReference"/>
          <w:rFonts w:ascii="Garamond" w:hAnsi="Garamond"/>
        </w:rPr>
        <w:footnoteRef/>
      </w:r>
      <w:r w:rsidRPr="00F37FF0">
        <w:rPr>
          <w:rFonts w:ascii="Garamond" w:hAnsi="Garamond"/>
        </w:rPr>
        <w:t xml:space="preserve"> https://ec.europa.eu/neighbourhood-enlargement/sites/near/files/pdf/albania/ipa/2015/2014_-_2020_ipa_cbc_montenegro_albania_action.pdf</w:t>
      </w:r>
    </w:p>
  </w:footnote>
  <w:footnote w:id="7">
    <w:p w14:paraId="1BADD7A6" w14:textId="77777777" w:rsidR="008274CD" w:rsidRPr="00F37FF0" w:rsidRDefault="008274CD" w:rsidP="00915CA3">
      <w:pPr>
        <w:pStyle w:val="FootnoteText"/>
        <w:rPr>
          <w:rFonts w:ascii="Garamond" w:hAnsi="Garamond"/>
        </w:rPr>
      </w:pPr>
      <w:r w:rsidRPr="00F37FF0">
        <w:rPr>
          <w:rStyle w:val="FootnoteReference"/>
          <w:rFonts w:ascii="Garamond" w:hAnsi="Garamond"/>
        </w:rPr>
        <w:footnoteRef/>
      </w:r>
      <w:r w:rsidRPr="00F37FF0">
        <w:rPr>
          <w:rFonts w:ascii="Garamond" w:hAnsi="Garamond"/>
        </w:rPr>
        <w:t xml:space="preserve"> http://ec.europa.eu/transparency/regdoc/rep/3/2014/EN/3-2014-9421-EN-F1-1-ANNEX-1.PDF</w:t>
      </w:r>
    </w:p>
  </w:footnote>
  <w:footnote w:id="8">
    <w:p w14:paraId="1BADD7A7" w14:textId="0020F7AF" w:rsidR="008274CD" w:rsidRPr="00893E12" w:rsidRDefault="008274CD" w:rsidP="00893E12">
      <w:pPr>
        <w:pStyle w:val="FootnoteText"/>
        <w:jc w:val="both"/>
        <w:rPr>
          <w:lang w:val="sq-AL"/>
        </w:rPr>
      </w:pPr>
      <w:r w:rsidRPr="00893E12">
        <w:rPr>
          <w:rStyle w:val="FootnoteReference"/>
          <w:lang w:val="sq-AL"/>
        </w:rPr>
        <w:footnoteRef/>
      </w:r>
      <w:r w:rsidRPr="00893E12">
        <w:rPr>
          <w:lang w:val="sq-AL"/>
        </w:rPr>
        <w:t xml:space="preserve"> </w:t>
      </w:r>
      <w:r w:rsidRPr="00893E12">
        <w:rPr>
          <w:rFonts w:ascii="Garamond" w:hAnsi="Garamond"/>
          <w:lang w:val="sq-AL"/>
        </w:rPr>
        <w:t>Ky seksion jep një përmbledhje të të dhënave kryesore nga analiza e situatës, analiza S</w:t>
      </w:r>
      <w:r>
        <w:rPr>
          <w:rFonts w:ascii="Garamond" w:hAnsi="Garamond"/>
          <w:lang w:val="sq-AL"/>
        </w:rPr>
        <w:t>W</w:t>
      </w:r>
      <w:r w:rsidRPr="00893E12">
        <w:rPr>
          <w:rFonts w:ascii="Garamond" w:hAnsi="Garamond"/>
          <w:lang w:val="sq-AL"/>
        </w:rPr>
        <w:t>OT dhe PESTLE. Versioni i plotë i analizës është shtojcë në dokumentin e programit.</w:t>
      </w:r>
    </w:p>
  </w:footnote>
  <w:footnote w:id="9">
    <w:p w14:paraId="1BADD7A8" w14:textId="77777777" w:rsidR="008274CD" w:rsidRPr="00893E12" w:rsidRDefault="008274CD" w:rsidP="00893E12">
      <w:pPr>
        <w:pStyle w:val="FootnoteText"/>
        <w:jc w:val="both"/>
        <w:rPr>
          <w:lang w:val="sq-AL"/>
        </w:rPr>
      </w:pPr>
      <w:r w:rsidRPr="00893E12">
        <w:rPr>
          <w:rStyle w:val="FootnoteReference"/>
          <w:lang w:val="sq-AL"/>
        </w:rPr>
        <w:footnoteRef/>
      </w:r>
      <w:r w:rsidRPr="00893E12">
        <w:rPr>
          <w:lang w:val="sq-AL"/>
        </w:rPr>
        <w:t xml:space="preserve"> </w:t>
      </w:r>
      <w:r w:rsidRPr="00893E12">
        <w:rPr>
          <w:rFonts w:ascii="Garamond" w:hAnsi="Garamond"/>
          <w:lang w:val="sq-AL"/>
        </w:rPr>
        <w:t>Gucia është një bashki e re, e paraqitur si një ndarje administrative e Komunës së Plavës; ajo është në fazat e hershme të organizimit.</w:t>
      </w:r>
    </w:p>
  </w:footnote>
  <w:footnote w:id="10">
    <w:p w14:paraId="1BADD7A9" w14:textId="0E99DFE2" w:rsidR="008274CD" w:rsidRPr="00893E12" w:rsidRDefault="008274CD" w:rsidP="00893E12">
      <w:pPr>
        <w:spacing w:after="0" w:line="240" w:lineRule="auto"/>
        <w:jc w:val="both"/>
        <w:rPr>
          <w:rFonts w:ascii="Garamond" w:hAnsi="Garamond"/>
          <w:sz w:val="20"/>
        </w:rPr>
      </w:pPr>
      <w:r w:rsidRPr="00893E12">
        <w:rPr>
          <w:rStyle w:val="FootnoteReference"/>
        </w:rPr>
        <w:footnoteRef/>
      </w:r>
      <w:r w:rsidRPr="00893E12">
        <w:t xml:space="preserve"> </w:t>
      </w:r>
      <w:r w:rsidRPr="00893E12">
        <w:rPr>
          <w:rFonts w:ascii="Garamond" w:hAnsi="Garamond"/>
          <w:sz w:val="20"/>
        </w:rPr>
        <w:t>Petnjica është një bashki e re, e paraqitur si një ndarje adm</w:t>
      </w:r>
      <w:r>
        <w:rPr>
          <w:rFonts w:ascii="Garamond" w:hAnsi="Garamond"/>
          <w:sz w:val="20"/>
        </w:rPr>
        <w:t>inistrative e Komunës së Berane</w:t>
      </w:r>
      <w:r w:rsidRPr="00893E12">
        <w:rPr>
          <w:rFonts w:ascii="Garamond" w:hAnsi="Garamond"/>
          <w:sz w:val="20"/>
        </w:rPr>
        <w:t>s; ajo është në fazat e hershme të organizimit; Edhe Gucia është një komunë e themeluar</w:t>
      </w:r>
      <w:r w:rsidRPr="00893E12">
        <w:rPr>
          <w:rFonts w:ascii="Garamond" w:hAnsi="Garamond"/>
          <w:spacing w:val="-22"/>
          <w:sz w:val="20"/>
        </w:rPr>
        <w:t xml:space="preserve"> </w:t>
      </w:r>
      <w:r w:rsidRPr="00893E12">
        <w:rPr>
          <w:rFonts w:ascii="Garamond" w:hAnsi="Garamond"/>
          <w:sz w:val="20"/>
        </w:rPr>
        <w:t>rishtazi.</w:t>
      </w:r>
    </w:p>
  </w:footnote>
  <w:footnote w:id="11">
    <w:p w14:paraId="1BADD7AA" w14:textId="0EC56534" w:rsidR="008274CD" w:rsidRPr="00893E12" w:rsidRDefault="008274CD" w:rsidP="00893E12">
      <w:pPr>
        <w:pStyle w:val="FootnoteText"/>
        <w:jc w:val="both"/>
        <w:rPr>
          <w:lang w:val="sq-AL"/>
        </w:rPr>
      </w:pPr>
      <w:r w:rsidRPr="00893E12">
        <w:rPr>
          <w:rStyle w:val="FootnoteReference"/>
          <w:lang w:val="sq-AL"/>
        </w:rPr>
        <w:footnoteRef/>
      </w:r>
      <w:r w:rsidRPr="00893E12">
        <w:rPr>
          <w:lang w:val="sq-AL"/>
        </w:rPr>
        <w:t xml:space="preserve"> </w:t>
      </w:r>
      <w:r w:rsidRPr="00893E12">
        <w:rPr>
          <w:rFonts w:ascii="Garamond" w:hAnsi="Garamond"/>
          <w:lang w:val="sq-AL"/>
        </w:rPr>
        <w:t>Rrethi i Tropojës ka 1 bashki, atë të Bajram Currit, dhe 7 komuna - Bujan, Bytyç, Fierzë, Lekbibaj, Llugaj, Margegaj dhe Tropoja</w:t>
      </w:r>
    </w:p>
  </w:footnote>
  <w:footnote w:id="12">
    <w:p w14:paraId="1BADD7AB" w14:textId="6205A374" w:rsidR="008274CD" w:rsidRPr="0039138A" w:rsidRDefault="008274CD" w:rsidP="0039138A">
      <w:pPr>
        <w:widowControl w:val="0"/>
        <w:tabs>
          <w:tab w:val="left" w:pos="285"/>
        </w:tabs>
        <w:spacing w:before="70" w:after="0" w:line="240" w:lineRule="auto"/>
        <w:rPr>
          <w:rFonts w:ascii="Garamond" w:hAnsi="Garamond"/>
          <w:sz w:val="20"/>
          <w:szCs w:val="24"/>
        </w:rPr>
      </w:pPr>
      <w:r w:rsidRPr="0039138A">
        <w:rPr>
          <w:rStyle w:val="FootnoteReference"/>
          <w:rFonts w:ascii="Garamond" w:hAnsi="Garamond"/>
          <w:sz w:val="20"/>
          <w:szCs w:val="24"/>
        </w:rPr>
        <w:footnoteRef/>
      </w:r>
      <w:r>
        <w:rPr>
          <w:rFonts w:ascii="Garamond" w:hAnsi="Garamond"/>
          <w:sz w:val="20"/>
          <w:szCs w:val="24"/>
        </w:rPr>
        <w:t xml:space="preserve"> </w:t>
      </w:r>
      <w:r w:rsidRPr="0039138A">
        <w:rPr>
          <w:rFonts w:ascii="Garamond" w:hAnsi="Garamond"/>
          <w:sz w:val="20"/>
          <w:szCs w:val="24"/>
        </w:rPr>
        <w:t>INSTAT Census</w:t>
      </w:r>
      <w:r w:rsidRPr="0039138A">
        <w:rPr>
          <w:rFonts w:ascii="Garamond" w:hAnsi="Garamond"/>
          <w:spacing w:val="-10"/>
          <w:sz w:val="20"/>
          <w:szCs w:val="24"/>
        </w:rPr>
        <w:t xml:space="preserve"> </w:t>
      </w:r>
      <w:r w:rsidRPr="0039138A">
        <w:rPr>
          <w:rFonts w:ascii="Garamond" w:hAnsi="Garamond"/>
          <w:sz w:val="20"/>
          <w:szCs w:val="24"/>
        </w:rPr>
        <w:t>2011</w:t>
      </w:r>
      <w:r>
        <w:rPr>
          <w:rFonts w:ascii="Garamond" w:hAnsi="Garamond"/>
          <w:sz w:val="20"/>
          <w:szCs w:val="24"/>
        </w:rPr>
        <w:t>.</w:t>
      </w:r>
    </w:p>
  </w:footnote>
  <w:footnote w:id="13">
    <w:p w14:paraId="1BADD7AC" w14:textId="0D5C84F7" w:rsidR="008274CD" w:rsidRPr="00DF75FB" w:rsidRDefault="008274CD" w:rsidP="00DF75FB">
      <w:pPr>
        <w:spacing w:after="0" w:line="240" w:lineRule="auto"/>
        <w:rPr>
          <w:rFonts w:ascii="Garamond" w:hAnsi="Garamond"/>
          <w:sz w:val="20"/>
          <w:szCs w:val="20"/>
        </w:rPr>
      </w:pPr>
      <w:r w:rsidRPr="00DF75FB">
        <w:rPr>
          <w:rFonts w:ascii="Garamond" w:hAnsi="Garamond"/>
          <w:sz w:val="20"/>
          <w:szCs w:val="20"/>
        </w:rPr>
        <w:footnoteRef/>
      </w:r>
      <w:r w:rsidRPr="00DF75FB">
        <w:rPr>
          <w:rFonts w:ascii="Garamond" w:hAnsi="Garamond"/>
          <w:sz w:val="20"/>
          <w:szCs w:val="20"/>
        </w:rPr>
        <w:t xml:space="preserve"> Banka Botërore, fotografim i programit të Shtetit.</w:t>
      </w:r>
    </w:p>
  </w:footnote>
  <w:footnote w:id="14">
    <w:p w14:paraId="1BADD7AD" w14:textId="3165B9D2" w:rsidR="008274CD" w:rsidRPr="00DF75FB" w:rsidRDefault="008274CD" w:rsidP="00DF75FB">
      <w:pPr>
        <w:spacing w:after="0" w:line="240" w:lineRule="auto"/>
        <w:rPr>
          <w:rFonts w:ascii="Garamond" w:hAnsi="Garamond"/>
          <w:sz w:val="20"/>
          <w:szCs w:val="20"/>
        </w:rPr>
      </w:pPr>
      <w:r w:rsidRPr="00DF75FB">
        <w:rPr>
          <w:rFonts w:ascii="Garamond" w:hAnsi="Garamond"/>
          <w:sz w:val="20"/>
          <w:szCs w:val="20"/>
        </w:rPr>
        <w:footnoteRef/>
      </w:r>
      <w:r w:rsidRPr="00DF75FB">
        <w:rPr>
          <w:rFonts w:ascii="Garamond" w:hAnsi="Garamond"/>
          <w:sz w:val="20"/>
          <w:szCs w:val="20"/>
        </w:rPr>
        <w:t xml:space="preserve"> INSTAT, Llogaritë Rajonale 2013.</w:t>
      </w:r>
    </w:p>
  </w:footnote>
  <w:footnote w:id="15">
    <w:p w14:paraId="1BADD7AE" w14:textId="269668B6" w:rsidR="008274CD" w:rsidRPr="0039138A" w:rsidRDefault="008274CD" w:rsidP="0039138A">
      <w:pPr>
        <w:spacing w:after="0" w:line="240" w:lineRule="auto"/>
        <w:rPr>
          <w:rFonts w:ascii="Arial Narrow" w:hAnsi="Arial Narrow"/>
          <w:sz w:val="16"/>
        </w:rPr>
      </w:pPr>
      <w:r w:rsidRPr="0039138A">
        <w:rPr>
          <w:rStyle w:val="FootnoteReference"/>
          <w:rFonts w:ascii="Garamond" w:hAnsi="Garamond"/>
          <w:sz w:val="20"/>
          <w:szCs w:val="24"/>
        </w:rPr>
        <w:footnoteRef/>
      </w:r>
      <w:r w:rsidRPr="0039138A">
        <w:rPr>
          <w:rFonts w:ascii="Garamond" w:hAnsi="Garamond"/>
          <w:sz w:val="20"/>
          <w:szCs w:val="24"/>
        </w:rPr>
        <w:t xml:space="preserve"> INSTAT, Llogaritë Rajonale 2013</w:t>
      </w:r>
      <w:r>
        <w:rPr>
          <w:rFonts w:ascii="Garamond" w:hAnsi="Garamond"/>
          <w:sz w:val="20"/>
          <w:szCs w:val="24"/>
        </w:rPr>
        <w:t>.</w:t>
      </w:r>
    </w:p>
  </w:footnote>
  <w:footnote w:id="16">
    <w:p w14:paraId="1BADD7AF" w14:textId="22B05482" w:rsidR="008274CD" w:rsidRPr="005079B0" w:rsidRDefault="008274CD" w:rsidP="00B41418">
      <w:pPr>
        <w:widowControl w:val="0"/>
        <w:tabs>
          <w:tab w:val="left" w:pos="251"/>
        </w:tabs>
        <w:spacing w:before="70" w:after="0" w:line="240" w:lineRule="auto"/>
        <w:rPr>
          <w:rFonts w:ascii="Garamond" w:hAnsi="Garamond"/>
          <w:sz w:val="20"/>
          <w:szCs w:val="20"/>
        </w:rPr>
      </w:pPr>
      <w:r w:rsidRPr="005079B0">
        <w:rPr>
          <w:rStyle w:val="FootnoteReference"/>
          <w:rFonts w:ascii="Garamond" w:hAnsi="Garamond"/>
          <w:sz w:val="20"/>
          <w:szCs w:val="20"/>
        </w:rPr>
        <w:footnoteRef/>
      </w:r>
      <w:r w:rsidRPr="005079B0">
        <w:rPr>
          <w:rFonts w:ascii="Garamond" w:hAnsi="Garamond"/>
          <w:sz w:val="20"/>
          <w:szCs w:val="20"/>
        </w:rPr>
        <w:t xml:space="preserve"> INSTAT,</w:t>
      </w:r>
      <w:r w:rsidRPr="005079B0">
        <w:rPr>
          <w:rFonts w:ascii="Garamond" w:hAnsi="Garamond"/>
          <w:spacing w:val="-8"/>
          <w:sz w:val="20"/>
          <w:szCs w:val="20"/>
        </w:rPr>
        <w:t xml:space="preserve"> </w:t>
      </w:r>
      <w:r w:rsidRPr="005079B0">
        <w:rPr>
          <w:rFonts w:ascii="Garamond" w:hAnsi="Garamond"/>
          <w:sz w:val="20"/>
          <w:szCs w:val="20"/>
        </w:rPr>
        <w:t>Regjistri</w:t>
      </w:r>
      <w:r w:rsidRPr="005079B0">
        <w:rPr>
          <w:rFonts w:ascii="Garamond" w:hAnsi="Garamond"/>
          <w:spacing w:val="-5"/>
          <w:sz w:val="20"/>
          <w:szCs w:val="20"/>
        </w:rPr>
        <w:t xml:space="preserve"> </w:t>
      </w:r>
      <w:r w:rsidRPr="005079B0">
        <w:rPr>
          <w:rFonts w:ascii="Garamond" w:hAnsi="Garamond"/>
          <w:sz w:val="20"/>
          <w:szCs w:val="20"/>
        </w:rPr>
        <w:t>Statistikor</w:t>
      </w:r>
      <w:r w:rsidRPr="005079B0">
        <w:rPr>
          <w:rFonts w:ascii="Garamond" w:hAnsi="Garamond"/>
          <w:spacing w:val="-6"/>
          <w:sz w:val="20"/>
          <w:szCs w:val="20"/>
        </w:rPr>
        <w:t xml:space="preserve"> </w:t>
      </w:r>
      <w:r w:rsidRPr="005079B0">
        <w:rPr>
          <w:rFonts w:ascii="Garamond" w:hAnsi="Garamond"/>
          <w:sz w:val="20"/>
          <w:szCs w:val="20"/>
        </w:rPr>
        <w:t>i</w:t>
      </w:r>
      <w:r w:rsidRPr="005079B0">
        <w:rPr>
          <w:rFonts w:ascii="Garamond" w:hAnsi="Garamond"/>
          <w:spacing w:val="-5"/>
          <w:sz w:val="20"/>
          <w:szCs w:val="20"/>
        </w:rPr>
        <w:t xml:space="preserve"> </w:t>
      </w:r>
      <w:r w:rsidRPr="005079B0">
        <w:rPr>
          <w:rFonts w:ascii="Garamond" w:hAnsi="Garamond"/>
          <w:sz w:val="20"/>
          <w:szCs w:val="20"/>
        </w:rPr>
        <w:t>Biznesit</w:t>
      </w:r>
      <w:r w:rsidRPr="005079B0">
        <w:rPr>
          <w:rFonts w:ascii="Garamond" w:hAnsi="Garamond"/>
          <w:spacing w:val="-6"/>
          <w:sz w:val="20"/>
          <w:szCs w:val="20"/>
        </w:rPr>
        <w:t xml:space="preserve"> </w:t>
      </w:r>
      <w:r w:rsidRPr="005079B0">
        <w:rPr>
          <w:rFonts w:ascii="Garamond" w:hAnsi="Garamond"/>
          <w:sz w:val="20"/>
          <w:szCs w:val="20"/>
        </w:rPr>
        <w:t>të</w:t>
      </w:r>
      <w:r w:rsidRPr="005079B0">
        <w:rPr>
          <w:rFonts w:ascii="Garamond" w:hAnsi="Garamond"/>
          <w:spacing w:val="-2"/>
          <w:sz w:val="20"/>
          <w:szCs w:val="20"/>
        </w:rPr>
        <w:t xml:space="preserve"> </w:t>
      </w:r>
      <w:r w:rsidRPr="005079B0">
        <w:rPr>
          <w:rFonts w:ascii="Garamond" w:hAnsi="Garamond"/>
          <w:sz w:val="20"/>
          <w:szCs w:val="20"/>
        </w:rPr>
        <w:t>Ndërmarrjeve</w:t>
      </w:r>
      <w:r w:rsidRPr="005079B0">
        <w:rPr>
          <w:rFonts w:ascii="Garamond" w:hAnsi="Garamond"/>
          <w:spacing w:val="-4"/>
          <w:sz w:val="20"/>
          <w:szCs w:val="20"/>
        </w:rPr>
        <w:t xml:space="preserve"> </w:t>
      </w:r>
      <w:r w:rsidRPr="005079B0">
        <w:rPr>
          <w:rFonts w:ascii="Garamond" w:hAnsi="Garamond"/>
          <w:sz w:val="20"/>
          <w:szCs w:val="20"/>
        </w:rPr>
        <w:t>2012.</w:t>
      </w:r>
    </w:p>
  </w:footnote>
  <w:footnote w:id="17">
    <w:p w14:paraId="1BADD7B0" w14:textId="77777777" w:rsidR="008274CD" w:rsidRPr="005079B0" w:rsidRDefault="008274CD">
      <w:pPr>
        <w:pStyle w:val="FootnoteText"/>
        <w:rPr>
          <w:rFonts w:ascii="Garamond" w:hAnsi="Garamond"/>
          <w:lang w:val="sq-AL"/>
        </w:rPr>
      </w:pPr>
      <w:r w:rsidRPr="005079B0">
        <w:rPr>
          <w:rStyle w:val="FootnoteReference"/>
          <w:rFonts w:ascii="Garamond" w:hAnsi="Garamond"/>
          <w:lang w:val="sq-AL"/>
        </w:rPr>
        <w:footnoteRef/>
      </w:r>
      <w:r w:rsidRPr="005079B0">
        <w:rPr>
          <w:rFonts w:ascii="Garamond" w:hAnsi="Garamond"/>
          <w:lang w:val="sq-AL"/>
        </w:rPr>
        <w:t xml:space="preserve"> Numri i ndërmarrjeve të reja të regjistruara për një vit të caktuar e shprehur në % mbi numrin e përgjithshëm të ndërmarrjeve.</w:t>
      </w:r>
    </w:p>
  </w:footnote>
  <w:footnote w:id="18">
    <w:p w14:paraId="1BADD7B1" w14:textId="232C0308" w:rsidR="008274CD" w:rsidRPr="00512EF0" w:rsidRDefault="008274CD">
      <w:pPr>
        <w:pStyle w:val="FootnoteText"/>
        <w:rPr>
          <w:rFonts w:ascii="Garamond" w:hAnsi="Garamond"/>
          <w:lang w:val="sq-AL"/>
        </w:rPr>
      </w:pPr>
      <w:r w:rsidRPr="00512EF0">
        <w:rPr>
          <w:rStyle w:val="FootnoteReference"/>
          <w:rFonts w:ascii="Garamond" w:hAnsi="Garamond"/>
          <w:lang w:val="sq-AL"/>
        </w:rPr>
        <w:footnoteRef/>
      </w:r>
      <w:r w:rsidRPr="00512EF0">
        <w:rPr>
          <w:rFonts w:ascii="Garamond" w:hAnsi="Garamond"/>
          <w:lang w:val="sq-AL"/>
        </w:rPr>
        <w:t xml:space="preserve"> Industria</w:t>
      </w:r>
      <w:r w:rsidRPr="00512EF0">
        <w:rPr>
          <w:rFonts w:ascii="Garamond" w:hAnsi="Garamond"/>
          <w:spacing w:val="-3"/>
          <w:lang w:val="sq-AL"/>
        </w:rPr>
        <w:t xml:space="preserve"> </w:t>
      </w:r>
      <w:r w:rsidRPr="00512EF0">
        <w:rPr>
          <w:rFonts w:ascii="Garamond" w:hAnsi="Garamond"/>
          <w:lang w:val="sq-AL"/>
        </w:rPr>
        <w:t>dhe</w:t>
      </w:r>
      <w:r w:rsidRPr="00512EF0">
        <w:rPr>
          <w:rFonts w:ascii="Garamond" w:hAnsi="Garamond"/>
          <w:spacing w:val="-3"/>
          <w:lang w:val="sq-AL"/>
        </w:rPr>
        <w:t xml:space="preserve"> </w:t>
      </w:r>
      <w:r w:rsidRPr="00512EF0">
        <w:rPr>
          <w:rFonts w:ascii="Garamond" w:hAnsi="Garamond"/>
          <w:lang w:val="sq-AL"/>
        </w:rPr>
        <w:t>okupacioni</w:t>
      </w:r>
      <w:r w:rsidRPr="00512EF0">
        <w:rPr>
          <w:rFonts w:ascii="Garamond" w:hAnsi="Garamond"/>
          <w:spacing w:val="-4"/>
          <w:lang w:val="sq-AL"/>
        </w:rPr>
        <w:t xml:space="preserve"> </w:t>
      </w:r>
      <w:r w:rsidRPr="00512EF0">
        <w:rPr>
          <w:rFonts w:ascii="Garamond" w:hAnsi="Garamond"/>
          <w:lang w:val="sq-AL"/>
        </w:rPr>
        <w:t>i</w:t>
      </w:r>
      <w:r w:rsidRPr="00512EF0">
        <w:rPr>
          <w:rFonts w:ascii="Garamond" w:hAnsi="Garamond"/>
          <w:spacing w:val="-4"/>
          <w:lang w:val="sq-AL"/>
        </w:rPr>
        <w:t xml:space="preserve"> </w:t>
      </w:r>
      <w:r w:rsidRPr="00512EF0">
        <w:rPr>
          <w:rFonts w:ascii="Garamond" w:hAnsi="Garamond"/>
          <w:lang w:val="sq-AL"/>
        </w:rPr>
        <w:t>popullsisë</w:t>
      </w:r>
      <w:r w:rsidRPr="00512EF0">
        <w:rPr>
          <w:rFonts w:ascii="Garamond" w:hAnsi="Garamond"/>
          <w:spacing w:val="-3"/>
          <w:lang w:val="sq-AL"/>
        </w:rPr>
        <w:t xml:space="preserve"> </w:t>
      </w:r>
      <w:r w:rsidRPr="00512EF0">
        <w:rPr>
          <w:rFonts w:ascii="Garamond" w:hAnsi="Garamond"/>
          <w:lang w:val="sq-AL"/>
        </w:rPr>
        <w:t>në</w:t>
      </w:r>
      <w:r w:rsidRPr="00512EF0">
        <w:rPr>
          <w:rFonts w:ascii="Garamond" w:hAnsi="Garamond"/>
          <w:spacing w:val="-5"/>
          <w:lang w:val="sq-AL"/>
        </w:rPr>
        <w:t xml:space="preserve"> </w:t>
      </w:r>
      <w:r w:rsidRPr="00512EF0">
        <w:rPr>
          <w:rFonts w:ascii="Garamond" w:hAnsi="Garamond"/>
          <w:lang w:val="sq-AL"/>
        </w:rPr>
        <w:t>Malin</w:t>
      </w:r>
      <w:r w:rsidRPr="00512EF0">
        <w:rPr>
          <w:rFonts w:ascii="Garamond" w:hAnsi="Garamond"/>
          <w:spacing w:val="-5"/>
          <w:lang w:val="sq-AL"/>
        </w:rPr>
        <w:t xml:space="preserve"> </w:t>
      </w:r>
      <w:r w:rsidRPr="00512EF0">
        <w:rPr>
          <w:rFonts w:ascii="Garamond" w:hAnsi="Garamond"/>
          <w:lang w:val="sq-AL"/>
        </w:rPr>
        <w:t>e</w:t>
      </w:r>
      <w:r w:rsidRPr="00512EF0">
        <w:rPr>
          <w:rFonts w:ascii="Garamond" w:hAnsi="Garamond"/>
          <w:spacing w:val="-3"/>
          <w:lang w:val="sq-AL"/>
        </w:rPr>
        <w:t xml:space="preserve"> </w:t>
      </w:r>
      <w:r w:rsidRPr="00512EF0">
        <w:rPr>
          <w:rFonts w:ascii="Garamond" w:hAnsi="Garamond"/>
          <w:lang w:val="sq-AL"/>
        </w:rPr>
        <w:t>Zi</w:t>
      </w:r>
      <w:r>
        <w:rPr>
          <w:rFonts w:ascii="Garamond" w:hAnsi="Garamond"/>
          <w:lang w:val="sq-AL"/>
        </w:rPr>
        <w:t xml:space="preserve"> – </w:t>
      </w:r>
      <w:r w:rsidRPr="00512EF0">
        <w:rPr>
          <w:rFonts w:ascii="Garamond" w:hAnsi="Garamond"/>
          <w:lang w:val="sq-AL"/>
        </w:rPr>
        <w:t>Census</w:t>
      </w:r>
      <w:r w:rsidRPr="00512EF0">
        <w:rPr>
          <w:rFonts w:ascii="Garamond" w:hAnsi="Garamond"/>
          <w:spacing w:val="-5"/>
          <w:lang w:val="sq-AL"/>
        </w:rPr>
        <w:t xml:space="preserve"> </w:t>
      </w:r>
      <w:r w:rsidRPr="00512EF0">
        <w:rPr>
          <w:rFonts w:ascii="Garamond" w:hAnsi="Garamond"/>
          <w:lang w:val="sq-AL"/>
        </w:rPr>
        <w:t>i</w:t>
      </w:r>
      <w:r w:rsidRPr="00512EF0">
        <w:rPr>
          <w:rFonts w:ascii="Garamond" w:hAnsi="Garamond"/>
          <w:spacing w:val="-4"/>
          <w:lang w:val="sq-AL"/>
        </w:rPr>
        <w:t xml:space="preserve"> </w:t>
      </w:r>
      <w:r w:rsidRPr="00512EF0">
        <w:rPr>
          <w:rFonts w:ascii="Garamond" w:hAnsi="Garamond"/>
          <w:lang w:val="sq-AL"/>
        </w:rPr>
        <w:t>vitit</w:t>
      </w:r>
      <w:r w:rsidRPr="00512EF0">
        <w:rPr>
          <w:rFonts w:ascii="Garamond" w:hAnsi="Garamond"/>
          <w:spacing w:val="-5"/>
          <w:lang w:val="sq-AL"/>
        </w:rPr>
        <w:t xml:space="preserve"> </w:t>
      </w:r>
      <w:r w:rsidRPr="00512EF0">
        <w:rPr>
          <w:rFonts w:ascii="Garamond" w:hAnsi="Garamond"/>
          <w:lang w:val="sq-AL"/>
        </w:rPr>
        <w:t>2011,</w:t>
      </w:r>
      <w:r w:rsidRPr="00512EF0">
        <w:rPr>
          <w:rFonts w:ascii="Garamond" w:hAnsi="Garamond"/>
          <w:spacing w:val="-5"/>
          <w:lang w:val="sq-AL"/>
        </w:rPr>
        <w:t xml:space="preserve"> </w:t>
      </w:r>
      <w:r w:rsidRPr="00512EF0">
        <w:rPr>
          <w:rFonts w:ascii="Garamond" w:hAnsi="Garamond"/>
          <w:lang w:val="sq-AL"/>
        </w:rPr>
        <w:t>publikimi</w:t>
      </w:r>
      <w:r w:rsidRPr="00512EF0">
        <w:rPr>
          <w:rFonts w:ascii="Garamond" w:hAnsi="Garamond"/>
          <w:spacing w:val="-4"/>
          <w:lang w:val="sq-AL"/>
        </w:rPr>
        <w:t xml:space="preserve"> </w:t>
      </w:r>
      <w:r w:rsidRPr="00512EF0">
        <w:rPr>
          <w:rFonts w:ascii="Garamond" w:hAnsi="Garamond"/>
          <w:lang w:val="sq-AL"/>
        </w:rPr>
        <w:t>197</w:t>
      </w:r>
      <w:r w:rsidRPr="00512EF0">
        <w:rPr>
          <w:rFonts w:ascii="Garamond" w:hAnsi="Garamond"/>
          <w:spacing w:val="-3"/>
          <w:lang w:val="sq-AL"/>
        </w:rPr>
        <w:t xml:space="preserve"> </w:t>
      </w:r>
      <w:r w:rsidRPr="00512EF0">
        <w:rPr>
          <w:rFonts w:ascii="Garamond" w:hAnsi="Garamond"/>
          <w:lang w:val="sq-AL"/>
        </w:rPr>
        <w:t>i</w:t>
      </w:r>
      <w:r w:rsidRPr="00512EF0">
        <w:rPr>
          <w:rFonts w:ascii="Garamond" w:hAnsi="Garamond"/>
          <w:spacing w:val="-4"/>
          <w:lang w:val="sq-AL"/>
        </w:rPr>
        <w:t xml:space="preserve"> </w:t>
      </w:r>
      <w:r w:rsidRPr="00512EF0">
        <w:rPr>
          <w:rFonts w:ascii="Garamond" w:hAnsi="Garamond"/>
          <w:lang w:val="sq-AL"/>
        </w:rPr>
        <w:t>MONSTAT</w:t>
      </w:r>
      <w:r>
        <w:rPr>
          <w:rFonts w:ascii="Garamond" w:hAnsi="Garamond"/>
          <w:lang w:val="sq-AL"/>
        </w:rPr>
        <w:t>.</w:t>
      </w:r>
    </w:p>
  </w:footnote>
  <w:footnote w:id="19">
    <w:p w14:paraId="1BADD7B2" w14:textId="6A7D21F2" w:rsidR="008274CD" w:rsidRPr="00512EF0" w:rsidRDefault="008274CD">
      <w:pPr>
        <w:pStyle w:val="FootnoteText"/>
        <w:rPr>
          <w:rFonts w:ascii="Garamond" w:hAnsi="Garamond"/>
          <w:lang w:val="sq-AL"/>
        </w:rPr>
      </w:pPr>
      <w:r w:rsidRPr="00512EF0">
        <w:rPr>
          <w:rStyle w:val="FootnoteReference"/>
          <w:rFonts w:ascii="Garamond" w:hAnsi="Garamond"/>
          <w:lang w:val="sq-AL"/>
        </w:rPr>
        <w:footnoteRef/>
      </w:r>
      <w:r w:rsidRPr="00512EF0">
        <w:rPr>
          <w:rFonts w:ascii="Garamond" w:hAnsi="Garamond"/>
          <w:lang w:val="sq-AL"/>
        </w:rPr>
        <w:t xml:space="preserve"> Libri statistikor, Ministria e Bujqësisë</w:t>
      </w:r>
      <w:r>
        <w:rPr>
          <w:rFonts w:ascii="Garamond" w:hAnsi="Garamond"/>
          <w:lang w:val="sq-AL"/>
        </w:rPr>
        <w:t>.</w:t>
      </w:r>
    </w:p>
  </w:footnote>
  <w:footnote w:id="20">
    <w:p w14:paraId="1BADD7B3" w14:textId="0A2C25C7" w:rsidR="008274CD" w:rsidRPr="00512EF0" w:rsidRDefault="008274CD" w:rsidP="006A2E84">
      <w:pPr>
        <w:widowControl w:val="0"/>
        <w:tabs>
          <w:tab w:val="left" w:pos="326"/>
        </w:tabs>
        <w:spacing w:after="0" w:line="240" w:lineRule="auto"/>
        <w:rPr>
          <w:rFonts w:ascii="Garamond" w:hAnsi="Garamond"/>
          <w:sz w:val="20"/>
          <w:szCs w:val="20"/>
        </w:rPr>
      </w:pPr>
      <w:r w:rsidRPr="00512EF0">
        <w:rPr>
          <w:rStyle w:val="FootnoteReference"/>
          <w:rFonts w:ascii="Garamond" w:hAnsi="Garamond"/>
          <w:sz w:val="20"/>
          <w:szCs w:val="20"/>
        </w:rPr>
        <w:footnoteRef/>
      </w:r>
      <w:r w:rsidRPr="00512EF0">
        <w:rPr>
          <w:rFonts w:ascii="Garamond" w:hAnsi="Garamond"/>
          <w:sz w:val="20"/>
          <w:szCs w:val="20"/>
        </w:rPr>
        <w:t xml:space="preserve"> Këshilli</w:t>
      </w:r>
      <w:r w:rsidRPr="00512EF0">
        <w:rPr>
          <w:rFonts w:ascii="Garamond" w:hAnsi="Garamond"/>
          <w:spacing w:val="-5"/>
          <w:sz w:val="20"/>
          <w:szCs w:val="20"/>
        </w:rPr>
        <w:t xml:space="preserve"> </w:t>
      </w:r>
      <w:r w:rsidRPr="00512EF0">
        <w:rPr>
          <w:rFonts w:ascii="Garamond" w:hAnsi="Garamond"/>
          <w:sz w:val="20"/>
          <w:szCs w:val="20"/>
        </w:rPr>
        <w:t>i</w:t>
      </w:r>
      <w:r w:rsidRPr="00512EF0">
        <w:rPr>
          <w:rFonts w:ascii="Garamond" w:hAnsi="Garamond"/>
          <w:spacing w:val="-4"/>
          <w:sz w:val="20"/>
          <w:szCs w:val="20"/>
        </w:rPr>
        <w:t xml:space="preserve"> </w:t>
      </w:r>
      <w:r w:rsidRPr="00512EF0">
        <w:rPr>
          <w:rFonts w:ascii="Garamond" w:hAnsi="Garamond"/>
          <w:sz w:val="20"/>
          <w:szCs w:val="20"/>
        </w:rPr>
        <w:t>Udhëtimeve</w:t>
      </w:r>
      <w:r w:rsidRPr="00512EF0">
        <w:rPr>
          <w:rFonts w:ascii="Garamond" w:hAnsi="Garamond"/>
          <w:spacing w:val="-5"/>
          <w:sz w:val="20"/>
          <w:szCs w:val="20"/>
        </w:rPr>
        <w:t xml:space="preserve"> </w:t>
      </w:r>
      <w:r w:rsidRPr="00512EF0">
        <w:rPr>
          <w:rFonts w:ascii="Garamond" w:hAnsi="Garamond"/>
          <w:sz w:val="20"/>
          <w:szCs w:val="20"/>
        </w:rPr>
        <w:t>nëpër</w:t>
      </w:r>
      <w:r w:rsidRPr="00512EF0">
        <w:rPr>
          <w:rFonts w:ascii="Garamond" w:hAnsi="Garamond"/>
          <w:spacing w:val="-5"/>
          <w:sz w:val="20"/>
          <w:szCs w:val="20"/>
        </w:rPr>
        <w:t xml:space="preserve"> </w:t>
      </w:r>
      <w:r w:rsidRPr="00512EF0">
        <w:rPr>
          <w:rFonts w:ascii="Garamond" w:hAnsi="Garamond"/>
          <w:sz w:val="20"/>
          <w:szCs w:val="20"/>
        </w:rPr>
        <w:t>Botë</w:t>
      </w:r>
      <w:r w:rsidRPr="00512EF0">
        <w:rPr>
          <w:rFonts w:ascii="Garamond" w:hAnsi="Garamond"/>
          <w:spacing w:val="-3"/>
          <w:sz w:val="20"/>
          <w:szCs w:val="20"/>
        </w:rPr>
        <w:t xml:space="preserve"> </w:t>
      </w:r>
      <w:r w:rsidRPr="00512EF0">
        <w:rPr>
          <w:rFonts w:ascii="Garamond" w:hAnsi="Garamond"/>
          <w:sz w:val="20"/>
          <w:szCs w:val="20"/>
        </w:rPr>
        <w:t>dhe</w:t>
      </w:r>
      <w:r w:rsidRPr="00512EF0">
        <w:rPr>
          <w:rFonts w:ascii="Garamond" w:hAnsi="Garamond"/>
          <w:spacing w:val="-5"/>
          <w:sz w:val="20"/>
          <w:szCs w:val="20"/>
        </w:rPr>
        <w:t xml:space="preserve"> </w:t>
      </w:r>
      <w:r w:rsidRPr="00512EF0">
        <w:rPr>
          <w:rFonts w:ascii="Garamond" w:hAnsi="Garamond"/>
          <w:sz w:val="20"/>
          <w:szCs w:val="20"/>
        </w:rPr>
        <w:t>Turizmit</w:t>
      </w:r>
      <w:r w:rsidRPr="00512EF0">
        <w:rPr>
          <w:rFonts w:ascii="Garamond" w:hAnsi="Garamond"/>
          <w:spacing w:val="-3"/>
          <w:sz w:val="20"/>
          <w:szCs w:val="20"/>
        </w:rPr>
        <w:t xml:space="preserve"> </w:t>
      </w:r>
      <w:r>
        <w:rPr>
          <w:rFonts w:ascii="Garamond" w:hAnsi="Garamond"/>
          <w:sz w:val="20"/>
          <w:szCs w:val="20"/>
        </w:rPr>
        <w:t>–</w:t>
      </w:r>
      <w:r w:rsidRPr="00512EF0">
        <w:rPr>
          <w:rFonts w:ascii="Garamond" w:hAnsi="Garamond"/>
          <w:spacing w:val="-5"/>
          <w:sz w:val="20"/>
          <w:szCs w:val="20"/>
        </w:rPr>
        <w:t xml:space="preserve"> </w:t>
      </w:r>
      <w:r w:rsidRPr="00512EF0">
        <w:rPr>
          <w:rFonts w:ascii="Garamond" w:hAnsi="Garamond"/>
          <w:sz w:val="20"/>
          <w:szCs w:val="20"/>
        </w:rPr>
        <w:t>mars</w:t>
      </w:r>
      <w:r w:rsidRPr="00512EF0">
        <w:rPr>
          <w:rFonts w:ascii="Garamond" w:hAnsi="Garamond"/>
          <w:spacing w:val="-5"/>
          <w:sz w:val="20"/>
          <w:szCs w:val="20"/>
        </w:rPr>
        <w:t xml:space="preserve"> </w:t>
      </w:r>
      <w:r w:rsidRPr="00512EF0">
        <w:rPr>
          <w:rFonts w:ascii="Garamond" w:hAnsi="Garamond"/>
          <w:sz w:val="20"/>
          <w:szCs w:val="20"/>
        </w:rPr>
        <w:t>2013</w:t>
      </w:r>
      <w:r>
        <w:rPr>
          <w:rFonts w:ascii="Garamond" w:hAnsi="Garamond"/>
          <w:sz w:val="20"/>
          <w:szCs w:val="20"/>
        </w:rPr>
        <w:t>.</w:t>
      </w:r>
    </w:p>
  </w:footnote>
  <w:footnote w:id="21">
    <w:p w14:paraId="1BADD7B4" w14:textId="705FB83E" w:rsidR="008274CD" w:rsidRPr="00512EF0" w:rsidRDefault="008274CD" w:rsidP="006A2E84">
      <w:pPr>
        <w:widowControl w:val="0"/>
        <w:tabs>
          <w:tab w:val="left" w:pos="326"/>
        </w:tabs>
        <w:spacing w:after="0" w:line="240" w:lineRule="auto"/>
        <w:rPr>
          <w:rFonts w:ascii="Garamond" w:hAnsi="Garamond"/>
          <w:sz w:val="20"/>
          <w:szCs w:val="20"/>
        </w:rPr>
      </w:pPr>
      <w:r w:rsidRPr="00512EF0">
        <w:rPr>
          <w:rStyle w:val="FootnoteReference"/>
          <w:rFonts w:ascii="Garamond" w:hAnsi="Garamond"/>
          <w:sz w:val="20"/>
          <w:szCs w:val="20"/>
        </w:rPr>
        <w:footnoteRef/>
      </w:r>
      <w:r w:rsidRPr="00512EF0">
        <w:rPr>
          <w:rFonts w:ascii="Garamond" w:hAnsi="Garamond"/>
          <w:sz w:val="20"/>
          <w:szCs w:val="20"/>
        </w:rPr>
        <w:t xml:space="preserve"> MONSTAT</w:t>
      </w:r>
      <w:r w:rsidRPr="00512EF0">
        <w:rPr>
          <w:rFonts w:ascii="Garamond" w:hAnsi="Garamond"/>
          <w:spacing w:val="-4"/>
          <w:sz w:val="20"/>
          <w:szCs w:val="20"/>
        </w:rPr>
        <w:t xml:space="preserve"> </w:t>
      </w:r>
      <w:r w:rsidRPr="00512EF0">
        <w:rPr>
          <w:rFonts w:ascii="Garamond" w:hAnsi="Garamond"/>
          <w:sz w:val="20"/>
          <w:szCs w:val="20"/>
        </w:rPr>
        <w:t>–</w:t>
      </w:r>
      <w:r w:rsidRPr="00512EF0">
        <w:rPr>
          <w:rFonts w:ascii="Garamond" w:hAnsi="Garamond"/>
          <w:spacing w:val="-4"/>
          <w:sz w:val="20"/>
          <w:szCs w:val="20"/>
        </w:rPr>
        <w:t xml:space="preserve"> </w:t>
      </w:r>
      <w:r w:rsidRPr="00512EF0">
        <w:rPr>
          <w:rFonts w:ascii="Garamond" w:hAnsi="Garamond"/>
          <w:sz w:val="20"/>
          <w:szCs w:val="20"/>
        </w:rPr>
        <w:t>Mbërritjet</w:t>
      </w:r>
      <w:r w:rsidRPr="00512EF0">
        <w:rPr>
          <w:rFonts w:ascii="Garamond" w:hAnsi="Garamond"/>
          <w:spacing w:val="-6"/>
          <w:sz w:val="20"/>
          <w:szCs w:val="20"/>
        </w:rPr>
        <w:t xml:space="preserve"> </w:t>
      </w:r>
      <w:r w:rsidRPr="00512EF0">
        <w:rPr>
          <w:rFonts w:ascii="Garamond" w:hAnsi="Garamond"/>
          <w:sz w:val="20"/>
          <w:szCs w:val="20"/>
        </w:rPr>
        <w:t>turistike</w:t>
      </w:r>
      <w:r w:rsidRPr="00512EF0">
        <w:rPr>
          <w:rFonts w:ascii="Garamond" w:hAnsi="Garamond"/>
          <w:spacing w:val="-4"/>
          <w:sz w:val="20"/>
          <w:szCs w:val="20"/>
        </w:rPr>
        <w:t xml:space="preserve"> </w:t>
      </w:r>
      <w:r w:rsidRPr="00512EF0">
        <w:rPr>
          <w:rFonts w:ascii="Garamond" w:hAnsi="Garamond"/>
          <w:sz w:val="20"/>
          <w:szCs w:val="20"/>
        </w:rPr>
        <w:t>dhe</w:t>
      </w:r>
      <w:r w:rsidRPr="00512EF0">
        <w:rPr>
          <w:rFonts w:ascii="Garamond" w:hAnsi="Garamond"/>
          <w:spacing w:val="-4"/>
          <w:sz w:val="20"/>
          <w:szCs w:val="20"/>
        </w:rPr>
        <w:t xml:space="preserve"> </w:t>
      </w:r>
      <w:r w:rsidRPr="00512EF0">
        <w:rPr>
          <w:rFonts w:ascii="Garamond" w:hAnsi="Garamond"/>
          <w:sz w:val="20"/>
          <w:szCs w:val="20"/>
        </w:rPr>
        <w:t>qëndrimet</w:t>
      </w:r>
      <w:r w:rsidRPr="00512EF0">
        <w:rPr>
          <w:rFonts w:ascii="Garamond" w:hAnsi="Garamond"/>
          <w:spacing w:val="-6"/>
          <w:sz w:val="20"/>
          <w:szCs w:val="20"/>
        </w:rPr>
        <w:t xml:space="preserve"> </w:t>
      </w:r>
      <w:r w:rsidRPr="00512EF0">
        <w:rPr>
          <w:rFonts w:ascii="Garamond" w:hAnsi="Garamond"/>
          <w:sz w:val="20"/>
          <w:szCs w:val="20"/>
        </w:rPr>
        <w:t>me</w:t>
      </w:r>
      <w:r w:rsidRPr="00512EF0">
        <w:rPr>
          <w:rFonts w:ascii="Garamond" w:hAnsi="Garamond"/>
          <w:spacing w:val="-4"/>
          <w:sz w:val="20"/>
          <w:szCs w:val="20"/>
        </w:rPr>
        <w:t xml:space="preserve"> </w:t>
      </w:r>
      <w:r w:rsidRPr="00512EF0">
        <w:rPr>
          <w:rFonts w:ascii="Garamond" w:hAnsi="Garamond"/>
          <w:sz w:val="20"/>
          <w:szCs w:val="20"/>
        </w:rPr>
        <w:t>fjetje</w:t>
      </w:r>
      <w:r w:rsidRPr="00512EF0">
        <w:rPr>
          <w:rFonts w:ascii="Garamond" w:hAnsi="Garamond"/>
          <w:spacing w:val="-4"/>
          <w:sz w:val="20"/>
          <w:szCs w:val="20"/>
        </w:rPr>
        <w:t xml:space="preserve"> </w:t>
      </w:r>
      <w:r w:rsidRPr="00512EF0">
        <w:rPr>
          <w:rFonts w:ascii="Garamond" w:hAnsi="Garamond"/>
          <w:sz w:val="20"/>
          <w:szCs w:val="20"/>
        </w:rPr>
        <w:t>sipas</w:t>
      </w:r>
      <w:r w:rsidRPr="00512EF0">
        <w:rPr>
          <w:rFonts w:ascii="Garamond" w:hAnsi="Garamond"/>
          <w:spacing w:val="-6"/>
          <w:sz w:val="20"/>
          <w:szCs w:val="20"/>
        </w:rPr>
        <w:t xml:space="preserve"> </w:t>
      </w:r>
      <w:r w:rsidRPr="00512EF0">
        <w:rPr>
          <w:rFonts w:ascii="Garamond" w:hAnsi="Garamond"/>
          <w:sz w:val="20"/>
          <w:szCs w:val="20"/>
        </w:rPr>
        <w:t>qyteteve</w:t>
      </w:r>
      <w:r w:rsidRPr="00512EF0">
        <w:rPr>
          <w:rFonts w:ascii="Garamond" w:hAnsi="Garamond"/>
          <w:spacing w:val="-3"/>
          <w:sz w:val="20"/>
          <w:szCs w:val="20"/>
        </w:rPr>
        <w:t xml:space="preserve"> </w:t>
      </w:r>
      <w:r w:rsidRPr="00512EF0">
        <w:rPr>
          <w:rFonts w:ascii="Garamond" w:hAnsi="Garamond"/>
          <w:sz w:val="20"/>
          <w:szCs w:val="20"/>
        </w:rPr>
        <w:t>2012</w:t>
      </w:r>
      <w:r>
        <w:rPr>
          <w:rFonts w:ascii="Garamond" w:hAnsi="Garamond"/>
          <w:sz w:val="20"/>
          <w:szCs w:val="20"/>
        </w:rPr>
        <w:t>.</w:t>
      </w:r>
    </w:p>
  </w:footnote>
  <w:footnote w:id="22">
    <w:p w14:paraId="1BADD7B5" w14:textId="7E5B3EB9" w:rsidR="008274CD" w:rsidRPr="00977D24" w:rsidRDefault="008274CD" w:rsidP="00977D24">
      <w:pPr>
        <w:spacing w:after="0" w:line="240" w:lineRule="auto"/>
        <w:rPr>
          <w:rFonts w:ascii="Garamond" w:hAnsi="Garamond"/>
          <w:sz w:val="20"/>
          <w:szCs w:val="24"/>
        </w:rPr>
      </w:pPr>
      <w:r w:rsidRPr="00977D24">
        <w:rPr>
          <w:rStyle w:val="FootnoteReference"/>
          <w:rFonts w:ascii="Garamond" w:hAnsi="Garamond"/>
          <w:sz w:val="18"/>
        </w:rPr>
        <w:footnoteRef/>
      </w:r>
      <w:r w:rsidRPr="00977D24">
        <w:rPr>
          <w:rFonts w:ascii="Garamond" w:hAnsi="Garamond"/>
          <w:sz w:val="18"/>
        </w:rPr>
        <w:t xml:space="preserve"> </w:t>
      </w:r>
      <w:r w:rsidRPr="00977D24">
        <w:rPr>
          <w:rFonts w:ascii="Garamond" w:hAnsi="Garamond"/>
          <w:sz w:val="20"/>
          <w:szCs w:val="24"/>
        </w:rPr>
        <w:t>Observatori i Transportit Jug-Lindor. Korridoret e rrugëve &amp; Lidhjet që përfshijnë: Shqipërinë, Bosnjën, Kroacinë, Kosovën, ish</w:t>
      </w:r>
      <w:r>
        <w:rPr>
          <w:rFonts w:ascii="Garamond" w:hAnsi="Garamond"/>
          <w:sz w:val="20"/>
          <w:szCs w:val="24"/>
        </w:rPr>
        <w:t>-</w:t>
      </w:r>
      <w:r w:rsidRPr="00977D24">
        <w:rPr>
          <w:rFonts w:ascii="Garamond" w:hAnsi="Garamond"/>
          <w:sz w:val="20"/>
          <w:szCs w:val="24"/>
        </w:rPr>
        <w:t>Republikën Jugosllave të Maqedonisë, Serbinë, Malin e Zi</w:t>
      </w:r>
      <w:r>
        <w:rPr>
          <w:rFonts w:ascii="Garamond" w:hAnsi="Garamond"/>
          <w:sz w:val="20"/>
          <w:szCs w:val="24"/>
        </w:rPr>
        <w:t>.</w:t>
      </w:r>
    </w:p>
  </w:footnote>
  <w:footnote w:id="23">
    <w:p w14:paraId="1BADD7B6" w14:textId="596B4972" w:rsidR="008274CD" w:rsidRPr="00977D24" w:rsidRDefault="008274CD" w:rsidP="00977D24">
      <w:pPr>
        <w:spacing w:after="0" w:line="240" w:lineRule="auto"/>
        <w:rPr>
          <w:rFonts w:ascii="Garamond" w:hAnsi="Garamond"/>
          <w:sz w:val="20"/>
          <w:szCs w:val="24"/>
        </w:rPr>
      </w:pPr>
      <w:r w:rsidRPr="00977D24">
        <w:rPr>
          <w:rStyle w:val="FootnoteReference"/>
          <w:rFonts w:ascii="Garamond" w:hAnsi="Garamond"/>
          <w:sz w:val="18"/>
        </w:rPr>
        <w:footnoteRef/>
      </w:r>
      <w:r w:rsidRPr="00977D24">
        <w:rPr>
          <w:rFonts w:ascii="Garamond" w:hAnsi="Garamond"/>
          <w:sz w:val="18"/>
        </w:rPr>
        <w:t xml:space="preserve"> </w:t>
      </w:r>
      <w:r w:rsidRPr="00977D24">
        <w:rPr>
          <w:rFonts w:ascii="Garamond" w:hAnsi="Garamond"/>
          <w:sz w:val="20"/>
          <w:szCs w:val="24"/>
        </w:rPr>
        <w:t>Shqipëri, Census 2011</w:t>
      </w:r>
      <w:r>
        <w:rPr>
          <w:rFonts w:ascii="Garamond" w:hAnsi="Garamond"/>
          <w:sz w:val="20"/>
          <w:szCs w:val="24"/>
        </w:rPr>
        <w:t>.</w:t>
      </w:r>
    </w:p>
  </w:footnote>
  <w:footnote w:id="24">
    <w:p w14:paraId="1BADD7B7" w14:textId="0D8243AF" w:rsidR="008274CD" w:rsidRPr="00512EF0" w:rsidRDefault="008274CD">
      <w:pPr>
        <w:pStyle w:val="FootnoteText"/>
        <w:rPr>
          <w:rFonts w:ascii="Garamond" w:hAnsi="Garamond"/>
          <w:lang w:val="en-US"/>
        </w:rPr>
      </w:pPr>
      <w:r w:rsidRPr="00512EF0">
        <w:rPr>
          <w:rStyle w:val="FootnoteReference"/>
          <w:rFonts w:ascii="Garamond" w:hAnsi="Garamond"/>
        </w:rPr>
        <w:footnoteRef/>
      </w:r>
      <w:r w:rsidRPr="00512EF0">
        <w:rPr>
          <w:rFonts w:ascii="Garamond" w:hAnsi="Garamond"/>
        </w:rPr>
        <w:t xml:space="preserve"> MONSTAT. Banesat, lidhur me pajisjen me instalime, Publikimi nr. 280</w:t>
      </w:r>
      <w:r>
        <w:rPr>
          <w:rFonts w:ascii="Garamond" w:hAnsi="Garamond"/>
        </w:rPr>
        <w:t>.</w:t>
      </w:r>
    </w:p>
  </w:footnote>
  <w:footnote w:id="25">
    <w:p w14:paraId="1BADD7B8" w14:textId="1605B540" w:rsidR="008274CD" w:rsidRPr="00512EF0" w:rsidRDefault="008274CD" w:rsidP="00606BDC">
      <w:pPr>
        <w:pStyle w:val="TEKSTIII"/>
        <w:ind w:firstLine="0"/>
        <w:rPr>
          <w:sz w:val="20"/>
          <w:szCs w:val="20"/>
        </w:rPr>
      </w:pPr>
      <w:r w:rsidRPr="00512EF0">
        <w:rPr>
          <w:rStyle w:val="FootnoteReference"/>
          <w:sz w:val="20"/>
          <w:szCs w:val="20"/>
        </w:rPr>
        <w:footnoteRef/>
      </w:r>
      <w:r w:rsidRPr="00512EF0">
        <w:rPr>
          <w:sz w:val="20"/>
          <w:szCs w:val="20"/>
        </w:rPr>
        <w:t xml:space="preserve"> Census Mal i Zi, 2011.</w:t>
      </w:r>
    </w:p>
  </w:footnote>
  <w:footnote w:id="26">
    <w:p w14:paraId="1BADD7B9" w14:textId="2CD582BF" w:rsidR="008274CD" w:rsidRPr="00512EF0" w:rsidRDefault="008274CD">
      <w:pPr>
        <w:pStyle w:val="FootnoteText"/>
        <w:rPr>
          <w:rFonts w:ascii="Garamond" w:hAnsi="Garamond"/>
          <w:lang w:val="en-US"/>
        </w:rPr>
      </w:pPr>
      <w:r w:rsidRPr="00512EF0">
        <w:rPr>
          <w:rStyle w:val="FootnoteReference"/>
          <w:rFonts w:ascii="Garamond" w:hAnsi="Garamond"/>
        </w:rPr>
        <w:footnoteRef/>
      </w:r>
      <w:r w:rsidRPr="00512EF0">
        <w:rPr>
          <w:rFonts w:ascii="Garamond" w:hAnsi="Garamond"/>
        </w:rPr>
        <w:t xml:space="preserve"> INSTAT, Buletini Statistikor Tremujor, nr. 2, 2013.</w:t>
      </w:r>
    </w:p>
  </w:footnote>
  <w:footnote w:id="27">
    <w:p w14:paraId="1BADD7BA" w14:textId="77777777" w:rsidR="008274CD" w:rsidRPr="00512EF0" w:rsidRDefault="008274CD" w:rsidP="00606BDC">
      <w:pPr>
        <w:pStyle w:val="TEKSTIII"/>
        <w:ind w:firstLine="0"/>
        <w:rPr>
          <w:sz w:val="20"/>
          <w:szCs w:val="20"/>
        </w:rPr>
      </w:pPr>
      <w:r w:rsidRPr="00512EF0">
        <w:rPr>
          <w:rStyle w:val="FootnoteReference"/>
          <w:sz w:val="20"/>
          <w:szCs w:val="20"/>
        </w:rPr>
        <w:footnoteRef/>
      </w:r>
      <w:r w:rsidRPr="00512EF0">
        <w:rPr>
          <w:sz w:val="20"/>
          <w:szCs w:val="20"/>
        </w:rPr>
        <w:t xml:space="preserve"> Norma e papunësisë përfaqëson përqindjen e personave të papunësuar në popullsinë e përgjithshme aktive.</w:t>
      </w:r>
    </w:p>
    <w:p w14:paraId="1BADD7BB" w14:textId="77777777" w:rsidR="008274CD" w:rsidRPr="00512EF0" w:rsidRDefault="008274CD">
      <w:pPr>
        <w:pStyle w:val="FootnoteText"/>
        <w:rPr>
          <w:rFonts w:ascii="Garamond" w:hAnsi="Garamond"/>
          <w:lang w:val="en-US"/>
        </w:rPr>
      </w:pPr>
    </w:p>
  </w:footnote>
  <w:footnote w:id="28">
    <w:p w14:paraId="1BADD7BC" w14:textId="2143D6EC" w:rsidR="008274CD" w:rsidRPr="00512EF0" w:rsidRDefault="008274CD">
      <w:pPr>
        <w:pStyle w:val="FootnoteText"/>
        <w:rPr>
          <w:lang w:val="sq-AL"/>
        </w:rPr>
      </w:pPr>
      <w:r w:rsidRPr="00512EF0">
        <w:rPr>
          <w:rStyle w:val="FootnoteReference"/>
          <w:lang w:val="sq-AL"/>
        </w:rPr>
        <w:footnoteRef/>
      </w:r>
      <w:r w:rsidRPr="00512EF0">
        <w:rPr>
          <w:lang w:val="sq-AL"/>
        </w:rPr>
        <w:t xml:space="preserve"> </w:t>
      </w:r>
      <w:r w:rsidRPr="00512EF0">
        <w:rPr>
          <w:rFonts w:ascii="Garamond" w:hAnsi="Garamond"/>
          <w:lang w:val="sq-AL"/>
        </w:rPr>
        <w:t>S &amp; Zh në 2011, Zyra Statistikore e Malit të Zi, publikimi nr. 24</w:t>
      </w:r>
      <w:r>
        <w:rPr>
          <w:rFonts w:ascii="Garamond" w:hAnsi="Garamond"/>
          <w:lang w:val="sq-AL"/>
        </w:rPr>
        <w:t>.</w:t>
      </w:r>
    </w:p>
  </w:footnote>
  <w:footnote w:id="29">
    <w:p w14:paraId="1BADD7BD" w14:textId="7B5FB230" w:rsidR="008274CD" w:rsidRPr="00512EF0" w:rsidRDefault="008274CD">
      <w:pPr>
        <w:pStyle w:val="FootnoteText"/>
        <w:rPr>
          <w:lang w:val="sq-AL"/>
        </w:rPr>
      </w:pPr>
      <w:r w:rsidRPr="00512EF0">
        <w:rPr>
          <w:rStyle w:val="FootnoteReference"/>
          <w:lang w:val="sq-AL"/>
        </w:rPr>
        <w:footnoteRef/>
      </w:r>
      <w:r w:rsidRPr="00512EF0">
        <w:rPr>
          <w:lang w:val="sq-AL"/>
        </w:rPr>
        <w:t xml:space="preserve"> </w:t>
      </w:r>
      <w:r w:rsidRPr="00512EF0">
        <w:rPr>
          <w:rFonts w:ascii="Garamond" w:hAnsi="Garamond"/>
          <w:lang w:val="sq-AL"/>
        </w:rPr>
        <w:t>Shqipëri, Buxheti i Shtetit 2012</w:t>
      </w:r>
      <w:r>
        <w:rPr>
          <w:rFonts w:ascii="Garamond" w:hAnsi="Garamond"/>
          <w:lang w:val="sq-AL"/>
        </w:rPr>
        <w:t>.</w:t>
      </w:r>
    </w:p>
  </w:footnote>
  <w:footnote w:id="30">
    <w:p w14:paraId="1BADD7BE" w14:textId="44530413" w:rsidR="008274CD" w:rsidRPr="00512EF0" w:rsidRDefault="008274CD" w:rsidP="00B4215F">
      <w:pPr>
        <w:widowControl w:val="0"/>
        <w:tabs>
          <w:tab w:val="left" w:pos="340"/>
        </w:tabs>
        <w:spacing w:after="0" w:line="240" w:lineRule="auto"/>
        <w:rPr>
          <w:rFonts w:ascii="Garamond" w:hAnsi="Garamond"/>
          <w:sz w:val="20"/>
          <w:szCs w:val="20"/>
        </w:rPr>
      </w:pPr>
      <w:r w:rsidRPr="00512EF0">
        <w:rPr>
          <w:rStyle w:val="FootnoteReference"/>
          <w:sz w:val="20"/>
          <w:szCs w:val="20"/>
        </w:rPr>
        <w:footnoteRef/>
      </w:r>
      <w:r w:rsidRPr="00512EF0">
        <w:rPr>
          <w:sz w:val="20"/>
          <w:szCs w:val="20"/>
        </w:rPr>
        <w:t xml:space="preserve"> </w:t>
      </w:r>
      <w:r w:rsidRPr="00512EF0">
        <w:rPr>
          <w:rFonts w:ascii="Garamond" w:hAnsi="Garamond"/>
          <w:sz w:val="20"/>
          <w:szCs w:val="20"/>
        </w:rPr>
        <w:t>Raporti</w:t>
      </w:r>
      <w:r w:rsidRPr="00512EF0">
        <w:rPr>
          <w:rFonts w:ascii="Garamond" w:hAnsi="Garamond"/>
          <w:spacing w:val="-1"/>
          <w:sz w:val="20"/>
          <w:szCs w:val="20"/>
        </w:rPr>
        <w:t xml:space="preserve"> </w:t>
      </w:r>
      <w:r w:rsidRPr="00512EF0">
        <w:rPr>
          <w:rFonts w:ascii="Garamond" w:hAnsi="Garamond"/>
          <w:sz w:val="20"/>
          <w:szCs w:val="20"/>
        </w:rPr>
        <w:t>i</w:t>
      </w:r>
      <w:r w:rsidRPr="00512EF0">
        <w:rPr>
          <w:rFonts w:ascii="Garamond" w:hAnsi="Garamond"/>
          <w:spacing w:val="-3"/>
          <w:sz w:val="20"/>
          <w:szCs w:val="20"/>
        </w:rPr>
        <w:t xml:space="preserve"> </w:t>
      </w:r>
      <w:r w:rsidRPr="00512EF0">
        <w:rPr>
          <w:rFonts w:ascii="Garamond" w:hAnsi="Garamond"/>
          <w:sz w:val="20"/>
          <w:szCs w:val="20"/>
        </w:rPr>
        <w:t>Vlerësimit</w:t>
      </w:r>
      <w:r w:rsidRPr="00512EF0">
        <w:rPr>
          <w:rFonts w:ascii="Garamond" w:hAnsi="Garamond"/>
          <w:spacing w:val="-3"/>
          <w:sz w:val="20"/>
          <w:szCs w:val="20"/>
        </w:rPr>
        <w:t xml:space="preserve"> </w:t>
      </w:r>
      <w:r w:rsidRPr="00512EF0">
        <w:rPr>
          <w:rFonts w:ascii="Garamond" w:hAnsi="Garamond"/>
          <w:sz w:val="20"/>
          <w:szCs w:val="20"/>
        </w:rPr>
        <w:t>të</w:t>
      </w:r>
      <w:r w:rsidRPr="00512EF0">
        <w:rPr>
          <w:rFonts w:ascii="Garamond" w:hAnsi="Garamond"/>
          <w:spacing w:val="-3"/>
          <w:sz w:val="20"/>
          <w:szCs w:val="20"/>
        </w:rPr>
        <w:t xml:space="preserve"> </w:t>
      </w:r>
      <w:r w:rsidRPr="00512EF0">
        <w:rPr>
          <w:rFonts w:ascii="Garamond" w:hAnsi="Garamond"/>
          <w:sz w:val="20"/>
          <w:szCs w:val="20"/>
        </w:rPr>
        <w:t>Nevojave</w:t>
      </w:r>
      <w:r w:rsidRPr="00512EF0">
        <w:rPr>
          <w:rFonts w:ascii="Garamond" w:hAnsi="Garamond"/>
          <w:spacing w:val="-3"/>
          <w:sz w:val="20"/>
          <w:szCs w:val="20"/>
        </w:rPr>
        <w:t xml:space="preserve"> </w:t>
      </w:r>
      <w:r w:rsidRPr="00512EF0">
        <w:rPr>
          <w:rFonts w:ascii="Garamond" w:hAnsi="Garamond"/>
          <w:sz w:val="20"/>
          <w:szCs w:val="20"/>
        </w:rPr>
        <w:t>në</w:t>
      </w:r>
      <w:r w:rsidRPr="00512EF0">
        <w:rPr>
          <w:rFonts w:ascii="Garamond" w:hAnsi="Garamond"/>
          <w:spacing w:val="-1"/>
          <w:sz w:val="20"/>
          <w:szCs w:val="20"/>
        </w:rPr>
        <w:t xml:space="preserve"> </w:t>
      </w:r>
      <w:r w:rsidRPr="00512EF0">
        <w:rPr>
          <w:rFonts w:ascii="Garamond" w:hAnsi="Garamond"/>
          <w:sz w:val="20"/>
          <w:szCs w:val="20"/>
        </w:rPr>
        <w:t>Mal</w:t>
      </w:r>
      <w:r w:rsidRPr="00512EF0">
        <w:rPr>
          <w:rFonts w:ascii="Garamond" w:hAnsi="Garamond"/>
          <w:spacing w:val="-4"/>
          <w:sz w:val="20"/>
          <w:szCs w:val="20"/>
        </w:rPr>
        <w:t xml:space="preserve"> </w:t>
      </w:r>
      <w:r w:rsidRPr="00512EF0">
        <w:rPr>
          <w:rFonts w:ascii="Garamond" w:hAnsi="Garamond"/>
          <w:sz w:val="20"/>
          <w:szCs w:val="20"/>
        </w:rPr>
        <w:t>të</w:t>
      </w:r>
      <w:r w:rsidRPr="00512EF0">
        <w:rPr>
          <w:rFonts w:ascii="Garamond" w:hAnsi="Garamond"/>
          <w:spacing w:val="-3"/>
          <w:sz w:val="20"/>
          <w:szCs w:val="20"/>
        </w:rPr>
        <w:t xml:space="preserve"> </w:t>
      </w:r>
      <w:r w:rsidRPr="00512EF0">
        <w:rPr>
          <w:rFonts w:ascii="Garamond" w:hAnsi="Garamond"/>
          <w:sz w:val="20"/>
          <w:szCs w:val="20"/>
        </w:rPr>
        <w:t>Zi</w:t>
      </w:r>
      <w:r w:rsidRPr="00512EF0">
        <w:rPr>
          <w:rFonts w:ascii="Garamond" w:hAnsi="Garamond"/>
          <w:spacing w:val="-1"/>
          <w:sz w:val="20"/>
          <w:szCs w:val="20"/>
        </w:rPr>
        <w:t xml:space="preserve"> </w:t>
      </w:r>
      <w:r w:rsidRPr="00512EF0">
        <w:rPr>
          <w:rFonts w:ascii="Garamond" w:hAnsi="Garamond"/>
          <w:sz w:val="20"/>
          <w:szCs w:val="20"/>
        </w:rPr>
        <w:t>nga</w:t>
      </w:r>
      <w:r w:rsidRPr="00512EF0">
        <w:rPr>
          <w:rFonts w:ascii="Garamond" w:hAnsi="Garamond"/>
          <w:spacing w:val="-3"/>
          <w:sz w:val="20"/>
          <w:szCs w:val="20"/>
        </w:rPr>
        <w:t xml:space="preserve"> </w:t>
      </w:r>
      <w:r w:rsidRPr="00512EF0">
        <w:rPr>
          <w:rFonts w:ascii="Garamond" w:hAnsi="Garamond"/>
          <w:sz w:val="20"/>
          <w:szCs w:val="20"/>
        </w:rPr>
        <w:t>TACSO.</w:t>
      </w:r>
      <w:r w:rsidRPr="00512EF0">
        <w:rPr>
          <w:rFonts w:ascii="Garamond" w:hAnsi="Garamond"/>
          <w:spacing w:val="-1"/>
          <w:sz w:val="20"/>
          <w:szCs w:val="20"/>
        </w:rPr>
        <w:t xml:space="preserve"> </w:t>
      </w:r>
      <w:r w:rsidRPr="00512EF0">
        <w:rPr>
          <w:rFonts w:ascii="Garamond" w:hAnsi="Garamond"/>
          <w:sz w:val="20"/>
          <w:szCs w:val="20"/>
        </w:rPr>
        <w:t>Nuk</w:t>
      </w:r>
      <w:r w:rsidRPr="00512EF0">
        <w:rPr>
          <w:rFonts w:ascii="Garamond" w:hAnsi="Garamond"/>
          <w:spacing w:val="-4"/>
          <w:sz w:val="20"/>
          <w:szCs w:val="20"/>
        </w:rPr>
        <w:t xml:space="preserve"> </w:t>
      </w:r>
      <w:r w:rsidRPr="00512EF0">
        <w:rPr>
          <w:rFonts w:ascii="Garamond" w:hAnsi="Garamond"/>
          <w:sz w:val="20"/>
          <w:szCs w:val="20"/>
        </w:rPr>
        <w:t>dihet</w:t>
      </w:r>
      <w:r w:rsidRPr="00512EF0">
        <w:rPr>
          <w:rFonts w:ascii="Garamond" w:hAnsi="Garamond"/>
          <w:spacing w:val="-3"/>
          <w:sz w:val="20"/>
          <w:szCs w:val="20"/>
        </w:rPr>
        <w:t xml:space="preserve"> </w:t>
      </w:r>
      <w:r w:rsidRPr="00512EF0">
        <w:rPr>
          <w:rFonts w:ascii="Garamond" w:hAnsi="Garamond"/>
          <w:sz w:val="20"/>
          <w:szCs w:val="20"/>
        </w:rPr>
        <w:t>se</w:t>
      </w:r>
      <w:r w:rsidRPr="00512EF0">
        <w:rPr>
          <w:rFonts w:ascii="Garamond" w:hAnsi="Garamond"/>
          <w:spacing w:val="-3"/>
          <w:sz w:val="20"/>
          <w:szCs w:val="20"/>
        </w:rPr>
        <w:t xml:space="preserve"> </w:t>
      </w:r>
      <w:r w:rsidRPr="00512EF0">
        <w:rPr>
          <w:rFonts w:ascii="Garamond" w:hAnsi="Garamond"/>
          <w:sz w:val="20"/>
          <w:szCs w:val="20"/>
        </w:rPr>
        <w:t>sa</w:t>
      </w:r>
      <w:r w:rsidRPr="00512EF0">
        <w:rPr>
          <w:rFonts w:ascii="Garamond" w:hAnsi="Garamond"/>
          <w:spacing w:val="-1"/>
          <w:sz w:val="20"/>
          <w:szCs w:val="20"/>
        </w:rPr>
        <w:t xml:space="preserve"> </w:t>
      </w:r>
      <w:r w:rsidRPr="00512EF0">
        <w:rPr>
          <w:rFonts w:ascii="Garamond" w:hAnsi="Garamond"/>
          <w:sz w:val="20"/>
          <w:szCs w:val="20"/>
        </w:rPr>
        <w:t>prej</w:t>
      </w:r>
      <w:r w:rsidRPr="00512EF0">
        <w:rPr>
          <w:rFonts w:ascii="Garamond" w:hAnsi="Garamond"/>
          <w:spacing w:val="-2"/>
          <w:sz w:val="20"/>
          <w:szCs w:val="20"/>
        </w:rPr>
        <w:t xml:space="preserve"> </w:t>
      </w:r>
      <w:r w:rsidRPr="00512EF0">
        <w:rPr>
          <w:rFonts w:ascii="Garamond" w:hAnsi="Garamond"/>
          <w:sz w:val="20"/>
          <w:szCs w:val="20"/>
        </w:rPr>
        <w:t>tyre</w:t>
      </w:r>
      <w:r w:rsidRPr="00512EF0">
        <w:rPr>
          <w:rFonts w:ascii="Garamond" w:hAnsi="Garamond"/>
          <w:spacing w:val="-3"/>
          <w:sz w:val="20"/>
          <w:szCs w:val="20"/>
        </w:rPr>
        <w:t xml:space="preserve"> </w:t>
      </w:r>
      <w:r w:rsidRPr="00512EF0">
        <w:rPr>
          <w:rFonts w:ascii="Garamond" w:hAnsi="Garamond"/>
          <w:sz w:val="20"/>
          <w:szCs w:val="20"/>
        </w:rPr>
        <w:t>janë</w:t>
      </w:r>
      <w:r w:rsidRPr="00512EF0">
        <w:rPr>
          <w:rFonts w:ascii="Garamond" w:hAnsi="Garamond"/>
          <w:spacing w:val="-3"/>
          <w:sz w:val="20"/>
          <w:szCs w:val="20"/>
        </w:rPr>
        <w:t xml:space="preserve"> </w:t>
      </w:r>
      <w:r w:rsidRPr="00512EF0">
        <w:rPr>
          <w:rFonts w:ascii="Garamond" w:hAnsi="Garamond"/>
          <w:sz w:val="20"/>
          <w:szCs w:val="20"/>
        </w:rPr>
        <w:t>a</w:t>
      </w:r>
      <w:r>
        <w:rPr>
          <w:rFonts w:ascii="Garamond" w:hAnsi="Garamond"/>
          <w:sz w:val="20"/>
          <w:szCs w:val="20"/>
        </w:rPr>
        <w:t>k</w:t>
      </w:r>
      <w:r w:rsidRPr="00512EF0">
        <w:rPr>
          <w:rFonts w:ascii="Garamond" w:hAnsi="Garamond"/>
          <w:sz w:val="20"/>
          <w:szCs w:val="20"/>
        </w:rPr>
        <w:t>tive.</w:t>
      </w:r>
    </w:p>
  </w:footnote>
  <w:footnote w:id="31">
    <w:p w14:paraId="1BADD7BF" w14:textId="5AB20B13" w:rsidR="008274CD" w:rsidRPr="00C840E7" w:rsidRDefault="008274CD" w:rsidP="00C840E7">
      <w:pPr>
        <w:widowControl w:val="0"/>
        <w:tabs>
          <w:tab w:val="left" w:pos="350"/>
        </w:tabs>
        <w:spacing w:after="0" w:line="240" w:lineRule="auto"/>
        <w:rPr>
          <w:rFonts w:ascii="Garamond" w:hAnsi="Garamond"/>
          <w:sz w:val="20"/>
          <w:szCs w:val="20"/>
        </w:rPr>
      </w:pPr>
      <w:r w:rsidRPr="00C840E7">
        <w:rPr>
          <w:rStyle w:val="FootnoteReference"/>
          <w:rFonts w:ascii="Garamond" w:hAnsi="Garamond"/>
          <w:sz w:val="20"/>
          <w:szCs w:val="20"/>
        </w:rPr>
        <w:footnoteRef/>
      </w:r>
      <w:r w:rsidRPr="00C840E7">
        <w:rPr>
          <w:rFonts w:ascii="Garamond" w:hAnsi="Garamond"/>
          <w:sz w:val="20"/>
          <w:szCs w:val="20"/>
        </w:rPr>
        <w:t xml:space="preserve"> Vlerësimet e fundit të shoqërisë civile dhe vëzhgimet intensive nga Zyra e Projektit TACSO në Shqipëri vlerësojnë se numri i përgjithshëm i OSHC-ve aktive nuk i kalon</w:t>
      </w:r>
      <w:r w:rsidRPr="00C840E7">
        <w:rPr>
          <w:rFonts w:ascii="Garamond" w:hAnsi="Garamond"/>
          <w:spacing w:val="-11"/>
          <w:sz w:val="20"/>
          <w:szCs w:val="20"/>
        </w:rPr>
        <w:t xml:space="preserve"> </w:t>
      </w:r>
      <w:r w:rsidRPr="00C840E7">
        <w:rPr>
          <w:rFonts w:ascii="Garamond" w:hAnsi="Garamond"/>
          <w:sz w:val="20"/>
          <w:szCs w:val="20"/>
        </w:rPr>
        <w:t>450</w:t>
      </w:r>
      <w:r>
        <w:rPr>
          <w:rFonts w:ascii="Garamond" w:hAnsi="Garamond"/>
          <w:sz w:val="20"/>
          <w:szCs w:val="20"/>
        </w:rPr>
        <w:t>.</w:t>
      </w:r>
    </w:p>
  </w:footnote>
  <w:footnote w:id="32">
    <w:p w14:paraId="1BADD7C0" w14:textId="77777777" w:rsidR="008274CD" w:rsidRPr="00C840E7" w:rsidRDefault="008274CD" w:rsidP="00C840E7">
      <w:pPr>
        <w:widowControl w:val="0"/>
        <w:tabs>
          <w:tab w:val="left" w:pos="326"/>
        </w:tabs>
        <w:spacing w:after="0" w:line="240" w:lineRule="auto"/>
        <w:rPr>
          <w:rFonts w:ascii="Garamond" w:hAnsi="Garamond"/>
          <w:sz w:val="20"/>
          <w:szCs w:val="20"/>
        </w:rPr>
      </w:pPr>
      <w:r w:rsidRPr="00C840E7">
        <w:rPr>
          <w:rStyle w:val="FootnoteReference"/>
          <w:rFonts w:ascii="Garamond" w:hAnsi="Garamond"/>
          <w:sz w:val="20"/>
          <w:szCs w:val="20"/>
        </w:rPr>
        <w:footnoteRef/>
      </w:r>
      <w:r w:rsidRPr="00C840E7">
        <w:rPr>
          <w:rFonts w:ascii="Garamond" w:hAnsi="Garamond"/>
          <w:sz w:val="20"/>
          <w:szCs w:val="20"/>
        </w:rPr>
        <w:t xml:space="preserve"> MONSTAT, Libri statistikor</w:t>
      </w:r>
      <w:r w:rsidRPr="00C840E7">
        <w:rPr>
          <w:rFonts w:ascii="Garamond" w:hAnsi="Garamond"/>
          <w:spacing w:val="-17"/>
          <w:sz w:val="20"/>
          <w:szCs w:val="20"/>
        </w:rPr>
        <w:t xml:space="preserve"> </w:t>
      </w:r>
      <w:r w:rsidRPr="00C840E7">
        <w:rPr>
          <w:rFonts w:ascii="Garamond" w:hAnsi="Garamond"/>
          <w:sz w:val="20"/>
          <w:szCs w:val="20"/>
        </w:rPr>
        <w:t>2012</w:t>
      </w:r>
    </w:p>
  </w:footnote>
  <w:footnote w:id="33">
    <w:p w14:paraId="1BADD7C1" w14:textId="0038B361" w:rsidR="008274CD" w:rsidRPr="00C840E7" w:rsidRDefault="008274CD" w:rsidP="00C840E7">
      <w:pPr>
        <w:widowControl w:val="0"/>
        <w:tabs>
          <w:tab w:val="left" w:pos="326"/>
        </w:tabs>
        <w:spacing w:after="0" w:line="240" w:lineRule="auto"/>
        <w:rPr>
          <w:rFonts w:ascii="Garamond" w:hAnsi="Garamond"/>
          <w:sz w:val="20"/>
          <w:szCs w:val="20"/>
        </w:rPr>
      </w:pPr>
      <w:r w:rsidRPr="00C840E7">
        <w:rPr>
          <w:rStyle w:val="FootnoteReference"/>
          <w:rFonts w:ascii="Garamond" w:hAnsi="Garamond"/>
          <w:sz w:val="20"/>
          <w:szCs w:val="20"/>
        </w:rPr>
        <w:footnoteRef/>
      </w:r>
      <w:r w:rsidRPr="00C840E7">
        <w:rPr>
          <w:rFonts w:ascii="Garamond" w:hAnsi="Garamond"/>
          <w:sz w:val="20"/>
          <w:szCs w:val="20"/>
        </w:rPr>
        <w:t xml:space="preserve"> Shqipëria,</w:t>
      </w:r>
      <w:r w:rsidRPr="00C840E7">
        <w:rPr>
          <w:rFonts w:ascii="Garamond" w:hAnsi="Garamond"/>
          <w:spacing w:val="-6"/>
          <w:sz w:val="20"/>
          <w:szCs w:val="20"/>
        </w:rPr>
        <w:t xml:space="preserve"> </w:t>
      </w:r>
      <w:r w:rsidRPr="00C840E7">
        <w:rPr>
          <w:rFonts w:ascii="Garamond" w:hAnsi="Garamond"/>
          <w:sz w:val="20"/>
          <w:szCs w:val="20"/>
        </w:rPr>
        <w:t>Ministria</w:t>
      </w:r>
      <w:r w:rsidRPr="00C840E7">
        <w:rPr>
          <w:rFonts w:ascii="Garamond" w:hAnsi="Garamond"/>
          <w:spacing w:val="-4"/>
          <w:sz w:val="20"/>
          <w:szCs w:val="20"/>
        </w:rPr>
        <w:t xml:space="preserve"> </w:t>
      </w:r>
      <w:r w:rsidRPr="00C840E7">
        <w:rPr>
          <w:rFonts w:ascii="Garamond" w:hAnsi="Garamond"/>
          <w:sz w:val="20"/>
          <w:szCs w:val="20"/>
        </w:rPr>
        <w:t>e</w:t>
      </w:r>
      <w:r w:rsidRPr="00C840E7">
        <w:rPr>
          <w:rFonts w:ascii="Garamond" w:hAnsi="Garamond"/>
          <w:spacing w:val="-6"/>
          <w:sz w:val="20"/>
          <w:szCs w:val="20"/>
        </w:rPr>
        <w:t xml:space="preserve"> </w:t>
      </w:r>
      <w:r w:rsidRPr="00C840E7">
        <w:rPr>
          <w:rFonts w:ascii="Garamond" w:hAnsi="Garamond"/>
          <w:sz w:val="20"/>
          <w:szCs w:val="20"/>
        </w:rPr>
        <w:t>Mjedisit,</w:t>
      </w:r>
      <w:r w:rsidRPr="00C840E7">
        <w:rPr>
          <w:rFonts w:ascii="Garamond" w:hAnsi="Garamond"/>
          <w:spacing w:val="-6"/>
          <w:sz w:val="20"/>
          <w:szCs w:val="20"/>
        </w:rPr>
        <w:t xml:space="preserve"> </w:t>
      </w:r>
      <w:r w:rsidRPr="00C840E7">
        <w:rPr>
          <w:rFonts w:ascii="Garamond" w:hAnsi="Garamond"/>
          <w:sz w:val="20"/>
          <w:szCs w:val="20"/>
        </w:rPr>
        <w:t>Rrjeti</w:t>
      </w:r>
      <w:r w:rsidRPr="00C840E7">
        <w:rPr>
          <w:rFonts w:ascii="Garamond" w:hAnsi="Garamond"/>
          <w:spacing w:val="-5"/>
          <w:sz w:val="20"/>
          <w:szCs w:val="20"/>
        </w:rPr>
        <w:t xml:space="preserve"> </w:t>
      </w:r>
      <w:r w:rsidRPr="00C840E7">
        <w:rPr>
          <w:rFonts w:ascii="Garamond" w:hAnsi="Garamond"/>
          <w:sz w:val="20"/>
          <w:szCs w:val="20"/>
        </w:rPr>
        <w:t>i</w:t>
      </w:r>
      <w:r w:rsidRPr="00C840E7">
        <w:rPr>
          <w:rFonts w:ascii="Garamond" w:hAnsi="Garamond"/>
          <w:spacing w:val="-5"/>
          <w:sz w:val="20"/>
          <w:szCs w:val="20"/>
        </w:rPr>
        <w:t xml:space="preserve"> </w:t>
      </w:r>
      <w:r w:rsidRPr="00C840E7">
        <w:rPr>
          <w:rFonts w:ascii="Garamond" w:hAnsi="Garamond"/>
          <w:sz w:val="20"/>
          <w:szCs w:val="20"/>
        </w:rPr>
        <w:t>zonave</w:t>
      </w:r>
      <w:r w:rsidRPr="00C840E7">
        <w:rPr>
          <w:rFonts w:ascii="Garamond" w:hAnsi="Garamond"/>
          <w:spacing w:val="-4"/>
          <w:sz w:val="20"/>
          <w:szCs w:val="20"/>
        </w:rPr>
        <w:t xml:space="preserve"> </w:t>
      </w:r>
      <w:r w:rsidRPr="00C840E7">
        <w:rPr>
          <w:rFonts w:ascii="Garamond" w:hAnsi="Garamond"/>
          <w:sz w:val="20"/>
          <w:szCs w:val="20"/>
        </w:rPr>
        <w:t>të</w:t>
      </w:r>
      <w:r w:rsidRPr="00C840E7">
        <w:rPr>
          <w:rFonts w:ascii="Garamond" w:hAnsi="Garamond"/>
          <w:spacing w:val="-4"/>
          <w:sz w:val="20"/>
          <w:szCs w:val="20"/>
        </w:rPr>
        <w:t xml:space="preserve"> </w:t>
      </w:r>
      <w:r w:rsidRPr="00C840E7">
        <w:rPr>
          <w:rFonts w:ascii="Garamond" w:hAnsi="Garamond"/>
          <w:sz w:val="20"/>
          <w:szCs w:val="20"/>
        </w:rPr>
        <w:t>mbrojtura</w:t>
      </w:r>
      <w:r w:rsidRPr="00C840E7">
        <w:rPr>
          <w:rFonts w:ascii="Garamond" w:hAnsi="Garamond"/>
          <w:spacing w:val="-4"/>
          <w:sz w:val="20"/>
          <w:szCs w:val="20"/>
        </w:rPr>
        <w:t xml:space="preserve"> </w:t>
      </w:r>
      <w:r w:rsidRPr="00C840E7">
        <w:rPr>
          <w:rFonts w:ascii="Garamond" w:hAnsi="Garamond"/>
          <w:sz w:val="20"/>
          <w:szCs w:val="20"/>
        </w:rPr>
        <w:t>në</w:t>
      </w:r>
      <w:r w:rsidRPr="00C840E7">
        <w:rPr>
          <w:rFonts w:ascii="Garamond" w:hAnsi="Garamond"/>
          <w:spacing w:val="-4"/>
          <w:sz w:val="20"/>
          <w:szCs w:val="20"/>
        </w:rPr>
        <w:t xml:space="preserve"> </w:t>
      </w:r>
      <w:r w:rsidRPr="00C840E7">
        <w:rPr>
          <w:rFonts w:ascii="Garamond" w:hAnsi="Garamond"/>
          <w:sz w:val="20"/>
          <w:szCs w:val="20"/>
        </w:rPr>
        <w:t>Shqipëri,</w:t>
      </w:r>
      <w:r w:rsidRPr="00C840E7">
        <w:rPr>
          <w:rFonts w:ascii="Garamond" w:hAnsi="Garamond"/>
          <w:spacing w:val="-6"/>
          <w:sz w:val="20"/>
          <w:szCs w:val="20"/>
        </w:rPr>
        <w:t xml:space="preserve"> </w:t>
      </w:r>
      <w:r w:rsidRPr="00C840E7">
        <w:rPr>
          <w:rFonts w:ascii="Garamond" w:hAnsi="Garamond"/>
          <w:sz w:val="20"/>
          <w:szCs w:val="20"/>
        </w:rPr>
        <w:t>shtator</w:t>
      </w:r>
      <w:r w:rsidRPr="00C840E7">
        <w:rPr>
          <w:rFonts w:ascii="Garamond" w:hAnsi="Garamond"/>
          <w:spacing w:val="-6"/>
          <w:sz w:val="20"/>
          <w:szCs w:val="20"/>
        </w:rPr>
        <w:t xml:space="preserve"> </w:t>
      </w:r>
      <w:r w:rsidRPr="00C840E7">
        <w:rPr>
          <w:rFonts w:ascii="Garamond" w:hAnsi="Garamond"/>
          <w:sz w:val="20"/>
          <w:szCs w:val="20"/>
        </w:rPr>
        <w:t>2013</w:t>
      </w:r>
    </w:p>
  </w:footnote>
  <w:footnote w:id="34">
    <w:p w14:paraId="1BADD7C2" w14:textId="269B7791" w:rsidR="008274CD" w:rsidRPr="00B628D7" w:rsidRDefault="008274CD" w:rsidP="00B628D7">
      <w:pPr>
        <w:pStyle w:val="BodyText"/>
        <w:rPr>
          <w:rFonts w:ascii="Garamond" w:hAnsi="Garamond"/>
          <w:sz w:val="20"/>
          <w:szCs w:val="20"/>
        </w:rPr>
      </w:pPr>
      <w:r w:rsidRPr="00B628D7">
        <w:rPr>
          <w:rStyle w:val="FootnoteReference"/>
          <w:sz w:val="20"/>
          <w:szCs w:val="20"/>
        </w:rPr>
        <w:footnoteRef/>
      </w:r>
      <w:r w:rsidRPr="00B628D7">
        <w:rPr>
          <w:sz w:val="20"/>
          <w:szCs w:val="20"/>
        </w:rPr>
        <w:t xml:space="preserve"> </w:t>
      </w:r>
      <w:r w:rsidRPr="00B628D7">
        <w:rPr>
          <w:rFonts w:ascii="Garamond" w:hAnsi="Garamond"/>
          <w:sz w:val="20"/>
          <w:szCs w:val="20"/>
        </w:rPr>
        <w:t>Kërkon një studim të rregullt dhe të thjeshtë duke përdorur një pyetësor standard me pyetje të</w:t>
      </w:r>
      <w:r>
        <w:rPr>
          <w:rFonts w:ascii="Garamond" w:hAnsi="Garamond"/>
          <w:sz w:val="20"/>
          <w:szCs w:val="20"/>
        </w:rPr>
        <w:t xml:space="preserve"> </w:t>
      </w:r>
      <w:r w:rsidRPr="00B628D7">
        <w:rPr>
          <w:rFonts w:ascii="Garamond" w:hAnsi="Garamond"/>
          <w:sz w:val="20"/>
          <w:szCs w:val="20"/>
        </w:rPr>
        <w:t>mbyllura</w:t>
      </w:r>
      <w:r>
        <w:rPr>
          <w:rFonts w:ascii="Garamond" w:hAnsi="Garamond"/>
          <w:sz w:val="20"/>
          <w:szCs w:val="20"/>
        </w:rPr>
        <w:t>.</w:t>
      </w:r>
    </w:p>
  </w:footnote>
  <w:footnote w:id="35">
    <w:p w14:paraId="1BADD7C3" w14:textId="77777777" w:rsidR="008274CD" w:rsidRPr="001F5F4A" w:rsidRDefault="008274CD" w:rsidP="00A55AAA">
      <w:pPr>
        <w:pStyle w:val="FootnoteText"/>
        <w:jc w:val="both"/>
        <w:rPr>
          <w:rFonts w:ascii="Garamond" w:hAnsi="Garamond"/>
          <w:lang w:val="sq-AL"/>
        </w:rPr>
      </w:pPr>
      <w:r w:rsidRPr="001F5F4A">
        <w:rPr>
          <w:rStyle w:val="FootnoteReference"/>
          <w:rFonts w:ascii="Garamond" w:hAnsi="Garamond"/>
          <w:lang w:val="sq-AL"/>
        </w:rPr>
        <w:footnoteRef/>
      </w:r>
      <w:r w:rsidRPr="001F5F4A">
        <w:rPr>
          <w:rFonts w:ascii="Garamond" w:hAnsi="Garamond"/>
          <w:lang w:val="sq-AL"/>
        </w:rPr>
        <w:t xml:space="preserve"> Gucia është një bashki e re, e paraqitur si një ndarje administrative e Komunës së Plavës; ajo është në fazat e hershme të organizimit</w:t>
      </w:r>
    </w:p>
  </w:footnote>
  <w:footnote w:id="36">
    <w:p w14:paraId="1BADD7C4" w14:textId="07F171C9" w:rsidR="008274CD" w:rsidRPr="001F5F4A" w:rsidRDefault="008274CD" w:rsidP="00A55AAA">
      <w:pPr>
        <w:widowControl w:val="0"/>
        <w:spacing w:after="0" w:line="240" w:lineRule="auto"/>
        <w:jc w:val="both"/>
        <w:rPr>
          <w:rFonts w:ascii="Garamond" w:hAnsi="Garamond"/>
          <w:sz w:val="20"/>
          <w:szCs w:val="20"/>
        </w:rPr>
      </w:pPr>
      <w:r w:rsidRPr="001F5F4A">
        <w:rPr>
          <w:rStyle w:val="FootnoteReference"/>
          <w:rFonts w:ascii="Garamond" w:hAnsi="Garamond"/>
          <w:sz w:val="20"/>
          <w:szCs w:val="20"/>
        </w:rPr>
        <w:footnoteRef/>
      </w:r>
      <w:r w:rsidRPr="001F5F4A">
        <w:rPr>
          <w:rFonts w:ascii="Garamond" w:hAnsi="Garamond"/>
          <w:sz w:val="20"/>
          <w:szCs w:val="20"/>
        </w:rPr>
        <w:t xml:space="preserve"> Petnjica është një bashki e re, e paraqitur si një ndarje administrative e Komunës së Beranes; ajo është në fazat e hershme të organizimit; Edhe Gucia është një komunë e themeluar rishtazi.</w:t>
      </w:r>
    </w:p>
  </w:footnote>
  <w:footnote w:id="37">
    <w:p w14:paraId="1BADD7C5" w14:textId="77777777" w:rsidR="008274CD" w:rsidRPr="001F5F4A" w:rsidRDefault="008274CD" w:rsidP="00A55AAA">
      <w:pPr>
        <w:pStyle w:val="FootnoteText"/>
        <w:jc w:val="both"/>
        <w:rPr>
          <w:lang w:val="sq-AL"/>
        </w:rPr>
      </w:pPr>
      <w:r w:rsidRPr="001F5F4A">
        <w:rPr>
          <w:rStyle w:val="FootnoteReference"/>
          <w:rFonts w:ascii="Garamond" w:hAnsi="Garamond"/>
          <w:lang w:val="sq-AL"/>
        </w:rPr>
        <w:footnoteRef/>
      </w:r>
      <w:r w:rsidRPr="001F5F4A">
        <w:rPr>
          <w:rFonts w:ascii="Garamond" w:hAnsi="Garamond"/>
          <w:lang w:val="sq-AL"/>
        </w:rPr>
        <w:t xml:space="preserve"> Shqipëria ka 12 rajone të cilat përfshijnë 36 rrethe, 64 bashki dhe 309 komuna, të cilat përmbajnë një numër të përgjithshëm prej 74 qytetesh dhe 2980 fshatrash. Rajonet e kësaj zone të programit janë të ndarë në 7 rrethe të përbërë nga 11 bashki, 54 komuna, të cilat përmbajnë 16 qytete dhe 484 fshatra</w:t>
      </w:r>
    </w:p>
  </w:footnote>
  <w:footnote w:id="38">
    <w:p w14:paraId="1BADD7C6" w14:textId="72FB6DEB" w:rsidR="008274CD" w:rsidRPr="000F7F87" w:rsidRDefault="008274CD">
      <w:pPr>
        <w:pStyle w:val="FootnoteText"/>
        <w:rPr>
          <w:lang w:val="en-US"/>
        </w:rPr>
      </w:pPr>
      <w:r w:rsidRPr="000F7F87">
        <w:rPr>
          <w:rStyle w:val="FootnoteReference"/>
        </w:rPr>
        <w:footnoteRef/>
      </w:r>
      <w:r w:rsidRPr="000F7F87">
        <w:t xml:space="preserve"> </w:t>
      </w:r>
      <w:r w:rsidRPr="000F7F87">
        <w:rPr>
          <w:rFonts w:ascii="Garamond" w:hAnsi="Garamond"/>
        </w:rPr>
        <w:t>Strategjia e zgjerimit të BE-së dhe sfidat kryesore 2012-2013 (faqe 12)</w:t>
      </w:r>
      <w:r>
        <w:rPr>
          <w:rFonts w:ascii="Garamond" w:hAnsi="Garamond"/>
        </w:rPr>
        <w:t>.</w:t>
      </w:r>
    </w:p>
  </w:footnote>
  <w:footnote w:id="39">
    <w:p w14:paraId="1BADD7C7" w14:textId="613397FF" w:rsidR="008274CD" w:rsidRPr="001F5F4A" w:rsidRDefault="008274CD" w:rsidP="001F5F4A">
      <w:pPr>
        <w:spacing w:after="0"/>
        <w:rPr>
          <w:rFonts w:ascii="Garamond" w:hAnsi="Garamond"/>
          <w:sz w:val="20"/>
          <w:szCs w:val="20"/>
        </w:rPr>
      </w:pPr>
      <w:r w:rsidRPr="001F5F4A">
        <w:rPr>
          <w:rFonts w:ascii="Garamond" w:hAnsi="Garamond"/>
          <w:sz w:val="20"/>
          <w:szCs w:val="20"/>
          <w:vertAlign w:val="superscript"/>
        </w:rPr>
        <w:footnoteRef/>
      </w:r>
      <w:r w:rsidRPr="001F5F4A">
        <w:rPr>
          <w:rFonts w:ascii="Garamond" w:hAnsi="Garamond"/>
          <w:sz w:val="20"/>
          <w:szCs w:val="20"/>
        </w:rPr>
        <w:t xml:space="preserve"> Strategjia Kombëtare e Zhvillimit të Qëndrueshëm të Malit të Zi 2007</w:t>
      </w:r>
      <w:r>
        <w:rPr>
          <w:rFonts w:ascii="Garamond" w:hAnsi="Garamond"/>
          <w:sz w:val="20"/>
          <w:szCs w:val="20"/>
        </w:rPr>
        <w:t>.</w:t>
      </w:r>
    </w:p>
  </w:footnote>
  <w:footnote w:id="40">
    <w:p w14:paraId="1BADD7C8" w14:textId="135B0EB2" w:rsidR="008274CD" w:rsidRPr="001F5F4A" w:rsidRDefault="008274CD" w:rsidP="001F5F4A">
      <w:pPr>
        <w:spacing w:after="0"/>
        <w:rPr>
          <w:rFonts w:ascii="Garamond" w:hAnsi="Garamond"/>
          <w:sz w:val="20"/>
          <w:szCs w:val="20"/>
        </w:rPr>
      </w:pPr>
      <w:r w:rsidRPr="001F5F4A">
        <w:rPr>
          <w:rFonts w:ascii="Garamond" w:hAnsi="Garamond"/>
          <w:sz w:val="20"/>
          <w:szCs w:val="20"/>
          <w:vertAlign w:val="superscript"/>
        </w:rPr>
        <w:footnoteRef/>
      </w:r>
      <w:r w:rsidRPr="001F5F4A">
        <w:rPr>
          <w:rFonts w:ascii="Garamond" w:hAnsi="Garamond"/>
          <w:sz w:val="20"/>
          <w:szCs w:val="20"/>
        </w:rPr>
        <w:t xml:space="preserve"> Një vendim që pritej të merrej në Qershor të vitit 2014</w:t>
      </w:r>
      <w:r>
        <w:rPr>
          <w:rFonts w:ascii="Garamond" w:hAnsi="Garamond"/>
          <w:sz w:val="20"/>
          <w:szCs w:val="20"/>
        </w:rPr>
        <w:t>.</w:t>
      </w:r>
    </w:p>
  </w:footnote>
  <w:footnote w:id="41">
    <w:p w14:paraId="1BADD7C9" w14:textId="12B7C96B" w:rsidR="008274CD" w:rsidRPr="001F5F4A" w:rsidRDefault="008274CD" w:rsidP="001F5F4A">
      <w:pPr>
        <w:spacing w:after="0"/>
        <w:rPr>
          <w:rFonts w:ascii="Garamond" w:hAnsi="Garamond"/>
          <w:sz w:val="20"/>
          <w:szCs w:val="20"/>
        </w:rPr>
      </w:pPr>
      <w:r w:rsidRPr="001F5F4A">
        <w:rPr>
          <w:rFonts w:ascii="Garamond" w:hAnsi="Garamond"/>
          <w:sz w:val="20"/>
          <w:szCs w:val="20"/>
          <w:vertAlign w:val="superscript"/>
        </w:rPr>
        <w:footnoteRef/>
      </w:r>
      <w:r w:rsidRPr="001F5F4A">
        <w:rPr>
          <w:rFonts w:ascii="Garamond" w:hAnsi="Garamond"/>
          <w:sz w:val="20"/>
          <w:szCs w:val="20"/>
          <w:vertAlign w:val="superscript"/>
        </w:rPr>
        <w:t xml:space="preserve"> </w:t>
      </w:r>
      <w:r>
        <w:rPr>
          <w:rFonts w:ascii="Garamond" w:hAnsi="Garamond"/>
          <w:sz w:val="20"/>
          <w:szCs w:val="20"/>
        </w:rPr>
        <w:t>Drafts</w:t>
      </w:r>
      <w:r w:rsidRPr="001F5F4A">
        <w:rPr>
          <w:rFonts w:ascii="Garamond" w:hAnsi="Garamond"/>
          <w:sz w:val="20"/>
          <w:szCs w:val="20"/>
        </w:rPr>
        <w:t>trategjia Kombëtare për Zhvillim dhe Integrim 2014</w:t>
      </w:r>
      <w:r>
        <w:rPr>
          <w:rFonts w:ascii="Garamond" w:hAnsi="Garamond"/>
          <w:sz w:val="20"/>
          <w:szCs w:val="20"/>
        </w:rPr>
        <w:t>–</w:t>
      </w:r>
      <w:r w:rsidRPr="001F5F4A">
        <w:rPr>
          <w:rFonts w:ascii="Garamond" w:hAnsi="Garamond"/>
          <w:sz w:val="20"/>
          <w:szCs w:val="20"/>
        </w:rPr>
        <w:t>2020 (SKZHI)</w:t>
      </w:r>
      <w:r>
        <w:rPr>
          <w:rFonts w:ascii="Garamond" w:hAnsi="Garamond"/>
          <w:sz w:val="20"/>
          <w:szCs w:val="20"/>
        </w:rPr>
        <w:t>.</w:t>
      </w:r>
    </w:p>
  </w:footnote>
  <w:footnote w:id="42">
    <w:p w14:paraId="1BADD7CA" w14:textId="6E8154E0" w:rsidR="008274CD" w:rsidRPr="00217EA7" w:rsidRDefault="008274CD" w:rsidP="001D6390">
      <w:pPr>
        <w:pStyle w:val="FootnoteText"/>
        <w:rPr>
          <w:rFonts w:ascii="Garamond" w:hAnsi="Garamond"/>
          <w:lang w:val="en-US"/>
        </w:rPr>
      </w:pPr>
      <w:r w:rsidRPr="00217EA7">
        <w:rPr>
          <w:rStyle w:val="FootnoteReference"/>
          <w:rFonts w:ascii="Garamond" w:hAnsi="Garamond"/>
        </w:rPr>
        <w:footnoteRef/>
      </w:r>
      <w:r w:rsidRPr="00217EA7">
        <w:rPr>
          <w:rFonts w:ascii="Garamond" w:hAnsi="Garamond"/>
        </w:rPr>
        <w:t xml:space="preserve"> MONSTAT, GDP e Malit të Zi Publikimi nr. 246, shtator 2013</w:t>
      </w:r>
      <w:r>
        <w:rPr>
          <w:rFonts w:ascii="Garamond" w:hAnsi="Garamond"/>
        </w:rPr>
        <w:t>.</w:t>
      </w:r>
    </w:p>
  </w:footnote>
  <w:footnote w:id="43">
    <w:p w14:paraId="1BADD7CB" w14:textId="7FD6CCF2" w:rsidR="008274CD" w:rsidRPr="00217EA7" w:rsidRDefault="008274CD" w:rsidP="001D6390">
      <w:pPr>
        <w:pStyle w:val="FootnoteText"/>
        <w:rPr>
          <w:rFonts w:ascii="Garamond" w:hAnsi="Garamond"/>
          <w:lang w:val="en-US"/>
        </w:rPr>
      </w:pPr>
      <w:r w:rsidRPr="00217EA7">
        <w:rPr>
          <w:rStyle w:val="FootnoteReference"/>
          <w:rFonts w:ascii="Garamond" w:hAnsi="Garamond"/>
        </w:rPr>
        <w:footnoteRef/>
      </w:r>
      <w:r w:rsidRPr="00217EA7">
        <w:rPr>
          <w:rFonts w:ascii="Garamond" w:hAnsi="Garamond"/>
        </w:rPr>
        <w:t xml:space="preserve"> MONSTAT, GDP e Malit të Zi, Publikimi nr. 246, shtator 2013</w:t>
      </w:r>
      <w:r>
        <w:rPr>
          <w:rFonts w:ascii="Garamond" w:hAnsi="Garamond"/>
        </w:rPr>
        <w:t>.</w:t>
      </w:r>
    </w:p>
  </w:footnote>
  <w:footnote w:id="44">
    <w:p w14:paraId="1BADD7CC" w14:textId="2F01904A" w:rsidR="008274CD" w:rsidRPr="00217EA7" w:rsidRDefault="008274CD" w:rsidP="00217EA7">
      <w:pPr>
        <w:spacing w:after="0"/>
        <w:rPr>
          <w:rFonts w:ascii="Garamond" w:hAnsi="Garamond"/>
          <w:sz w:val="20"/>
          <w:szCs w:val="20"/>
        </w:rPr>
      </w:pPr>
      <w:r w:rsidRPr="00217EA7">
        <w:rPr>
          <w:rFonts w:ascii="Garamond" w:hAnsi="Garamond"/>
          <w:sz w:val="20"/>
          <w:szCs w:val="20"/>
          <w:vertAlign w:val="superscript"/>
        </w:rPr>
        <w:footnoteRef/>
      </w:r>
      <w:r w:rsidRPr="00217EA7">
        <w:rPr>
          <w:rFonts w:ascii="Garamond" w:hAnsi="Garamond"/>
          <w:sz w:val="20"/>
          <w:szCs w:val="20"/>
        </w:rPr>
        <w:t xml:space="preserve"> MONSTAT, Sondazhi i Fuqisë Punëtore 2012.</w:t>
      </w:r>
    </w:p>
  </w:footnote>
  <w:footnote w:id="45">
    <w:p w14:paraId="1BADD7CD" w14:textId="6A093F85" w:rsidR="008274CD" w:rsidRPr="00217EA7" w:rsidRDefault="008274CD" w:rsidP="00217EA7">
      <w:pPr>
        <w:spacing w:after="0"/>
        <w:rPr>
          <w:rFonts w:ascii="Garamond" w:hAnsi="Garamond"/>
          <w:sz w:val="20"/>
          <w:szCs w:val="20"/>
        </w:rPr>
      </w:pPr>
      <w:r w:rsidRPr="00217EA7">
        <w:rPr>
          <w:rFonts w:ascii="Garamond" w:hAnsi="Garamond"/>
          <w:sz w:val="20"/>
          <w:szCs w:val="20"/>
          <w:vertAlign w:val="superscript"/>
        </w:rPr>
        <w:footnoteRef/>
      </w:r>
      <w:r w:rsidRPr="00217EA7">
        <w:rPr>
          <w:rFonts w:ascii="Garamond" w:hAnsi="Garamond"/>
          <w:sz w:val="20"/>
          <w:szCs w:val="20"/>
        </w:rPr>
        <w:t xml:space="preserve"> INSTAT, GDP tremujore 2012.</w:t>
      </w:r>
    </w:p>
  </w:footnote>
  <w:footnote w:id="46">
    <w:p w14:paraId="1BADD7CE" w14:textId="450369E0" w:rsidR="008274CD" w:rsidRPr="00217EA7" w:rsidRDefault="008274CD" w:rsidP="00615CA4">
      <w:pPr>
        <w:pStyle w:val="FootnoteText"/>
        <w:tabs>
          <w:tab w:val="left" w:pos="2700"/>
        </w:tabs>
        <w:rPr>
          <w:rFonts w:ascii="Garamond" w:hAnsi="Garamond"/>
          <w:lang w:val="en-US"/>
        </w:rPr>
      </w:pPr>
      <w:r w:rsidRPr="00217EA7">
        <w:rPr>
          <w:rStyle w:val="FootnoteReference"/>
          <w:rFonts w:ascii="Garamond" w:hAnsi="Garamond"/>
        </w:rPr>
        <w:footnoteRef/>
      </w:r>
      <w:r w:rsidRPr="00217EA7">
        <w:rPr>
          <w:rFonts w:ascii="Garamond" w:hAnsi="Garamond"/>
        </w:rPr>
        <w:t xml:space="preserve"> Banka Bot</w:t>
      </w:r>
      <w:r>
        <w:rPr>
          <w:rFonts w:ascii="Garamond" w:hAnsi="Garamond"/>
        </w:rPr>
        <w:t>ërore, Të dhënat e shtetit 2008–</w:t>
      </w:r>
      <w:r w:rsidRPr="00217EA7">
        <w:rPr>
          <w:rFonts w:ascii="Garamond" w:hAnsi="Garamond"/>
        </w:rPr>
        <w:t>2012</w:t>
      </w:r>
      <w:r>
        <w:rPr>
          <w:rFonts w:ascii="Garamond" w:hAnsi="Garamond"/>
        </w:rPr>
        <w:t>.</w:t>
      </w:r>
    </w:p>
  </w:footnote>
  <w:footnote w:id="47">
    <w:p w14:paraId="1BADD7CF" w14:textId="4573F61E" w:rsidR="008274CD" w:rsidRPr="00615CA4" w:rsidRDefault="008274CD" w:rsidP="00347F15">
      <w:pPr>
        <w:pStyle w:val="FootnoteText"/>
        <w:rPr>
          <w:lang w:val="en-US"/>
        </w:rPr>
      </w:pPr>
      <w:r w:rsidRPr="00615CA4">
        <w:rPr>
          <w:rStyle w:val="FootnoteReference"/>
        </w:rPr>
        <w:footnoteRef/>
      </w:r>
      <w:r w:rsidRPr="00615CA4">
        <w:t xml:space="preserve"> </w:t>
      </w:r>
      <w:r w:rsidRPr="00615CA4">
        <w:rPr>
          <w:rFonts w:ascii="Garamond" w:hAnsi="Garamond"/>
        </w:rPr>
        <w:t>Ministria e Financave, 2012.</w:t>
      </w:r>
    </w:p>
  </w:footnote>
  <w:footnote w:id="48">
    <w:p w14:paraId="1BADD7D0" w14:textId="0CB5B7CA" w:rsidR="008274CD" w:rsidRPr="00615CA4" w:rsidRDefault="008274CD" w:rsidP="00F51A34">
      <w:pPr>
        <w:pStyle w:val="FootnoteText"/>
        <w:rPr>
          <w:lang w:val="en-US"/>
        </w:rPr>
      </w:pPr>
      <w:r w:rsidRPr="00615CA4">
        <w:rPr>
          <w:rStyle w:val="FootnoteReference"/>
        </w:rPr>
        <w:footnoteRef/>
      </w:r>
      <w:r w:rsidRPr="00615CA4">
        <w:t xml:space="preserve"> </w:t>
      </w:r>
      <w:r w:rsidRPr="00615CA4">
        <w:rPr>
          <w:rFonts w:ascii="Garamond" w:hAnsi="Garamond"/>
        </w:rPr>
        <w:t>Strategjia Kombëtare e Zhvillimit të Qëndrueshëm të Malit të Zi.</w:t>
      </w:r>
    </w:p>
  </w:footnote>
  <w:footnote w:id="49">
    <w:p w14:paraId="1BADD7D1" w14:textId="77777777" w:rsidR="008274CD" w:rsidRPr="00F51A34" w:rsidRDefault="008274CD" w:rsidP="00F51A34">
      <w:pPr>
        <w:widowControl w:val="0"/>
        <w:spacing w:before="70" w:after="0" w:line="240" w:lineRule="auto"/>
        <w:ind w:right="5643"/>
        <w:rPr>
          <w:rFonts w:ascii="Garamond" w:hAnsi="Garamond"/>
          <w:sz w:val="24"/>
          <w:szCs w:val="24"/>
        </w:rPr>
      </w:pPr>
      <w:r>
        <w:rPr>
          <w:rStyle w:val="FootnoteReference"/>
        </w:rPr>
        <w:footnoteRef/>
      </w:r>
      <w:r>
        <w:t xml:space="preserve"> </w:t>
      </w:r>
      <w:r w:rsidRPr="00943976">
        <w:rPr>
          <w:rFonts w:ascii="Garamond" w:hAnsi="Garamond"/>
          <w:sz w:val="24"/>
          <w:szCs w:val="24"/>
        </w:rPr>
        <w:t>INSTAT, Llogaritë Rajonale 2013</w:t>
      </w:r>
    </w:p>
  </w:footnote>
  <w:footnote w:id="50">
    <w:p w14:paraId="1BADD7D2" w14:textId="77777777" w:rsidR="008274CD" w:rsidRPr="00F51A34" w:rsidRDefault="008274CD" w:rsidP="00F51A34">
      <w:pPr>
        <w:widowControl w:val="0"/>
        <w:spacing w:after="0" w:line="240" w:lineRule="auto"/>
        <w:rPr>
          <w:rFonts w:ascii="Garamond" w:hAnsi="Garamond"/>
          <w:sz w:val="20"/>
          <w:szCs w:val="24"/>
        </w:rPr>
      </w:pPr>
      <w:r w:rsidRPr="00F51A34">
        <w:rPr>
          <w:rStyle w:val="FootnoteReference"/>
          <w:sz w:val="18"/>
        </w:rPr>
        <w:footnoteRef/>
      </w:r>
      <w:r w:rsidRPr="00F51A34">
        <w:rPr>
          <w:sz w:val="18"/>
        </w:rPr>
        <w:t xml:space="preserve"> </w:t>
      </w:r>
      <w:r w:rsidRPr="00F51A34">
        <w:rPr>
          <w:rFonts w:ascii="Garamond" w:hAnsi="Garamond"/>
          <w:sz w:val="20"/>
          <w:szCs w:val="24"/>
        </w:rPr>
        <w:t>INSTAT, Llogaritë Rajonale 2013</w:t>
      </w:r>
    </w:p>
  </w:footnote>
  <w:footnote w:id="51">
    <w:p w14:paraId="1BADD7D3" w14:textId="51197717" w:rsidR="008274CD" w:rsidRPr="00F51A34" w:rsidRDefault="008274CD" w:rsidP="00F51A34">
      <w:pPr>
        <w:widowControl w:val="0"/>
        <w:tabs>
          <w:tab w:val="left" w:pos="326"/>
        </w:tabs>
        <w:spacing w:after="0" w:line="240" w:lineRule="auto"/>
        <w:rPr>
          <w:rFonts w:ascii="Garamond" w:hAnsi="Garamond"/>
          <w:sz w:val="20"/>
          <w:szCs w:val="24"/>
        </w:rPr>
      </w:pPr>
      <w:r w:rsidRPr="00F51A34">
        <w:rPr>
          <w:rStyle w:val="FootnoteReference"/>
          <w:sz w:val="18"/>
        </w:rPr>
        <w:footnoteRef/>
      </w:r>
      <w:r w:rsidRPr="00F51A34">
        <w:rPr>
          <w:sz w:val="18"/>
        </w:rPr>
        <w:t xml:space="preserve"> </w:t>
      </w:r>
      <w:r w:rsidRPr="00F51A34">
        <w:rPr>
          <w:rFonts w:ascii="Garamond" w:hAnsi="Garamond"/>
          <w:sz w:val="20"/>
          <w:szCs w:val="24"/>
        </w:rPr>
        <w:t>MONSTAT,</w:t>
      </w:r>
      <w:r w:rsidRPr="00F51A34">
        <w:rPr>
          <w:rFonts w:ascii="Garamond" w:hAnsi="Garamond"/>
          <w:spacing w:val="-6"/>
          <w:sz w:val="20"/>
          <w:szCs w:val="24"/>
        </w:rPr>
        <w:t xml:space="preserve"> </w:t>
      </w:r>
      <w:r w:rsidRPr="00F51A34">
        <w:rPr>
          <w:rFonts w:ascii="Garamond" w:hAnsi="Garamond"/>
          <w:sz w:val="20"/>
          <w:szCs w:val="24"/>
        </w:rPr>
        <w:t>Regjistri</w:t>
      </w:r>
      <w:r w:rsidRPr="00F51A34">
        <w:rPr>
          <w:rFonts w:ascii="Garamond" w:hAnsi="Garamond"/>
          <w:spacing w:val="-5"/>
          <w:sz w:val="20"/>
          <w:szCs w:val="24"/>
        </w:rPr>
        <w:t xml:space="preserve"> </w:t>
      </w:r>
      <w:r w:rsidRPr="00F51A34">
        <w:rPr>
          <w:rFonts w:ascii="Garamond" w:hAnsi="Garamond"/>
          <w:sz w:val="20"/>
          <w:szCs w:val="24"/>
        </w:rPr>
        <w:t>i</w:t>
      </w:r>
      <w:r w:rsidRPr="00F51A34">
        <w:rPr>
          <w:rFonts w:ascii="Garamond" w:hAnsi="Garamond"/>
          <w:spacing w:val="-5"/>
          <w:sz w:val="20"/>
          <w:szCs w:val="24"/>
        </w:rPr>
        <w:t xml:space="preserve"> </w:t>
      </w:r>
      <w:r w:rsidRPr="00F51A34">
        <w:rPr>
          <w:rFonts w:ascii="Garamond" w:hAnsi="Garamond"/>
          <w:sz w:val="20"/>
          <w:szCs w:val="24"/>
        </w:rPr>
        <w:t>Bizneseve,</w:t>
      </w:r>
      <w:r w:rsidRPr="00F51A34">
        <w:rPr>
          <w:rFonts w:ascii="Garamond" w:hAnsi="Garamond"/>
          <w:spacing w:val="-6"/>
          <w:sz w:val="20"/>
          <w:szCs w:val="24"/>
        </w:rPr>
        <w:t xml:space="preserve"> </w:t>
      </w:r>
      <w:r w:rsidRPr="00F51A34">
        <w:rPr>
          <w:rFonts w:ascii="Garamond" w:hAnsi="Garamond"/>
          <w:sz w:val="20"/>
          <w:szCs w:val="24"/>
        </w:rPr>
        <w:t>Numri</w:t>
      </w:r>
      <w:r w:rsidRPr="00F51A34">
        <w:rPr>
          <w:rFonts w:ascii="Garamond" w:hAnsi="Garamond"/>
          <w:spacing w:val="-8"/>
          <w:sz w:val="20"/>
          <w:szCs w:val="24"/>
        </w:rPr>
        <w:t xml:space="preserve"> </w:t>
      </w:r>
      <w:r w:rsidRPr="00F51A34">
        <w:rPr>
          <w:rFonts w:ascii="Garamond" w:hAnsi="Garamond"/>
          <w:sz w:val="20"/>
          <w:szCs w:val="24"/>
        </w:rPr>
        <w:t>dhe</w:t>
      </w:r>
      <w:r w:rsidRPr="00F51A34">
        <w:rPr>
          <w:rFonts w:ascii="Garamond" w:hAnsi="Garamond"/>
          <w:spacing w:val="-4"/>
          <w:sz w:val="20"/>
          <w:szCs w:val="24"/>
        </w:rPr>
        <w:t xml:space="preserve"> </w:t>
      </w:r>
      <w:r w:rsidRPr="00F51A34">
        <w:rPr>
          <w:rFonts w:ascii="Garamond" w:hAnsi="Garamond"/>
          <w:sz w:val="20"/>
          <w:szCs w:val="24"/>
        </w:rPr>
        <w:t>struktura</w:t>
      </w:r>
      <w:r w:rsidRPr="00F51A34">
        <w:rPr>
          <w:rFonts w:ascii="Garamond" w:hAnsi="Garamond"/>
          <w:spacing w:val="-4"/>
          <w:sz w:val="20"/>
          <w:szCs w:val="24"/>
        </w:rPr>
        <w:t xml:space="preserve"> </w:t>
      </w:r>
      <w:r w:rsidRPr="00F51A34">
        <w:rPr>
          <w:rFonts w:ascii="Garamond" w:hAnsi="Garamond"/>
          <w:sz w:val="20"/>
          <w:szCs w:val="24"/>
        </w:rPr>
        <w:t>e</w:t>
      </w:r>
      <w:r w:rsidRPr="00F51A34">
        <w:rPr>
          <w:rFonts w:ascii="Garamond" w:hAnsi="Garamond"/>
          <w:spacing w:val="-4"/>
          <w:sz w:val="20"/>
          <w:szCs w:val="24"/>
        </w:rPr>
        <w:t xml:space="preserve"> </w:t>
      </w:r>
      <w:r w:rsidRPr="00F51A34">
        <w:rPr>
          <w:rFonts w:ascii="Garamond" w:hAnsi="Garamond"/>
          <w:sz w:val="20"/>
          <w:szCs w:val="24"/>
        </w:rPr>
        <w:t>subjekteve</w:t>
      </w:r>
      <w:r w:rsidRPr="00F51A34">
        <w:rPr>
          <w:rFonts w:ascii="Garamond" w:hAnsi="Garamond"/>
          <w:spacing w:val="-4"/>
          <w:sz w:val="20"/>
          <w:szCs w:val="24"/>
        </w:rPr>
        <w:t xml:space="preserve"> </w:t>
      </w:r>
      <w:r w:rsidRPr="00F51A34">
        <w:rPr>
          <w:rFonts w:ascii="Garamond" w:hAnsi="Garamond"/>
          <w:sz w:val="20"/>
          <w:szCs w:val="24"/>
        </w:rPr>
        <w:t>të</w:t>
      </w:r>
      <w:r w:rsidRPr="00F51A34">
        <w:rPr>
          <w:rFonts w:ascii="Garamond" w:hAnsi="Garamond"/>
          <w:spacing w:val="-4"/>
          <w:sz w:val="20"/>
          <w:szCs w:val="24"/>
        </w:rPr>
        <w:t xml:space="preserve"> </w:t>
      </w:r>
      <w:r w:rsidRPr="00F51A34">
        <w:rPr>
          <w:rFonts w:ascii="Garamond" w:hAnsi="Garamond"/>
          <w:sz w:val="20"/>
          <w:szCs w:val="24"/>
        </w:rPr>
        <w:t>biznesit</w:t>
      </w:r>
      <w:r w:rsidRPr="00F51A34">
        <w:rPr>
          <w:rFonts w:ascii="Garamond" w:hAnsi="Garamond"/>
          <w:spacing w:val="-6"/>
          <w:sz w:val="20"/>
          <w:szCs w:val="24"/>
        </w:rPr>
        <w:t xml:space="preserve"> </w:t>
      </w:r>
      <w:r w:rsidRPr="00F51A34">
        <w:rPr>
          <w:rFonts w:ascii="Garamond" w:hAnsi="Garamond"/>
          <w:sz w:val="20"/>
          <w:szCs w:val="24"/>
        </w:rPr>
        <w:t>2011</w:t>
      </w:r>
      <w:r>
        <w:rPr>
          <w:rFonts w:ascii="Garamond" w:hAnsi="Garamond"/>
          <w:sz w:val="20"/>
          <w:szCs w:val="24"/>
        </w:rPr>
        <w:t>.</w:t>
      </w:r>
    </w:p>
  </w:footnote>
  <w:footnote w:id="52">
    <w:p w14:paraId="1BADD7D4" w14:textId="49C3D31D" w:rsidR="008274CD" w:rsidRPr="00F51A34" w:rsidRDefault="008274CD" w:rsidP="00F51A34">
      <w:pPr>
        <w:pStyle w:val="FootnoteText"/>
        <w:jc w:val="both"/>
        <w:rPr>
          <w:lang w:val="en-US"/>
        </w:rPr>
      </w:pPr>
      <w:r w:rsidRPr="00F51A34">
        <w:rPr>
          <w:rStyle w:val="FootnoteReference"/>
        </w:rPr>
        <w:footnoteRef/>
      </w:r>
      <w:r w:rsidRPr="00F51A34">
        <w:t xml:space="preserve"> </w:t>
      </w:r>
      <w:r w:rsidRPr="00F51A34">
        <w:rPr>
          <w:rFonts w:ascii="Garamond" w:hAnsi="Garamond"/>
        </w:rPr>
        <w:t>INSTAT, Regjistri Statistikor i Biznesit të Ndërmarrjeve</w:t>
      </w:r>
      <w:r w:rsidRPr="00F51A34">
        <w:rPr>
          <w:rFonts w:ascii="Garamond" w:hAnsi="Garamond"/>
          <w:spacing w:val="-13"/>
        </w:rPr>
        <w:t xml:space="preserve"> </w:t>
      </w:r>
      <w:r w:rsidRPr="00F51A34">
        <w:rPr>
          <w:rFonts w:ascii="Garamond" w:hAnsi="Garamond"/>
        </w:rPr>
        <w:t>2012</w:t>
      </w:r>
      <w:r>
        <w:rPr>
          <w:rFonts w:ascii="Garamond" w:hAnsi="Garamond"/>
        </w:rPr>
        <w:t>.</w:t>
      </w:r>
    </w:p>
  </w:footnote>
  <w:footnote w:id="53">
    <w:p w14:paraId="1BADD7D5" w14:textId="3AD696AB" w:rsidR="008274CD" w:rsidRPr="00615CA4" w:rsidRDefault="008274CD" w:rsidP="00F51A34">
      <w:pPr>
        <w:pStyle w:val="FootnoteText"/>
        <w:jc w:val="both"/>
        <w:rPr>
          <w:lang w:val="sq-AL"/>
        </w:rPr>
      </w:pPr>
      <w:r w:rsidRPr="00615CA4">
        <w:rPr>
          <w:rStyle w:val="FootnoteReference"/>
          <w:lang w:val="sq-AL"/>
        </w:rPr>
        <w:footnoteRef/>
      </w:r>
      <w:r w:rsidRPr="00615CA4">
        <w:rPr>
          <w:lang w:val="sq-AL"/>
        </w:rPr>
        <w:t xml:space="preserve"> </w:t>
      </w:r>
      <w:r w:rsidRPr="00615CA4">
        <w:rPr>
          <w:rFonts w:ascii="Garamond" w:hAnsi="Garamond"/>
          <w:lang w:val="sq-AL"/>
        </w:rPr>
        <w:t>Numri i ndërmarrjeve të reja të regjistruara për një vit të caktuar e shprehur në % mbi numrin e përgjithshëm të ndërmarrjeve</w:t>
      </w:r>
      <w:r>
        <w:rPr>
          <w:rFonts w:ascii="Garamond" w:hAnsi="Garamond"/>
          <w:lang w:val="sq-AL"/>
        </w:rPr>
        <w:t>.</w:t>
      </w:r>
    </w:p>
  </w:footnote>
  <w:footnote w:id="54">
    <w:p w14:paraId="1BADD7D6" w14:textId="6820512A" w:rsidR="008274CD" w:rsidRPr="00615CA4" w:rsidRDefault="008274CD" w:rsidP="00D3611F">
      <w:pPr>
        <w:pStyle w:val="FootnoteText"/>
        <w:jc w:val="both"/>
        <w:rPr>
          <w:sz w:val="18"/>
          <w:lang w:val="sq-AL"/>
        </w:rPr>
      </w:pPr>
      <w:r w:rsidRPr="00615CA4">
        <w:rPr>
          <w:rStyle w:val="FootnoteReference"/>
          <w:sz w:val="18"/>
          <w:lang w:val="sq-AL"/>
        </w:rPr>
        <w:footnoteRef/>
      </w:r>
      <w:r w:rsidRPr="00615CA4">
        <w:rPr>
          <w:sz w:val="18"/>
          <w:lang w:val="sq-AL"/>
        </w:rPr>
        <w:t xml:space="preserve"> </w:t>
      </w:r>
      <w:r w:rsidRPr="00615CA4">
        <w:rPr>
          <w:rFonts w:ascii="Garamond" w:hAnsi="Garamond"/>
          <w:sz w:val="22"/>
          <w:szCs w:val="24"/>
          <w:lang w:val="sq-AL"/>
        </w:rPr>
        <w:t>Census i Malit të Zi 2011</w:t>
      </w:r>
      <w:r>
        <w:rPr>
          <w:rFonts w:ascii="Garamond" w:hAnsi="Garamond"/>
          <w:sz w:val="22"/>
          <w:szCs w:val="24"/>
          <w:lang w:val="sq-AL"/>
        </w:rPr>
        <w:t>.</w:t>
      </w:r>
    </w:p>
  </w:footnote>
  <w:footnote w:id="55">
    <w:p w14:paraId="1BADD7D7" w14:textId="4C32DC3F" w:rsidR="008274CD" w:rsidRPr="003B6021" w:rsidRDefault="008274CD" w:rsidP="00D3611F">
      <w:pPr>
        <w:widowControl w:val="0"/>
        <w:spacing w:after="0" w:line="240" w:lineRule="auto"/>
        <w:jc w:val="both"/>
        <w:rPr>
          <w:rFonts w:ascii="Garamond" w:hAnsi="Garamond"/>
          <w:sz w:val="20"/>
          <w:szCs w:val="20"/>
        </w:rPr>
      </w:pPr>
      <w:r w:rsidRPr="003B6021">
        <w:rPr>
          <w:rStyle w:val="FootnoteReference"/>
          <w:sz w:val="20"/>
          <w:szCs w:val="20"/>
        </w:rPr>
        <w:footnoteRef/>
      </w:r>
      <w:r w:rsidRPr="003B6021">
        <w:rPr>
          <w:sz w:val="20"/>
          <w:szCs w:val="20"/>
        </w:rPr>
        <w:t xml:space="preserve"> </w:t>
      </w:r>
      <w:r w:rsidRPr="003B6021">
        <w:rPr>
          <w:rFonts w:ascii="Garamond" w:hAnsi="Garamond"/>
          <w:sz w:val="20"/>
          <w:szCs w:val="20"/>
        </w:rPr>
        <w:t>INSTAT, B</w:t>
      </w:r>
      <w:r>
        <w:rPr>
          <w:rFonts w:ascii="Garamond" w:hAnsi="Garamond"/>
          <w:sz w:val="20"/>
          <w:szCs w:val="20"/>
        </w:rPr>
        <w:t>uletini Tremujor i Statistikave</w:t>
      </w:r>
      <w:r w:rsidRPr="003B6021">
        <w:rPr>
          <w:rFonts w:ascii="Garamond" w:hAnsi="Garamond"/>
          <w:sz w:val="20"/>
          <w:szCs w:val="20"/>
        </w:rPr>
        <w:t xml:space="preserve"> nr. 2, 2013</w:t>
      </w:r>
      <w:r>
        <w:rPr>
          <w:rFonts w:ascii="Garamond" w:hAnsi="Garamond"/>
          <w:sz w:val="20"/>
          <w:szCs w:val="20"/>
        </w:rPr>
        <w:t>.</w:t>
      </w:r>
    </w:p>
  </w:footnote>
  <w:footnote w:id="56">
    <w:p w14:paraId="1BADD7D8" w14:textId="668CAA89" w:rsidR="008274CD" w:rsidRPr="003B6021" w:rsidRDefault="008274CD" w:rsidP="00D3611F">
      <w:pPr>
        <w:pStyle w:val="FootnoteText"/>
        <w:jc w:val="both"/>
        <w:rPr>
          <w:lang w:val="sq-AL"/>
        </w:rPr>
      </w:pPr>
      <w:r w:rsidRPr="003B6021">
        <w:rPr>
          <w:rStyle w:val="FootnoteReference"/>
          <w:lang w:val="sq-AL"/>
        </w:rPr>
        <w:footnoteRef/>
      </w:r>
      <w:r w:rsidRPr="003B6021">
        <w:rPr>
          <w:lang w:val="sq-AL"/>
        </w:rPr>
        <w:t xml:space="preserve"> </w:t>
      </w:r>
      <w:r w:rsidRPr="003B6021">
        <w:rPr>
          <w:rFonts w:ascii="Garamond" w:hAnsi="Garamond"/>
          <w:lang w:val="sq-AL"/>
        </w:rPr>
        <w:t>Shkalla e punësimit përfaqëson përqindjen e personave t</w:t>
      </w:r>
      <w:r>
        <w:rPr>
          <w:rFonts w:ascii="Garamond" w:hAnsi="Garamond"/>
          <w:lang w:val="sq-AL"/>
        </w:rPr>
        <w:t>ë</w:t>
      </w:r>
      <w:r w:rsidRPr="003B6021">
        <w:rPr>
          <w:rFonts w:ascii="Garamond" w:hAnsi="Garamond"/>
          <w:lang w:val="sq-AL"/>
        </w:rPr>
        <w:t xml:space="preserve"> pun</w:t>
      </w:r>
      <w:r>
        <w:rPr>
          <w:rFonts w:ascii="Garamond" w:hAnsi="Garamond"/>
          <w:lang w:val="sq-AL"/>
        </w:rPr>
        <w:t>ë</w:t>
      </w:r>
      <w:r w:rsidRPr="003B6021">
        <w:rPr>
          <w:rFonts w:ascii="Garamond" w:hAnsi="Garamond"/>
          <w:lang w:val="sq-AL"/>
        </w:rPr>
        <w:t>suar n</w:t>
      </w:r>
      <w:r>
        <w:rPr>
          <w:rFonts w:ascii="Garamond" w:hAnsi="Garamond"/>
          <w:lang w:val="sq-AL"/>
        </w:rPr>
        <w:t>ë</w:t>
      </w:r>
      <w:r w:rsidRPr="003B6021">
        <w:rPr>
          <w:rFonts w:ascii="Garamond" w:hAnsi="Garamond"/>
          <w:lang w:val="sq-AL"/>
        </w:rPr>
        <w:t xml:space="preserve"> raport me popullsinë e përgjithshme aktive të moshës 15 vjeç e lart.</w:t>
      </w:r>
    </w:p>
  </w:footnote>
  <w:footnote w:id="57">
    <w:p w14:paraId="1BADD7D9" w14:textId="2D9DD6AE" w:rsidR="008274CD" w:rsidRPr="003B6021" w:rsidRDefault="008274CD" w:rsidP="00D3611F">
      <w:pPr>
        <w:pStyle w:val="FootnoteText"/>
        <w:jc w:val="both"/>
        <w:rPr>
          <w:lang w:val="sq-AL"/>
        </w:rPr>
      </w:pPr>
      <w:r w:rsidRPr="003B6021">
        <w:rPr>
          <w:rStyle w:val="FootnoteReference"/>
          <w:lang w:val="sq-AL"/>
        </w:rPr>
        <w:footnoteRef/>
      </w:r>
      <w:r w:rsidRPr="003B6021">
        <w:rPr>
          <w:lang w:val="sq-AL"/>
        </w:rPr>
        <w:t xml:space="preserve"> </w:t>
      </w:r>
      <w:r w:rsidRPr="003B6021">
        <w:rPr>
          <w:rFonts w:ascii="Garamond" w:hAnsi="Garamond"/>
          <w:lang w:val="sq-AL"/>
        </w:rPr>
        <w:t>Norma e papunësisë përfaqës</w:t>
      </w:r>
      <w:r>
        <w:rPr>
          <w:rFonts w:ascii="Garamond" w:hAnsi="Garamond"/>
          <w:lang w:val="sq-AL"/>
        </w:rPr>
        <w:t>on përqindjen e personave të pa</w:t>
      </w:r>
      <w:r w:rsidRPr="003B6021">
        <w:rPr>
          <w:rFonts w:ascii="Garamond" w:hAnsi="Garamond"/>
          <w:lang w:val="sq-AL"/>
        </w:rPr>
        <w:t>punësuar n</w:t>
      </w:r>
      <w:r>
        <w:rPr>
          <w:rFonts w:ascii="Garamond" w:hAnsi="Garamond"/>
          <w:lang w:val="sq-AL"/>
        </w:rPr>
        <w:t>ë</w:t>
      </w:r>
      <w:r w:rsidRPr="003B6021">
        <w:rPr>
          <w:rFonts w:ascii="Garamond" w:hAnsi="Garamond"/>
          <w:lang w:val="sq-AL"/>
        </w:rPr>
        <w:t xml:space="preserve"> raport me popullsinë e përgjithshme aktive</w:t>
      </w:r>
      <w:r>
        <w:rPr>
          <w:rFonts w:ascii="Garamond" w:hAnsi="Garamond"/>
          <w:lang w:val="sq-AL"/>
        </w:rPr>
        <w:t>.</w:t>
      </w:r>
    </w:p>
  </w:footnote>
  <w:footnote w:id="58">
    <w:p w14:paraId="1BADD7DA" w14:textId="6BD4044A" w:rsidR="008274CD" w:rsidRPr="003B6021" w:rsidRDefault="008274CD">
      <w:pPr>
        <w:pStyle w:val="FootnoteText"/>
        <w:rPr>
          <w:lang w:val="sq-AL"/>
        </w:rPr>
      </w:pPr>
      <w:r w:rsidRPr="003B6021">
        <w:rPr>
          <w:rStyle w:val="FootnoteReference"/>
          <w:lang w:val="sq-AL"/>
        </w:rPr>
        <w:footnoteRef/>
      </w:r>
      <w:r w:rsidRPr="003B6021">
        <w:rPr>
          <w:lang w:val="sq-AL"/>
        </w:rPr>
        <w:t xml:space="preserve"> </w:t>
      </w:r>
      <w:r w:rsidRPr="003B6021">
        <w:rPr>
          <w:rFonts w:ascii="Garamond" w:hAnsi="Garamond"/>
          <w:lang w:val="sq-AL"/>
        </w:rPr>
        <w:t xml:space="preserve">Industria dhe punësimi i popullsisë në Mal të Zi </w:t>
      </w:r>
      <w:r>
        <w:rPr>
          <w:rFonts w:ascii="Garamond" w:hAnsi="Garamond"/>
          <w:lang w:val="sq-AL"/>
        </w:rPr>
        <w:t xml:space="preserve">– </w:t>
      </w:r>
      <w:r w:rsidRPr="003B6021">
        <w:rPr>
          <w:rFonts w:ascii="Garamond" w:hAnsi="Garamond"/>
          <w:lang w:val="sq-AL"/>
        </w:rPr>
        <w:t>Census 2011 MONSTAT, publikimi nr. 197</w:t>
      </w:r>
      <w:r>
        <w:rPr>
          <w:rFonts w:ascii="Garamond" w:hAnsi="Garamond"/>
          <w:lang w:val="sq-AL"/>
        </w:rPr>
        <w:t>.</w:t>
      </w:r>
    </w:p>
  </w:footnote>
  <w:footnote w:id="59">
    <w:p w14:paraId="1BADD7DB" w14:textId="6A12F56B" w:rsidR="008274CD" w:rsidRPr="003B6021" w:rsidRDefault="008274CD" w:rsidP="00AA3AF9">
      <w:pPr>
        <w:widowControl w:val="0"/>
        <w:spacing w:after="0" w:line="240" w:lineRule="auto"/>
        <w:rPr>
          <w:rFonts w:ascii="Garamond" w:hAnsi="Garamond"/>
          <w:sz w:val="20"/>
          <w:szCs w:val="20"/>
        </w:rPr>
      </w:pPr>
      <w:r w:rsidRPr="003B6021">
        <w:rPr>
          <w:rStyle w:val="FootnoteReference"/>
          <w:sz w:val="20"/>
          <w:szCs w:val="20"/>
        </w:rPr>
        <w:footnoteRef/>
      </w:r>
      <w:r w:rsidRPr="003B6021">
        <w:rPr>
          <w:sz w:val="20"/>
          <w:szCs w:val="20"/>
        </w:rPr>
        <w:t xml:space="preserve"> </w:t>
      </w:r>
      <w:r w:rsidRPr="003B6021">
        <w:rPr>
          <w:rFonts w:ascii="Garamond" w:hAnsi="Garamond"/>
          <w:sz w:val="20"/>
          <w:szCs w:val="20"/>
        </w:rPr>
        <w:t>Libri statistikor, Ministria e Bujqësisë</w:t>
      </w:r>
      <w:r>
        <w:rPr>
          <w:rFonts w:ascii="Garamond" w:hAnsi="Garamond"/>
          <w:sz w:val="20"/>
          <w:szCs w:val="20"/>
        </w:rPr>
        <w:t>.</w:t>
      </w:r>
    </w:p>
  </w:footnote>
  <w:footnote w:id="60">
    <w:p w14:paraId="1BADD7DC" w14:textId="2082779B" w:rsidR="008274CD" w:rsidRPr="003B6021" w:rsidRDefault="008274CD" w:rsidP="00AA3AF9">
      <w:pPr>
        <w:pStyle w:val="FootnoteText"/>
        <w:rPr>
          <w:lang w:val="en-US"/>
        </w:rPr>
      </w:pPr>
      <w:r w:rsidRPr="003B6021">
        <w:rPr>
          <w:rStyle w:val="FootnoteReference"/>
        </w:rPr>
        <w:footnoteRef/>
      </w:r>
      <w:r w:rsidRPr="003B6021">
        <w:t xml:space="preserve"> </w:t>
      </w:r>
      <w:r w:rsidRPr="003B6021">
        <w:rPr>
          <w:rFonts w:ascii="Garamond" w:hAnsi="Garamond"/>
        </w:rPr>
        <w:t xml:space="preserve">Këshilli i udhëtimeve nëpër Botë dhe Turizmit </w:t>
      </w:r>
      <w:r>
        <w:rPr>
          <w:rFonts w:ascii="Garamond" w:hAnsi="Garamond"/>
        </w:rPr>
        <w:t>–</w:t>
      </w:r>
      <w:r w:rsidRPr="003B6021">
        <w:rPr>
          <w:rFonts w:ascii="Garamond" w:hAnsi="Garamond"/>
        </w:rPr>
        <w:t xml:space="preserve"> mars 2013</w:t>
      </w:r>
      <w:r>
        <w:rPr>
          <w:rFonts w:ascii="Garamond" w:hAnsi="Garamond"/>
        </w:rPr>
        <w:t>.</w:t>
      </w:r>
    </w:p>
  </w:footnote>
  <w:footnote w:id="61">
    <w:p w14:paraId="1BADD7DD" w14:textId="54D5AF6D" w:rsidR="008274CD" w:rsidRPr="003B6021" w:rsidRDefault="008274CD" w:rsidP="003B6021">
      <w:pPr>
        <w:pStyle w:val="FootnoteText"/>
        <w:rPr>
          <w:lang w:val="en-US"/>
        </w:rPr>
      </w:pPr>
      <w:r w:rsidRPr="003B6021">
        <w:rPr>
          <w:rStyle w:val="FootnoteReference"/>
        </w:rPr>
        <w:footnoteRef/>
      </w:r>
      <w:r w:rsidRPr="003B6021">
        <w:t xml:space="preserve"> </w:t>
      </w:r>
      <w:r w:rsidRPr="003B6021">
        <w:rPr>
          <w:rFonts w:ascii="Garamond" w:hAnsi="Garamond"/>
        </w:rPr>
        <w:t xml:space="preserve">Mali i Zi, Strategjia për Zhvillimin e Turizmit deri </w:t>
      </w:r>
      <w:r>
        <w:rPr>
          <w:rFonts w:ascii="Garamond" w:hAnsi="Garamond"/>
        </w:rPr>
        <w:t>m</w:t>
      </w:r>
      <w:r w:rsidRPr="003B6021">
        <w:rPr>
          <w:rFonts w:ascii="Garamond" w:hAnsi="Garamond"/>
        </w:rPr>
        <w:t>ë 2020</w:t>
      </w:r>
      <w:r>
        <w:rPr>
          <w:rFonts w:ascii="Garamond" w:hAnsi="Garamond"/>
        </w:rPr>
        <w:t>-ën.</w:t>
      </w:r>
    </w:p>
  </w:footnote>
  <w:footnote w:id="62">
    <w:p w14:paraId="1BADD7DE" w14:textId="3FFD9F12" w:rsidR="008274CD" w:rsidRPr="008B6554" w:rsidRDefault="008274CD">
      <w:pPr>
        <w:pStyle w:val="FootnoteText"/>
        <w:rPr>
          <w:lang w:val="en-US"/>
        </w:rPr>
      </w:pPr>
      <w:r w:rsidRPr="008B6554">
        <w:rPr>
          <w:rStyle w:val="FootnoteReference"/>
        </w:rPr>
        <w:footnoteRef/>
      </w:r>
      <w:r w:rsidRPr="008B6554">
        <w:t xml:space="preserve"> </w:t>
      </w:r>
      <w:r w:rsidRPr="008B6554">
        <w:rPr>
          <w:rFonts w:ascii="Garamond" w:hAnsi="Garamond"/>
        </w:rPr>
        <w:t>MONSTAT – Mbërritjet turistike dhe qëndrimet me fjetje sipas qyteteve 2012</w:t>
      </w:r>
      <w:r>
        <w:rPr>
          <w:rFonts w:ascii="Garamond" w:hAnsi="Garamond"/>
        </w:rPr>
        <w:t>.</w:t>
      </w:r>
    </w:p>
  </w:footnote>
  <w:footnote w:id="63">
    <w:p w14:paraId="1BADD7DF" w14:textId="0A8C0099" w:rsidR="008274CD" w:rsidRPr="008B6554" w:rsidRDefault="008274CD" w:rsidP="007A7983">
      <w:pPr>
        <w:widowControl w:val="0"/>
        <w:spacing w:before="70" w:after="0" w:line="240" w:lineRule="auto"/>
        <w:rPr>
          <w:rFonts w:ascii="Garamond" w:hAnsi="Garamond"/>
          <w:sz w:val="20"/>
          <w:szCs w:val="20"/>
        </w:rPr>
      </w:pPr>
      <w:r w:rsidRPr="008B6554">
        <w:rPr>
          <w:rStyle w:val="FootnoteReference"/>
          <w:sz w:val="20"/>
          <w:szCs w:val="20"/>
        </w:rPr>
        <w:footnoteRef/>
      </w:r>
      <w:r w:rsidRPr="008B6554">
        <w:rPr>
          <w:sz w:val="20"/>
          <w:szCs w:val="20"/>
        </w:rPr>
        <w:t xml:space="preserve"> </w:t>
      </w:r>
      <w:r w:rsidRPr="008B6554">
        <w:rPr>
          <w:rFonts w:ascii="Garamond" w:hAnsi="Garamond"/>
          <w:sz w:val="20"/>
          <w:szCs w:val="20"/>
        </w:rPr>
        <w:t>Monstat Census 2011</w:t>
      </w:r>
      <w:r>
        <w:rPr>
          <w:rFonts w:ascii="Garamond" w:hAnsi="Garamond"/>
          <w:sz w:val="20"/>
          <w:szCs w:val="20"/>
        </w:rPr>
        <w:t>.</w:t>
      </w:r>
    </w:p>
  </w:footnote>
  <w:footnote w:id="64">
    <w:p w14:paraId="1BADD7E0" w14:textId="37FFA508" w:rsidR="008274CD" w:rsidRPr="008B6554" w:rsidRDefault="008274CD" w:rsidP="007A7983">
      <w:pPr>
        <w:pStyle w:val="FootnoteText"/>
        <w:rPr>
          <w:lang w:val="en-US"/>
        </w:rPr>
      </w:pPr>
      <w:r w:rsidRPr="008B6554">
        <w:rPr>
          <w:rStyle w:val="FootnoteReference"/>
        </w:rPr>
        <w:footnoteRef/>
      </w:r>
      <w:r w:rsidRPr="008B6554">
        <w:t xml:space="preserve"> </w:t>
      </w:r>
      <w:r w:rsidRPr="008B6554">
        <w:rPr>
          <w:rFonts w:ascii="Garamond" w:hAnsi="Garamond"/>
        </w:rPr>
        <w:t>INSTAT Census 2011</w:t>
      </w:r>
      <w:r>
        <w:rPr>
          <w:rFonts w:ascii="Garamond" w:hAnsi="Garamond"/>
        </w:rPr>
        <w:t>.</w:t>
      </w:r>
    </w:p>
  </w:footnote>
  <w:footnote w:id="65">
    <w:p w14:paraId="1BADD7E1" w14:textId="34623261" w:rsidR="008274CD" w:rsidRPr="00A52355" w:rsidRDefault="008274CD">
      <w:pPr>
        <w:pStyle w:val="FootnoteText"/>
        <w:rPr>
          <w:lang w:val="en-US"/>
        </w:rPr>
      </w:pPr>
      <w:r w:rsidRPr="00A52355">
        <w:rPr>
          <w:rStyle w:val="FootnoteReference"/>
        </w:rPr>
        <w:footnoteRef/>
      </w:r>
      <w:r w:rsidRPr="00A52355">
        <w:t xml:space="preserve"> </w:t>
      </w:r>
      <w:r w:rsidRPr="00A52355">
        <w:rPr>
          <w:rFonts w:ascii="Garamond" w:hAnsi="Garamond"/>
        </w:rPr>
        <w:t>Mal i Zi, Census 2011.</w:t>
      </w:r>
    </w:p>
  </w:footnote>
  <w:footnote w:id="66">
    <w:p w14:paraId="1BADD7E2" w14:textId="36338C67" w:rsidR="008274CD" w:rsidRPr="00A52355" w:rsidRDefault="008274CD">
      <w:pPr>
        <w:pStyle w:val="FootnoteText"/>
        <w:rPr>
          <w:lang w:val="en-US"/>
        </w:rPr>
      </w:pPr>
      <w:r w:rsidRPr="00A52355">
        <w:rPr>
          <w:rStyle w:val="FootnoteReference"/>
        </w:rPr>
        <w:footnoteRef/>
      </w:r>
      <w:r w:rsidRPr="00A52355">
        <w:t xml:space="preserve"> </w:t>
      </w:r>
      <w:r w:rsidRPr="00A52355">
        <w:rPr>
          <w:rFonts w:ascii="Garamond" w:hAnsi="Garamond"/>
        </w:rPr>
        <w:t>Shqipëri, Census 2011.</w:t>
      </w:r>
    </w:p>
  </w:footnote>
  <w:footnote w:id="67">
    <w:p w14:paraId="1BADD7E3" w14:textId="61FDF23A" w:rsidR="008274CD" w:rsidRPr="00A52355" w:rsidRDefault="008274CD" w:rsidP="000B3F06">
      <w:pPr>
        <w:widowControl w:val="0"/>
        <w:spacing w:after="0" w:line="240" w:lineRule="auto"/>
        <w:rPr>
          <w:rFonts w:ascii="Garamond" w:hAnsi="Garamond"/>
          <w:sz w:val="20"/>
          <w:szCs w:val="20"/>
        </w:rPr>
      </w:pPr>
      <w:r w:rsidRPr="00A52355">
        <w:rPr>
          <w:rStyle w:val="FootnoteReference"/>
          <w:sz w:val="20"/>
          <w:szCs w:val="20"/>
        </w:rPr>
        <w:footnoteRef/>
      </w:r>
      <w:r w:rsidRPr="00A52355">
        <w:rPr>
          <w:sz w:val="20"/>
          <w:szCs w:val="20"/>
        </w:rPr>
        <w:t xml:space="preserve"> </w:t>
      </w:r>
      <w:r w:rsidRPr="00A52355">
        <w:rPr>
          <w:rFonts w:ascii="Garamond" w:hAnsi="Garamond"/>
          <w:sz w:val="20"/>
          <w:szCs w:val="20"/>
        </w:rPr>
        <w:t>MONSTAT, Census 2011.</w:t>
      </w:r>
    </w:p>
  </w:footnote>
  <w:footnote w:id="68">
    <w:p w14:paraId="1BADD7E4" w14:textId="66427E93" w:rsidR="008274CD" w:rsidRPr="000B3F06" w:rsidRDefault="008274CD" w:rsidP="000B3F06">
      <w:pPr>
        <w:widowControl w:val="0"/>
        <w:spacing w:after="0" w:line="240" w:lineRule="auto"/>
        <w:rPr>
          <w:rFonts w:ascii="Garamond" w:hAnsi="Garamond"/>
          <w:szCs w:val="24"/>
        </w:rPr>
      </w:pPr>
      <w:r w:rsidRPr="000B3F06">
        <w:rPr>
          <w:rStyle w:val="FootnoteReference"/>
          <w:sz w:val="20"/>
        </w:rPr>
        <w:footnoteRef/>
      </w:r>
      <w:r w:rsidRPr="000B3F06">
        <w:rPr>
          <w:sz w:val="20"/>
        </w:rPr>
        <w:t xml:space="preserve"> </w:t>
      </w:r>
      <w:r w:rsidRPr="000B3F06">
        <w:rPr>
          <w:rFonts w:ascii="Garamond" w:hAnsi="Garamond"/>
          <w:szCs w:val="24"/>
        </w:rPr>
        <w:t>INSTAT, Census 2011</w:t>
      </w:r>
      <w:r>
        <w:rPr>
          <w:rFonts w:ascii="Garamond" w:hAnsi="Garamond"/>
          <w:szCs w:val="24"/>
        </w:rPr>
        <w:t>.</w:t>
      </w:r>
    </w:p>
  </w:footnote>
  <w:footnote w:id="69">
    <w:p w14:paraId="1BADD7E5" w14:textId="71A303A4" w:rsidR="008274CD" w:rsidRPr="000B3F06" w:rsidRDefault="008274CD" w:rsidP="000B3F06">
      <w:pPr>
        <w:pStyle w:val="FootnoteText"/>
        <w:rPr>
          <w:sz w:val="18"/>
          <w:lang w:val="en-US"/>
        </w:rPr>
      </w:pPr>
      <w:r w:rsidRPr="000B3F06">
        <w:rPr>
          <w:rStyle w:val="FootnoteReference"/>
          <w:sz w:val="18"/>
        </w:rPr>
        <w:footnoteRef/>
      </w:r>
      <w:r w:rsidRPr="000B3F06">
        <w:rPr>
          <w:sz w:val="18"/>
        </w:rPr>
        <w:t xml:space="preserve"> </w:t>
      </w:r>
      <w:r w:rsidRPr="000B3F06">
        <w:rPr>
          <w:rFonts w:ascii="Garamond" w:hAnsi="Garamond"/>
          <w:sz w:val="22"/>
          <w:szCs w:val="24"/>
        </w:rPr>
        <w:t>MONSTAT, Analiza e varfërisë në Mal të Zi, në vitin 2011, Publikimi nr. 329</w:t>
      </w:r>
      <w:r>
        <w:rPr>
          <w:rFonts w:ascii="Garamond" w:hAnsi="Garamond"/>
          <w:sz w:val="22"/>
          <w:szCs w:val="24"/>
        </w:rPr>
        <w:t>.</w:t>
      </w:r>
    </w:p>
  </w:footnote>
  <w:footnote w:id="70">
    <w:p w14:paraId="1BADD7E6" w14:textId="57DDCEC0" w:rsidR="008274CD" w:rsidRPr="000B3F06" w:rsidRDefault="008274CD" w:rsidP="000B3F06">
      <w:pPr>
        <w:pStyle w:val="FootnoteText"/>
        <w:rPr>
          <w:sz w:val="18"/>
          <w:lang w:val="en-US"/>
        </w:rPr>
      </w:pPr>
      <w:r w:rsidRPr="000B3F06">
        <w:rPr>
          <w:rStyle w:val="FootnoteReference"/>
          <w:sz w:val="18"/>
        </w:rPr>
        <w:footnoteRef/>
      </w:r>
      <w:r w:rsidRPr="000B3F06">
        <w:rPr>
          <w:sz w:val="18"/>
        </w:rPr>
        <w:t xml:space="preserve"> </w:t>
      </w:r>
      <w:r w:rsidRPr="000B3F06">
        <w:rPr>
          <w:rFonts w:ascii="Garamond" w:hAnsi="Garamond"/>
          <w:sz w:val="22"/>
          <w:szCs w:val="24"/>
        </w:rPr>
        <w:t>Banka Botërore, fotografim i programit të vendit</w:t>
      </w:r>
      <w:r>
        <w:rPr>
          <w:rFonts w:ascii="Garamond" w:hAnsi="Garamond"/>
          <w:sz w:val="22"/>
          <w:szCs w:val="24"/>
        </w:rPr>
        <w:t>.</w:t>
      </w:r>
    </w:p>
  </w:footnote>
  <w:footnote w:id="71">
    <w:p w14:paraId="1BADD7E7" w14:textId="15CF96ED" w:rsidR="008274CD" w:rsidRPr="000B3F06" w:rsidRDefault="008274CD" w:rsidP="000B3F06">
      <w:pPr>
        <w:pStyle w:val="FootnoteText"/>
        <w:rPr>
          <w:sz w:val="18"/>
          <w:lang w:val="en-US"/>
        </w:rPr>
      </w:pPr>
      <w:r w:rsidRPr="000B3F06">
        <w:rPr>
          <w:rStyle w:val="FootnoteReference"/>
          <w:sz w:val="18"/>
        </w:rPr>
        <w:footnoteRef/>
      </w:r>
      <w:r w:rsidRPr="000B3F06">
        <w:rPr>
          <w:sz w:val="18"/>
        </w:rPr>
        <w:t xml:space="preserve"> </w:t>
      </w:r>
      <w:r w:rsidRPr="000B3F06">
        <w:rPr>
          <w:rFonts w:ascii="Garamond" w:hAnsi="Garamond"/>
          <w:sz w:val="22"/>
          <w:szCs w:val="24"/>
        </w:rPr>
        <w:t>Shqipëria, trended e varfërisë, Shtator 2013, INSTAT-Banka Botërore</w:t>
      </w:r>
      <w:r>
        <w:rPr>
          <w:rFonts w:ascii="Garamond" w:hAnsi="Garamond"/>
          <w:sz w:val="22"/>
          <w:szCs w:val="24"/>
        </w:rPr>
        <w:t>.</w:t>
      </w:r>
    </w:p>
  </w:footnote>
  <w:footnote w:id="72">
    <w:p w14:paraId="1BADD7E8" w14:textId="73516E9E" w:rsidR="008274CD" w:rsidRPr="00104C04" w:rsidRDefault="008274CD" w:rsidP="000B3F06">
      <w:pPr>
        <w:pStyle w:val="FootnoteText"/>
        <w:jc w:val="both"/>
        <w:rPr>
          <w:lang w:val="en-US"/>
        </w:rPr>
      </w:pPr>
      <w:r w:rsidRPr="00104C04">
        <w:rPr>
          <w:rStyle w:val="FootnoteReference"/>
        </w:rPr>
        <w:footnoteRef/>
      </w:r>
      <w:r w:rsidRPr="00104C04">
        <w:t xml:space="preserve"> </w:t>
      </w:r>
      <w:r w:rsidRPr="00104C04">
        <w:rPr>
          <w:rFonts w:ascii="Garamond" w:hAnsi="Garamond"/>
        </w:rPr>
        <w:t>MONSTAT, Libri statistikor 2012.</w:t>
      </w:r>
    </w:p>
  </w:footnote>
  <w:footnote w:id="73">
    <w:p w14:paraId="1BADD7E9" w14:textId="160D9F8F" w:rsidR="008274CD" w:rsidRPr="00104C04" w:rsidRDefault="008274CD" w:rsidP="000B3F06">
      <w:pPr>
        <w:widowControl w:val="0"/>
        <w:spacing w:after="0" w:line="240" w:lineRule="auto"/>
        <w:jc w:val="both"/>
        <w:rPr>
          <w:rFonts w:ascii="Garamond" w:hAnsi="Garamond"/>
          <w:sz w:val="20"/>
          <w:szCs w:val="20"/>
        </w:rPr>
      </w:pPr>
      <w:r w:rsidRPr="00104C04">
        <w:rPr>
          <w:rStyle w:val="FootnoteReference"/>
          <w:sz w:val="20"/>
          <w:szCs w:val="20"/>
        </w:rPr>
        <w:footnoteRef/>
      </w:r>
      <w:r w:rsidRPr="00104C04">
        <w:rPr>
          <w:sz w:val="20"/>
          <w:szCs w:val="20"/>
        </w:rPr>
        <w:t xml:space="preserve"> </w:t>
      </w:r>
      <w:r w:rsidRPr="00104C04">
        <w:rPr>
          <w:rFonts w:ascii="Garamond" w:hAnsi="Garamond"/>
          <w:sz w:val="20"/>
          <w:szCs w:val="20"/>
        </w:rPr>
        <w:t>MONSTAT, Deklaratat e Arsimit të Lartë 2012.</w:t>
      </w:r>
    </w:p>
  </w:footnote>
  <w:footnote w:id="74">
    <w:p w14:paraId="1BADD7EA" w14:textId="711CDCEC" w:rsidR="008274CD" w:rsidRPr="00104C04" w:rsidRDefault="008274CD">
      <w:pPr>
        <w:pStyle w:val="FootnoteText"/>
        <w:rPr>
          <w:lang w:val="en-US"/>
        </w:rPr>
      </w:pPr>
      <w:r w:rsidRPr="00104C04">
        <w:rPr>
          <w:rStyle w:val="FootnoteReference"/>
        </w:rPr>
        <w:footnoteRef/>
      </w:r>
      <w:r w:rsidRPr="00104C04">
        <w:t xml:space="preserve"> </w:t>
      </w:r>
      <w:r w:rsidRPr="00104C04">
        <w:rPr>
          <w:rFonts w:ascii="Garamond" w:hAnsi="Garamond"/>
        </w:rPr>
        <w:t>K&amp;Zh në 2011, Zyra Statistikore e Malit të Zi, publikimi nr.</w:t>
      </w:r>
      <w:r w:rsidRPr="00104C04">
        <w:rPr>
          <w:rFonts w:ascii="Garamond" w:hAnsi="Garamond"/>
          <w:spacing w:val="-16"/>
        </w:rPr>
        <w:t xml:space="preserve"> </w:t>
      </w:r>
      <w:r w:rsidRPr="00104C04">
        <w:rPr>
          <w:rFonts w:ascii="Garamond" w:hAnsi="Garamond"/>
        </w:rPr>
        <w:t>24.</w:t>
      </w:r>
    </w:p>
  </w:footnote>
  <w:footnote w:id="75">
    <w:p w14:paraId="1BADD7EB" w14:textId="07613C91" w:rsidR="008274CD" w:rsidRPr="00104C04" w:rsidRDefault="008274CD">
      <w:pPr>
        <w:pStyle w:val="FootnoteText"/>
        <w:rPr>
          <w:lang w:val="en-US"/>
        </w:rPr>
      </w:pPr>
      <w:r w:rsidRPr="00104C04">
        <w:rPr>
          <w:rStyle w:val="FootnoteReference"/>
        </w:rPr>
        <w:footnoteRef/>
      </w:r>
      <w:r w:rsidRPr="00104C04">
        <w:t xml:space="preserve"> </w:t>
      </w:r>
      <w:r w:rsidRPr="00104C04">
        <w:rPr>
          <w:rFonts w:ascii="Garamond" w:hAnsi="Garamond"/>
        </w:rPr>
        <w:t>INSTAT, Studentët e regjistruar për secilin universitet 2012.</w:t>
      </w:r>
    </w:p>
  </w:footnote>
  <w:footnote w:id="76">
    <w:p w14:paraId="1BADD7EC" w14:textId="7B544537" w:rsidR="008274CD" w:rsidRPr="00104C04" w:rsidRDefault="008274CD">
      <w:pPr>
        <w:pStyle w:val="FootnoteText"/>
        <w:rPr>
          <w:lang w:val="en-US"/>
        </w:rPr>
      </w:pPr>
      <w:r w:rsidRPr="00104C04">
        <w:rPr>
          <w:rStyle w:val="FootnoteReference"/>
        </w:rPr>
        <w:footnoteRef/>
      </w:r>
      <w:r w:rsidRPr="00104C04">
        <w:t xml:space="preserve"> </w:t>
      </w:r>
      <w:r w:rsidRPr="00104C04">
        <w:rPr>
          <w:rFonts w:ascii="Garamond" w:hAnsi="Garamond"/>
        </w:rPr>
        <w:t>Ajo ka një lidhje direkte me Universitetin e Podgoricës.</w:t>
      </w:r>
    </w:p>
  </w:footnote>
  <w:footnote w:id="77">
    <w:p w14:paraId="1BADD7ED" w14:textId="6AF03601" w:rsidR="008274CD" w:rsidRPr="00104C04" w:rsidRDefault="008274CD">
      <w:pPr>
        <w:pStyle w:val="FootnoteText"/>
        <w:rPr>
          <w:lang w:val="en-US"/>
        </w:rPr>
      </w:pPr>
      <w:r w:rsidRPr="00104C04">
        <w:rPr>
          <w:rStyle w:val="FootnoteReference"/>
        </w:rPr>
        <w:footnoteRef/>
      </w:r>
      <w:r w:rsidRPr="00104C04">
        <w:t xml:space="preserve"> </w:t>
      </w:r>
      <w:r w:rsidRPr="00104C04">
        <w:rPr>
          <w:rFonts w:ascii="Garamond" w:hAnsi="Garamond"/>
        </w:rPr>
        <w:t>Shqipëri, Buxheti i Shtetit</w:t>
      </w:r>
      <w:r w:rsidRPr="00104C04">
        <w:rPr>
          <w:rFonts w:ascii="Garamond" w:hAnsi="Garamond"/>
          <w:spacing w:val="-13"/>
        </w:rPr>
        <w:t xml:space="preserve"> </w:t>
      </w:r>
      <w:r w:rsidRPr="00104C04">
        <w:rPr>
          <w:rFonts w:ascii="Garamond" w:hAnsi="Garamond"/>
        </w:rPr>
        <w:t>2012.</w:t>
      </w:r>
    </w:p>
  </w:footnote>
  <w:footnote w:id="78">
    <w:p w14:paraId="1BADD7EE" w14:textId="1C54BB47" w:rsidR="008274CD" w:rsidRPr="00104C04" w:rsidRDefault="008274CD">
      <w:pPr>
        <w:pStyle w:val="FootnoteText"/>
        <w:rPr>
          <w:lang w:val="en-US"/>
        </w:rPr>
      </w:pPr>
      <w:r w:rsidRPr="00104C04">
        <w:rPr>
          <w:rStyle w:val="FootnoteReference"/>
        </w:rPr>
        <w:footnoteRef/>
      </w:r>
      <w:r w:rsidRPr="00104C04">
        <w:t xml:space="preserve"> </w:t>
      </w:r>
      <w:r w:rsidRPr="00104C04">
        <w:rPr>
          <w:rFonts w:ascii="Garamond" w:hAnsi="Garamond"/>
        </w:rPr>
        <w:t>Instituti i Shëndetit Publik i Malit të Zi 2011.</w:t>
      </w:r>
    </w:p>
  </w:footnote>
  <w:footnote w:id="79">
    <w:p w14:paraId="1BADD7EF" w14:textId="79A15075" w:rsidR="008274CD" w:rsidRPr="00104C04" w:rsidRDefault="008274CD">
      <w:pPr>
        <w:pStyle w:val="FootnoteText"/>
        <w:rPr>
          <w:lang w:val="en-US"/>
        </w:rPr>
      </w:pPr>
      <w:r w:rsidRPr="00104C04">
        <w:rPr>
          <w:rStyle w:val="FootnoteReference"/>
        </w:rPr>
        <w:footnoteRef/>
      </w:r>
      <w:r w:rsidRPr="00104C04">
        <w:t xml:space="preserve"> </w:t>
      </w:r>
      <w:r w:rsidRPr="00104C04">
        <w:rPr>
          <w:rFonts w:ascii="Garamond" w:hAnsi="Garamond"/>
        </w:rPr>
        <w:t>Rajonet Shkodër dhe Lezhë, Buletini Statistikor 2012.</w:t>
      </w:r>
    </w:p>
  </w:footnote>
  <w:footnote w:id="80">
    <w:p w14:paraId="1BADD7F0" w14:textId="3DD3B296" w:rsidR="008274CD" w:rsidRPr="00104C04" w:rsidRDefault="008274CD" w:rsidP="000B673A">
      <w:pPr>
        <w:pStyle w:val="FootnoteText"/>
        <w:jc w:val="both"/>
        <w:rPr>
          <w:sz w:val="16"/>
          <w:lang w:val="sq-AL"/>
        </w:rPr>
      </w:pPr>
      <w:r w:rsidRPr="00104C04">
        <w:rPr>
          <w:rStyle w:val="FootnoteReference"/>
          <w:sz w:val="16"/>
          <w:lang w:val="sq-AL"/>
        </w:rPr>
        <w:footnoteRef/>
      </w:r>
      <w:r w:rsidRPr="00104C04">
        <w:rPr>
          <w:sz w:val="16"/>
          <w:lang w:val="sq-AL"/>
        </w:rPr>
        <w:t xml:space="preserve"> </w:t>
      </w:r>
      <w:r w:rsidRPr="00104C04">
        <w:rPr>
          <w:rFonts w:ascii="Garamond" w:hAnsi="Garamond"/>
          <w:szCs w:val="24"/>
          <w:lang w:val="sq-AL"/>
        </w:rPr>
        <w:t>Raporti i vlerësimit të nevojave për Malin e Zi nga TACSO. Nuk dihet se sa prej tyre janë aktive.</w:t>
      </w:r>
    </w:p>
  </w:footnote>
  <w:footnote w:id="81">
    <w:p w14:paraId="1BADD7F1" w14:textId="729E2B19" w:rsidR="008274CD" w:rsidRPr="00104C04" w:rsidRDefault="008274CD" w:rsidP="000B673A">
      <w:pPr>
        <w:pStyle w:val="FootnoteText"/>
        <w:jc w:val="both"/>
        <w:rPr>
          <w:lang w:val="sq-AL"/>
        </w:rPr>
      </w:pPr>
      <w:r w:rsidRPr="00104C04">
        <w:rPr>
          <w:rStyle w:val="FootnoteReference"/>
          <w:sz w:val="16"/>
          <w:lang w:val="sq-AL"/>
        </w:rPr>
        <w:footnoteRef/>
      </w:r>
      <w:r w:rsidRPr="00104C04">
        <w:rPr>
          <w:sz w:val="16"/>
          <w:lang w:val="sq-AL"/>
        </w:rPr>
        <w:t xml:space="preserve"> </w:t>
      </w:r>
      <w:r w:rsidRPr="00104C04">
        <w:rPr>
          <w:rFonts w:ascii="Garamond" w:hAnsi="Garamond"/>
          <w:szCs w:val="24"/>
          <w:lang w:val="sq-AL"/>
        </w:rPr>
        <w:t>Vlerësimet e fundit të shoqërisë civile dhe vëzhgimet intensive nga Zyra e Projektit TACSO në Shqipëri vlerësojnë se numri i përgjithshëm i OSHC-ve aktive nuk i kalon 450</w:t>
      </w:r>
      <w:r>
        <w:rPr>
          <w:rFonts w:ascii="Garamond" w:hAnsi="Garamond"/>
          <w:szCs w:val="24"/>
          <w:lang w:val="sq-AL"/>
        </w:rPr>
        <w:t>.</w:t>
      </w:r>
    </w:p>
  </w:footnote>
  <w:footnote w:id="82">
    <w:p w14:paraId="1BADD7F2" w14:textId="14D7E08C" w:rsidR="008274CD" w:rsidRPr="00104C04" w:rsidRDefault="008274CD">
      <w:pPr>
        <w:pStyle w:val="FootnoteText"/>
        <w:rPr>
          <w:lang w:val="sq-AL"/>
        </w:rPr>
      </w:pPr>
      <w:r w:rsidRPr="00104C04">
        <w:rPr>
          <w:rStyle w:val="FootnoteReference"/>
          <w:sz w:val="16"/>
          <w:lang w:val="sq-AL"/>
        </w:rPr>
        <w:footnoteRef/>
      </w:r>
      <w:r w:rsidRPr="00104C04">
        <w:rPr>
          <w:sz w:val="16"/>
          <w:lang w:val="sq-AL"/>
        </w:rPr>
        <w:t xml:space="preserve"> </w:t>
      </w:r>
      <w:r w:rsidRPr="00104C04">
        <w:rPr>
          <w:rFonts w:ascii="Garamond" w:hAnsi="Garamond"/>
          <w:szCs w:val="24"/>
          <w:lang w:val="sq-AL"/>
        </w:rPr>
        <w:t xml:space="preserve">Observatori i Transportit Jug-Lindor. Korridoret e rrugëve </w:t>
      </w:r>
      <w:r>
        <w:rPr>
          <w:rFonts w:ascii="Garamond" w:hAnsi="Garamond"/>
          <w:szCs w:val="24"/>
          <w:lang w:val="sq-AL"/>
        </w:rPr>
        <w:t>dhe</w:t>
      </w:r>
      <w:r w:rsidRPr="00104C04">
        <w:rPr>
          <w:rFonts w:ascii="Garamond" w:hAnsi="Garamond"/>
          <w:szCs w:val="24"/>
          <w:lang w:val="sq-AL"/>
        </w:rPr>
        <w:t xml:space="preserve"> Lidhjet përfshijnë: Shqipërinë, Bosnjën, Kroacinë, Kosovën, </w:t>
      </w:r>
      <w:r>
        <w:rPr>
          <w:rFonts w:ascii="Garamond" w:hAnsi="Garamond"/>
          <w:szCs w:val="24"/>
          <w:lang w:val="sq-AL"/>
        </w:rPr>
        <w:t>ish-</w:t>
      </w:r>
      <w:r w:rsidRPr="00104C04">
        <w:rPr>
          <w:rFonts w:ascii="Garamond" w:hAnsi="Garamond"/>
          <w:szCs w:val="24"/>
          <w:lang w:val="sq-AL"/>
        </w:rPr>
        <w:t>Republikën Jugosllave të Maqedonisë, Serbinë, Malin e Zi</w:t>
      </w:r>
      <w:r>
        <w:rPr>
          <w:rFonts w:ascii="Garamond" w:hAnsi="Garamond"/>
          <w:szCs w:val="24"/>
          <w:lang w:val="sq-AL"/>
        </w:rPr>
        <w:t>.</w:t>
      </w:r>
    </w:p>
  </w:footnote>
  <w:footnote w:id="83">
    <w:p w14:paraId="1BADD7F3" w14:textId="1C598370" w:rsidR="008274CD" w:rsidRPr="00104C04" w:rsidRDefault="008274CD" w:rsidP="001A5C18">
      <w:pPr>
        <w:pStyle w:val="FootnoteText"/>
        <w:jc w:val="both"/>
        <w:rPr>
          <w:sz w:val="16"/>
          <w:lang w:val="sq-AL"/>
        </w:rPr>
      </w:pPr>
      <w:r w:rsidRPr="00104C04">
        <w:rPr>
          <w:rStyle w:val="FootnoteReference"/>
          <w:sz w:val="16"/>
          <w:lang w:val="sq-AL"/>
        </w:rPr>
        <w:footnoteRef/>
      </w:r>
      <w:r w:rsidRPr="00104C04">
        <w:rPr>
          <w:sz w:val="16"/>
          <w:lang w:val="sq-AL"/>
        </w:rPr>
        <w:t xml:space="preserve"> </w:t>
      </w:r>
      <w:r w:rsidRPr="00104C04">
        <w:rPr>
          <w:rFonts w:ascii="Garamond" w:hAnsi="Garamond"/>
          <w:szCs w:val="24"/>
          <w:lang w:val="sq-AL"/>
        </w:rPr>
        <w:t>Agjencia për Komunikimet Elektronike dhe Shërbimet Postare, Raporti Vjetor 2011</w:t>
      </w:r>
      <w:r>
        <w:rPr>
          <w:rFonts w:ascii="Garamond" w:hAnsi="Garamond"/>
          <w:szCs w:val="24"/>
          <w:lang w:val="sq-AL"/>
        </w:rPr>
        <w:t>.</w:t>
      </w:r>
    </w:p>
  </w:footnote>
  <w:footnote w:id="84">
    <w:p w14:paraId="1BADD7F4" w14:textId="308FEBE5" w:rsidR="008274CD" w:rsidRPr="00104C04" w:rsidRDefault="008274CD" w:rsidP="001A5C18">
      <w:pPr>
        <w:pStyle w:val="FootnoteText"/>
        <w:jc w:val="both"/>
        <w:rPr>
          <w:sz w:val="16"/>
          <w:lang w:val="sq-AL"/>
        </w:rPr>
      </w:pPr>
      <w:r w:rsidRPr="00104C04">
        <w:rPr>
          <w:rStyle w:val="FootnoteReference"/>
          <w:sz w:val="16"/>
          <w:lang w:val="sq-AL"/>
        </w:rPr>
        <w:footnoteRef/>
      </w:r>
      <w:r w:rsidRPr="00104C04">
        <w:rPr>
          <w:sz w:val="16"/>
          <w:lang w:val="sq-AL"/>
        </w:rPr>
        <w:t xml:space="preserve"> </w:t>
      </w:r>
      <w:r w:rsidRPr="00104C04">
        <w:rPr>
          <w:rFonts w:ascii="Garamond" w:hAnsi="Garamond"/>
          <w:szCs w:val="24"/>
          <w:lang w:val="sq-AL"/>
        </w:rPr>
        <w:t>Shqipëria, Census 2011</w:t>
      </w:r>
      <w:r>
        <w:rPr>
          <w:rFonts w:ascii="Garamond" w:hAnsi="Garamond"/>
          <w:szCs w:val="24"/>
          <w:lang w:val="sq-AL"/>
        </w:rPr>
        <w:t>.</w:t>
      </w:r>
    </w:p>
  </w:footnote>
  <w:footnote w:id="85">
    <w:p w14:paraId="1BADD7F5" w14:textId="63286F10" w:rsidR="008274CD" w:rsidRPr="00104C04" w:rsidRDefault="008274CD" w:rsidP="001A5C18">
      <w:pPr>
        <w:pStyle w:val="FootnoteText"/>
        <w:jc w:val="both"/>
        <w:rPr>
          <w:sz w:val="16"/>
          <w:lang w:val="sq-AL"/>
        </w:rPr>
      </w:pPr>
      <w:r w:rsidRPr="00104C04">
        <w:rPr>
          <w:rStyle w:val="FootnoteReference"/>
          <w:sz w:val="16"/>
          <w:lang w:val="sq-AL"/>
        </w:rPr>
        <w:footnoteRef/>
      </w:r>
      <w:r w:rsidRPr="00104C04">
        <w:rPr>
          <w:sz w:val="16"/>
          <w:lang w:val="sq-AL"/>
        </w:rPr>
        <w:t xml:space="preserve"> </w:t>
      </w:r>
      <w:r w:rsidRPr="00104C04">
        <w:rPr>
          <w:rFonts w:ascii="Garamond" w:hAnsi="Garamond"/>
          <w:szCs w:val="24"/>
          <w:lang w:val="sq-AL"/>
        </w:rPr>
        <w:t>MONSTAT, Popullsia sipas njohjes kompjuterike për bashkitë në Mal të Zi n</w:t>
      </w:r>
      <w:r>
        <w:rPr>
          <w:rFonts w:ascii="Garamond" w:hAnsi="Garamond"/>
          <w:szCs w:val="24"/>
          <w:lang w:val="sq-AL"/>
        </w:rPr>
        <w:t>ë</w:t>
      </w:r>
      <w:r w:rsidRPr="00104C04">
        <w:rPr>
          <w:rFonts w:ascii="Garamond" w:hAnsi="Garamond"/>
          <w:szCs w:val="24"/>
          <w:lang w:val="sq-AL"/>
        </w:rPr>
        <w:t xml:space="preserve"> vitin 2011, publikimi Nr. 156</w:t>
      </w:r>
    </w:p>
  </w:footnote>
  <w:footnote w:id="86">
    <w:p w14:paraId="1BADD7F6" w14:textId="07C52102" w:rsidR="008274CD" w:rsidRPr="00104C04" w:rsidRDefault="008274CD" w:rsidP="00C040ED">
      <w:pPr>
        <w:pStyle w:val="FootnoteText"/>
        <w:rPr>
          <w:sz w:val="16"/>
          <w:lang w:val="sq-AL"/>
        </w:rPr>
      </w:pPr>
      <w:r w:rsidRPr="00104C04">
        <w:rPr>
          <w:rStyle w:val="FootnoteReference"/>
          <w:sz w:val="16"/>
          <w:lang w:val="sq-AL"/>
        </w:rPr>
        <w:footnoteRef/>
      </w:r>
      <w:r w:rsidRPr="00104C04">
        <w:rPr>
          <w:sz w:val="16"/>
          <w:lang w:val="sq-AL"/>
        </w:rPr>
        <w:t xml:space="preserve"> </w:t>
      </w:r>
      <w:r w:rsidRPr="00104C04">
        <w:rPr>
          <w:rFonts w:ascii="Garamond" w:hAnsi="Garamond"/>
          <w:szCs w:val="24"/>
          <w:lang w:val="sq-AL"/>
        </w:rPr>
        <w:t>ERE – Raporti Vjetor 2012</w:t>
      </w:r>
      <w:r>
        <w:rPr>
          <w:rFonts w:ascii="Garamond" w:hAnsi="Garamond"/>
          <w:szCs w:val="24"/>
          <w:lang w:val="sq-AL"/>
        </w:rPr>
        <w:t>.</w:t>
      </w:r>
    </w:p>
  </w:footnote>
  <w:footnote w:id="87">
    <w:p w14:paraId="1BADD7F7" w14:textId="6C01777F" w:rsidR="008274CD" w:rsidRPr="00104C04" w:rsidRDefault="008274CD" w:rsidP="00104C04">
      <w:pPr>
        <w:spacing w:after="0"/>
        <w:rPr>
          <w:rFonts w:ascii="Garamond" w:hAnsi="Garamond"/>
          <w:sz w:val="20"/>
          <w:szCs w:val="20"/>
        </w:rPr>
      </w:pPr>
      <w:r w:rsidRPr="00104C04">
        <w:rPr>
          <w:rFonts w:ascii="Garamond" w:hAnsi="Garamond"/>
          <w:sz w:val="20"/>
          <w:szCs w:val="20"/>
        </w:rPr>
        <w:footnoteRef/>
      </w:r>
      <w:r w:rsidRPr="00104C04">
        <w:rPr>
          <w:rFonts w:ascii="Garamond" w:hAnsi="Garamond"/>
          <w:sz w:val="20"/>
          <w:szCs w:val="20"/>
        </w:rPr>
        <w:t xml:space="preserve"> MONSTAT. Banesat sipas pajisjes me instalime, publikimi nr. 280.</w:t>
      </w:r>
    </w:p>
  </w:footnote>
  <w:footnote w:id="88">
    <w:p w14:paraId="1BADD7F8" w14:textId="134EB9FC" w:rsidR="008274CD" w:rsidRPr="00104C04" w:rsidRDefault="008274CD" w:rsidP="00104C04">
      <w:pPr>
        <w:spacing w:after="0"/>
        <w:rPr>
          <w:rFonts w:ascii="Garamond" w:hAnsi="Garamond"/>
          <w:sz w:val="20"/>
          <w:szCs w:val="20"/>
        </w:rPr>
      </w:pPr>
      <w:r w:rsidRPr="00104C04">
        <w:rPr>
          <w:rFonts w:ascii="Garamond" w:hAnsi="Garamond"/>
          <w:sz w:val="20"/>
          <w:szCs w:val="20"/>
        </w:rPr>
        <w:footnoteRef/>
      </w:r>
      <w:r w:rsidRPr="00104C04">
        <w:rPr>
          <w:rFonts w:ascii="Garamond" w:hAnsi="Garamond"/>
          <w:sz w:val="20"/>
          <w:szCs w:val="20"/>
        </w:rPr>
        <w:t xml:space="preserve"> Census 2011, INSTAT treguesit e ndërtesave dhe banesave sipas prefekturave</w:t>
      </w:r>
      <w:r>
        <w:rPr>
          <w:rFonts w:ascii="Garamond" w:hAnsi="Garamond"/>
          <w:sz w:val="20"/>
          <w:szCs w:val="20"/>
        </w:rPr>
        <w:t>.</w:t>
      </w:r>
    </w:p>
  </w:footnote>
  <w:footnote w:id="89">
    <w:p w14:paraId="1BADD7F9" w14:textId="4E41A248" w:rsidR="008274CD" w:rsidRPr="00104C04" w:rsidRDefault="008274CD" w:rsidP="00104C04">
      <w:pPr>
        <w:spacing w:after="0"/>
        <w:rPr>
          <w:rFonts w:ascii="Garamond" w:hAnsi="Garamond"/>
          <w:sz w:val="20"/>
          <w:szCs w:val="20"/>
        </w:rPr>
      </w:pPr>
      <w:r w:rsidRPr="00104C04">
        <w:rPr>
          <w:rFonts w:ascii="Garamond" w:hAnsi="Garamond"/>
          <w:sz w:val="20"/>
          <w:szCs w:val="20"/>
        </w:rPr>
        <w:footnoteRef/>
      </w:r>
      <w:r w:rsidRPr="00104C04">
        <w:rPr>
          <w:rFonts w:ascii="Garamond" w:hAnsi="Garamond"/>
          <w:sz w:val="20"/>
          <w:szCs w:val="20"/>
        </w:rPr>
        <w:t xml:space="preserve"> MONSTAT, Libri statistikor 2012</w:t>
      </w:r>
      <w:r>
        <w:rPr>
          <w:rFonts w:ascii="Garamond" w:hAnsi="Garamond"/>
          <w:sz w:val="20"/>
          <w:szCs w:val="20"/>
        </w:rPr>
        <w:t>.</w:t>
      </w:r>
    </w:p>
  </w:footnote>
  <w:footnote w:id="90">
    <w:p w14:paraId="1BADD7FA" w14:textId="593BD6A3" w:rsidR="008274CD" w:rsidRPr="007B68D7" w:rsidRDefault="008274CD" w:rsidP="004925B7">
      <w:pPr>
        <w:widowControl w:val="0"/>
        <w:tabs>
          <w:tab w:val="left" w:pos="326"/>
        </w:tabs>
        <w:spacing w:after="0" w:line="243" w:lineRule="exact"/>
        <w:rPr>
          <w:rFonts w:ascii="Garamond" w:hAnsi="Garamond"/>
          <w:sz w:val="20"/>
          <w:szCs w:val="20"/>
        </w:rPr>
      </w:pPr>
      <w:r w:rsidRPr="007B68D7">
        <w:rPr>
          <w:rStyle w:val="FootnoteReference"/>
          <w:rFonts w:ascii="Garamond" w:hAnsi="Garamond"/>
          <w:sz w:val="20"/>
          <w:szCs w:val="20"/>
        </w:rPr>
        <w:footnoteRef/>
      </w:r>
      <w:r w:rsidRPr="007B68D7">
        <w:rPr>
          <w:rFonts w:ascii="Garamond" w:hAnsi="Garamond"/>
          <w:sz w:val="20"/>
          <w:szCs w:val="20"/>
        </w:rPr>
        <w:t xml:space="preserve"> Shqipëria,</w:t>
      </w:r>
      <w:r w:rsidRPr="007B68D7">
        <w:rPr>
          <w:rFonts w:ascii="Garamond" w:hAnsi="Garamond"/>
          <w:spacing w:val="-6"/>
          <w:sz w:val="20"/>
          <w:szCs w:val="20"/>
        </w:rPr>
        <w:t xml:space="preserve"> </w:t>
      </w:r>
      <w:r w:rsidRPr="007B68D7">
        <w:rPr>
          <w:rFonts w:ascii="Garamond" w:hAnsi="Garamond"/>
          <w:sz w:val="20"/>
          <w:szCs w:val="20"/>
        </w:rPr>
        <w:t>Ministria</w:t>
      </w:r>
      <w:r w:rsidRPr="007B68D7">
        <w:rPr>
          <w:rFonts w:ascii="Garamond" w:hAnsi="Garamond"/>
          <w:spacing w:val="-4"/>
          <w:sz w:val="20"/>
          <w:szCs w:val="20"/>
        </w:rPr>
        <w:t xml:space="preserve"> </w:t>
      </w:r>
      <w:r w:rsidRPr="007B68D7">
        <w:rPr>
          <w:rFonts w:ascii="Garamond" w:hAnsi="Garamond"/>
          <w:sz w:val="20"/>
          <w:szCs w:val="20"/>
        </w:rPr>
        <w:t>e</w:t>
      </w:r>
      <w:r w:rsidRPr="007B68D7">
        <w:rPr>
          <w:rFonts w:ascii="Garamond" w:hAnsi="Garamond"/>
          <w:spacing w:val="-6"/>
          <w:sz w:val="20"/>
          <w:szCs w:val="20"/>
        </w:rPr>
        <w:t xml:space="preserve"> </w:t>
      </w:r>
      <w:r w:rsidRPr="007B68D7">
        <w:rPr>
          <w:rFonts w:ascii="Garamond" w:hAnsi="Garamond"/>
          <w:sz w:val="20"/>
          <w:szCs w:val="20"/>
        </w:rPr>
        <w:t>Mjedisit,</w:t>
      </w:r>
      <w:r w:rsidRPr="007B68D7">
        <w:rPr>
          <w:rFonts w:ascii="Garamond" w:hAnsi="Garamond"/>
          <w:spacing w:val="-6"/>
          <w:sz w:val="20"/>
          <w:szCs w:val="20"/>
        </w:rPr>
        <w:t xml:space="preserve"> </w:t>
      </w:r>
      <w:r w:rsidRPr="007B68D7">
        <w:rPr>
          <w:rFonts w:ascii="Garamond" w:hAnsi="Garamond"/>
          <w:sz w:val="20"/>
          <w:szCs w:val="20"/>
        </w:rPr>
        <w:t>rrjeti</w:t>
      </w:r>
      <w:r w:rsidRPr="007B68D7">
        <w:rPr>
          <w:rFonts w:ascii="Garamond" w:hAnsi="Garamond"/>
          <w:spacing w:val="-5"/>
          <w:sz w:val="20"/>
          <w:szCs w:val="20"/>
        </w:rPr>
        <w:t xml:space="preserve"> </w:t>
      </w:r>
      <w:r w:rsidRPr="007B68D7">
        <w:rPr>
          <w:rFonts w:ascii="Garamond" w:hAnsi="Garamond"/>
          <w:sz w:val="20"/>
          <w:szCs w:val="20"/>
        </w:rPr>
        <w:t>i</w:t>
      </w:r>
      <w:r w:rsidRPr="007B68D7">
        <w:rPr>
          <w:rFonts w:ascii="Garamond" w:hAnsi="Garamond"/>
          <w:spacing w:val="-5"/>
          <w:sz w:val="20"/>
          <w:szCs w:val="20"/>
        </w:rPr>
        <w:t xml:space="preserve"> </w:t>
      </w:r>
      <w:r w:rsidRPr="007B68D7">
        <w:rPr>
          <w:rFonts w:ascii="Garamond" w:hAnsi="Garamond"/>
          <w:sz w:val="20"/>
          <w:szCs w:val="20"/>
        </w:rPr>
        <w:t>zonave</w:t>
      </w:r>
      <w:r w:rsidRPr="007B68D7">
        <w:rPr>
          <w:rFonts w:ascii="Garamond" w:hAnsi="Garamond"/>
          <w:spacing w:val="-4"/>
          <w:sz w:val="20"/>
          <w:szCs w:val="20"/>
        </w:rPr>
        <w:t xml:space="preserve"> </w:t>
      </w:r>
      <w:r w:rsidRPr="007B68D7">
        <w:rPr>
          <w:rFonts w:ascii="Garamond" w:hAnsi="Garamond"/>
          <w:sz w:val="20"/>
          <w:szCs w:val="20"/>
        </w:rPr>
        <w:t>të</w:t>
      </w:r>
      <w:r w:rsidRPr="007B68D7">
        <w:rPr>
          <w:rFonts w:ascii="Garamond" w:hAnsi="Garamond"/>
          <w:spacing w:val="-4"/>
          <w:sz w:val="20"/>
          <w:szCs w:val="20"/>
        </w:rPr>
        <w:t xml:space="preserve"> </w:t>
      </w:r>
      <w:r w:rsidRPr="007B68D7">
        <w:rPr>
          <w:rFonts w:ascii="Garamond" w:hAnsi="Garamond"/>
          <w:sz w:val="20"/>
          <w:szCs w:val="20"/>
        </w:rPr>
        <w:t>mbrojtura</w:t>
      </w:r>
      <w:r w:rsidRPr="007B68D7">
        <w:rPr>
          <w:rFonts w:ascii="Garamond" w:hAnsi="Garamond"/>
          <w:spacing w:val="-4"/>
          <w:sz w:val="20"/>
          <w:szCs w:val="20"/>
        </w:rPr>
        <w:t xml:space="preserve"> </w:t>
      </w:r>
      <w:r w:rsidRPr="007B68D7">
        <w:rPr>
          <w:rFonts w:ascii="Garamond" w:hAnsi="Garamond"/>
          <w:sz w:val="20"/>
          <w:szCs w:val="20"/>
        </w:rPr>
        <w:t>në</w:t>
      </w:r>
      <w:r w:rsidRPr="007B68D7">
        <w:rPr>
          <w:rFonts w:ascii="Garamond" w:hAnsi="Garamond"/>
          <w:spacing w:val="-4"/>
          <w:sz w:val="20"/>
          <w:szCs w:val="20"/>
        </w:rPr>
        <w:t xml:space="preserve"> </w:t>
      </w:r>
      <w:r w:rsidRPr="007B68D7">
        <w:rPr>
          <w:rFonts w:ascii="Garamond" w:hAnsi="Garamond"/>
          <w:sz w:val="20"/>
          <w:szCs w:val="20"/>
        </w:rPr>
        <w:t>Shqipëri,</w:t>
      </w:r>
      <w:r w:rsidRPr="007B68D7">
        <w:rPr>
          <w:rFonts w:ascii="Garamond" w:hAnsi="Garamond"/>
          <w:spacing w:val="-6"/>
          <w:sz w:val="20"/>
          <w:szCs w:val="20"/>
        </w:rPr>
        <w:t xml:space="preserve"> </w:t>
      </w:r>
      <w:r w:rsidRPr="007B68D7">
        <w:rPr>
          <w:rFonts w:ascii="Garamond" w:hAnsi="Garamond"/>
          <w:sz w:val="20"/>
          <w:szCs w:val="20"/>
        </w:rPr>
        <w:t>shtator</w:t>
      </w:r>
      <w:r w:rsidRPr="007B68D7">
        <w:rPr>
          <w:rFonts w:ascii="Garamond" w:hAnsi="Garamond"/>
          <w:spacing w:val="-6"/>
          <w:sz w:val="20"/>
          <w:szCs w:val="20"/>
        </w:rPr>
        <w:t xml:space="preserve"> </w:t>
      </w:r>
      <w:r w:rsidRPr="007B68D7">
        <w:rPr>
          <w:rFonts w:ascii="Garamond" w:hAnsi="Garamond"/>
          <w:sz w:val="20"/>
          <w:szCs w:val="20"/>
        </w:rPr>
        <w:t>2013</w:t>
      </w:r>
      <w:r>
        <w:rPr>
          <w:rFonts w:ascii="Garamond" w:hAnsi="Garamond"/>
          <w:sz w:val="20"/>
          <w:szCs w:val="20"/>
        </w:rPr>
        <w:t>.</w:t>
      </w:r>
    </w:p>
    <w:p w14:paraId="1BADD7FB" w14:textId="77777777" w:rsidR="008274CD" w:rsidRPr="004925B7" w:rsidRDefault="008274CD">
      <w:pPr>
        <w:pStyle w:val="FootnoteText"/>
        <w:rPr>
          <w:lang w:val="en-US"/>
        </w:rPr>
      </w:pPr>
    </w:p>
  </w:footnote>
  <w:footnote w:id="91">
    <w:p w14:paraId="1BADD7FC" w14:textId="1833243C" w:rsidR="008274CD" w:rsidRPr="00F155B0" w:rsidRDefault="008274CD">
      <w:pPr>
        <w:pStyle w:val="FootnoteText"/>
        <w:rPr>
          <w:rFonts w:ascii="Garamond" w:hAnsi="Garamond"/>
          <w:lang w:val="sq-AL"/>
        </w:rPr>
      </w:pPr>
      <w:r w:rsidRPr="00F155B0">
        <w:rPr>
          <w:rStyle w:val="FootnoteReference"/>
          <w:rFonts w:ascii="Garamond" w:hAnsi="Garamond"/>
          <w:lang w:val="sq-AL"/>
        </w:rPr>
        <w:footnoteRef/>
      </w:r>
      <w:r w:rsidRPr="00F155B0">
        <w:rPr>
          <w:rFonts w:ascii="Garamond" w:hAnsi="Garamond"/>
          <w:lang w:val="sq-AL"/>
        </w:rPr>
        <w:t xml:space="preserve"> Eliminimi i ofertave të pasuksesshme pesë vjet pas mbylljes së procedurës së prokurimit.</w:t>
      </w:r>
    </w:p>
  </w:footnote>
  <w:footnote w:id="92">
    <w:p w14:paraId="1BADD7FD" w14:textId="7D01DC7F" w:rsidR="008274CD" w:rsidRPr="00F155B0" w:rsidRDefault="008274CD">
      <w:pPr>
        <w:pStyle w:val="FootnoteText"/>
        <w:rPr>
          <w:lang w:val="sq-AL"/>
        </w:rPr>
      </w:pPr>
      <w:r w:rsidRPr="00F155B0">
        <w:rPr>
          <w:rStyle w:val="FootnoteReference"/>
          <w:rFonts w:ascii="Garamond" w:hAnsi="Garamond"/>
          <w:lang w:val="sq-AL"/>
        </w:rPr>
        <w:footnoteRef/>
      </w:r>
      <w:r w:rsidRPr="00F155B0">
        <w:rPr>
          <w:rFonts w:ascii="Garamond" w:hAnsi="Garamond"/>
          <w:lang w:val="sq-AL"/>
        </w:rPr>
        <w:t xml:space="preserve"> Eliminimi i aplikimeve të pasuksesshme tre vjet pas përfundimit të procedurës së grantit</w:t>
      </w:r>
      <w:r>
        <w:rPr>
          <w:rFonts w:ascii="Garamond" w:hAnsi="Garamond"/>
          <w:lang w:val="sq-AL"/>
        </w:rPr>
        <w:t>.</w:t>
      </w:r>
    </w:p>
  </w:footnote>
  <w:footnote w:id="93">
    <w:p w14:paraId="1BADD7FE" w14:textId="4DA8825F" w:rsidR="008274CD" w:rsidRPr="00792288" w:rsidRDefault="008274CD">
      <w:pPr>
        <w:pStyle w:val="FootnoteText"/>
        <w:rPr>
          <w:rFonts w:ascii="Garamond" w:hAnsi="Garamond"/>
          <w:lang w:val="en-US"/>
        </w:rPr>
      </w:pPr>
      <w:r w:rsidRPr="00792288">
        <w:rPr>
          <w:rStyle w:val="FootnoteReference"/>
          <w:rFonts w:ascii="Garamond" w:hAnsi="Garamond"/>
        </w:rPr>
        <w:footnoteRef/>
      </w:r>
      <w:r w:rsidRPr="00792288">
        <w:rPr>
          <w:rFonts w:ascii="Garamond" w:hAnsi="Garamond"/>
        </w:rPr>
        <w:t xml:space="preserve"> </w:t>
      </w:r>
      <w:r w:rsidRPr="00792288">
        <w:rPr>
          <w:rFonts w:ascii="Garamond" w:hAnsi="Garamond" w:cs="Arial"/>
          <w:lang w:val="sq-AL"/>
        </w:rPr>
        <w:t>Për kontratat e shërbimit kët</w:t>
      </w:r>
      <w:r>
        <w:rPr>
          <w:rFonts w:ascii="Garamond" w:hAnsi="Garamond" w:cs="Arial"/>
          <w:lang w:val="sq-AL"/>
        </w:rPr>
        <w:t>a</w:t>
      </w:r>
      <w:r w:rsidRPr="00792288">
        <w:rPr>
          <w:rFonts w:ascii="Garamond" w:hAnsi="Garamond" w:cs="Arial"/>
          <w:lang w:val="sq-AL"/>
        </w:rPr>
        <w:t xml:space="preserve"> hapa përfshijnë kontrollet paraprake në lidhje me miratimin e listës së përzgjedhur.</w:t>
      </w:r>
    </w:p>
  </w:footnote>
  <w:footnote w:id="94">
    <w:p w14:paraId="1BADD7FF" w14:textId="0B2BD263" w:rsidR="008274CD" w:rsidRPr="00AC44B5" w:rsidRDefault="008274CD">
      <w:pPr>
        <w:pStyle w:val="FootnoteText"/>
        <w:rPr>
          <w:rFonts w:ascii="Garamond" w:hAnsi="Garamond"/>
          <w:lang w:val="en-US"/>
        </w:rPr>
      </w:pPr>
      <w:r w:rsidRPr="00AC44B5">
        <w:rPr>
          <w:rStyle w:val="FootnoteReference"/>
          <w:rFonts w:ascii="Garamond" w:hAnsi="Garamond"/>
        </w:rPr>
        <w:footnoteRef/>
      </w:r>
      <w:r w:rsidRPr="00AC44B5">
        <w:rPr>
          <w:rFonts w:ascii="Garamond" w:hAnsi="Garamond"/>
        </w:rPr>
        <w:t xml:space="preserve"> </w:t>
      </w:r>
      <w:r w:rsidRPr="00AC44B5">
        <w:rPr>
          <w:rFonts w:ascii="Garamond" w:hAnsi="Garamond" w:cs="Calibri"/>
          <w:lang w:val="sq-AL"/>
        </w:rPr>
        <w:t>Sipas sektorëve në dokumentet strategjik</w:t>
      </w:r>
      <w:r>
        <w:rPr>
          <w:rFonts w:ascii="Garamond" w:hAnsi="Garamond" w:cs="Calibri"/>
          <w:lang w:val="sq-AL"/>
        </w:rPr>
        <w:t>e</w:t>
      </w:r>
      <w:r w:rsidRPr="00AC44B5">
        <w:rPr>
          <w:rFonts w:ascii="Garamond" w:hAnsi="Garamond" w:cs="Calibri"/>
          <w:lang w:val="sq-AL"/>
        </w:rPr>
        <w:t xml:space="preserve"> </w:t>
      </w:r>
      <w:r>
        <w:rPr>
          <w:rFonts w:ascii="Garamond" w:hAnsi="Garamond" w:cs="Calibri"/>
          <w:lang w:val="sq-AL"/>
        </w:rPr>
        <w:t>indikativë.</w:t>
      </w:r>
    </w:p>
  </w:footnote>
  <w:footnote w:id="95">
    <w:p w14:paraId="1BADD800" w14:textId="128D3EBA" w:rsidR="008274CD" w:rsidRPr="00AC44B5" w:rsidRDefault="008274CD">
      <w:pPr>
        <w:pStyle w:val="FootnoteText"/>
        <w:rPr>
          <w:rFonts w:ascii="Garamond" w:hAnsi="Garamond"/>
          <w:lang w:val="en-US"/>
        </w:rPr>
      </w:pPr>
      <w:r w:rsidRPr="00AC44B5">
        <w:rPr>
          <w:rStyle w:val="FootnoteReference"/>
          <w:rFonts w:ascii="Garamond" w:hAnsi="Garamond"/>
        </w:rPr>
        <w:footnoteRef/>
      </w:r>
      <w:r w:rsidRPr="00AC44B5">
        <w:rPr>
          <w:rFonts w:ascii="Garamond" w:hAnsi="Garamond"/>
        </w:rPr>
        <w:t xml:space="preserve"> </w:t>
      </w:r>
      <w:r w:rsidRPr="00AC44B5">
        <w:rPr>
          <w:rFonts w:ascii="Garamond" w:hAnsi="Garamond" w:cs="Calibri"/>
          <w:lang w:val="sq-AL"/>
        </w:rPr>
        <w:t>Për bashkëpunimin ndërkufitar kërkohet raportim specifik.</w:t>
      </w:r>
    </w:p>
  </w:footnote>
  <w:footnote w:id="96">
    <w:p w14:paraId="1BADD801" w14:textId="77777777" w:rsidR="008274CD" w:rsidRPr="00420B63" w:rsidRDefault="008274CD" w:rsidP="00420B63">
      <w:pPr>
        <w:widowControl w:val="0"/>
        <w:overflowPunct w:val="0"/>
        <w:autoSpaceDE w:val="0"/>
        <w:autoSpaceDN w:val="0"/>
        <w:adjustRightInd w:val="0"/>
        <w:spacing w:after="0" w:line="240" w:lineRule="auto"/>
        <w:jc w:val="both"/>
        <w:rPr>
          <w:rFonts w:ascii="Garamond" w:hAnsi="Garamond"/>
          <w:sz w:val="20"/>
          <w:szCs w:val="20"/>
        </w:rPr>
      </w:pPr>
      <w:r w:rsidRPr="00420B63">
        <w:rPr>
          <w:rStyle w:val="FootnoteReference"/>
          <w:rFonts w:ascii="Garamond" w:hAnsi="Garamond"/>
          <w:sz w:val="20"/>
          <w:szCs w:val="20"/>
        </w:rPr>
        <w:footnoteRef/>
      </w:r>
      <w:r w:rsidRPr="00420B63">
        <w:rPr>
          <w:rFonts w:ascii="Garamond" w:hAnsi="Garamond"/>
          <w:sz w:val="20"/>
          <w:szCs w:val="20"/>
        </w:rPr>
        <w:t xml:space="preserve"> </w:t>
      </w:r>
      <w:r w:rsidRPr="00420B63">
        <w:rPr>
          <w:rFonts w:ascii="Garamond" w:hAnsi="Garamond" w:cs="Calibri"/>
          <w:sz w:val="20"/>
          <w:szCs w:val="20"/>
        </w:rPr>
        <w:t xml:space="preserve">Këto duhet të jenë kryesisht rezultati, si dhe treguesit përkatës të zgjedhur të produktit </w:t>
      </w:r>
    </w:p>
  </w:footnote>
  <w:footnote w:id="97">
    <w:p w14:paraId="1BADD802" w14:textId="77777777" w:rsidR="008274CD" w:rsidRPr="00420B63" w:rsidRDefault="008274CD" w:rsidP="00420B63">
      <w:pPr>
        <w:widowControl w:val="0"/>
        <w:overflowPunct w:val="0"/>
        <w:autoSpaceDE w:val="0"/>
        <w:autoSpaceDN w:val="0"/>
        <w:adjustRightInd w:val="0"/>
        <w:spacing w:after="0" w:line="240" w:lineRule="auto"/>
        <w:jc w:val="both"/>
        <w:rPr>
          <w:rFonts w:ascii="Garamond" w:hAnsi="Garamond" w:cs="Calibri"/>
          <w:sz w:val="20"/>
          <w:szCs w:val="20"/>
        </w:rPr>
      </w:pPr>
      <w:r w:rsidRPr="00420B63">
        <w:rPr>
          <w:rStyle w:val="FootnoteReference"/>
          <w:rFonts w:ascii="Garamond" w:hAnsi="Garamond"/>
          <w:sz w:val="20"/>
          <w:szCs w:val="20"/>
        </w:rPr>
        <w:footnoteRef/>
      </w:r>
      <w:r w:rsidRPr="00420B63">
        <w:rPr>
          <w:rFonts w:ascii="Garamond" w:hAnsi="Garamond"/>
          <w:sz w:val="20"/>
          <w:szCs w:val="20"/>
        </w:rPr>
        <w:t xml:space="preserve"> </w:t>
      </w:r>
      <w:r w:rsidRPr="00420B63">
        <w:rPr>
          <w:rFonts w:ascii="Garamond" w:hAnsi="Garamond" w:cs="Calibri"/>
          <w:sz w:val="20"/>
          <w:szCs w:val="20"/>
        </w:rPr>
        <w:t>Numri i kolonave duhet të përshtatet për të gjitha vitet, nga viti 2014 deri në vitin e periudhës së raportimit. Vlerat duhet të jenë kumulative.</w:t>
      </w:r>
    </w:p>
  </w:footnote>
  <w:footnote w:id="98">
    <w:p w14:paraId="1BADD803" w14:textId="7A591BD5" w:rsidR="008274CD" w:rsidRPr="00420B63" w:rsidRDefault="008274CD" w:rsidP="00420B63">
      <w:pPr>
        <w:widowControl w:val="0"/>
        <w:overflowPunct w:val="0"/>
        <w:autoSpaceDE w:val="0"/>
        <w:autoSpaceDN w:val="0"/>
        <w:adjustRightInd w:val="0"/>
        <w:spacing w:after="0" w:line="240" w:lineRule="auto"/>
        <w:jc w:val="both"/>
        <w:rPr>
          <w:rFonts w:ascii="Garamond" w:hAnsi="Garamond" w:cs="Calibri"/>
          <w:sz w:val="20"/>
          <w:szCs w:val="20"/>
        </w:rPr>
      </w:pPr>
      <w:r w:rsidRPr="00420B63">
        <w:rPr>
          <w:rFonts w:ascii="Garamond" w:hAnsi="Garamond" w:cs="Calibri"/>
          <w:sz w:val="20"/>
          <w:szCs w:val="20"/>
        </w:rPr>
        <w:footnoteRef/>
      </w:r>
      <w:r w:rsidRPr="00420B63">
        <w:rPr>
          <w:rFonts w:ascii="Garamond" w:hAnsi="Garamond" w:cs="Calibri"/>
          <w:sz w:val="20"/>
          <w:szCs w:val="20"/>
        </w:rPr>
        <w:t xml:space="preserve"> Ai duhet të jetë në përputhje me mënyrë</w:t>
      </w:r>
      <w:r>
        <w:rPr>
          <w:rFonts w:ascii="Garamond" w:hAnsi="Garamond" w:cs="Calibri"/>
          <w:sz w:val="20"/>
          <w:szCs w:val="20"/>
        </w:rPr>
        <w:t>n e programimit (vjetore, shumë</w:t>
      </w:r>
      <w:r w:rsidRPr="00420B63">
        <w:rPr>
          <w:rFonts w:ascii="Garamond" w:hAnsi="Garamond" w:cs="Calibri"/>
          <w:sz w:val="20"/>
          <w:szCs w:val="20"/>
        </w:rPr>
        <w:t>vjeçare me ose pa detyra të ndara), si dhe me raportin e NAO-s</w:t>
      </w:r>
      <w:r>
        <w:rPr>
          <w:rFonts w:ascii="Garamond" w:hAnsi="Garamond" w:cs="Calibri"/>
          <w:sz w:val="20"/>
          <w:szCs w:val="20"/>
        </w:rPr>
        <w:t>.</w:t>
      </w:r>
      <w:r w:rsidRPr="00420B63">
        <w:rPr>
          <w:rFonts w:ascii="Garamond" w:hAnsi="Garamond" w:cs="Calibri"/>
          <w:sz w:val="20"/>
          <w:szCs w:val="20"/>
        </w:rPr>
        <w:t xml:space="preserve"> </w:t>
      </w:r>
    </w:p>
    <w:p w14:paraId="1BADD804" w14:textId="77777777" w:rsidR="008274CD" w:rsidRPr="002709FB" w:rsidRDefault="008274CD" w:rsidP="00420B63">
      <w:pPr>
        <w:pStyle w:val="FootnoteText"/>
        <w:rPr>
          <w:sz w:val="16"/>
          <w:szCs w:val="16"/>
        </w:rPr>
      </w:pPr>
    </w:p>
  </w:footnote>
  <w:footnote w:id="99">
    <w:p w14:paraId="1BADD805" w14:textId="77777777" w:rsidR="008274CD" w:rsidRPr="00971CA1" w:rsidRDefault="008274CD" w:rsidP="00971CA1">
      <w:pPr>
        <w:pStyle w:val="FootnoteText"/>
        <w:rPr>
          <w:rFonts w:ascii="Garamond" w:hAnsi="Garamond"/>
          <w:lang w:val="it-IT"/>
        </w:rPr>
      </w:pPr>
      <w:r w:rsidRPr="00971CA1">
        <w:rPr>
          <w:rStyle w:val="FootnoteReference"/>
          <w:rFonts w:ascii="Garamond" w:eastAsia="Calibri" w:hAnsi="Garamond"/>
        </w:rPr>
        <w:footnoteRef/>
      </w:r>
      <w:r w:rsidRPr="00971CA1">
        <w:rPr>
          <w:rFonts w:ascii="Garamond" w:hAnsi="Garamond"/>
          <w:lang w:val="it-IT"/>
        </w:rPr>
        <w:t xml:space="preserve"> Çdo indikator duhet të identifikohet si tregues ndikimi, rezultati ose produkti</w:t>
      </w:r>
    </w:p>
  </w:footnote>
  <w:footnote w:id="100">
    <w:p w14:paraId="1BADD806" w14:textId="77777777" w:rsidR="008274CD" w:rsidRPr="00901F2E" w:rsidRDefault="008274CD" w:rsidP="00971CA1">
      <w:pPr>
        <w:pStyle w:val="FootnoteText"/>
        <w:rPr>
          <w:lang w:val="it-IT"/>
        </w:rPr>
      </w:pPr>
      <w:r w:rsidRPr="00971CA1">
        <w:rPr>
          <w:rStyle w:val="FootnoteReference"/>
          <w:rFonts w:ascii="Garamond" w:eastAsia="Calibri" w:hAnsi="Garamond"/>
        </w:rPr>
        <w:footnoteRef/>
      </w:r>
      <w:r w:rsidRPr="00971CA1">
        <w:rPr>
          <w:rFonts w:ascii="Garamond" w:hAnsi="Garamond"/>
          <w:lang w:val="it-IT"/>
        </w:rPr>
        <w:t xml:space="preserve"> (Vlerë kumulative e pagesave/vlera e grantit të BE-së) x 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411"/>
    <w:multiLevelType w:val="hybridMultilevel"/>
    <w:tmpl w:val="4B322516"/>
    <w:lvl w:ilvl="0" w:tplc="262A65C0">
      <w:numFmt w:val="bullet"/>
      <w:lvlText w:val="•"/>
      <w:lvlJc w:val="left"/>
      <w:pPr>
        <w:ind w:left="100" w:hanging="123"/>
      </w:pPr>
      <w:rPr>
        <w:rFonts w:ascii="Calibri" w:eastAsia="Calibri" w:hAnsi="Calibri" w:cs="Calibri" w:hint="default"/>
        <w:w w:val="100"/>
        <w:sz w:val="17"/>
        <w:szCs w:val="17"/>
      </w:rPr>
    </w:lvl>
    <w:lvl w:ilvl="1" w:tplc="CBBEDE88">
      <w:numFmt w:val="bullet"/>
      <w:lvlText w:val="•"/>
      <w:lvlJc w:val="left"/>
      <w:pPr>
        <w:ind w:left="318" w:hanging="123"/>
      </w:pPr>
      <w:rPr>
        <w:rFonts w:hint="default"/>
      </w:rPr>
    </w:lvl>
    <w:lvl w:ilvl="2" w:tplc="A6E2DE9C">
      <w:numFmt w:val="bullet"/>
      <w:lvlText w:val="•"/>
      <w:lvlJc w:val="left"/>
      <w:pPr>
        <w:ind w:left="537" w:hanging="123"/>
      </w:pPr>
      <w:rPr>
        <w:rFonts w:hint="default"/>
      </w:rPr>
    </w:lvl>
    <w:lvl w:ilvl="3" w:tplc="99EEE9FE">
      <w:numFmt w:val="bullet"/>
      <w:lvlText w:val="•"/>
      <w:lvlJc w:val="left"/>
      <w:pPr>
        <w:ind w:left="756" w:hanging="123"/>
      </w:pPr>
      <w:rPr>
        <w:rFonts w:hint="default"/>
      </w:rPr>
    </w:lvl>
    <w:lvl w:ilvl="4" w:tplc="66288346">
      <w:numFmt w:val="bullet"/>
      <w:lvlText w:val="•"/>
      <w:lvlJc w:val="left"/>
      <w:pPr>
        <w:ind w:left="975" w:hanging="123"/>
      </w:pPr>
      <w:rPr>
        <w:rFonts w:hint="default"/>
      </w:rPr>
    </w:lvl>
    <w:lvl w:ilvl="5" w:tplc="740EC33C">
      <w:numFmt w:val="bullet"/>
      <w:lvlText w:val="•"/>
      <w:lvlJc w:val="left"/>
      <w:pPr>
        <w:ind w:left="1193" w:hanging="123"/>
      </w:pPr>
      <w:rPr>
        <w:rFonts w:hint="default"/>
      </w:rPr>
    </w:lvl>
    <w:lvl w:ilvl="6" w:tplc="594C5288">
      <w:numFmt w:val="bullet"/>
      <w:lvlText w:val="•"/>
      <w:lvlJc w:val="left"/>
      <w:pPr>
        <w:ind w:left="1412" w:hanging="123"/>
      </w:pPr>
      <w:rPr>
        <w:rFonts w:hint="default"/>
      </w:rPr>
    </w:lvl>
    <w:lvl w:ilvl="7" w:tplc="91C83A7A">
      <w:numFmt w:val="bullet"/>
      <w:lvlText w:val="•"/>
      <w:lvlJc w:val="left"/>
      <w:pPr>
        <w:ind w:left="1631" w:hanging="123"/>
      </w:pPr>
      <w:rPr>
        <w:rFonts w:hint="default"/>
      </w:rPr>
    </w:lvl>
    <w:lvl w:ilvl="8" w:tplc="D7EAD80A">
      <w:numFmt w:val="bullet"/>
      <w:lvlText w:val="•"/>
      <w:lvlJc w:val="left"/>
      <w:pPr>
        <w:ind w:left="1850" w:hanging="123"/>
      </w:pPr>
      <w:rPr>
        <w:rFonts w:hint="default"/>
      </w:rPr>
    </w:lvl>
  </w:abstractNum>
  <w:abstractNum w:abstractNumId="1">
    <w:nsid w:val="03DC4E6F"/>
    <w:multiLevelType w:val="hybridMultilevel"/>
    <w:tmpl w:val="5BAC6A1A"/>
    <w:lvl w:ilvl="0" w:tplc="C18CD14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98AA3562">
      <w:numFmt w:val="bullet"/>
      <w:lvlText w:val="•"/>
      <w:lvlJc w:val="left"/>
      <w:pPr>
        <w:ind w:left="380" w:hanging="111"/>
      </w:pPr>
      <w:rPr>
        <w:rFonts w:hint="default"/>
      </w:rPr>
    </w:lvl>
    <w:lvl w:ilvl="2" w:tplc="3F586FF6">
      <w:numFmt w:val="bullet"/>
      <w:lvlText w:val="•"/>
      <w:lvlJc w:val="left"/>
      <w:pPr>
        <w:ind w:left="581" w:hanging="111"/>
      </w:pPr>
      <w:rPr>
        <w:rFonts w:hint="default"/>
      </w:rPr>
    </w:lvl>
    <w:lvl w:ilvl="3" w:tplc="B8D66CF6">
      <w:numFmt w:val="bullet"/>
      <w:lvlText w:val="•"/>
      <w:lvlJc w:val="left"/>
      <w:pPr>
        <w:ind w:left="782" w:hanging="111"/>
      </w:pPr>
      <w:rPr>
        <w:rFonts w:hint="default"/>
      </w:rPr>
    </w:lvl>
    <w:lvl w:ilvl="4" w:tplc="7C4C09CC">
      <w:numFmt w:val="bullet"/>
      <w:lvlText w:val="•"/>
      <w:lvlJc w:val="left"/>
      <w:pPr>
        <w:ind w:left="982" w:hanging="111"/>
      </w:pPr>
      <w:rPr>
        <w:rFonts w:hint="default"/>
      </w:rPr>
    </w:lvl>
    <w:lvl w:ilvl="5" w:tplc="1E7E10E8">
      <w:numFmt w:val="bullet"/>
      <w:lvlText w:val="•"/>
      <w:lvlJc w:val="left"/>
      <w:pPr>
        <w:ind w:left="1183" w:hanging="111"/>
      </w:pPr>
      <w:rPr>
        <w:rFonts w:hint="default"/>
      </w:rPr>
    </w:lvl>
    <w:lvl w:ilvl="6" w:tplc="FCDC2978">
      <w:numFmt w:val="bullet"/>
      <w:lvlText w:val="•"/>
      <w:lvlJc w:val="left"/>
      <w:pPr>
        <w:ind w:left="1384" w:hanging="111"/>
      </w:pPr>
      <w:rPr>
        <w:rFonts w:hint="default"/>
      </w:rPr>
    </w:lvl>
    <w:lvl w:ilvl="7" w:tplc="42D085AA">
      <w:numFmt w:val="bullet"/>
      <w:lvlText w:val="•"/>
      <w:lvlJc w:val="left"/>
      <w:pPr>
        <w:ind w:left="1584" w:hanging="111"/>
      </w:pPr>
      <w:rPr>
        <w:rFonts w:hint="default"/>
      </w:rPr>
    </w:lvl>
    <w:lvl w:ilvl="8" w:tplc="384894E0">
      <w:numFmt w:val="bullet"/>
      <w:lvlText w:val="•"/>
      <w:lvlJc w:val="left"/>
      <w:pPr>
        <w:ind w:left="1785" w:hanging="111"/>
      </w:pPr>
      <w:rPr>
        <w:rFonts w:hint="default"/>
      </w:rPr>
    </w:lvl>
  </w:abstractNum>
  <w:abstractNum w:abstractNumId="2">
    <w:nsid w:val="04A307C3"/>
    <w:multiLevelType w:val="hybridMultilevel"/>
    <w:tmpl w:val="CE52A37C"/>
    <w:lvl w:ilvl="0" w:tplc="7040B12C">
      <w:numFmt w:val="bullet"/>
      <w:lvlText w:val="•"/>
      <w:lvlJc w:val="left"/>
      <w:pPr>
        <w:ind w:left="170" w:hanging="111"/>
      </w:pPr>
      <w:rPr>
        <w:rFonts w:hint="default"/>
        <w:w w:val="100"/>
      </w:rPr>
    </w:lvl>
    <w:lvl w:ilvl="1" w:tplc="7A9ADA5A">
      <w:numFmt w:val="bullet"/>
      <w:lvlText w:val="•"/>
      <w:lvlJc w:val="left"/>
      <w:pPr>
        <w:ind w:left="346" w:hanging="111"/>
      </w:pPr>
      <w:rPr>
        <w:rFonts w:hint="default"/>
      </w:rPr>
    </w:lvl>
    <w:lvl w:ilvl="2" w:tplc="40485C6C">
      <w:numFmt w:val="bullet"/>
      <w:lvlText w:val="•"/>
      <w:lvlJc w:val="left"/>
      <w:pPr>
        <w:ind w:left="512" w:hanging="111"/>
      </w:pPr>
      <w:rPr>
        <w:rFonts w:hint="default"/>
      </w:rPr>
    </w:lvl>
    <w:lvl w:ilvl="3" w:tplc="36F0E738">
      <w:numFmt w:val="bullet"/>
      <w:lvlText w:val="•"/>
      <w:lvlJc w:val="left"/>
      <w:pPr>
        <w:ind w:left="678" w:hanging="111"/>
      </w:pPr>
      <w:rPr>
        <w:rFonts w:hint="default"/>
      </w:rPr>
    </w:lvl>
    <w:lvl w:ilvl="4" w:tplc="E8708FDE">
      <w:numFmt w:val="bullet"/>
      <w:lvlText w:val="•"/>
      <w:lvlJc w:val="left"/>
      <w:pPr>
        <w:ind w:left="844" w:hanging="111"/>
      </w:pPr>
      <w:rPr>
        <w:rFonts w:hint="default"/>
      </w:rPr>
    </w:lvl>
    <w:lvl w:ilvl="5" w:tplc="E15E937E">
      <w:numFmt w:val="bullet"/>
      <w:lvlText w:val="•"/>
      <w:lvlJc w:val="left"/>
      <w:pPr>
        <w:ind w:left="1010" w:hanging="111"/>
      </w:pPr>
      <w:rPr>
        <w:rFonts w:hint="default"/>
      </w:rPr>
    </w:lvl>
    <w:lvl w:ilvl="6" w:tplc="B8460EAC">
      <w:numFmt w:val="bullet"/>
      <w:lvlText w:val="•"/>
      <w:lvlJc w:val="left"/>
      <w:pPr>
        <w:ind w:left="1176" w:hanging="111"/>
      </w:pPr>
      <w:rPr>
        <w:rFonts w:hint="default"/>
      </w:rPr>
    </w:lvl>
    <w:lvl w:ilvl="7" w:tplc="4E0EBF78">
      <w:numFmt w:val="bullet"/>
      <w:lvlText w:val="•"/>
      <w:lvlJc w:val="left"/>
      <w:pPr>
        <w:ind w:left="1342" w:hanging="111"/>
      </w:pPr>
      <w:rPr>
        <w:rFonts w:hint="default"/>
      </w:rPr>
    </w:lvl>
    <w:lvl w:ilvl="8" w:tplc="07686316">
      <w:numFmt w:val="bullet"/>
      <w:lvlText w:val="•"/>
      <w:lvlJc w:val="left"/>
      <w:pPr>
        <w:ind w:left="1509" w:hanging="111"/>
      </w:pPr>
      <w:rPr>
        <w:rFonts w:hint="default"/>
      </w:rPr>
    </w:lvl>
  </w:abstractNum>
  <w:abstractNum w:abstractNumId="3">
    <w:nsid w:val="05BB7780"/>
    <w:multiLevelType w:val="hybridMultilevel"/>
    <w:tmpl w:val="958A4FE4"/>
    <w:lvl w:ilvl="0" w:tplc="6F5CAE2E">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A5682320">
      <w:numFmt w:val="bullet"/>
      <w:lvlText w:val="•"/>
      <w:lvlJc w:val="left"/>
      <w:pPr>
        <w:ind w:left="380" w:hanging="111"/>
      </w:pPr>
      <w:rPr>
        <w:rFonts w:hint="default"/>
      </w:rPr>
    </w:lvl>
    <w:lvl w:ilvl="2" w:tplc="FABCBCBC">
      <w:numFmt w:val="bullet"/>
      <w:lvlText w:val="•"/>
      <w:lvlJc w:val="left"/>
      <w:pPr>
        <w:ind w:left="581" w:hanging="111"/>
      </w:pPr>
      <w:rPr>
        <w:rFonts w:hint="default"/>
      </w:rPr>
    </w:lvl>
    <w:lvl w:ilvl="3" w:tplc="FA120C76">
      <w:numFmt w:val="bullet"/>
      <w:lvlText w:val="•"/>
      <w:lvlJc w:val="left"/>
      <w:pPr>
        <w:ind w:left="782" w:hanging="111"/>
      </w:pPr>
      <w:rPr>
        <w:rFonts w:hint="default"/>
      </w:rPr>
    </w:lvl>
    <w:lvl w:ilvl="4" w:tplc="7CEE15FE">
      <w:numFmt w:val="bullet"/>
      <w:lvlText w:val="•"/>
      <w:lvlJc w:val="left"/>
      <w:pPr>
        <w:ind w:left="982" w:hanging="111"/>
      </w:pPr>
      <w:rPr>
        <w:rFonts w:hint="default"/>
      </w:rPr>
    </w:lvl>
    <w:lvl w:ilvl="5" w:tplc="075A55FC">
      <w:numFmt w:val="bullet"/>
      <w:lvlText w:val="•"/>
      <w:lvlJc w:val="left"/>
      <w:pPr>
        <w:ind w:left="1183" w:hanging="111"/>
      </w:pPr>
      <w:rPr>
        <w:rFonts w:hint="default"/>
      </w:rPr>
    </w:lvl>
    <w:lvl w:ilvl="6" w:tplc="2CBA21C8">
      <w:numFmt w:val="bullet"/>
      <w:lvlText w:val="•"/>
      <w:lvlJc w:val="left"/>
      <w:pPr>
        <w:ind w:left="1384" w:hanging="111"/>
      </w:pPr>
      <w:rPr>
        <w:rFonts w:hint="default"/>
      </w:rPr>
    </w:lvl>
    <w:lvl w:ilvl="7" w:tplc="3A9C011A">
      <w:numFmt w:val="bullet"/>
      <w:lvlText w:val="•"/>
      <w:lvlJc w:val="left"/>
      <w:pPr>
        <w:ind w:left="1584" w:hanging="111"/>
      </w:pPr>
      <w:rPr>
        <w:rFonts w:hint="default"/>
      </w:rPr>
    </w:lvl>
    <w:lvl w:ilvl="8" w:tplc="9F923A90">
      <w:numFmt w:val="bullet"/>
      <w:lvlText w:val="•"/>
      <w:lvlJc w:val="left"/>
      <w:pPr>
        <w:ind w:left="1785" w:hanging="111"/>
      </w:pPr>
      <w:rPr>
        <w:rFonts w:hint="default"/>
      </w:rPr>
    </w:lvl>
  </w:abstractNum>
  <w:abstractNum w:abstractNumId="4">
    <w:nsid w:val="089B530D"/>
    <w:multiLevelType w:val="hybridMultilevel"/>
    <w:tmpl w:val="C9E0357E"/>
    <w:lvl w:ilvl="0" w:tplc="6A628F3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224E95E">
      <w:numFmt w:val="bullet"/>
      <w:lvlText w:val="•"/>
      <w:lvlJc w:val="left"/>
      <w:pPr>
        <w:ind w:left="380" w:hanging="111"/>
      </w:pPr>
      <w:rPr>
        <w:rFonts w:hint="default"/>
      </w:rPr>
    </w:lvl>
    <w:lvl w:ilvl="2" w:tplc="6B0E881C">
      <w:numFmt w:val="bullet"/>
      <w:lvlText w:val="•"/>
      <w:lvlJc w:val="left"/>
      <w:pPr>
        <w:ind w:left="581" w:hanging="111"/>
      </w:pPr>
      <w:rPr>
        <w:rFonts w:hint="default"/>
      </w:rPr>
    </w:lvl>
    <w:lvl w:ilvl="3" w:tplc="37A29164">
      <w:numFmt w:val="bullet"/>
      <w:lvlText w:val="•"/>
      <w:lvlJc w:val="left"/>
      <w:pPr>
        <w:ind w:left="782" w:hanging="111"/>
      </w:pPr>
      <w:rPr>
        <w:rFonts w:hint="default"/>
      </w:rPr>
    </w:lvl>
    <w:lvl w:ilvl="4" w:tplc="2BF4B656">
      <w:numFmt w:val="bullet"/>
      <w:lvlText w:val="•"/>
      <w:lvlJc w:val="left"/>
      <w:pPr>
        <w:ind w:left="982" w:hanging="111"/>
      </w:pPr>
      <w:rPr>
        <w:rFonts w:hint="default"/>
      </w:rPr>
    </w:lvl>
    <w:lvl w:ilvl="5" w:tplc="9B208A4C">
      <w:numFmt w:val="bullet"/>
      <w:lvlText w:val="•"/>
      <w:lvlJc w:val="left"/>
      <w:pPr>
        <w:ind w:left="1183" w:hanging="111"/>
      </w:pPr>
      <w:rPr>
        <w:rFonts w:hint="default"/>
      </w:rPr>
    </w:lvl>
    <w:lvl w:ilvl="6" w:tplc="1DF25310">
      <w:numFmt w:val="bullet"/>
      <w:lvlText w:val="•"/>
      <w:lvlJc w:val="left"/>
      <w:pPr>
        <w:ind w:left="1384" w:hanging="111"/>
      </w:pPr>
      <w:rPr>
        <w:rFonts w:hint="default"/>
      </w:rPr>
    </w:lvl>
    <w:lvl w:ilvl="7" w:tplc="247E81C6">
      <w:numFmt w:val="bullet"/>
      <w:lvlText w:val="•"/>
      <w:lvlJc w:val="left"/>
      <w:pPr>
        <w:ind w:left="1584" w:hanging="111"/>
      </w:pPr>
      <w:rPr>
        <w:rFonts w:hint="default"/>
      </w:rPr>
    </w:lvl>
    <w:lvl w:ilvl="8" w:tplc="02142BAC">
      <w:numFmt w:val="bullet"/>
      <w:lvlText w:val="•"/>
      <w:lvlJc w:val="left"/>
      <w:pPr>
        <w:ind w:left="1785" w:hanging="111"/>
      </w:pPr>
      <w:rPr>
        <w:rFonts w:hint="default"/>
      </w:rPr>
    </w:lvl>
  </w:abstractNum>
  <w:abstractNum w:abstractNumId="5">
    <w:nsid w:val="09C907D5"/>
    <w:multiLevelType w:val="hybridMultilevel"/>
    <w:tmpl w:val="4DD68CAE"/>
    <w:lvl w:ilvl="0" w:tplc="51EE9080">
      <w:numFmt w:val="bullet"/>
      <w:lvlText w:val=""/>
      <w:lvlJc w:val="left"/>
      <w:pPr>
        <w:ind w:left="439" w:hanging="246"/>
      </w:pPr>
      <w:rPr>
        <w:rFonts w:ascii="Wingdings" w:eastAsia="Wingdings" w:hAnsi="Wingdings" w:cs="Wingdings" w:hint="default"/>
        <w:w w:val="99"/>
        <w:sz w:val="20"/>
        <w:szCs w:val="20"/>
      </w:rPr>
    </w:lvl>
    <w:lvl w:ilvl="1" w:tplc="06E6101A">
      <w:numFmt w:val="bullet"/>
      <w:lvlText w:val="•"/>
      <w:lvlJc w:val="left"/>
      <w:pPr>
        <w:ind w:left="930" w:hanging="246"/>
      </w:pPr>
      <w:rPr>
        <w:rFonts w:hint="default"/>
      </w:rPr>
    </w:lvl>
    <w:lvl w:ilvl="2" w:tplc="1F3484C0">
      <w:numFmt w:val="bullet"/>
      <w:lvlText w:val="•"/>
      <w:lvlJc w:val="left"/>
      <w:pPr>
        <w:ind w:left="1421" w:hanging="246"/>
      </w:pPr>
      <w:rPr>
        <w:rFonts w:hint="default"/>
      </w:rPr>
    </w:lvl>
    <w:lvl w:ilvl="3" w:tplc="62EC7A7A">
      <w:numFmt w:val="bullet"/>
      <w:lvlText w:val="•"/>
      <w:lvlJc w:val="left"/>
      <w:pPr>
        <w:ind w:left="1912" w:hanging="246"/>
      </w:pPr>
      <w:rPr>
        <w:rFonts w:hint="default"/>
      </w:rPr>
    </w:lvl>
    <w:lvl w:ilvl="4" w:tplc="232EE3FE">
      <w:numFmt w:val="bullet"/>
      <w:lvlText w:val="•"/>
      <w:lvlJc w:val="left"/>
      <w:pPr>
        <w:ind w:left="2402" w:hanging="246"/>
      </w:pPr>
      <w:rPr>
        <w:rFonts w:hint="default"/>
      </w:rPr>
    </w:lvl>
    <w:lvl w:ilvl="5" w:tplc="4C18CB92">
      <w:numFmt w:val="bullet"/>
      <w:lvlText w:val="•"/>
      <w:lvlJc w:val="left"/>
      <w:pPr>
        <w:ind w:left="2893" w:hanging="246"/>
      </w:pPr>
      <w:rPr>
        <w:rFonts w:hint="default"/>
      </w:rPr>
    </w:lvl>
    <w:lvl w:ilvl="6" w:tplc="15BC2666">
      <w:numFmt w:val="bullet"/>
      <w:lvlText w:val="•"/>
      <w:lvlJc w:val="left"/>
      <w:pPr>
        <w:ind w:left="3384" w:hanging="246"/>
      </w:pPr>
      <w:rPr>
        <w:rFonts w:hint="default"/>
      </w:rPr>
    </w:lvl>
    <w:lvl w:ilvl="7" w:tplc="8E40D1C6">
      <w:numFmt w:val="bullet"/>
      <w:lvlText w:val="•"/>
      <w:lvlJc w:val="left"/>
      <w:pPr>
        <w:ind w:left="3875" w:hanging="246"/>
      </w:pPr>
      <w:rPr>
        <w:rFonts w:hint="default"/>
      </w:rPr>
    </w:lvl>
    <w:lvl w:ilvl="8" w:tplc="42F03D5C">
      <w:numFmt w:val="bullet"/>
      <w:lvlText w:val="•"/>
      <w:lvlJc w:val="left"/>
      <w:pPr>
        <w:ind w:left="4365" w:hanging="246"/>
      </w:pPr>
      <w:rPr>
        <w:rFonts w:hint="default"/>
      </w:rPr>
    </w:lvl>
  </w:abstractNum>
  <w:abstractNum w:abstractNumId="6">
    <w:nsid w:val="0A6C042A"/>
    <w:multiLevelType w:val="hybridMultilevel"/>
    <w:tmpl w:val="C6F8C64C"/>
    <w:lvl w:ilvl="0" w:tplc="D81C3C9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5B7C1D0A">
      <w:numFmt w:val="bullet"/>
      <w:lvlText w:val="•"/>
      <w:lvlJc w:val="left"/>
      <w:pPr>
        <w:ind w:left="352" w:hanging="111"/>
      </w:pPr>
      <w:rPr>
        <w:rFonts w:hint="default"/>
      </w:rPr>
    </w:lvl>
    <w:lvl w:ilvl="2" w:tplc="81F4DD90">
      <w:numFmt w:val="bullet"/>
      <w:lvlText w:val="•"/>
      <w:lvlJc w:val="left"/>
      <w:pPr>
        <w:ind w:left="524" w:hanging="111"/>
      </w:pPr>
      <w:rPr>
        <w:rFonts w:hint="default"/>
      </w:rPr>
    </w:lvl>
    <w:lvl w:ilvl="3" w:tplc="8E085652">
      <w:numFmt w:val="bullet"/>
      <w:lvlText w:val="•"/>
      <w:lvlJc w:val="left"/>
      <w:pPr>
        <w:ind w:left="697" w:hanging="111"/>
      </w:pPr>
      <w:rPr>
        <w:rFonts w:hint="default"/>
      </w:rPr>
    </w:lvl>
    <w:lvl w:ilvl="4" w:tplc="EFF0878E">
      <w:numFmt w:val="bullet"/>
      <w:lvlText w:val="•"/>
      <w:lvlJc w:val="left"/>
      <w:pPr>
        <w:ind w:left="869" w:hanging="111"/>
      </w:pPr>
      <w:rPr>
        <w:rFonts w:hint="default"/>
      </w:rPr>
    </w:lvl>
    <w:lvl w:ilvl="5" w:tplc="F95E567E">
      <w:numFmt w:val="bullet"/>
      <w:lvlText w:val="•"/>
      <w:lvlJc w:val="left"/>
      <w:pPr>
        <w:ind w:left="1041" w:hanging="111"/>
      </w:pPr>
      <w:rPr>
        <w:rFonts w:hint="default"/>
      </w:rPr>
    </w:lvl>
    <w:lvl w:ilvl="6" w:tplc="7A521D08">
      <w:numFmt w:val="bullet"/>
      <w:lvlText w:val="•"/>
      <w:lvlJc w:val="left"/>
      <w:pPr>
        <w:ind w:left="1214" w:hanging="111"/>
      </w:pPr>
      <w:rPr>
        <w:rFonts w:hint="default"/>
      </w:rPr>
    </w:lvl>
    <w:lvl w:ilvl="7" w:tplc="FDD8E506">
      <w:numFmt w:val="bullet"/>
      <w:lvlText w:val="•"/>
      <w:lvlJc w:val="left"/>
      <w:pPr>
        <w:ind w:left="1386" w:hanging="111"/>
      </w:pPr>
      <w:rPr>
        <w:rFonts w:hint="default"/>
      </w:rPr>
    </w:lvl>
    <w:lvl w:ilvl="8" w:tplc="A5B4897E">
      <w:numFmt w:val="bullet"/>
      <w:lvlText w:val="•"/>
      <w:lvlJc w:val="left"/>
      <w:pPr>
        <w:ind w:left="1559" w:hanging="111"/>
      </w:pPr>
      <w:rPr>
        <w:rFonts w:hint="default"/>
      </w:rPr>
    </w:lvl>
  </w:abstractNum>
  <w:abstractNum w:abstractNumId="7">
    <w:nsid w:val="0C584A6C"/>
    <w:multiLevelType w:val="hybridMultilevel"/>
    <w:tmpl w:val="9758A15A"/>
    <w:lvl w:ilvl="0" w:tplc="9EFE1B3E">
      <w:numFmt w:val="bullet"/>
      <w:lvlText w:val="*"/>
      <w:lvlJc w:val="left"/>
      <w:pPr>
        <w:ind w:left="345" w:hanging="125"/>
      </w:pPr>
      <w:rPr>
        <w:rFonts w:ascii="Cambria" w:eastAsia="Cambria" w:hAnsi="Cambria" w:cs="Cambria" w:hint="default"/>
        <w:w w:val="100"/>
        <w:position w:val="6"/>
        <w:sz w:val="16"/>
        <w:szCs w:val="16"/>
      </w:rPr>
    </w:lvl>
    <w:lvl w:ilvl="1" w:tplc="5B52DB9E">
      <w:numFmt w:val="bullet"/>
      <w:lvlText w:val="•"/>
      <w:lvlJc w:val="left"/>
      <w:pPr>
        <w:ind w:left="1286" w:hanging="125"/>
      </w:pPr>
      <w:rPr>
        <w:rFonts w:hint="default"/>
      </w:rPr>
    </w:lvl>
    <w:lvl w:ilvl="2" w:tplc="BB22888C">
      <w:numFmt w:val="bullet"/>
      <w:lvlText w:val="•"/>
      <w:lvlJc w:val="left"/>
      <w:pPr>
        <w:ind w:left="2232" w:hanging="125"/>
      </w:pPr>
      <w:rPr>
        <w:rFonts w:hint="default"/>
      </w:rPr>
    </w:lvl>
    <w:lvl w:ilvl="3" w:tplc="E3607D0C">
      <w:numFmt w:val="bullet"/>
      <w:lvlText w:val="•"/>
      <w:lvlJc w:val="left"/>
      <w:pPr>
        <w:ind w:left="3178" w:hanging="125"/>
      </w:pPr>
      <w:rPr>
        <w:rFonts w:hint="default"/>
      </w:rPr>
    </w:lvl>
    <w:lvl w:ilvl="4" w:tplc="D9120C6A">
      <w:numFmt w:val="bullet"/>
      <w:lvlText w:val="•"/>
      <w:lvlJc w:val="left"/>
      <w:pPr>
        <w:ind w:left="4124" w:hanging="125"/>
      </w:pPr>
      <w:rPr>
        <w:rFonts w:hint="default"/>
      </w:rPr>
    </w:lvl>
    <w:lvl w:ilvl="5" w:tplc="7E503736">
      <w:numFmt w:val="bullet"/>
      <w:lvlText w:val="•"/>
      <w:lvlJc w:val="left"/>
      <w:pPr>
        <w:ind w:left="5070" w:hanging="125"/>
      </w:pPr>
      <w:rPr>
        <w:rFonts w:hint="default"/>
      </w:rPr>
    </w:lvl>
    <w:lvl w:ilvl="6" w:tplc="5E44BE88">
      <w:numFmt w:val="bullet"/>
      <w:lvlText w:val="•"/>
      <w:lvlJc w:val="left"/>
      <w:pPr>
        <w:ind w:left="6016" w:hanging="125"/>
      </w:pPr>
      <w:rPr>
        <w:rFonts w:hint="default"/>
      </w:rPr>
    </w:lvl>
    <w:lvl w:ilvl="7" w:tplc="1FDA6528">
      <w:numFmt w:val="bullet"/>
      <w:lvlText w:val="•"/>
      <w:lvlJc w:val="left"/>
      <w:pPr>
        <w:ind w:left="6962" w:hanging="125"/>
      </w:pPr>
      <w:rPr>
        <w:rFonts w:hint="default"/>
      </w:rPr>
    </w:lvl>
    <w:lvl w:ilvl="8" w:tplc="2A8477AE">
      <w:numFmt w:val="bullet"/>
      <w:lvlText w:val="•"/>
      <w:lvlJc w:val="left"/>
      <w:pPr>
        <w:ind w:left="7908" w:hanging="125"/>
      </w:pPr>
      <w:rPr>
        <w:rFonts w:hint="default"/>
      </w:rPr>
    </w:lvl>
  </w:abstractNum>
  <w:abstractNum w:abstractNumId="8">
    <w:nsid w:val="0EB43758"/>
    <w:multiLevelType w:val="hybridMultilevel"/>
    <w:tmpl w:val="CD6A1276"/>
    <w:lvl w:ilvl="0" w:tplc="A5785FC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4165E2E">
      <w:numFmt w:val="bullet"/>
      <w:lvlText w:val="•"/>
      <w:lvlJc w:val="left"/>
      <w:pPr>
        <w:ind w:left="390" w:hanging="111"/>
      </w:pPr>
      <w:rPr>
        <w:rFonts w:hint="default"/>
      </w:rPr>
    </w:lvl>
    <w:lvl w:ilvl="2" w:tplc="82A8DA7A">
      <w:numFmt w:val="bullet"/>
      <w:lvlText w:val="•"/>
      <w:lvlJc w:val="left"/>
      <w:pPr>
        <w:ind w:left="601" w:hanging="111"/>
      </w:pPr>
      <w:rPr>
        <w:rFonts w:hint="default"/>
      </w:rPr>
    </w:lvl>
    <w:lvl w:ilvl="3" w:tplc="F6F22596">
      <w:numFmt w:val="bullet"/>
      <w:lvlText w:val="•"/>
      <w:lvlJc w:val="left"/>
      <w:pPr>
        <w:ind w:left="812" w:hanging="111"/>
      </w:pPr>
      <w:rPr>
        <w:rFonts w:hint="default"/>
      </w:rPr>
    </w:lvl>
    <w:lvl w:ilvl="4" w:tplc="42D2DEB6">
      <w:numFmt w:val="bullet"/>
      <w:lvlText w:val="•"/>
      <w:lvlJc w:val="left"/>
      <w:pPr>
        <w:ind w:left="1023" w:hanging="111"/>
      </w:pPr>
      <w:rPr>
        <w:rFonts w:hint="default"/>
      </w:rPr>
    </w:lvl>
    <w:lvl w:ilvl="5" w:tplc="93F8F3F4">
      <w:numFmt w:val="bullet"/>
      <w:lvlText w:val="•"/>
      <w:lvlJc w:val="left"/>
      <w:pPr>
        <w:ind w:left="1233" w:hanging="111"/>
      </w:pPr>
      <w:rPr>
        <w:rFonts w:hint="default"/>
      </w:rPr>
    </w:lvl>
    <w:lvl w:ilvl="6" w:tplc="8998F050">
      <w:numFmt w:val="bullet"/>
      <w:lvlText w:val="•"/>
      <w:lvlJc w:val="left"/>
      <w:pPr>
        <w:ind w:left="1444" w:hanging="111"/>
      </w:pPr>
      <w:rPr>
        <w:rFonts w:hint="default"/>
      </w:rPr>
    </w:lvl>
    <w:lvl w:ilvl="7" w:tplc="AFD610D2">
      <w:numFmt w:val="bullet"/>
      <w:lvlText w:val="•"/>
      <w:lvlJc w:val="left"/>
      <w:pPr>
        <w:ind w:left="1655" w:hanging="111"/>
      </w:pPr>
      <w:rPr>
        <w:rFonts w:hint="default"/>
      </w:rPr>
    </w:lvl>
    <w:lvl w:ilvl="8" w:tplc="C00414A6">
      <w:numFmt w:val="bullet"/>
      <w:lvlText w:val="•"/>
      <w:lvlJc w:val="left"/>
      <w:pPr>
        <w:ind w:left="1866" w:hanging="111"/>
      </w:pPr>
      <w:rPr>
        <w:rFonts w:hint="default"/>
      </w:rPr>
    </w:lvl>
  </w:abstractNum>
  <w:abstractNum w:abstractNumId="9">
    <w:nsid w:val="12586CCF"/>
    <w:multiLevelType w:val="hybridMultilevel"/>
    <w:tmpl w:val="44027CDE"/>
    <w:lvl w:ilvl="0" w:tplc="EB8AA6C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51409722">
      <w:numFmt w:val="bullet"/>
      <w:lvlText w:val="•"/>
      <w:lvlJc w:val="left"/>
      <w:pPr>
        <w:ind w:left="380" w:hanging="111"/>
      </w:pPr>
      <w:rPr>
        <w:rFonts w:hint="default"/>
      </w:rPr>
    </w:lvl>
    <w:lvl w:ilvl="2" w:tplc="9086D438">
      <w:numFmt w:val="bullet"/>
      <w:lvlText w:val="•"/>
      <w:lvlJc w:val="left"/>
      <w:pPr>
        <w:ind w:left="581" w:hanging="111"/>
      </w:pPr>
      <w:rPr>
        <w:rFonts w:hint="default"/>
      </w:rPr>
    </w:lvl>
    <w:lvl w:ilvl="3" w:tplc="25D0E018">
      <w:numFmt w:val="bullet"/>
      <w:lvlText w:val="•"/>
      <w:lvlJc w:val="left"/>
      <w:pPr>
        <w:ind w:left="782" w:hanging="111"/>
      </w:pPr>
      <w:rPr>
        <w:rFonts w:hint="default"/>
      </w:rPr>
    </w:lvl>
    <w:lvl w:ilvl="4" w:tplc="8DEE8212">
      <w:numFmt w:val="bullet"/>
      <w:lvlText w:val="•"/>
      <w:lvlJc w:val="left"/>
      <w:pPr>
        <w:ind w:left="982" w:hanging="111"/>
      </w:pPr>
      <w:rPr>
        <w:rFonts w:hint="default"/>
      </w:rPr>
    </w:lvl>
    <w:lvl w:ilvl="5" w:tplc="6EFC29A6">
      <w:numFmt w:val="bullet"/>
      <w:lvlText w:val="•"/>
      <w:lvlJc w:val="left"/>
      <w:pPr>
        <w:ind w:left="1183" w:hanging="111"/>
      </w:pPr>
      <w:rPr>
        <w:rFonts w:hint="default"/>
      </w:rPr>
    </w:lvl>
    <w:lvl w:ilvl="6" w:tplc="48A6582E">
      <w:numFmt w:val="bullet"/>
      <w:lvlText w:val="•"/>
      <w:lvlJc w:val="left"/>
      <w:pPr>
        <w:ind w:left="1384" w:hanging="111"/>
      </w:pPr>
      <w:rPr>
        <w:rFonts w:hint="default"/>
      </w:rPr>
    </w:lvl>
    <w:lvl w:ilvl="7" w:tplc="5EF093DE">
      <w:numFmt w:val="bullet"/>
      <w:lvlText w:val="•"/>
      <w:lvlJc w:val="left"/>
      <w:pPr>
        <w:ind w:left="1584" w:hanging="111"/>
      </w:pPr>
      <w:rPr>
        <w:rFonts w:hint="default"/>
      </w:rPr>
    </w:lvl>
    <w:lvl w:ilvl="8" w:tplc="1670047C">
      <w:numFmt w:val="bullet"/>
      <w:lvlText w:val="•"/>
      <w:lvlJc w:val="left"/>
      <w:pPr>
        <w:ind w:left="1785" w:hanging="111"/>
      </w:pPr>
      <w:rPr>
        <w:rFonts w:hint="default"/>
      </w:rPr>
    </w:lvl>
  </w:abstractNum>
  <w:abstractNum w:abstractNumId="10">
    <w:nsid w:val="14C031CF"/>
    <w:multiLevelType w:val="hybridMultilevel"/>
    <w:tmpl w:val="25663266"/>
    <w:lvl w:ilvl="0" w:tplc="FFE21314">
      <w:numFmt w:val="bullet"/>
      <w:lvlText w:val=""/>
      <w:lvlJc w:val="left"/>
      <w:pPr>
        <w:ind w:left="160" w:hanging="142"/>
      </w:pPr>
      <w:rPr>
        <w:rFonts w:ascii="Wingdings" w:eastAsia="Wingdings" w:hAnsi="Wingdings" w:cs="Wingdings" w:hint="default"/>
        <w:w w:val="99"/>
        <w:sz w:val="20"/>
        <w:szCs w:val="20"/>
      </w:rPr>
    </w:lvl>
    <w:lvl w:ilvl="1" w:tplc="27A6739C">
      <w:numFmt w:val="bullet"/>
      <w:lvlText w:val="•"/>
      <w:lvlJc w:val="left"/>
      <w:pPr>
        <w:ind w:left="397" w:hanging="142"/>
      </w:pPr>
      <w:rPr>
        <w:rFonts w:hint="default"/>
      </w:rPr>
    </w:lvl>
    <w:lvl w:ilvl="2" w:tplc="8F58C2B0">
      <w:numFmt w:val="bullet"/>
      <w:lvlText w:val="•"/>
      <w:lvlJc w:val="left"/>
      <w:pPr>
        <w:ind w:left="634" w:hanging="142"/>
      </w:pPr>
      <w:rPr>
        <w:rFonts w:hint="default"/>
      </w:rPr>
    </w:lvl>
    <w:lvl w:ilvl="3" w:tplc="6054F590">
      <w:numFmt w:val="bullet"/>
      <w:lvlText w:val="•"/>
      <w:lvlJc w:val="left"/>
      <w:pPr>
        <w:ind w:left="871" w:hanging="142"/>
      </w:pPr>
      <w:rPr>
        <w:rFonts w:hint="default"/>
      </w:rPr>
    </w:lvl>
    <w:lvl w:ilvl="4" w:tplc="5E8CBB6E">
      <w:numFmt w:val="bullet"/>
      <w:lvlText w:val="•"/>
      <w:lvlJc w:val="left"/>
      <w:pPr>
        <w:ind w:left="1109" w:hanging="142"/>
      </w:pPr>
      <w:rPr>
        <w:rFonts w:hint="default"/>
      </w:rPr>
    </w:lvl>
    <w:lvl w:ilvl="5" w:tplc="0F04496E">
      <w:numFmt w:val="bullet"/>
      <w:lvlText w:val="•"/>
      <w:lvlJc w:val="left"/>
      <w:pPr>
        <w:ind w:left="1346" w:hanging="142"/>
      </w:pPr>
      <w:rPr>
        <w:rFonts w:hint="default"/>
      </w:rPr>
    </w:lvl>
    <w:lvl w:ilvl="6" w:tplc="6ADA8F2C">
      <w:numFmt w:val="bullet"/>
      <w:lvlText w:val="•"/>
      <w:lvlJc w:val="left"/>
      <w:pPr>
        <w:ind w:left="1583" w:hanging="142"/>
      </w:pPr>
      <w:rPr>
        <w:rFonts w:hint="default"/>
      </w:rPr>
    </w:lvl>
    <w:lvl w:ilvl="7" w:tplc="F140ADF0">
      <w:numFmt w:val="bullet"/>
      <w:lvlText w:val="•"/>
      <w:lvlJc w:val="left"/>
      <w:pPr>
        <w:ind w:left="1820" w:hanging="142"/>
      </w:pPr>
      <w:rPr>
        <w:rFonts w:hint="default"/>
      </w:rPr>
    </w:lvl>
    <w:lvl w:ilvl="8" w:tplc="6D9218EC">
      <w:numFmt w:val="bullet"/>
      <w:lvlText w:val="•"/>
      <w:lvlJc w:val="left"/>
      <w:pPr>
        <w:ind w:left="2057" w:hanging="142"/>
      </w:pPr>
      <w:rPr>
        <w:rFonts w:hint="default"/>
      </w:rPr>
    </w:lvl>
  </w:abstractNum>
  <w:abstractNum w:abstractNumId="11">
    <w:nsid w:val="15A177CC"/>
    <w:multiLevelType w:val="hybridMultilevel"/>
    <w:tmpl w:val="5ADC2CD0"/>
    <w:lvl w:ilvl="0" w:tplc="A56CC4D8">
      <w:numFmt w:val="bullet"/>
      <w:lvlText w:val="-"/>
      <w:lvlJc w:val="left"/>
      <w:pPr>
        <w:ind w:left="266" w:hanging="164"/>
      </w:pPr>
      <w:rPr>
        <w:rFonts w:ascii="Calibri" w:eastAsia="Calibri" w:hAnsi="Calibri" w:cs="Calibri" w:hint="default"/>
        <w:w w:val="99"/>
        <w:sz w:val="20"/>
        <w:szCs w:val="20"/>
      </w:rPr>
    </w:lvl>
    <w:lvl w:ilvl="1" w:tplc="4DAAC8B2">
      <w:numFmt w:val="bullet"/>
      <w:lvlText w:val="•"/>
      <w:lvlJc w:val="left"/>
      <w:pPr>
        <w:ind w:left="422" w:hanging="164"/>
      </w:pPr>
      <w:rPr>
        <w:rFonts w:hint="default"/>
      </w:rPr>
    </w:lvl>
    <w:lvl w:ilvl="2" w:tplc="FB2EB572">
      <w:numFmt w:val="bullet"/>
      <w:lvlText w:val="•"/>
      <w:lvlJc w:val="left"/>
      <w:pPr>
        <w:ind w:left="584" w:hanging="164"/>
      </w:pPr>
      <w:rPr>
        <w:rFonts w:hint="default"/>
      </w:rPr>
    </w:lvl>
    <w:lvl w:ilvl="3" w:tplc="6A1AE7FC">
      <w:numFmt w:val="bullet"/>
      <w:lvlText w:val="•"/>
      <w:lvlJc w:val="left"/>
      <w:pPr>
        <w:ind w:left="746" w:hanging="164"/>
      </w:pPr>
      <w:rPr>
        <w:rFonts w:hint="default"/>
      </w:rPr>
    </w:lvl>
    <w:lvl w:ilvl="4" w:tplc="43CEAA5E">
      <w:numFmt w:val="bullet"/>
      <w:lvlText w:val="•"/>
      <w:lvlJc w:val="left"/>
      <w:pPr>
        <w:ind w:left="908" w:hanging="164"/>
      </w:pPr>
      <w:rPr>
        <w:rFonts w:hint="default"/>
      </w:rPr>
    </w:lvl>
    <w:lvl w:ilvl="5" w:tplc="74B84392">
      <w:numFmt w:val="bullet"/>
      <w:lvlText w:val="•"/>
      <w:lvlJc w:val="left"/>
      <w:pPr>
        <w:ind w:left="1071" w:hanging="164"/>
      </w:pPr>
      <w:rPr>
        <w:rFonts w:hint="default"/>
      </w:rPr>
    </w:lvl>
    <w:lvl w:ilvl="6" w:tplc="8BA49E12">
      <w:numFmt w:val="bullet"/>
      <w:lvlText w:val="•"/>
      <w:lvlJc w:val="left"/>
      <w:pPr>
        <w:ind w:left="1233" w:hanging="164"/>
      </w:pPr>
      <w:rPr>
        <w:rFonts w:hint="default"/>
      </w:rPr>
    </w:lvl>
    <w:lvl w:ilvl="7" w:tplc="982C7F48">
      <w:numFmt w:val="bullet"/>
      <w:lvlText w:val="•"/>
      <w:lvlJc w:val="left"/>
      <w:pPr>
        <w:ind w:left="1395" w:hanging="164"/>
      </w:pPr>
      <w:rPr>
        <w:rFonts w:hint="default"/>
      </w:rPr>
    </w:lvl>
    <w:lvl w:ilvl="8" w:tplc="7ED2A926">
      <w:numFmt w:val="bullet"/>
      <w:lvlText w:val="•"/>
      <w:lvlJc w:val="left"/>
      <w:pPr>
        <w:ind w:left="1557" w:hanging="164"/>
      </w:pPr>
      <w:rPr>
        <w:rFonts w:hint="default"/>
      </w:rPr>
    </w:lvl>
  </w:abstractNum>
  <w:abstractNum w:abstractNumId="12">
    <w:nsid w:val="181502D3"/>
    <w:multiLevelType w:val="hybridMultilevel"/>
    <w:tmpl w:val="0348569E"/>
    <w:lvl w:ilvl="0" w:tplc="5810C606">
      <w:numFmt w:val="bullet"/>
      <w:lvlText w:val="-"/>
      <w:lvlJc w:val="left"/>
      <w:pPr>
        <w:ind w:left="247" w:hanging="130"/>
      </w:pPr>
      <w:rPr>
        <w:rFonts w:ascii="Calibri" w:eastAsia="Calibri" w:hAnsi="Calibri" w:cs="Calibri" w:hint="default"/>
        <w:w w:val="99"/>
        <w:sz w:val="20"/>
        <w:szCs w:val="20"/>
      </w:rPr>
    </w:lvl>
    <w:lvl w:ilvl="1" w:tplc="634003D4">
      <w:numFmt w:val="bullet"/>
      <w:lvlText w:val="•"/>
      <w:lvlJc w:val="left"/>
      <w:pPr>
        <w:ind w:left="416" w:hanging="130"/>
      </w:pPr>
      <w:rPr>
        <w:rFonts w:hint="default"/>
      </w:rPr>
    </w:lvl>
    <w:lvl w:ilvl="2" w:tplc="59186184">
      <w:numFmt w:val="bullet"/>
      <w:lvlText w:val="•"/>
      <w:lvlJc w:val="left"/>
      <w:pPr>
        <w:ind w:left="592" w:hanging="130"/>
      </w:pPr>
      <w:rPr>
        <w:rFonts w:hint="default"/>
      </w:rPr>
    </w:lvl>
    <w:lvl w:ilvl="3" w:tplc="6F6A98DA">
      <w:numFmt w:val="bullet"/>
      <w:lvlText w:val="•"/>
      <w:lvlJc w:val="left"/>
      <w:pPr>
        <w:ind w:left="768" w:hanging="130"/>
      </w:pPr>
      <w:rPr>
        <w:rFonts w:hint="default"/>
      </w:rPr>
    </w:lvl>
    <w:lvl w:ilvl="4" w:tplc="8A68371C">
      <w:numFmt w:val="bullet"/>
      <w:lvlText w:val="•"/>
      <w:lvlJc w:val="left"/>
      <w:pPr>
        <w:ind w:left="944" w:hanging="130"/>
      </w:pPr>
      <w:rPr>
        <w:rFonts w:hint="default"/>
      </w:rPr>
    </w:lvl>
    <w:lvl w:ilvl="5" w:tplc="76DC6F38">
      <w:numFmt w:val="bullet"/>
      <w:lvlText w:val="•"/>
      <w:lvlJc w:val="left"/>
      <w:pPr>
        <w:ind w:left="1121" w:hanging="130"/>
      </w:pPr>
      <w:rPr>
        <w:rFonts w:hint="default"/>
      </w:rPr>
    </w:lvl>
    <w:lvl w:ilvl="6" w:tplc="520633F8">
      <w:numFmt w:val="bullet"/>
      <w:lvlText w:val="•"/>
      <w:lvlJc w:val="left"/>
      <w:pPr>
        <w:ind w:left="1297" w:hanging="130"/>
      </w:pPr>
      <w:rPr>
        <w:rFonts w:hint="default"/>
      </w:rPr>
    </w:lvl>
    <w:lvl w:ilvl="7" w:tplc="3F88B074">
      <w:numFmt w:val="bullet"/>
      <w:lvlText w:val="•"/>
      <w:lvlJc w:val="left"/>
      <w:pPr>
        <w:ind w:left="1473" w:hanging="130"/>
      </w:pPr>
      <w:rPr>
        <w:rFonts w:hint="default"/>
      </w:rPr>
    </w:lvl>
    <w:lvl w:ilvl="8" w:tplc="DA58DC96">
      <w:numFmt w:val="bullet"/>
      <w:lvlText w:val="•"/>
      <w:lvlJc w:val="left"/>
      <w:pPr>
        <w:ind w:left="1649" w:hanging="130"/>
      </w:pPr>
      <w:rPr>
        <w:rFonts w:hint="default"/>
      </w:rPr>
    </w:lvl>
  </w:abstractNum>
  <w:abstractNum w:abstractNumId="13">
    <w:nsid w:val="1978549D"/>
    <w:multiLevelType w:val="hybridMultilevel"/>
    <w:tmpl w:val="8EFAA284"/>
    <w:lvl w:ilvl="0" w:tplc="22F6A8DA">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1DC21F9E">
      <w:numFmt w:val="bullet"/>
      <w:lvlText w:val="•"/>
      <w:lvlJc w:val="left"/>
      <w:pPr>
        <w:ind w:left="400" w:hanging="111"/>
      </w:pPr>
      <w:rPr>
        <w:rFonts w:hint="default"/>
      </w:rPr>
    </w:lvl>
    <w:lvl w:ilvl="2" w:tplc="63C61D7A">
      <w:numFmt w:val="bullet"/>
      <w:lvlText w:val="•"/>
      <w:lvlJc w:val="left"/>
      <w:pPr>
        <w:ind w:left="620" w:hanging="111"/>
      </w:pPr>
      <w:rPr>
        <w:rFonts w:hint="default"/>
      </w:rPr>
    </w:lvl>
    <w:lvl w:ilvl="3" w:tplc="4800B1BA">
      <w:numFmt w:val="bullet"/>
      <w:lvlText w:val="•"/>
      <w:lvlJc w:val="left"/>
      <w:pPr>
        <w:ind w:left="841" w:hanging="111"/>
      </w:pPr>
      <w:rPr>
        <w:rFonts w:hint="default"/>
      </w:rPr>
    </w:lvl>
    <w:lvl w:ilvl="4" w:tplc="BB380B40">
      <w:numFmt w:val="bullet"/>
      <w:lvlText w:val="•"/>
      <w:lvlJc w:val="left"/>
      <w:pPr>
        <w:ind w:left="1061" w:hanging="111"/>
      </w:pPr>
      <w:rPr>
        <w:rFonts w:hint="default"/>
      </w:rPr>
    </w:lvl>
    <w:lvl w:ilvl="5" w:tplc="F39E85F8">
      <w:numFmt w:val="bullet"/>
      <w:lvlText w:val="•"/>
      <w:lvlJc w:val="left"/>
      <w:pPr>
        <w:ind w:left="1281" w:hanging="111"/>
      </w:pPr>
      <w:rPr>
        <w:rFonts w:hint="default"/>
      </w:rPr>
    </w:lvl>
    <w:lvl w:ilvl="6" w:tplc="E71A58C8">
      <w:numFmt w:val="bullet"/>
      <w:lvlText w:val="•"/>
      <w:lvlJc w:val="left"/>
      <w:pPr>
        <w:ind w:left="1502" w:hanging="111"/>
      </w:pPr>
      <w:rPr>
        <w:rFonts w:hint="default"/>
      </w:rPr>
    </w:lvl>
    <w:lvl w:ilvl="7" w:tplc="7E9CB7AA">
      <w:numFmt w:val="bullet"/>
      <w:lvlText w:val="•"/>
      <w:lvlJc w:val="left"/>
      <w:pPr>
        <w:ind w:left="1722" w:hanging="111"/>
      </w:pPr>
      <w:rPr>
        <w:rFonts w:hint="default"/>
      </w:rPr>
    </w:lvl>
    <w:lvl w:ilvl="8" w:tplc="8AD0EB34">
      <w:numFmt w:val="bullet"/>
      <w:lvlText w:val="•"/>
      <w:lvlJc w:val="left"/>
      <w:pPr>
        <w:ind w:left="1942" w:hanging="111"/>
      </w:pPr>
      <w:rPr>
        <w:rFonts w:hint="default"/>
      </w:rPr>
    </w:lvl>
  </w:abstractNum>
  <w:abstractNum w:abstractNumId="14">
    <w:nsid w:val="22A41356"/>
    <w:multiLevelType w:val="hybridMultilevel"/>
    <w:tmpl w:val="F9F01C9C"/>
    <w:lvl w:ilvl="0" w:tplc="D44E3BC2">
      <w:numFmt w:val="bullet"/>
      <w:lvlText w:val=""/>
      <w:lvlJc w:val="left"/>
      <w:pPr>
        <w:ind w:left="377" w:hanging="207"/>
      </w:pPr>
      <w:rPr>
        <w:rFonts w:ascii="Wingdings" w:eastAsia="Wingdings" w:hAnsi="Wingdings" w:cs="Wingdings" w:hint="default"/>
        <w:w w:val="99"/>
        <w:sz w:val="20"/>
        <w:szCs w:val="20"/>
      </w:rPr>
    </w:lvl>
    <w:lvl w:ilvl="1" w:tplc="FC9EC002">
      <w:numFmt w:val="bullet"/>
      <w:lvlText w:val="•"/>
      <w:lvlJc w:val="left"/>
      <w:pPr>
        <w:ind w:left="873" w:hanging="207"/>
      </w:pPr>
      <w:rPr>
        <w:rFonts w:hint="default"/>
      </w:rPr>
    </w:lvl>
    <w:lvl w:ilvl="2" w:tplc="9D704686">
      <w:numFmt w:val="bullet"/>
      <w:lvlText w:val="•"/>
      <w:lvlJc w:val="left"/>
      <w:pPr>
        <w:ind w:left="1367" w:hanging="207"/>
      </w:pPr>
      <w:rPr>
        <w:rFonts w:hint="default"/>
      </w:rPr>
    </w:lvl>
    <w:lvl w:ilvl="3" w:tplc="FA960A00">
      <w:numFmt w:val="bullet"/>
      <w:lvlText w:val="•"/>
      <w:lvlJc w:val="left"/>
      <w:pPr>
        <w:ind w:left="1861" w:hanging="207"/>
      </w:pPr>
      <w:rPr>
        <w:rFonts w:hint="default"/>
      </w:rPr>
    </w:lvl>
    <w:lvl w:ilvl="4" w:tplc="25720CD8">
      <w:numFmt w:val="bullet"/>
      <w:lvlText w:val="•"/>
      <w:lvlJc w:val="left"/>
      <w:pPr>
        <w:ind w:left="2354" w:hanging="207"/>
      </w:pPr>
      <w:rPr>
        <w:rFonts w:hint="default"/>
      </w:rPr>
    </w:lvl>
    <w:lvl w:ilvl="5" w:tplc="2670FA36">
      <w:numFmt w:val="bullet"/>
      <w:lvlText w:val="•"/>
      <w:lvlJc w:val="left"/>
      <w:pPr>
        <w:ind w:left="2848" w:hanging="207"/>
      </w:pPr>
      <w:rPr>
        <w:rFonts w:hint="default"/>
      </w:rPr>
    </w:lvl>
    <w:lvl w:ilvl="6" w:tplc="ADE48E88">
      <w:numFmt w:val="bullet"/>
      <w:lvlText w:val="•"/>
      <w:lvlJc w:val="left"/>
      <w:pPr>
        <w:ind w:left="3342" w:hanging="207"/>
      </w:pPr>
      <w:rPr>
        <w:rFonts w:hint="default"/>
      </w:rPr>
    </w:lvl>
    <w:lvl w:ilvl="7" w:tplc="6AAA6650">
      <w:numFmt w:val="bullet"/>
      <w:lvlText w:val="•"/>
      <w:lvlJc w:val="left"/>
      <w:pPr>
        <w:ind w:left="3836" w:hanging="207"/>
      </w:pPr>
      <w:rPr>
        <w:rFonts w:hint="default"/>
      </w:rPr>
    </w:lvl>
    <w:lvl w:ilvl="8" w:tplc="9E7C8BBE">
      <w:numFmt w:val="bullet"/>
      <w:lvlText w:val="•"/>
      <w:lvlJc w:val="left"/>
      <w:pPr>
        <w:ind w:left="4329" w:hanging="207"/>
      </w:pPr>
      <w:rPr>
        <w:rFonts w:hint="default"/>
      </w:rPr>
    </w:lvl>
  </w:abstractNum>
  <w:abstractNum w:abstractNumId="15">
    <w:nsid w:val="315B1A41"/>
    <w:multiLevelType w:val="hybridMultilevel"/>
    <w:tmpl w:val="EA184596"/>
    <w:lvl w:ilvl="0" w:tplc="13109A44">
      <w:numFmt w:val="bullet"/>
      <w:lvlText w:val="-"/>
      <w:lvlJc w:val="left"/>
      <w:pPr>
        <w:ind w:left="96" w:hanging="87"/>
      </w:pPr>
      <w:rPr>
        <w:rFonts w:ascii="Calibri" w:eastAsia="Calibri" w:hAnsi="Calibri" w:cs="Calibri" w:hint="default"/>
        <w:w w:val="100"/>
        <w:sz w:val="16"/>
        <w:szCs w:val="16"/>
      </w:rPr>
    </w:lvl>
    <w:lvl w:ilvl="1" w:tplc="B1AA48B8">
      <w:numFmt w:val="bullet"/>
      <w:lvlText w:val="•"/>
      <w:lvlJc w:val="left"/>
      <w:pPr>
        <w:ind w:left="711" w:hanging="87"/>
      </w:pPr>
      <w:rPr>
        <w:rFonts w:hint="default"/>
      </w:rPr>
    </w:lvl>
    <w:lvl w:ilvl="2" w:tplc="38B85750">
      <w:numFmt w:val="bullet"/>
      <w:lvlText w:val="•"/>
      <w:lvlJc w:val="left"/>
      <w:pPr>
        <w:ind w:left="1323" w:hanging="87"/>
      </w:pPr>
      <w:rPr>
        <w:rFonts w:hint="default"/>
      </w:rPr>
    </w:lvl>
    <w:lvl w:ilvl="3" w:tplc="14CE8E6E">
      <w:numFmt w:val="bullet"/>
      <w:lvlText w:val="•"/>
      <w:lvlJc w:val="left"/>
      <w:pPr>
        <w:ind w:left="1935" w:hanging="87"/>
      </w:pPr>
      <w:rPr>
        <w:rFonts w:hint="default"/>
      </w:rPr>
    </w:lvl>
    <w:lvl w:ilvl="4" w:tplc="91B2C4CE">
      <w:numFmt w:val="bullet"/>
      <w:lvlText w:val="•"/>
      <w:lvlJc w:val="left"/>
      <w:pPr>
        <w:ind w:left="2546" w:hanging="87"/>
      </w:pPr>
      <w:rPr>
        <w:rFonts w:hint="default"/>
      </w:rPr>
    </w:lvl>
    <w:lvl w:ilvl="5" w:tplc="C8922584">
      <w:numFmt w:val="bullet"/>
      <w:lvlText w:val="•"/>
      <w:lvlJc w:val="left"/>
      <w:pPr>
        <w:ind w:left="3158" w:hanging="87"/>
      </w:pPr>
      <w:rPr>
        <w:rFonts w:hint="default"/>
      </w:rPr>
    </w:lvl>
    <w:lvl w:ilvl="6" w:tplc="80442C76">
      <w:numFmt w:val="bullet"/>
      <w:lvlText w:val="•"/>
      <w:lvlJc w:val="left"/>
      <w:pPr>
        <w:ind w:left="3770" w:hanging="87"/>
      </w:pPr>
      <w:rPr>
        <w:rFonts w:hint="default"/>
      </w:rPr>
    </w:lvl>
    <w:lvl w:ilvl="7" w:tplc="282C9C08">
      <w:numFmt w:val="bullet"/>
      <w:lvlText w:val="•"/>
      <w:lvlJc w:val="left"/>
      <w:pPr>
        <w:ind w:left="4381" w:hanging="87"/>
      </w:pPr>
      <w:rPr>
        <w:rFonts w:hint="default"/>
      </w:rPr>
    </w:lvl>
    <w:lvl w:ilvl="8" w:tplc="7A1E5D7A">
      <w:numFmt w:val="bullet"/>
      <w:lvlText w:val="•"/>
      <w:lvlJc w:val="left"/>
      <w:pPr>
        <w:ind w:left="4993" w:hanging="87"/>
      </w:pPr>
      <w:rPr>
        <w:rFonts w:hint="default"/>
      </w:rPr>
    </w:lvl>
  </w:abstractNum>
  <w:abstractNum w:abstractNumId="16">
    <w:nsid w:val="332A178E"/>
    <w:multiLevelType w:val="hybridMultilevel"/>
    <w:tmpl w:val="61E64082"/>
    <w:lvl w:ilvl="0" w:tplc="567096D4">
      <w:numFmt w:val="bullet"/>
      <w:lvlText w:val="-"/>
      <w:lvlJc w:val="left"/>
      <w:pPr>
        <w:ind w:left="171" w:hanging="111"/>
      </w:pPr>
      <w:rPr>
        <w:rFonts w:ascii="Calibri" w:eastAsia="Calibri" w:hAnsi="Calibri" w:cs="Calibri" w:hint="default"/>
        <w:color w:val="000080"/>
        <w:w w:val="100"/>
        <w:sz w:val="16"/>
        <w:szCs w:val="16"/>
      </w:rPr>
    </w:lvl>
    <w:lvl w:ilvl="1" w:tplc="0A0CF022">
      <w:numFmt w:val="bullet"/>
      <w:lvlText w:val="•"/>
      <w:lvlJc w:val="left"/>
      <w:pPr>
        <w:ind w:left="390" w:hanging="111"/>
      </w:pPr>
      <w:rPr>
        <w:rFonts w:hint="default"/>
      </w:rPr>
    </w:lvl>
    <w:lvl w:ilvl="2" w:tplc="045482A2">
      <w:numFmt w:val="bullet"/>
      <w:lvlText w:val="•"/>
      <w:lvlJc w:val="left"/>
      <w:pPr>
        <w:ind w:left="601" w:hanging="111"/>
      </w:pPr>
      <w:rPr>
        <w:rFonts w:hint="default"/>
      </w:rPr>
    </w:lvl>
    <w:lvl w:ilvl="3" w:tplc="1E4A6326">
      <w:numFmt w:val="bullet"/>
      <w:lvlText w:val="•"/>
      <w:lvlJc w:val="left"/>
      <w:pPr>
        <w:ind w:left="812" w:hanging="111"/>
      </w:pPr>
      <w:rPr>
        <w:rFonts w:hint="default"/>
      </w:rPr>
    </w:lvl>
    <w:lvl w:ilvl="4" w:tplc="05969CF2">
      <w:numFmt w:val="bullet"/>
      <w:lvlText w:val="•"/>
      <w:lvlJc w:val="left"/>
      <w:pPr>
        <w:ind w:left="1023" w:hanging="111"/>
      </w:pPr>
      <w:rPr>
        <w:rFonts w:hint="default"/>
      </w:rPr>
    </w:lvl>
    <w:lvl w:ilvl="5" w:tplc="79FE92C2">
      <w:numFmt w:val="bullet"/>
      <w:lvlText w:val="•"/>
      <w:lvlJc w:val="left"/>
      <w:pPr>
        <w:ind w:left="1233" w:hanging="111"/>
      </w:pPr>
      <w:rPr>
        <w:rFonts w:hint="default"/>
      </w:rPr>
    </w:lvl>
    <w:lvl w:ilvl="6" w:tplc="B37C52AA">
      <w:numFmt w:val="bullet"/>
      <w:lvlText w:val="•"/>
      <w:lvlJc w:val="left"/>
      <w:pPr>
        <w:ind w:left="1444" w:hanging="111"/>
      </w:pPr>
      <w:rPr>
        <w:rFonts w:hint="default"/>
      </w:rPr>
    </w:lvl>
    <w:lvl w:ilvl="7" w:tplc="A7F4CE06">
      <w:numFmt w:val="bullet"/>
      <w:lvlText w:val="•"/>
      <w:lvlJc w:val="left"/>
      <w:pPr>
        <w:ind w:left="1655" w:hanging="111"/>
      </w:pPr>
      <w:rPr>
        <w:rFonts w:hint="default"/>
      </w:rPr>
    </w:lvl>
    <w:lvl w:ilvl="8" w:tplc="42087ECA">
      <w:numFmt w:val="bullet"/>
      <w:lvlText w:val="•"/>
      <w:lvlJc w:val="left"/>
      <w:pPr>
        <w:ind w:left="1866" w:hanging="111"/>
      </w:pPr>
      <w:rPr>
        <w:rFonts w:hint="default"/>
      </w:rPr>
    </w:lvl>
  </w:abstractNum>
  <w:abstractNum w:abstractNumId="17">
    <w:nsid w:val="338A7403"/>
    <w:multiLevelType w:val="hybridMultilevel"/>
    <w:tmpl w:val="B54EF12A"/>
    <w:lvl w:ilvl="0" w:tplc="70B2DA54">
      <w:numFmt w:val="bullet"/>
      <w:lvlText w:val=""/>
      <w:lvlJc w:val="left"/>
      <w:pPr>
        <w:ind w:left="160" w:hanging="142"/>
      </w:pPr>
      <w:rPr>
        <w:rFonts w:ascii="Wingdings" w:eastAsia="Wingdings" w:hAnsi="Wingdings" w:cs="Wingdings" w:hint="default"/>
        <w:w w:val="99"/>
        <w:sz w:val="20"/>
        <w:szCs w:val="20"/>
      </w:rPr>
    </w:lvl>
    <w:lvl w:ilvl="1" w:tplc="606C825E">
      <w:numFmt w:val="bullet"/>
      <w:lvlText w:val="•"/>
      <w:lvlJc w:val="left"/>
      <w:pPr>
        <w:ind w:left="397" w:hanging="142"/>
      </w:pPr>
      <w:rPr>
        <w:rFonts w:hint="default"/>
      </w:rPr>
    </w:lvl>
    <w:lvl w:ilvl="2" w:tplc="B68A660C">
      <w:numFmt w:val="bullet"/>
      <w:lvlText w:val="•"/>
      <w:lvlJc w:val="left"/>
      <w:pPr>
        <w:ind w:left="634" w:hanging="142"/>
      </w:pPr>
      <w:rPr>
        <w:rFonts w:hint="default"/>
      </w:rPr>
    </w:lvl>
    <w:lvl w:ilvl="3" w:tplc="52DAE8E8">
      <w:numFmt w:val="bullet"/>
      <w:lvlText w:val="•"/>
      <w:lvlJc w:val="left"/>
      <w:pPr>
        <w:ind w:left="871" w:hanging="142"/>
      </w:pPr>
      <w:rPr>
        <w:rFonts w:hint="default"/>
      </w:rPr>
    </w:lvl>
    <w:lvl w:ilvl="4" w:tplc="A9768ACA">
      <w:numFmt w:val="bullet"/>
      <w:lvlText w:val="•"/>
      <w:lvlJc w:val="left"/>
      <w:pPr>
        <w:ind w:left="1109" w:hanging="142"/>
      </w:pPr>
      <w:rPr>
        <w:rFonts w:hint="default"/>
      </w:rPr>
    </w:lvl>
    <w:lvl w:ilvl="5" w:tplc="D6D2CB80">
      <w:numFmt w:val="bullet"/>
      <w:lvlText w:val="•"/>
      <w:lvlJc w:val="left"/>
      <w:pPr>
        <w:ind w:left="1346" w:hanging="142"/>
      </w:pPr>
      <w:rPr>
        <w:rFonts w:hint="default"/>
      </w:rPr>
    </w:lvl>
    <w:lvl w:ilvl="6" w:tplc="981A9E60">
      <w:numFmt w:val="bullet"/>
      <w:lvlText w:val="•"/>
      <w:lvlJc w:val="left"/>
      <w:pPr>
        <w:ind w:left="1583" w:hanging="142"/>
      </w:pPr>
      <w:rPr>
        <w:rFonts w:hint="default"/>
      </w:rPr>
    </w:lvl>
    <w:lvl w:ilvl="7" w:tplc="2FE0F1D8">
      <w:numFmt w:val="bullet"/>
      <w:lvlText w:val="•"/>
      <w:lvlJc w:val="left"/>
      <w:pPr>
        <w:ind w:left="1820" w:hanging="142"/>
      </w:pPr>
      <w:rPr>
        <w:rFonts w:hint="default"/>
      </w:rPr>
    </w:lvl>
    <w:lvl w:ilvl="8" w:tplc="9AF67CC4">
      <w:numFmt w:val="bullet"/>
      <w:lvlText w:val="•"/>
      <w:lvlJc w:val="left"/>
      <w:pPr>
        <w:ind w:left="2058" w:hanging="142"/>
      </w:pPr>
      <w:rPr>
        <w:rFonts w:hint="default"/>
      </w:rPr>
    </w:lvl>
  </w:abstractNum>
  <w:abstractNum w:abstractNumId="18">
    <w:nsid w:val="37CF353A"/>
    <w:multiLevelType w:val="hybridMultilevel"/>
    <w:tmpl w:val="6B00490E"/>
    <w:lvl w:ilvl="0" w:tplc="30AA7920">
      <w:numFmt w:val="bullet"/>
      <w:lvlText w:val="•"/>
      <w:lvlJc w:val="left"/>
      <w:pPr>
        <w:ind w:left="170" w:hanging="111"/>
      </w:pPr>
      <w:rPr>
        <w:rFonts w:ascii="Times New Roman" w:eastAsia="Times New Roman" w:hAnsi="Times New Roman" w:cs="Times New Roman" w:hint="default"/>
        <w:color w:val="000080"/>
        <w:w w:val="100"/>
        <w:sz w:val="17"/>
        <w:szCs w:val="17"/>
      </w:rPr>
    </w:lvl>
    <w:lvl w:ilvl="1" w:tplc="4CE432CA">
      <w:numFmt w:val="bullet"/>
      <w:lvlText w:val="•"/>
      <w:lvlJc w:val="left"/>
      <w:pPr>
        <w:ind w:left="390" w:hanging="111"/>
      </w:pPr>
      <w:rPr>
        <w:rFonts w:hint="default"/>
      </w:rPr>
    </w:lvl>
    <w:lvl w:ilvl="2" w:tplc="BA7E0074">
      <w:numFmt w:val="bullet"/>
      <w:lvlText w:val="•"/>
      <w:lvlJc w:val="left"/>
      <w:pPr>
        <w:ind w:left="601" w:hanging="111"/>
      </w:pPr>
      <w:rPr>
        <w:rFonts w:hint="default"/>
      </w:rPr>
    </w:lvl>
    <w:lvl w:ilvl="3" w:tplc="9F0E4A26">
      <w:numFmt w:val="bullet"/>
      <w:lvlText w:val="•"/>
      <w:lvlJc w:val="left"/>
      <w:pPr>
        <w:ind w:left="812" w:hanging="111"/>
      </w:pPr>
      <w:rPr>
        <w:rFonts w:hint="default"/>
      </w:rPr>
    </w:lvl>
    <w:lvl w:ilvl="4" w:tplc="FC9CA706">
      <w:numFmt w:val="bullet"/>
      <w:lvlText w:val="•"/>
      <w:lvlJc w:val="left"/>
      <w:pPr>
        <w:ind w:left="1023" w:hanging="111"/>
      </w:pPr>
      <w:rPr>
        <w:rFonts w:hint="default"/>
      </w:rPr>
    </w:lvl>
    <w:lvl w:ilvl="5" w:tplc="18140BD0">
      <w:numFmt w:val="bullet"/>
      <w:lvlText w:val="•"/>
      <w:lvlJc w:val="left"/>
      <w:pPr>
        <w:ind w:left="1234" w:hanging="111"/>
      </w:pPr>
      <w:rPr>
        <w:rFonts w:hint="default"/>
      </w:rPr>
    </w:lvl>
    <w:lvl w:ilvl="6" w:tplc="81FC2602">
      <w:numFmt w:val="bullet"/>
      <w:lvlText w:val="•"/>
      <w:lvlJc w:val="left"/>
      <w:pPr>
        <w:ind w:left="1445" w:hanging="111"/>
      </w:pPr>
      <w:rPr>
        <w:rFonts w:hint="default"/>
      </w:rPr>
    </w:lvl>
    <w:lvl w:ilvl="7" w:tplc="9A485F94">
      <w:numFmt w:val="bullet"/>
      <w:lvlText w:val="•"/>
      <w:lvlJc w:val="left"/>
      <w:pPr>
        <w:ind w:left="1656" w:hanging="111"/>
      </w:pPr>
      <w:rPr>
        <w:rFonts w:hint="default"/>
      </w:rPr>
    </w:lvl>
    <w:lvl w:ilvl="8" w:tplc="14903D02">
      <w:numFmt w:val="bullet"/>
      <w:lvlText w:val="•"/>
      <w:lvlJc w:val="left"/>
      <w:pPr>
        <w:ind w:left="1867" w:hanging="111"/>
      </w:pPr>
      <w:rPr>
        <w:rFonts w:hint="default"/>
      </w:rPr>
    </w:lvl>
  </w:abstractNum>
  <w:abstractNum w:abstractNumId="19">
    <w:nsid w:val="39C7393F"/>
    <w:multiLevelType w:val="hybridMultilevel"/>
    <w:tmpl w:val="464894E2"/>
    <w:lvl w:ilvl="0" w:tplc="567096D4">
      <w:numFmt w:val="bullet"/>
      <w:lvlText w:val="-"/>
      <w:lvlJc w:val="left"/>
      <w:pPr>
        <w:ind w:left="172" w:hanging="111"/>
      </w:pPr>
      <w:rPr>
        <w:rFonts w:ascii="Calibri" w:eastAsia="Calibri" w:hAnsi="Calibri" w:cs="Calibri" w:hint="default"/>
        <w:color w:val="000080"/>
        <w:w w:val="100"/>
        <w:sz w:val="16"/>
        <w:szCs w:val="16"/>
      </w:rPr>
    </w:lvl>
    <w:lvl w:ilvl="1" w:tplc="7E3E830E">
      <w:numFmt w:val="bullet"/>
      <w:lvlText w:val="•"/>
      <w:lvlJc w:val="left"/>
      <w:pPr>
        <w:ind w:left="390" w:hanging="111"/>
      </w:pPr>
      <w:rPr>
        <w:rFonts w:hint="default"/>
      </w:rPr>
    </w:lvl>
    <w:lvl w:ilvl="2" w:tplc="55C4D86C">
      <w:numFmt w:val="bullet"/>
      <w:lvlText w:val="•"/>
      <w:lvlJc w:val="left"/>
      <w:pPr>
        <w:ind w:left="601" w:hanging="111"/>
      </w:pPr>
      <w:rPr>
        <w:rFonts w:hint="default"/>
      </w:rPr>
    </w:lvl>
    <w:lvl w:ilvl="3" w:tplc="32EA90C0">
      <w:numFmt w:val="bullet"/>
      <w:lvlText w:val="•"/>
      <w:lvlJc w:val="left"/>
      <w:pPr>
        <w:ind w:left="812" w:hanging="111"/>
      </w:pPr>
      <w:rPr>
        <w:rFonts w:hint="default"/>
      </w:rPr>
    </w:lvl>
    <w:lvl w:ilvl="4" w:tplc="BCE06334">
      <w:numFmt w:val="bullet"/>
      <w:lvlText w:val="•"/>
      <w:lvlJc w:val="left"/>
      <w:pPr>
        <w:ind w:left="1023" w:hanging="111"/>
      </w:pPr>
      <w:rPr>
        <w:rFonts w:hint="default"/>
      </w:rPr>
    </w:lvl>
    <w:lvl w:ilvl="5" w:tplc="2F3C7400">
      <w:numFmt w:val="bullet"/>
      <w:lvlText w:val="•"/>
      <w:lvlJc w:val="left"/>
      <w:pPr>
        <w:ind w:left="1234" w:hanging="111"/>
      </w:pPr>
      <w:rPr>
        <w:rFonts w:hint="default"/>
      </w:rPr>
    </w:lvl>
    <w:lvl w:ilvl="6" w:tplc="9098976C">
      <w:numFmt w:val="bullet"/>
      <w:lvlText w:val="•"/>
      <w:lvlJc w:val="left"/>
      <w:pPr>
        <w:ind w:left="1445" w:hanging="111"/>
      </w:pPr>
      <w:rPr>
        <w:rFonts w:hint="default"/>
      </w:rPr>
    </w:lvl>
    <w:lvl w:ilvl="7" w:tplc="B3AC7306">
      <w:numFmt w:val="bullet"/>
      <w:lvlText w:val="•"/>
      <w:lvlJc w:val="left"/>
      <w:pPr>
        <w:ind w:left="1656" w:hanging="111"/>
      </w:pPr>
      <w:rPr>
        <w:rFonts w:hint="default"/>
      </w:rPr>
    </w:lvl>
    <w:lvl w:ilvl="8" w:tplc="4BC6673A">
      <w:numFmt w:val="bullet"/>
      <w:lvlText w:val="•"/>
      <w:lvlJc w:val="left"/>
      <w:pPr>
        <w:ind w:left="1867" w:hanging="111"/>
      </w:pPr>
      <w:rPr>
        <w:rFonts w:hint="default"/>
      </w:rPr>
    </w:lvl>
  </w:abstractNum>
  <w:abstractNum w:abstractNumId="20">
    <w:nsid w:val="3A836D27"/>
    <w:multiLevelType w:val="hybridMultilevel"/>
    <w:tmpl w:val="5D96AB48"/>
    <w:lvl w:ilvl="0" w:tplc="7C2402B6">
      <w:numFmt w:val="bullet"/>
      <w:lvlText w:val="•"/>
      <w:lvlJc w:val="left"/>
      <w:pPr>
        <w:ind w:left="172" w:hanging="111"/>
      </w:pPr>
      <w:rPr>
        <w:rFonts w:hint="default"/>
        <w:w w:val="100"/>
      </w:rPr>
    </w:lvl>
    <w:lvl w:ilvl="1" w:tplc="7528109C">
      <w:numFmt w:val="bullet"/>
      <w:lvlText w:val="•"/>
      <w:lvlJc w:val="left"/>
      <w:pPr>
        <w:ind w:left="390" w:hanging="111"/>
      </w:pPr>
      <w:rPr>
        <w:rFonts w:hint="default"/>
      </w:rPr>
    </w:lvl>
    <w:lvl w:ilvl="2" w:tplc="7F8CBE32">
      <w:numFmt w:val="bullet"/>
      <w:lvlText w:val="•"/>
      <w:lvlJc w:val="left"/>
      <w:pPr>
        <w:ind w:left="601" w:hanging="111"/>
      </w:pPr>
      <w:rPr>
        <w:rFonts w:hint="default"/>
      </w:rPr>
    </w:lvl>
    <w:lvl w:ilvl="3" w:tplc="0E0893A8">
      <w:numFmt w:val="bullet"/>
      <w:lvlText w:val="•"/>
      <w:lvlJc w:val="left"/>
      <w:pPr>
        <w:ind w:left="812" w:hanging="111"/>
      </w:pPr>
      <w:rPr>
        <w:rFonts w:hint="default"/>
      </w:rPr>
    </w:lvl>
    <w:lvl w:ilvl="4" w:tplc="05B44118">
      <w:numFmt w:val="bullet"/>
      <w:lvlText w:val="•"/>
      <w:lvlJc w:val="left"/>
      <w:pPr>
        <w:ind w:left="1023" w:hanging="111"/>
      </w:pPr>
      <w:rPr>
        <w:rFonts w:hint="default"/>
      </w:rPr>
    </w:lvl>
    <w:lvl w:ilvl="5" w:tplc="B456BEA6">
      <w:numFmt w:val="bullet"/>
      <w:lvlText w:val="•"/>
      <w:lvlJc w:val="left"/>
      <w:pPr>
        <w:ind w:left="1233" w:hanging="111"/>
      </w:pPr>
      <w:rPr>
        <w:rFonts w:hint="default"/>
      </w:rPr>
    </w:lvl>
    <w:lvl w:ilvl="6" w:tplc="59662C10">
      <w:numFmt w:val="bullet"/>
      <w:lvlText w:val="•"/>
      <w:lvlJc w:val="left"/>
      <w:pPr>
        <w:ind w:left="1444" w:hanging="111"/>
      </w:pPr>
      <w:rPr>
        <w:rFonts w:hint="default"/>
      </w:rPr>
    </w:lvl>
    <w:lvl w:ilvl="7" w:tplc="DE18DF0C">
      <w:numFmt w:val="bullet"/>
      <w:lvlText w:val="•"/>
      <w:lvlJc w:val="left"/>
      <w:pPr>
        <w:ind w:left="1655" w:hanging="111"/>
      </w:pPr>
      <w:rPr>
        <w:rFonts w:hint="default"/>
      </w:rPr>
    </w:lvl>
    <w:lvl w:ilvl="8" w:tplc="772C3E8A">
      <w:numFmt w:val="bullet"/>
      <w:lvlText w:val="•"/>
      <w:lvlJc w:val="left"/>
      <w:pPr>
        <w:ind w:left="1866" w:hanging="111"/>
      </w:pPr>
      <w:rPr>
        <w:rFonts w:hint="default"/>
      </w:rPr>
    </w:lvl>
  </w:abstractNum>
  <w:abstractNum w:abstractNumId="21">
    <w:nsid w:val="3BE62D8A"/>
    <w:multiLevelType w:val="hybridMultilevel"/>
    <w:tmpl w:val="A9629CDE"/>
    <w:lvl w:ilvl="0" w:tplc="882EC630">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CF186CD2">
      <w:numFmt w:val="bullet"/>
      <w:lvlText w:val="•"/>
      <w:lvlJc w:val="left"/>
      <w:pPr>
        <w:ind w:left="390" w:hanging="111"/>
      </w:pPr>
      <w:rPr>
        <w:rFonts w:hint="default"/>
      </w:rPr>
    </w:lvl>
    <w:lvl w:ilvl="2" w:tplc="1618FE84">
      <w:numFmt w:val="bullet"/>
      <w:lvlText w:val="•"/>
      <w:lvlJc w:val="left"/>
      <w:pPr>
        <w:ind w:left="601" w:hanging="111"/>
      </w:pPr>
      <w:rPr>
        <w:rFonts w:hint="default"/>
      </w:rPr>
    </w:lvl>
    <w:lvl w:ilvl="3" w:tplc="9C6ED664">
      <w:numFmt w:val="bullet"/>
      <w:lvlText w:val="•"/>
      <w:lvlJc w:val="left"/>
      <w:pPr>
        <w:ind w:left="812" w:hanging="111"/>
      </w:pPr>
      <w:rPr>
        <w:rFonts w:hint="default"/>
      </w:rPr>
    </w:lvl>
    <w:lvl w:ilvl="4" w:tplc="42AAE218">
      <w:numFmt w:val="bullet"/>
      <w:lvlText w:val="•"/>
      <w:lvlJc w:val="left"/>
      <w:pPr>
        <w:ind w:left="1023" w:hanging="111"/>
      </w:pPr>
      <w:rPr>
        <w:rFonts w:hint="default"/>
      </w:rPr>
    </w:lvl>
    <w:lvl w:ilvl="5" w:tplc="2D9064C8">
      <w:numFmt w:val="bullet"/>
      <w:lvlText w:val="•"/>
      <w:lvlJc w:val="left"/>
      <w:pPr>
        <w:ind w:left="1233" w:hanging="111"/>
      </w:pPr>
      <w:rPr>
        <w:rFonts w:hint="default"/>
      </w:rPr>
    </w:lvl>
    <w:lvl w:ilvl="6" w:tplc="E17607F8">
      <w:numFmt w:val="bullet"/>
      <w:lvlText w:val="•"/>
      <w:lvlJc w:val="left"/>
      <w:pPr>
        <w:ind w:left="1444" w:hanging="111"/>
      </w:pPr>
      <w:rPr>
        <w:rFonts w:hint="default"/>
      </w:rPr>
    </w:lvl>
    <w:lvl w:ilvl="7" w:tplc="1F36D1C8">
      <w:numFmt w:val="bullet"/>
      <w:lvlText w:val="•"/>
      <w:lvlJc w:val="left"/>
      <w:pPr>
        <w:ind w:left="1655" w:hanging="111"/>
      </w:pPr>
      <w:rPr>
        <w:rFonts w:hint="default"/>
      </w:rPr>
    </w:lvl>
    <w:lvl w:ilvl="8" w:tplc="665A0B46">
      <w:numFmt w:val="bullet"/>
      <w:lvlText w:val="•"/>
      <w:lvlJc w:val="left"/>
      <w:pPr>
        <w:ind w:left="1866" w:hanging="111"/>
      </w:pPr>
      <w:rPr>
        <w:rFonts w:hint="default"/>
      </w:rPr>
    </w:lvl>
  </w:abstractNum>
  <w:abstractNum w:abstractNumId="22">
    <w:nsid w:val="3CD74B8C"/>
    <w:multiLevelType w:val="hybridMultilevel"/>
    <w:tmpl w:val="07CED2C8"/>
    <w:lvl w:ilvl="0" w:tplc="D84A4FEE">
      <w:numFmt w:val="bullet"/>
      <w:lvlText w:val="-"/>
      <w:lvlJc w:val="left"/>
      <w:pPr>
        <w:ind w:left="266" w:hanging="164"/>
      </w:pPr>
      <w:rPr>
        <w:rFonts w:ascii="Calibri" w:eastAsia="Calibri" w:hAnsi="Calibri" w:cs="Calibri" w:hint="default"/>
        <w:w w:val="99"/>
        <w:sz w:val="20"/>
        <w:szCs w:val="20"/>
      </w:rPr>
    </w:lvl>
    <w:lvl w:ilvl="1" w:tplc="F4B6916C">
      <w:numFmt w:val="bullet"/>
      <w:lvlText w:val="•"/>
      <w:lvlJc w:val="left"/>
      <w:pPr>
        <w:ind w:left="434" w:hanging="164"/>
      </w:pPr>
      <w:rPr>
        <w:rFonts w:hint="default"/>
      </w:rPr>
    </w:lvl>
    <w:lvl w:ilvl="2" w:tplc="772C6C9C">
      <w:numFmt w:val="bullet"/>
      <w:lvlText w:val="•"/>
      <w:lvlJc w:val="left"/>
      <w:pPr>
        <w:ind w:left="608" w:hanging="164"/>
      </w:pPr>
      <w:rPr>
        <w:rFonts w:hint="default"/>
      </w:rPr>
    </w:lvl>
    <w:lvl w:ilvl="3" w:tplc="08AAB07E">
      <w:numFmt w:val="bullet"/>
      <w:lvlText w:val="•"/>
      <w:lvlJc w:val="left"/>
      <w:pPr>
        <w:ind w:left="782" w:hanging="164"/>
      </w:pPr>
      <w:rPr>
        <w:rFonts w:hint="default"/>
      </w:rPr>
    </w:lvl>
    <w:lvl w:ilvl="4" w:tplc="85EAD87E">
      <w:numFmt w:val="bullet"/>
      <w:lvlText w:val="•"/>
      <w:lvlJc w:val="left"/>
      <w:pPr>
        <w:ind w:left="956" w:hanging="164"/>
      </w:pPr>
      <w:rPr>
        <w:rFonts w:hint="default"/>
      </w:rPr>
    </w:lvl>
    <w:lvl w:ilvl="5" w:tplc="D760FD00">
      <w:numFmt w:val="bullet"/>
      <w:lvlText w:val="•"/>
      <w:lvlJc w:val="left"/>
      <w:pPr>
        <w:ind w:left="1131" w:hanging="164"/>
      </w:pPr>
      <w:rPr>
        <w:rFonts w:hint="default"/>
      </w:rPr>
    </w:lvl>
    <w:lvl w:ilvl="6" w:tplc="9E8AB330">
      <w:numFmt w:val="bullet"/>
      <w:lvlText w:val="•"/>
      <w:lvlJc w:val="left"/>
      <w:pPr>
        <w:ind w:left="1305" w:hanging="164"/>
      </w:pPr>
      <w:rPr>
        <w:rFonts w:hint="default"/>
      </w:rPr>
    </w:lvl>
    <w:lvl w:ilvl="7" w:tplc="AD2E282E">
      <w:numFmt w:val="bullet"/>
      <w:lvlText w:val="•"/>
      <w:lvlJc w:val="left"/>
      <w:pPr>
        <w:ind w:left="1479" w:hanging="164"/>
      </w:pPr>
      <w:rPr>
        <w:rFonts w:hint="default"/>
      </w:rPr>
    </w:lvl>
    <w:lvl w:ilvl="8" w:tplc="CB6A5292">
      <w:numFmt w:val="bullet"/>
      <w:lvlText w:val="•"/>
      <w:lvlJc w:val="left"/>
      <w:pPr>
        <w:ind w:left="1653" w:hanging="164"/>
      </w:pPr>
      <w:rPr>
        <w:rFonts w:hint="default"/>
      </w:rPr>
    </w:lvl>
  </w:abstractNum>
  <w:abstractNum w:abstractNumId="23">
    <w:nsid w:val="3D966883"/>
    <w:multiLevelType w:val="hybridMultilevel"/>
    <w:tmpl w:val="E2822E74"/>
    <w:lvl w:ilvl="0" w:tplc="567096D4">
      <w:numFmt w:val="bullet"/>
      <w:lvlText w:val="-"/>
      <w:lvlJc w:val="left"/>
      <w:pPr>
        <w:ind w:left="160" w:hanging="143"/>
      </w:pPr>
      <w:rPr>
        <w:rFonts w:ascii="Calibri" w:eastAsia="Calibri" w:hAnsi="Calibri" w:cs="Calibri" w:hint="default"/>
        <w:w w:val="100"/>
        <w:sz w:val="16"/>
        <w:szCs w:val="16"/>
      </w:rPr>
    </w:lvl>
    <w:lvl w:ilvl="1" w:tplc="87786F9C">
      <w:numFmt w:val="bullet"/>
      <w:lvlText w:val="•"/>
      <w:lvlJc w:val="left"/>
      <w:pPr>
        <w:ind w:left="414" w:hanging="143"/>
      </w:pPr>
      <w:rPr>
        <w:rFonts w:hint="default"/>
      </w:rPr>
    </w:lvl>
    <w:lvl w:ilvl="2" w:tplc="4080E5D6">
      <w:numFmt w:val="bullet"/>
      <w:lvlText w:val="•"/>
      <w:lvlJc w:val="left"/>
      <w:pPr>
        <w:ind w:left="669" w:hanging="143"/>
      </w:pPr>
      <w:rPr>
        <w:rFonts w:hint="default"/>
      </w:rPr>
    </w:lvl>
    <w:lvl w:ilvl="3" w:tplc="C5469794">
      <w:numFmt w:val="bullet"/>
      <w:lvlText w:val="•"/>
      <w:lvlJc w:val="left"/>
      <w:pPr>
        <w:ind w:left="924" w:hanging="143"/>
      </w:pPr>
      <w:rPr>
        <w:rFonts w:hint="default"/>
      </w:rPr>
    </w:lvl>
    <w:lvl w:ilvl="4" w:tplc="9B7EC2DA">
      <w:numFmt w:val="bullet"/>
      <w:lvlText w:val="•"/>
      <w:lvlJc w:val="left"/>
      <w:pPr>
        <w:ind w:left="1179" w:hanging="143"/>
      </w:pPr>
      <w:rPr>
        <w:rFonts w:hint="default"/>
      </w:rPr>
    </w:lvl>
    <w:lvl w:ilvl="5" w:tplc="963CF67C">
      <w:numFmt w:val="bullet"/>
      <w:lvlText w:val="•"/>
      <w:lvlJc w:val="left"/>
      <w:pPr>
        <w:ind w:left="1434" w:hanging="143"/>
      </w:pPr>
      <w:rPr>
        <w:rFonts w:hint="default"/>
      </w:rPr>
    </w:lvl>
    <w:lvl w:ilvl="6" w:tplc="9F0041E4">
      <w:numFmt w:val="bullet"/>
      <w:lvlText w:val="•"/>
      <w:lvlJc w:val="left"/>
      <w:pPr>
        <w:ind w:left="1689" w:hanging="143"/>
      </w:pPr>
      <w:rPr>
        <w:rFonts w:hint="default"/>
      </w:rPr>
    </w:lvl>
    <w:lvl w:ilvl="7" w:tplc="214CE108">
      <w:numFmt w:val="bullet"/>
      <w:lvlText w:val="•"/>
      <w:lvlJc w:val="left"/>
      <w:pPr>
        <w:ind w:left="1944" w:hanging="143"/>
      </w:pPr>
      <w:rPr>
        <w:rFonts w:hint="default"/>
      </w:rPr>
    </w:lvl>
    <w:lvl w:ilvl="8" w:tplc="84C29008">
      <w:numFmt w:val="bullet"/>
      <w:lvlText w:val="•"/>
      <w:lvlJc w:val="left"/>
      <w:pPr>
        <w:ind w:left="2199" w:hanging="143"/>
      </w:pPr>
      <w:rPr>
        <w:rFonts w:hint="default"/>
      </w:rPr>
    </w:lvl>
  </w:abstractNum>
  <w:abstractNum w:abstractNumId="24">
    <w:nsid w:val="3F1130E2"/>
    <w:multiLevelType w:val="hybridMultilevel"/>
    <w:tmpl w:val="13B45EC6"/>
    <w:lvl w:ilvl="0" w:tplc="567096D4">
      <w:numFmt w:val="bullet"/>
      <w:lvlText w:val="-"/>
      <w:lvlJc w:val="left"/>
      <w:pPr>
        <w:ind w:left="160" w:hanging="143"/>
      </w:pPr>
      <w:rPr>
        <w:rFonts w:ascii="Calibri" w:eastAsia="Calibri" w:hAnsi="Calibri" w:cs="Calibri" w:hint="default"/>
        <w:w w:val="100"/>
        <w:sz w:val="16"/>
        <w:szCs w:val="16"/>
      </w:rPr>
    </w:lvl>
    <w:lvl w:ilvl="1" w:tplc="F48070B4">
      <w:numFmt w:val="bullet"/>
      <w:lvlText w:val="•"/>
      <w:lvlJc w:val="left"/>
      <w:pPr>
        <w:ind w:left="414" w:hanging="143"/>
      </w:pPr>
      <w:rPr>
        <w:rFonts w:hint="default"/>
      </w:rPr>
    </w:lvl>
    <w:lvl w:ilvl="2" w:tplc="215AFC0C">
      <w:numFmt w:val="bullet"/>
      <w:lvlText w:val="•"/>
      <w:lvlJc w:val="left"/>
      <w:pPr>
        <w:ind w:left="669" w:hanging="143"/>
      </w:pPr>
      <w:rPr>
        <w:rFonts w:hint="default"/>
      </w:rPr>
    </w:lvl>
    <w:lvl w:ilvl="3" w:tplc="DBB65AAC">
      <w:numFmt w:val="bullet"/>
      <w:lvlText w:val="•"/>
      <w:lvlJc w:val="left"/>
      <w:pPr>
        <w:ind w:left="924" w:hanging="143"/>
      </w:pPr>
      <w:rPr>
        <w:rFonts w:hint="default"/>
      </w:rPr>
    </w:lvl>
    <w:lvl w:ilvl="4" w:tplc="096CDFD4">
      <w:numFmt w:val="bullet"/>
      <w:lvlText w:val="•"/>
      <w:lvlJc w:val="left"/>
      <w:pPr>
        <w:ind w:left="1179" w:hanging="143"/>
      </w:pPr>
      <w:rPr>
        <w:rFonts w:hint="default"/>
      </w:rPr>
    </w:lvl>
    <w:lvl w:ilvl="5" w:tplc="5EEC139C">
      <w:numFmt w:val="bullet"/>
      <w:lvlText w:val="•"/>
      <w:lvlJc w:val="left"/>
      <w:pPr>
        <w:ind w:left="1434" w:hanging="143"/>
      </w:pPr>
      <w:rPr>
        <w:rFonts w:hint="default"/>
      </w:rPr>
    </w:lvl>
    <w:lvl w:ilvl="6" w:tplc="A6DCF11C">
      <w:numFmt w:val="bullet"/>
      <w:lvlText w:val="•"/>
      <w:lvlJc w:val="left"/>
      <w:pPr>
        <w:ind w:left="1689" w:hanging="143"/>
      </w:pPr>
      <w:rPr>
        <w:rFonts w:hint="default"/>
      </w:rPr>
    </w:lvl>
    <w:lvl w:ilvl="7" w:tplc="82C663FC">
      <w:numFmt w:val="bullet"/>
      <w:lvlText w:val="•"/>
      <w:lvlJc w:val="left"/>
      <w:pPr>
        <w:ind w:left="1944" w:hanging="143"/>
      </w:pPr>
      <w:rPr>
        <w:rFonts w:hint="default"/>
      </w:rPr>
    </w:lvl>
    <w:lvl w:ilvl="8" w:tplc="0EBA4056">
      <w:numFmt w:val="bullet"/>
      <w:lvlText w:val="•"/>
      <w:lvlJc w:val="left"/>
      <w:pPr>
        <w:ind w:left="2199" w:hanging="143"/>
      </w:pPr>
      <w:rPr>
        <w:rFonts w:hint="default"/>
      </w:rPr>
    </w:lvl>
  </w:abstractNum>
  <w:abstractNum w:abstractNumId="25">
    <w:nsid w:val="448C63CA"/>
    <w:multiLevelType w:val="hybridMultilevel"/>
    <w:tmpl w:val="1536F5BE"/>
    <w:lvl w:ilvl="0" w:tplc="0000547E">
      <w:numFmt w:val="bullet"/>
      <w:lvlText w:val=""/>
      <w:lvlJc w:val="left"/>
      <w:pPr>
        <w:ind w:left="377" w:hanging="207"/>
      </w:pPr>
      <w:rPr>
        <w:rFonts w:ascii="Wingdings" w:eastAsia="Wingdings" w:hAnsi="Wingdings" w:cs="Wingdings" w:hint="default"/>
        <w:w w:val="99"/>
        <w:sz w:val="20"/>
        <w:szCs w:val="20"/>
      </w:rPr>
    </w:lvl>
    <w:lvl w:ilvl="1" w:tplc="FA14709C">
      <w:numFmt w:val="bullet"/>
      <w:lvlText w:val="•"/>
      <w:lvlJc w:val="left"/>
      <w:pPr>
        <w:ind w:left="873" w:hanging="207"/>
      </w:pPr>
      <w:rPr>
        <w:rFonts w:hint="default"/>
      </w:rPr>
    </w:lvl>
    <w:lvl w:ilvl="2" w:tplc="89B8D8AE">
      <w:numFmt w:val="bullet"/>
      <w:lvlText w:val="•"/>
      <w:lvlJc w:val="left"/>
      <w:pPr>
        <w:ind w:left="1367" w:hanging="207"/>
      </w:pPr>
      <w:rPr>
        <w:rFonts w:hint="default"/>
      </w:rPr>
    </w:lvl>
    <w:lvl w:ilvl="3" w:tplc="17D4898C">
      <w:numFmt w:val="bullet"/>
      <w:lvlText w:val="•"/>
      <w:lvlJc w:val="left"/>
      <w:pPr>
        <w:ind w:left="1861" w:hanging="207"/>
      </w:pPr>
      <w:rPr>
        <w:rFonts w:hint="default"/>
      </w:rPr>
    </w:lvl>
    <w:lvl w:ilvl="4" w:tplc="321CBB20">
      <w:numFmt w:val="bullet"/>
      <w:lvlText w:val="•"/>
      <w:lvlJc w:val="left"/>
      <w:pPr>
        <w:ind w:left="2354" w:hanging="207"/>
      </w:pPr>
      <w:rPr>
        <w:rFonts w:hint="default"/>
      </w:rPr>
    </w:lvl>
    <w:lvl w:ilvl="5" w:tplc="5AA8750E">
      <w:numFmt w:val="bullet"/>
      <w:lvlText w:val="•"/>
      <w:lvlJc w:val="left"/>
      <w:pPr>
        <w:ind w:left="2848" w:hanging="207"/>
      </w:pPr>
      <w:rPr>
        <w:rFonts w:hint="default"/>
      </w:rPr>
    </w:lvl>
    <w:lvl w:ilvl="6" w:tplc="FB1ADA88">
      <w:numFmt w:val="bullet"/>
      <w:lvlText w:val="•"/>
      <w:lvlJc w:val="left"/>
      <w:pPr>
        <w:ind w:left="3342" w:hanging="207"/>
      </w:pPr>
      <w:rPr>
        <w:rFonts w:hint="default"/>
      </w:rPr>
    </w:lvl>
    <w:lvl w:ilvl="7" w:tplc="1E6680C2">
      <w:numFmt w:val="bullet"/>
      <w:lvlText w:val="•"/>
      <w:lvlJc w:val="left"/>
      <w:pPr>
        <w:ind w:left="3836" w:hanging="207"/>
      </w:pPr>
      <w:rPr>
        <w:rFonts w:hint="default"/>
      </w:rPr>
    </w:lvl>
    <w:lvl w:ilvl="8" w:tplc="F4D8A5EE">
      <w:numFmt w:val="bullet"/>
      <w:lvlText w:val="•"/>
      <w:lvlJc w:val="left"/>
      <w:pPr>
        <w:ind w:left="4329" w:hanging="207"/>
      </w:pPr>
      <w:rPr>
        <w:rFonts w:hint="default"/>
      </w:rPr>
    </w:lvl>
  </w:abstractNum>
  <w:abstractNum w:abstractNumId="26">
    <w:nsid w:val="44C16D07"/>
    <w:multiLevelType w:val="hybridMultilevel"/>
    <w:tmpl w:val="08F06062"/>
    <w:lvl w:ilvl="0" w:tplc="E4B0C22A">
      <w:numFmt w:val="bullet"/>
      <w:lvlText w:val="•"/>
      <w:lvlJc w:val="left"/>
      <w:pPr>
        <w:ind w:left="172" w:hanging="123"/>
      </w:pPr>
      <w:rPr>
        <w:rFonts w:ascii="Calibri" w:eastAsia="Calibri" w:hAnsi="Calibri" w:cs="Calibri" w:hint="default"/>
        <w:w w:val="100"/>
        <w:sz w:val="17"/>
        <w:szCs w:val="17"/>
      </w:rPr>
    </w:lvl>
    <w:lvl w:ilvl="1" w:tplc="6B3435E8">
      <w:numFmt w:val="bullet"/>
      <w:lvlText w:val="•"/>
      <w:lvlJc w:val="left"/>
      <w:pPr>
        <w:ind w:left="380" w:hanging="123"/>
      </w:pPr>
      <w:rPr>
        <w:rFonts w:hint="default"/>
      </w:rPr>
    </w:lvl>
    <w:lvl w:ilvl="2" w:tplc="8E527D94">
      <w:numFmt w:val="bullet"/>
      <w:lvlText w:val="•"/>
      <w:lvlJc w:val="left"/>
      <w:pPr>
        <w:ind w:left="581" w:hanging="123"/>
      </w:pPr>
      <w:rPr>
        <w:rFonts w:hint="default"/>
      </w:rPr>
    </w:lvl>
    <w:lvl w:ilvl="3" w:tplc="FBF8F07E">
      <w:numFmt w:val="bullet"/>
      <w:lvlText w:val="•"/>
      <w:lvlJc w:val="left"/>
      <w:pPr>
        <w:ind w:left="782" w:hanging="123"/>
      </w:pPr>
      <w:rPr>
        <w:rFonts w:hint="default"/>
      </w:rPr>
    </w:lvl>
    <w:lvl w:ilvl="4" w:tplc="C652C218">
      <w:numFmt w:val="bullet"/>
      <w:lvlText w:val="•"/>
      <w:lvlJc w:val="left"/>
      <w:pPr>
        <w:ind w:left="982" w:hanging="123"/>
      </w:pPr>
      <w:rPr>
        <w:rFonts w:hint="default"/>
      </w:rPr>
    </w:lvl>
    <w:lvl w:ilvl="5" w:tplc="BAB89640">
      <w:numFmt w:val="bullet"/>
      <w:lvlText w:val="•"/>
      <w:lvlJc w:val="left"/>
      <w:pPr>
        <w:ind w:left="1183" w:hanging="123"/>
      </w:pPr>
      <w:rPr>
        <w:rFonts w:hint="default"/>
      </w:rPr>
    </w:lvl>
    <w:lvl w:ilvl="6" w:tplc="A11E7746">
      <w:numFmt w:val="bullet"/>
      <w:lvlText w:val="•"/>
      <w:lvlJc w:val="left"/>
      <w:pPr>
        <w:ind w:left="1384" w:hanging="123"/>
      </w:pPr>
      <w:rPr>
        <w:rFonts w:hint="default"/>
      </w:rPr>
    </w:lvl>
    <w:lvl w:ilvl="7" w:tplc="37A2A384">
      <w:numFmt w:val="bullet"/>
      <w:lvlText w:val="•"/>
      <w:lvlJc w:val="left"/>
      <w:pPr>
        <w:ind w:left="1584" w:hanging="123"/>
      </w:pPr>
      <w:rPr>
        <w:rFonts w:hint="default"/>
      </w:rPr>
    </w:lvl>
    <w:lvl w:ilvl="8" w:tplc="8AF2FE44">
      <w:numFmt w:val="bullet"/>
      <w:lvlText w:val="•"/>
      <w:lvlJc w:val="left"/>
      <w:pPr>
        <w:ind w:left="1785" w:hanging="123"/>
      </w:pPr>
      <w:rPr>
        <w:rFonts w:hint="default"/>
      </w:rPr>
    </w:lvl>
  </w:abstractNum>
  <w:abstractNum w:abstractNumId="27">
    <w:nsid w:val="486F7FBF"/>
    <w:multiLevelType w:val="hybridMultilevel"/>
    <w:tmpl w:val="0198789C"/>
    <w:lvl w:ilvl="0" w:tplc="567096D4">
      <w:numFmt w:val="bullet"/>
      <w:lvlText w:val="-"/>
      <w:lvlJc w:val="left"/>
      <w:pPr>
        <w:ind w:left="160" w:hanging="142"/>
      </w:pPr>
      <w:rPr>
        <w:rFonts w:ascii="Calibri" w:eastAsia="Calibri" w:hAnsi="Calibri" w:cs="Calibri" w:hint="default"/>
        <w:w w:val="100"/>
        <w:sz w:val="16"/>
        <w:szCs w:val="16"/>
      </w:rPr>
    </w:lvl>
    <w:lvl w:ilvl="1" w:tplc="84F29A5E">
      <w:numFmt w:val="bullet"/>
      <w:lvlText w:val="•"/>
      <w:lvlJc w:val="left"/>
      <w:pPr>
        <w:ind w:left="396" w:hanging="142"/>
      </w:pPr>
      <w:rPr>
        <w:rFonts w:hint="default"/>
      </w:rPr>
    </w:lvl>
    <w:lvl w:ilvl="2" w:tplc="708E8E06">
      <w:numFmt w:val="bullet"/>
      <w:lvlText w:val="•"/>
      <w:lvlJc w:val="left"/>
      <w:pPr>
        <w:ind w:left="632" w:hanging="142"/>
      </w:pPr>
      <w:rPr>
        <w:rFonts w:hint="default"/>
      </w:rPr>
    </w:lvl>
    <w:lvl w:ilvl="3" w:tplc="E322268C">
      <w:numFmt w:val="bullet"/>
      <w:lvlText w:val="•"/>
      <w:lvlJc w:val="left"/>
      <w:pPr>
        <w:ind w:left="868" w:hanging="142"/>
      </w:pPr>
      <w:rPr>
        <w:rFonts w:hint="default"/>
      </w:rPr>
    </w:lvl>
    <w:lvl w:ilvl="4" w:tplc="1E064E94">
      <w:numFmt w:val="bullet"/>
      <w:lvlText w:val="•"/>
      <w:lvlJc w:val="left"/>
      <w:pPr>
        <w:ind w:left="1104" w:hanging="142"/>
      </w:pPr>
      <w:rPr>
        <w:rFonts w:hint="default"/>
      </w:rPr>
    </w:lvl>
    <w:lvl w:ilvl="5" w:tplc="E70EA5AA">
      <w:numFmt w:val="bullet"/>
      <w:lvlText w:val="•"/>
      <w:lvlJc w:val="left"/>
      <w:pPr>
        <w:ind w:left="1340" w:hanging="142"/>
      </w:pPr>
      <w:rPr>
        <w:rFonts w:hint="default"/>
      </w:rPr>
    </w:lvl>
    <w:lvl w:ilvl="6" w:tplc="F07EDBD8">
      <w:numFmt w:val="bullet"/>
      <w:lvlText w:val="•"/>
      <w:lvlJc w:val="left"/>
      <w:pPr>
        <w:ind w:left="1576" w:hanging="142"/>
      </w:pPr>
      <w:rPr>
        <w:rFonts w:hint="default"/>
      </w:rPr>
    </w:lvl>
    <w:lvl w:ilvl="7" w:tplc="6D84E1B4">
      <w:numFmt w:val="bullet"/>
      <w:lvlText w:val="•"/>
      <w:lvlJc w:val="left"/>
      <w:pPr>
        <w:ind w:left="1812" w:hanging="142"/>
      </w:pPr>
      <w:rPr>
        <w:rFonts w:hint="default"/>
      </w:rPr>
    </w:lvl>
    <w:lvl w:ilvl="8" w:tplc="30A2FBE2">
      <w:numFmt w:val="bullet"/>
      <w:lvlText w:val="•"/>
      <w:lvlJc w:val="left"/>
      <w:pPr>
        <w:ind w:left="2048" w:hanging="142"/>
      </w:pPr>
      <w:rPr>
        <w:rFonts w:hint="default"/>
      </w:rPr>
    </w:lvl>
  </w:abstractNum>
  <w:abstractNum w:abstractNumId="28">
    <w:nsid w:val="489F47AB"/>
    <w:multiLevelType w:val="hybridMultilevel"/>
    <w:tmpl w:val="43E64512"/>
    <w:lvl w:ilvl="0" w:tplc="321CCCA8">
      <w:numFmt w:val="bullet"/>
      <w:lvlText w:val="-"/>
      <w:lvlJc w:val="left"/>
      <w:pPr>
        <w:ind w:left="129" w:hanging="87"/>
      </w:pPr>
      <w:rPr>
        <w:rFonts w:ascii="Calibri" w:eastAsia="Calibri" w:hAnsi="Calibri" w:cs="Calibri" w:hint="default"/>
        <w:w w:val="100"/>
        <w:sz w:val="16"/>
        <w:szCs w:val="16"/>
      </w:rPr>
    </w:lvl>
    <w:lvl w:ilvl="1" w:tplc="000AD094">
      <w:numFmt w:val="bullet"/>
      <w:lvlText w:val="•"/>
      <w:lvlJc w:val="left"/>
      <w:pPr>
        <w:ind w:left="729" w:hanging="87"/>
      </w:pPr>
      <w:rPr>
        <w:rFonts w:hint="default"/>
      </w:rPr>
    </w:lvl>
    <w:lvl w:ilvl="2" w:tplc="77241A72">
      <w:numFmt w:val="bullet"/>
      <w:lvlText w:val="•"/>
      <w:lvlJc w:val="left"/>
      <w:pPr>
        <w:ind w:left="1339" w:hanging="87"/>
      </w:pPr>
      <w:rPr>
        <w:rFonts w:hint="default"/>
      </w:rPr>
    </w:lvl>
    <w:lvl w:ilvl="3" w:tplc="EC144CE8">
      <w:numFmt w:val="bullet"/>
      <w:lvlText w:val="•"/>
      <w:lvlJc w:val="left"/>
      <w:pPr>
        <w:ind w:left="1949" w:hanging="87"/>
      </w:pPr>
      <w:rPr>
        <w:rFonts w:hint="default"/>
      </w:rPr>
    </w:lvl>
    <w:lvl w:ilvl="4" w:tplc="EC6A3984">
      <w:numFmt w:val="bullet"/>
      <w:lvlText w:val="•"/>
      <w:lvlJc w:val="left"/>
      <w:pPr>
        <w:ind w:left="2558" w:hanging="87"/>
      </w:pPr>
      <w:rPr>
        <w:rFonts w:hint="default"/>
      </w:rPr>
    </w:lvl>
    <w:lvl w:ilvl="5" w:tplc="FA94C96A">
      <w:numFmt w:val="bullet"/>
      <w:lvlText w:val="•"/>
      <w:lvlJc w:val="left"/>
      <w:pPr>
        <w:ind w:left="3168" w:hanging="87"/>
      </w:pPr>
      <w:rPr>
        <w:rFonts w:hint="default"/>
      </w:rPr>
    </w:lvl>
    <w:lvl w:ilvl="6" w:tplc="5B7C0FBA">
      <w:numFmt w:val="bullet"/>
      <w:lvlText w:val="•"/>
      <w:lvlJc w:val="left"/>
      <w:pPr>
        <w:ind w:left="3778" w:hanging="87"/>
      </w:pPr>
      <w:rPr>
        <w:rFonts w:hint="default"/>
      </w:rPr>
    </w:lvl>
    <w:lvl w:ilvl="7" w:tplc="9DBEE910">
      <w:numFmt w:val="bullet"/>
      <w:lvlText w:val="•"/>
      <w:lvlJc w:val="left"/>
      <w:pPr>
        <w:ind w:left="4387" w:hanging="87"/>
      </w:pPr>
      <w:rPr>
        <w:rFonts w:hint="default"/>
      </w:rPr>
    </w:lvl>
    <w:lvl w:ilvl="8" w:tplc="8DD250BA">
      <w:numFmt w:val="bullet"/>
      <w:lvlText w:val="•"/>
      <w:lvlJc w:val="left"/>
      <w:pPr>
        <w:ind w:left="4997" w:hanging="87"/>
      </w:pPr>
      <w:rPr>
        <w:rFonts w:hint="default"/>
      </w:rPr>
    </w:lvl>
  </w:abstractNum>
  <w:abstractNum w:abstractNumId="29">
    <w:nsid w:val="4AA8600D"/>
    <w:multiLevelType w:val="hybridMultilevel"/>
    <w:tmpl w:val="16F2B568"/>
    <w:lvl w:ilvl="0" w:tplc="FF227B4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7A14E17C">
      <w:numFmt w:val="bullet"/>
      <w:lvlText w:val="•"/>
      <w:lvlJc w:val="left"/>
      <w:pPr>
        <w:ind w:left="371" w:hanging="111"/>
      </w:pPr>
      <w:rPr>
        <w:rFonts w:hint="default"/>
      </w:rPr>
    </w:lvl>
    <w:lvl w:ilvl="2" w:tplc="CFEC4E68">
      <w:numFmt w:val="bullet"/>
      <w:lvlText w:val="•"/>
      <w:lvlJc w:val="left"/>
      <w:pPr>
        <w:ind w:left="563" w:hanging="111"/>
      </w:pPr>
      <w:rPr>
        <w:rFonts w:hint="default"/>
      </w:rPr>
    </w:lvl>
    <w:lvl w:ilvl="3" w:tplc="75D62ADA">
      <w:numFmt w:val="bullet"/>
      <w:lvlText w:val="•"/>
      <w:lvlJc w:val="left"/>
      <w:pPr>
        <w:ind w:left="754" w:hanging="111"/>
      </w:pPr>
      <w:rPr>
        <w:rFonts w:hint="default"/>
      </w:rPr>
    </w:lvl>
    <w:lvl w:ilvl="4" w:tplc="35824618">
      <w:numFmt w:val="bullet"/>
      <w:lvlText w:val="•"/>
      <w:lvlJc w:val="left"/>
      <w:pPr>
        <w:ind w:left="946" w:hanging="111"/>
      </w:pPr>
      <w:rPr>
        <w:rFonts w:hint="default"/>
      </w:rPr>
    </w:lvl>
    <w:lvl w:ilvl="5" w:tplc="67A809C6">
      <w:numFmt w:val="bullet"/>
      <w:lvlText w:val="•"/>
      <w:lvlJc w:val="left"/>
      <w:pPr>
        <w:ind w:left="1137" w:hanging="111"/>
      </w:pPr>
      <w:rPr>
        <w:rFonts w:hint="default"/>
      </w:rPr>
    </w:lvl>
    <w:lvl w:ilvl="6" w:tplc="4E7412E4">
      <w:numFmt w:val="bullet"/>
      <w:lvlText w:val="•"/>
      <w:lvlJc w:val="left"/>
      <w:pPr>
        <w:ind w:left="1329" w:hanging="111"/>
      </w:pPr>
      <w:rPr>
        <w:rFonts w:hint="default"/>
      </w:rPr>
    </w:lvl>
    <w:lvl w:ilvl="7" w:tplc="3ACAD43C">
      <w:numFmt w:val="bullet"/>
      <w:lvlText w:val="•"/>
      <w:lvlJc w:val="left"/>
      <w:pPr>
        <w:ind w:left="1521" w:hanging="111"/>
      </w:pPr>
      <w:rPr>
        <w:rFonts w:hint="default"/>
      </w:rPr>
    </w:lvl>
    <w:lvl w:ilvl="8" w:tplc="997CC42E">
      <w:numFmt w:val="bullet"/>
      <w:lvlText w:val="•"/>
      <w:lvlJc w:val="left"/>
      <w:pPr>
        <w:ind w:left="1712" w:hanging="111"/>
      </w:pPr>
      <w:rPr>
        <w:rFonts w:hint="default"/>
      </w:rPr>
    </w:lvl>
  </w:abstractNum>
  <w:abstractNum w:abstractNumId="30">
    <w:nsid w:val="4B791EEF"/>
    <w:multiLevelType w:val="hybridMultilevel"/>
    <w:tmpl w:val="EEE6AD9A"/>
    <w:lvl w:ilvl="0" w:tplc="5F5257E2">
      <w:numFmt w:val="bullet"/>
      <w:lvlText w:val="•"/>
      <w:lvlJc w:val="left"/>
      <w:pPr>
        <w:ind w:left="171" w:hanging="111"/>
      </w:pPr>
      <w:rPr>
        <w:rFonts w:hint="default"/>
        <w:w w:val="100"/>
      </w:rPr>
    </w:lvl>
    <w:lvl w:ilvl="1" w:tplc="F402B3BE">
      <w:numFmt w:val="bullet"/>
      <w:lvlText w:val="•"/>
      <w:lvlJc w:val="left"/>
      <w:pPr>
        <w:ind w:left="380" w:hanging="111"/>
      </w:pPr>
      <w:rPr>
        <w:rFonts w:hint="default"/>
      </w:rPr>
    </w:lvl>
    <w:lvl w:ilvl="2" w:tplc="31086B5C">
      <w:numFmt w:val="bullet"/>
      <w:lvlText w:val="•"/>
      <w:lvlJc w:val="left"/>
      <w:pPr>
        <w:ind w:left="580" w:hanging="111"/>
      </w:pPr>
      <w:rPr>
        <w:rFonts w:hint="default"/>
      </w:rPr>
    </w:lvl>
    <w:lvl w:ilvl="3" w:tplc="1C3A4ED6">
      <w:numFmt w:val="bullet"/>
      <w:lvlText w:val="•"/>
      <w:lvlJc w:val="left"/>
      <w:pPr>
        <w:ind w:left="781" w:hanging="111"/>
      </w:pPr>
      <w:rPr>
        <w:rFonts w:hint="default"/>
      </w:rPr>
    </w:lvl>
    <w:lvl w:ilvl="4" w:tplc="DFC8BE02">
      <w:numFmt w:val="bullet"/>
      <w:lvlText w:val="•"/>
      <w:lvlJc w:val="left"/>
      <w:pPr>
        <w:ind w:left="981" w:hanging="111"/>
      </w:pPr>
      <w:rPr>
        <w:rFonts w:hint="default"/>
      </w:rPr>
    </w:lvl>
    <w:lvl w:ilvl="5" w:tplc="ED1E2748">
      <w:numFmt w:val="bullet"/>
      <w:lvlText w:val="•"/>
      <w:lvlJc w:val="left"/>
      <w:pPr>
        <w:ind w:left="1182" w:hanging="111"/>
      </w:pPr>
      <w:rPr>
        <w:rFonts w:hint="default"/>
      </w:rPr>
    </w:lvl>
    <w:lvl w:ilvl="6" w:tplc="782A5948">
      <w:numFmt w:val="bullet"/>
      <w:lvlText w:val="•"/>
      <w:lvlJc w:val="left"/>
      <w:pPr>
        <w:ind w:left="1382" w:hanging="111"/>
      </w:pPr>
      <w:rPr>
        <w:rFonts w:hint="default"/>
      </w:rPr>
    </w:lvl>
    <w:lvl w:ilvl="7" w:tplc="B362284A">
      <w:numFmt w:val="bullet"/>
      <w:lvlText w:val="•"/>
      <w:lvlJc w:val="left"/>
      <w:pPr>
        <w:ind w:left="1583" w:hanging="111"/>
      </w:pPr>
      <w:rPr>
        <w:rFonts w:hint="default"/>
      </w:rPr>
    </w:lvl>
    <w:lvl w:ilvl="8" w:tplc="203ACA98">
      <w:numFmt w:val="bullet"/>
      <w:lvlText w:val="•"/>
      <w:lvlJc w:val="left"/>
      <w:pPr>
        <w:ind w:left="1783" w:hanging="111"/>
      </w:pPr>
      <w:rPr>
        <w:rFonts w:hint="default"/>
      </w:rPr>
    </w:lvl>
  </w:abstractNum>
  <w:abstractNum w:abstractNumId="31">
    <w:nsid w:val="4F437913"/>
    <w:multiLevelType w:val="hybridMultilevel"/>
    <w:tmpl w:val="230833F6"/>
    <w:lvl w:ilvl="0" w:tplc="BB5E95D2">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5148008">
      <w:numFmt w:val="bullet"/>
      <w:lvlText w:val="•"/>
      <w:lvlJc w:val="left"/>
      <w:pPr>
        <w:ind w:left="390" w:hanging="111"/>
      </w:pPr>
      <w:rPr>
        <w:rFonts w:hint="default"/>
      </w:rPr>
    </w:lvl>
    <w:lvl w:ilvl="2" w:tplc="262A826C">
      <w:numFmt w:val="bullet"/>
      <w:lvlText w:val="•"/>
      <w:lvlJc w:val="left"/>
      <w:pPr>
        <w:ind w:left="601" w:hanging="111"/>
      </w:pPr>
      <w:rPr>
        <w:rFonts w:hint="default"/>
      </w:rPr>
    </w:lvl>
    <w:lvl w:ilvl="3" w:tplc="EBE09C48">
      <w:numFmt w:val="bullet"/>
      <w:lvlText w:val="•"/>
      <w:lvlJc w:val="left"/>
      <w:pPr>
        <w:ind w:left="812" w:hanging="111"/>
      </w:pPr>
      <w:rPr>
        <w:rFonts w:hint="default"/>
      </w:rPr>
    </w:lvl>
    <w:lvl w:ilvl="4" w:tplc="E6AE4B92">
      <w:numFmt w:val="bullet"/>
      <w:lvlText w:val="•"/>
      <w:lvlJc w:val="left"/>
      <w:pPr>
        <w:ind w:left="1023" w:hanging="111"/>
      </w:pPr>
      <w:rPr>
        <w:rFonts w:hint="default"/>
      </w:rPr>
    </w:lvl>
    <w:lvl w:ilvl="5" w:tplc="A334823E">
      <w:numFmt w:val="bullet"/>
      <w:lvlText w:val="•"/>
      <w:lvlJc w:val="left"/>
      <w:pPr>
        <w:ind w:left="1233" w:hanging="111"/>
      </w:pPr>
      <w:rPr>
        <w:rFonts w:hint="default"/>
      </w:rPr>
    </w:lvl>
    <w:lvl w:ilvl="6" w:tplc="2BC21454">
      <w:numFmt w:val="bullet"/>
      <w:lvlText w:val="•"/>
      <w:lvlJc w:val="left"/>
      <w:pPr>
        <w:ind w:left="1444" w:hanging="111"/>
      </w:pPr>
      <w:rPr>
        <w:rFonts w:hint="default"/>
      </w:rPr>
    </w:lvl>
    <w:lvl w:ilvl="7" w:tplc="5AE0A4E8">
      <w:numFmt w:val="bullet"/>
      <w:lvlText w:val="•"/>
      <w:lvlJc w:val="left"/>
      <w:pPr>
        <w:ind w:left="1655" w:hanging="111"/>
      </w:pPr>
      <w:rPr>
        <w:rFonts w:hint="default"/>
      </w:rPr>
    </w:lvl>
    <w:lvl w:ilvl="8" w:tplc="F222A69A">
      <w:numFmt w:val="bullet"/>
      <w:lvlText w:val="•"/>
      <w:lvlJc w:val="left"/>
      <w:pPr>
        <w:ind w:left="1866" w:hanging="111"/>
      </w:pPr>
      <w:rPr>
        <w:rFonts w:hint="default"/>
      </w:rPr>
    </w:lvl>
  </w:abstractNum>
  <w:abstractNum w:abstractNumId="32">
    <w:nsid w:val="50785B47"/>
    <w:multiLevelType w:val="hybridMultilevel"/>
    <w:tmpl w:val="0C52F076"/>
    <w:lvl w:ilvl="0" w:tplc="7C94A85C">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4636D13C">
      <w:numFmt w:val="bullet"/>
      <w:lvlText w:val="•"/>
      <w:lvlJc w:val="left"/>
      <w:pPr>
        <w:ind w:left="390" w:hanging="111"/>
      </w:pPr>
      <w:rPr>
        <w:rFonts w:hint="default"/>
      </w:rPr>
    </w:lvl>
    <w:lvl w:ilvl="2" w:tplc="769EFE5C">
      <w:numFmt w:val="bullet"/>
      <w:lvlText w:val="•"/>
      <w:lvlJc w:val="left"/>
      <w:pPr>
        <w:ind w:left="601" w:hanging="111"/>
      </w:pPr>
      <w:rPr>
        <w:rFonts w:hint="default"/>
      </w:rPr>
    </w:lvl>
    <w:lvl w:ilvl="3" w:tplc="CBA0563A">
      <w:numFmt w:val="bullet"/>
      <w:lvlText w:val="•"/>
      <w:lvlJc w:val="left"/>
      <w:pPr>
        <w:ind w:left="812" w:hanging="111"/>
      </w:pPr>
      <w:rPr>
        <w:rFonts w:hint="default"/>
      </w:rPr>
    </w:lvl>
    <w:lvl w:ilvl="4" w:tplc="488EBC48">
      <w:numFmt w:val="bullet"/>
      <w:lvlText w:val="•"/>
      <w:lvlJc w:val="left"/>
      <w:pPr>
        <w:ind w:left="1023" w:hanging="111"/>
      </w:pPr>
      <w:rPr>
        <w:rFonts w:hint="default"/>
      </w:rPr>
    </w:lvl>
    <w:lvl w:ilvl="5" w:tplc="CE6C7D06">
      <w:numFmt w:val="bullet"/>
      <w:lvlText w:val="•"/>
      <w:lvlJc w:val="left"/>
      <w:pPr>
        <w:ind w:left="1233" w:hanging="111"/>
      </w:pPr>
      <w:rPr>
        <w:rFonts w:hint="default"/>
      </w:rPr>
    </w:lvl>
    <w:lvl w:ilvl="6" w:tplc="BB260F18">
      <w:numFmt w:val="bullet"/>
      <w:lvlText w:val="•"/>
      <w:lvlJc w:val="left"/>
      <w:pPr>
        <w:ind w:left="1444" w:hanging="111"/>
      </w:pPr>
      <w:rPr>
        <w:rFonts w:hint="default"/>
      </w:rPr>
    </w:lvl>
    <w:lvl w:ilvl="7" w:tplc="7A4AFDA8">
      <w:numFmt w:val="bullet"/>
      <w:lvlText w:val="•"/>
      <w:lvlJc w:val="left"/>
      <w:pPr>
        <w:ind w:left="1655" w:hanging="111"/>
      </w:pPr>
      <w:rPr>
        <w:rFonts w:hint="default"/>
      </w:rPr>
    </w:lvl>
    <w:lvl w:ilvl="8" w:tplc="DB1ECCF0">
      <w:numFmt w:val="bullet"/>
      <w:lvlText w:val="•"/>
      <w:lvlJc w:val="left"/>
      <w:pPr>
        <w:ind w:left="1866" w:hanging="111"/>
      </w:pPr>
      <w:rPr>
        <w:rFonts w:hint="default"/>
      </w:rPr>
    </w:lvl>
  </w:abstractNum>
  <w:abstractNum w:abstractNumId="33">
    <w:nsid w:val="50D54A67"/>
    <w:multiLevelType w:val="hybridMultilevel"/>
    <w:tmpl w:val="234A2FE8"/>
    <w:lvl w:ilvl="0" w:tplc="567096D4">
      <w:numFmt w:val="bullet"/>
      <w:lvlText w:val="-"/>
      <w:lvlJc w:val="left"/>
      <w:pPr>
        <w:ind w:left="96" w:hanging="87"/>
      </w:pPr>
      <w:rPr>
        <w:rFonts w:ascii="Calibri" w:eastAsia="Calibri" w:hAnsi="Calibri" w:cs="Calibri" w:hint="default"/>
        <w:w w:val="100"/>
        <w:sz w:val="16"/>
        <w:szCs w:val="16"/>
      </w:rPr>
    </w:lvl>
    <w:lvl w:ilvl="1" w:tplc="D3A6089C">
      <w:numFmt w:val="bullet"/>
      <w:lvlText w:val="•"/>
      <w:lvlJc w:val="left"/>
      <w:pPr>
        <w:ind w:left="711" w:hanging="87"/>
      </w:pPr>
      <w:rPr>
        <w:rFonts w:hint="default"/>
      </w:rPr>
    </w:lvl>
    <w:lvl w:ilvl="2" w:tplc="8F10E0A6">
      <w:numFmt w:val="bullet"/>
      <w:lvlText w:val="•"/>
      <w:lvlJc w:val="left"/>
      <w:pPr>
        <w:ind w:left="1323" w:hanging="87"/>
      </w:pPr>
      <w:rPr>
        <w:rFonts w:hint="default"/>
      </w:rPr>
    </w:lvl>
    <w:lvl w:ilvl="3" w:tplc="BF3292F4">
      <w:numFmt w:val="bullet"/>
      <w:lvlText w:val="•"/>
      <w:lvlJc w:val="left"/>
      <w:pPr>
        <w:ind w:left="1935" w:hanging="87"/>
      </w:pPr>
      <w:rPr>
        <w:rFonts w:hint="default"/>
      </w:rPr>
    </w:lvl>
    <w:lvl w:ilvl="4" w:tplc="38D83E22">
      <w:numFmt w:val="bullet"/>
      <w:lvlText w:val="•"/>
      <w:lvlJc w:val="left"/>
      <w:pPr>
        <w:ind w:left="2546" w:hanging="87"/>
      </w:pPr>
      <w:rPr>
        <w:rFonts w:hint="default"/>
      </w:rPr>
    </w:lvl>
    <w:lvl w:ilvl="5" w:tplc="E8D00A9C">
      <w:numFmt w:val="bullet"/>
      <w:lvlText w:val="•"/>
      <w:lvlJc w:val="left"/>
      <w:pPr>
        <w:ind w:left="3158" w:hanging="87"/>
      </w:pPr>
      <w:rPr>
        <w:rFonts w:hint="default"/>
      </w:rPr>
    </w:lvl>
    <w:lvl w:ilvl="6" w:tplc="67D013F0">
      <w:numFmt w:val="bullet"/>
      <w:lvlText w:val="•"/>
      <w:lvlJc w:val="left"/>
      <w:pPr>
        <w:ind w:left="3770" w:hanging="87"/>
      </w:pPr>
      <w:rPr>
        <w:rFonts w:hint="default"/>
      </w:rPr>
    </w:lvl>
    <w:lvl w:ilvl="7" w:tplc="3DD8FAC4">
      <w:numFmt w:val="bullet"/>
      <w:lvlText w:val="•"/>
      <w:lvlJc w:val="left"/>
      <w:pPr>
        <w:ind w:left="4381" w:hanging="87"/>
      </w:pPr>
      <w:rPr>
        <w:rFonts w:hint="default"/>
      </w:rPr>
    </w:lvl>
    <w:lvl w:ilvl="8" w:tplc="C0D654BE">
      <w:numFmt w:val="bullet"/>
      <w:lvlText w:val="•"/>
      <w:lvlJc w:val="left"/>
      <w:pPr>
        <w:ind w:left="4993" w:hanging="87"/>
      </w:pPr>
      <w:rPr>
        <w:rFonts w:hint="default"/>
      </w:rPr>
    </w:lvl>
  </w:abstractNum>
  <w:abstractNum w:abstractNumId="34">
    <w:nsid w:val="54EE0554"/>
    <w:multiLevelType w:val="hybridMultilevel"/>
    <w:tmpl w:val="124895D2"/>
    <w:lvl w:ilvl="0" w:tplc="25E41A58">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E2B4C600">
      <w:numFmt w:val="bullet"/>
      <w:lvlText w:val="•"/>
      <w:lvlJc w:val="left"/>
      <w:pPr>
        <w:ind w:left="380" w:hanging="111"/>
      </w:pPr>
      <w:rPr>
        <w:rFonts w:hint="default"/>
      </w:rPr>
    </w:lvl>
    <w:lvl w:ilvl="2" w:tplc="65DE8786">
      <w:numFmt w:val="bullet"/>
      <w:lvlText w:val="•"/>
      <w:lvlJc w:val="left"/>
      <w:pPr>
        <w:ind w:left="581" w:hanging="111"/>
      </w:pPr>
      <w:rPr>
        <w:rFonts w:hint="default"/>
      </w:rPr>
    </w:lvl>
    <w:lvl w:ilvl="3" w:tplc="9880FA30">
      <w:numFmt w:val="bullet"/>
      <w:lvlText w:val="•"/>
      <w:lvlJc w:val="left"/>
      <w:pPr>
        <w:ind w:left="782" w:hanging="111"/>
      </w:pPr>
      <w:rPr>
        <w:rFonts w:hint="default"/>
      </w:rPr>
    </w:lvl>
    <w:lvl w:ilvl="4" w:tplc="86D40CF2">
      <w:numFmt w:val="bullet"/>
      <w:lvlText w:val="•"/>
      <w:lvlJc w:val="left"/>
      <w:pPr>
        <w:ind w:left="982" w:hanging="111"/>
      </w:pPr>
      <w:rPr>
        <w:rFonts w:hint="default"/>
      </w:rPr>
    </w:lvl>
    <w:lvl w:ilvl="5" w:tplc="F08A60CC">
      <w:numFmt w:val="bullet"/>
      <w:lvlText w:val="•"/>
      <w:lvlJc w:val="left"/>
      <w:pPr>
        <w:ind w:left="1183" w:hanging="111"/>
      </w:pPr>
      <w:rPr>
        <w:rFonts w:hint="default"/>
      </w:rPr>
    </w:lvl>
    <w:lvl w:ilvl="6" w:tplc="CF70A310">
      <w:numFmt w:val="bullet"/>
      <w:lvlText w:val="•"/>
      <w:lvlJc w:val="left"/>
      <w:pPr>
        <w:ind w:left="1384" w:hanging="111"/>
      </w:pPr>
      <w:rPr>
        <w:rFonts w:hint="default"/>
      </w:rPr>
    </w:lvl>
    <w:lvl w:ilvl="7" w:tplc="13865E26">
      <w:numFmt w:val="bullet"/>
      <w:lvlText w:val="•"/>
      <w:lvlJc w:val="left"/>
      <w:pPr>
        <w:ind w:left="1584" w:hanging="111"/>
      </w:pPr>
      <w:rPr>
        <w:rFonts w:hint="default"/>
      </w:rPr>
    </w:lvl>
    <w:lvl w:ilvl="8" w:tplc="2B548A30">
      <w:numFmt w:val="bullet"/>
      <w:lvlText w:val="•"/>
      <w:lvlJc w:val="left"/>
      <w:pPr>
        <w:ind w:left="1785" w:hanging="111"/>
      </w:pPr>
      <w:rPr>
        <w:rFonts w:hint="default"/>
      </w:rPr>
    </w:lvl>
  </w:abstractNum>
  <w:abstractNum w:abstractNumId="35">
    <w:nsid w:val="584E694F"/>
    <w:multiLevelType w:val="hybridMultilevel"/>
    <w:tmpl w:val="9B907D18"/>
    <w:lvl w:ilvl="0" w:tplc="7512C0C4">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967A6D58">
      <w:numFmt w:val="bullet"/>
      <w:lvlText w:val="•"/>
      <w:lvlJc w:val="left"/>
      <w:pPr>
        <w:ind w:left="371" w:hanging="111"/>
      </w:pPr>
      <w:rPr>
        <w:rFonts w:hint="default"/>
      </w:rPr>
    </w:lvl>
    <w:lvl w:ilvl="2" w:tplc="2AC647F6">
      <w:numFmt w:val="bullet"/>
      <w:lvlText w:val="•"/>
      <w:lvlJc w:val="left"/>
      <w:pPr>
        <w:ind w:left="563" w:hanging="111"/>
      </w:pPr>
      <w:rPr>
        <w:rFonts w:hint="default"/>
      </w:rPr>
    </w:lvl>
    <w:lvl w:ilvl="3" w:tplc="31D66252">
      <w:numFmt w:val="bullet"/>
      <w:lvlText w:val="•"/>
      <w:lvlJc w:val="left"/>
      <w:pPr>
        <w:ind w:left="754" w:hanging="111"/>
      </w:pPr>
      <w:rPr>
        <w:rFonts w:hint="default"/>
      </w:rPr>
    </w:lvl>
    <w:lvl w:ilvl="4" w:tplc="68701572">
      <w:numFmt w:val="bullet"/>
      <w:lvlText w:val="•"/>
      <w:lvlJc w:val="left"/>
      <w:pPr>
        <w:ind w:left="946" w:hanging="111"/>
      </w:pPr>
      <w:rPr>
        <w:rFonts w:hint="default"/>
      </w:rPr>
    </w:lvl>
    <w:lvl w:ilvl="5" w:tplc="212E4FFC">
      <w:numFmt w:val="bullet"/>
      <w:lvlText w:val="•"/>
      <w:lvlJc w:val="left"/>
      <w:pPr>
        <w:ind w:left="1137" w:hanging="111"/>
      </w:pPr>
      <w:rPr>
        <w:rFonts w:hint="default"/>
      </w:rPr>
    </w:lvl>
    <w:lvl w:ilvl="6" w:tplc="0602B64C">
      <w:numFmt w:val="bullet"/>
      <w:lvlText w:val="•"/>
      <w:lvlJc w:val="left"/>
      <w:pPr>
        <w:ind w:left="1329" w:hanging="111"/>
      </w:pPr>
      <w:rPr>
        <w:rFonts w:hint="default"/>
      </w:rPr>
    </w:lvl>
    <w:lvl w:ilvl="7" w:tplc="08AC1BD0">
      <w:numFmt w:val="bullet"/>
      <w:lvlText w:val="•"/>
      <w:lvlJc w:val="left"/>
      <w:pPr>
        <w:ind w:left="1521" w:hanging="111"/>
      </w:pPr>
      <w:rPr>
        <w:rFonts w:hint="default"/>
      </w:rPr>
    </w:lvl>
    <w:lvl w:ilvl="8" w:tplc="419C673A">
      <w:numFmt w:val="bullet"/>
      <w:lvlText w:val="•"/>
      <w:lvlJc w:val="left"/>
      <w:pPr>
        <w:ind w:left="1712" w:hanging="111"/>
      </w:pPr>
      <w:rPr>
        <w:rFonts w:hint="default"/>
      </w:rPr>
    </w:lvl>
  </w:abstractNum>
  <w:abstractNum w:abstractNumId="36">
    <w:nsid w:val="5CBB2919"/>
    <w:multiLevelType w:val="hybridMultilevel"/>
    <w:tmpl w:val="A95CD51E"/>
    <w:lvl w:ilvl="0" w:tplc="6B84480A">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1DE67AE6">
      <w:numFmt w:val="bullet"/>
      <w:lvlText w:val="•"/>
      <w:lvlJc w:val="left"/>
      <w:pPr>
        <w:ind w:left="390" w:hanging="111"/>
      </w:pPr>
      <w:rPr>
        <w:rFonts w:hint="default"/>
      </w:rPr>
    </w:lvl>
    <w:lvl w:ilvl="2" w:tplc="2DEE4CF4">
      <w:numFmt w:val="bullet"/>
      <w:lvlText w:val="•"/>
      <w:lvlJc w:val="left"/>
      <w:pPr>
        <w:ind w:left="601" w:hanging="111"/>
      </w:pPr>
      <w:rPr>
        <w:rFonts w:hint="default"/>
      </w:rPr>
    </w:lvl>
    <w:lvl w:ilvl="3" w:tplc="AE069EEA">
      <w:numFmt w:val="bullet"/>
      <w:lvlText w:val="•"/>
      <w:lvlJc w:val="left"/>
      <w:pPr>
        <w:ind w:left="812" w:hanging="111"/>
      </w:pPr>
      <w:rPr>
        <w:rFonts w:hint="default"/>
      </w:rPr>
    </w:lvl>
    <w:lvl w:ilvl="4" w:tplc="EC3EBB8C">
      <w:numFmt w:val="bullet"/>
      <w:lvlText w:val="•"/>
      <w:lvlJc w:val="left"/>
      <w:pPr>
        <w:ind w:left="1023" w:hanging="111"/>
      </w:pPr>
      <w:rPr>
        <w:rFonts w:hint="default"/>
      </w:rPr>
    </w:lvl>
    <w:lvl w:ilvl="5" w:tplc="88A243F8">
      <w:numFmt w:val="bullet"/>
      <w:lvlText w:val="•"/>
      <w:lvlJc w:val="left"/>
      <w:pPr>
        <w:ind w:left="1233" w:hanging="111"/>
      </w:pPr>
      <w:rPr>
        <w:rFonts w:hint="default"/>
      </w:rPr>
    </w:lvl>
    <w:lvl w:ilvl="6" w:tplc="E47638A8">
      <w:numFmt w:val="bullet"/>
      <w:lvlText w:val="•"/>
      <w:lvlJc w:val="left"/>
      <w:pPr>
        <w:ind w:left="1444" w:hanging="111"/>
      </w:pPr>
      <w:rPr>
        <w:rFonts w:hint="default"/>
      </w:rPr>
    </w:lvl>
    <w:lvl w:ilvl="7" w:tplc="0D7EF4BE">
      <w:numFmt w:val="bullet"/>
      <w:lvlText w:val="•"/>
      <w:lvlJc w:val="left"/>
      <w:pPr>
        <w:ind w:left="1655" w:hanging="111"/>
      </w:pPr>
      <w:rPr>
        <w:rFonts w:hint="default"/>
      </w:rPr>
    </w:lvl>
    <w:lvl w:ilvl="8" w:tplc="E210274A">
      <w:numFmt w:val="bullet"/>
      <w:lvlText w:val="•"/>
      <w:lvlJc w:val="left"/>
      <w:pPr>
        <w:ind w:left="1866" w:hanging="111"/>
      </w:pPr>
      <w:rPr>
        <w:rFonts w:hint="default"/>
      </w:rPr>
    </w:lvl>
  </w:abstractNum>
  <w:abstractNum w:abstractNumId="37">
    <w:nsid w:val="5D584F34"/>
    <w:multiLevelType w:val="hybridMultilevel"/>
    <w:tmpl w:val="93B85E80"/>
    <w:lvl w:ilvl="0" w:tplc="EE6A0E10">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DC74D260">
      <w:numFmt w:val="bullet"/>
      <w:lvlText w:val="•"/>
      <w:lvlJc w:val="left"/>
      <w:pPr>
        <w:ind w:left="390" w:hanging="111"/>
      </w:pPr>
      <w:rPr>
        <w:rFonts w:hint="default"/>
      </w:rPr>
    </w:lvl>
    <w:lvl w:ilvl="2" w:tplc="5AB410B4">
      <w:numFmt w:val="bullet"/>
      <w:lvlText w:val="•"/>
      <w:lvlJc w:val="left"/>
      <w:pPr>
        <w:ind w:left="601" w:hanging="111"/>
      </w:pPr>
      <w:rPr>
        <w:rFonts w:hint="default"/>
      </w:rPr>
    </w:lvl>
    <w:lvl w:ilvl="3" w:tplc="0CBCD198">
      <w:numFmt w:val="bullet"/>
      <w:lvlText w:val="•"/>
      <w:lvlJc w:val="left"/>
      <w:pPr>
        <w:ind w:left="812" w:hanging="111"/>
      </w:pPr>
      <w:rPr>
        <w:rFonts w:hint="default"/>
      </w:rPr>
    </w:lvl>
    <w:lvl w:ilvl="4" w:tplc="2CFC065A">
      <w:numFmt w:val="bullet"/>
      <w:lvlText w:val="•"/>
      <w:lvlJc w:val="left"/>
      <w:pPr>
        <w:ind w:left="1023" w:hanging="111"/>
      </w:pPr>
      <w:rPr>
        <w:rFonts w:hint="default"/>
      </w:rPr>
    </w:lvl>
    <w:lvl w:ilvl="5" w:tplc="F9444F98">
      <w:numFmt w:val="bullet"/>
      <w:lvlText w:val="•"/>
      <w:lvlJc w:val="left"/>
      <w:pPr>
        <w:ind w:left="1233" w:hanging="111"/>
      </w:pPr>
      <w:rPr>
        <w:rFonts w:hint="default"/>
      </w:rPr>
    </w:lvl>
    <w:lvl w:ilvl="6" w:tplc="F87C547C">
      <w:numFmt w:val="bullet"/>
      <w:lvlText w:val="•"/>
      <w:lvlJc w:val="left"/>
      <w:pPr>
        <w:ind w:left="1444" w:hanging="111"/>
      </w:pPr>
      <w:rPr>
        <w:rFonts w:hint="default"/>
      </w:rPr>
    </w:lvl>
    <w:lvl w:ilvl="7" w:tplc="B274A15A">
      <w:numFmt w:val="bullet"/>
      <w:lvlText w:val="•"/>
      <w:lvlJc w:val="left"/>
      <w:pPr>
        <w:ind w:left="1655" w:hanging="111"/>
      </w:pPr>
      <w:rPr>
        <w:rFonts w:hint="default"/>
      </w:rPr>
    </w:lvl>
    <w:lvl w:ilvl="8" w:tplc="971EC19A">
      <w:numFmt w:val="bullet"/>
      <w:lvlText w:val="•"/>
      <w:lvlJc w:val="left"/>
      <w:pPr>
        <w:ind w:left="1866" w:hanging="111"/>
      </w:pPr>
      <w:rPr>
        <w:rFonts w:hint="default"/>
      </w:rPr>
    </w:lvl>
  </w:abstractNum>
  <w:abstractNum w:abstractNumId="38">
    <w:nsid w:val="60F555BD"/>
    <w:multiLevelType w:val="hybridMultilevel"/>
    <w:tmpl w:val="E60627E4"/>
    <w:lvl w:ilvl="0" w:tplc="CE1C86E0">
      <w:numFmt w:val="bullet"/>
      <w:lvlText w:val="•"/>
      <w:lvlJc w:val="left"/>
      <w:pPr>
        <w:ind w:left="171" w:hanging="111"/>
      </w:pPr>
      <w:rPr>
        <w:rFonts w:ascii="Times New Roman" w:eastAsia="Times New Roman" w:hAnsi="Times New Roman" w:cs="Times New Roman" w:hint="default"/>
        <w:color w:val="000080"/>
        <w:w w:val="100"/>
        <w:sz w:val="17"/>
        <w:szCs w:val="17"/>
      </w:rPr>
    </w:lvl>
    <w:lvl w:ilvl="1" w:tplc="A17467A2">
      <w:numFmt w:val="bullet"/>
      <w:lvlText w:val="•"/>
      <w:lvlJc w:val="left"/>
      <w:pPr>
        <w:ind w:left="390" w:hanging="111"/>
      </w:pPr>
      <w:rPr>
        <w:rFonts w:hint="default"/>
      </w:rPr>
    </w:lvl>
    <w:lvl w:ilvl="2" w:tplc="51F46DCA">
      <w:numFmt w:val="bullet"/>
      <w:lvlText w:val="•"/>
      <w:lvlJc w:val="left"/>
      <w:pPr>
        <w:ind w:left="601" w:hanging="111"/>
      </w:pPr>
      <w:rPr>
        <w:rFonts w:hint="default"/>
      </w:rPr>
    </w:lvl>
    <w:lvl w:ilvl="3" w:tplc="6164D7F4">
      <w:numFmt w:val="bullet"/>
      <w:lvlText w:val="•"/>
      <w:lvlJc w:val="left"/>
      <w:pPr>
        <w:ind w:left="812" w:hanging="111"/>
      </w:pPr>
      <w:rPr>
        <w:rFonts w:hint="default"/>
      </w:rPr>
    </w:lvl>
    <w:lvl w:ilvl="4" w:tplc="46849C58">
      <w:numFmt w:val="bullet"/>
      <w:lvlText w:val="•"/>
      <w:lvlJc w:val="left"/>
      <w:pPr>
        <w:ind w:left="1023" w:hanging="111"/>
      </w:pPr>
      <w:rPr>
        <w:rFonts w:hint="default"/>
      </w:rPr>
    </w:lvl>
    <w:lvl w:ilvl="5" w:tplc="7E7CCE48">
      <w:numFmt w:val="bullet"/>
      <w:lvlText w:val="•"/>
      <w:lvlJc w:val="left"/>
      <w:pPr>
        <w:ind w:left="1233" w:hanging="111"/>
      </w:pPr>
      <w:rPr>
        <w:rFonts w:hint="default"/>
      </w:rPr>
    </w:lvl>
    <w:lvl w:ilvl="6" w:tplc="3448FDE8">
      <w:numFmt w:val="bullet"/>
      <w:lvlText w:val="•"/>
      <w:lvlJc w:val="left"/>
      <w:pPr>
        <w:ind w:left="1444" w:hanging="111"/>
      </w:pPr>
      <w:rPr>
        <w:rFonts w:hint="default"/>
      </w:rPr>
    </w:lvl>
    <w:lvl w:ilvl="7" w:tplc="347CF006">
      <w:numFmt w:val="bullet"/>
      <w:lvlText w:val="•"/>
      <w:lvlJc w:val="left"/>
      <w:pPr>
        <w:ind w:left="1655" w:hanging="111"/>
      </w:pPr>
      <w:rPr>
        <w:rFonts w:hint="default"/>
      </w:rPr>
    </w:lvl>
    <w:lvl w:ilvl="8" w:tplc="D04ED49E">
      <w:numFmt w:val="bullet"/>
      <w:lvlText w:val="•"/>
      <w:lvlJc w:val="left"/>
      <w:pPr>
        <w:ind w:left="1866" w:hanging="111"/>
      </w:pPr>
      <w:rPr>
        <w:rFonts w:hint="default"/>
      </w:rPr>
    </w:lvl>
  </w:abstractNum>
  <w:abstractNum w:abstractNumId="39">
    <w:nsid w:val="64C93177"/>
    <w:multiLevelType w:val="hybridMultilevel"/>
    <w:tmpl w:val="B75E0A7C"/>
    <w:lvl w:ilvl="0" w:tplc="A1386FBA">
      <w:numFmt w:val="bullet"/>
      <w:lvlText w:val="•"/>
      <w:lvlJc w:val="left"/>
      <w:pPr>
        <w:ind w:left="171" w:hanging="111"/>
      </w:pPr>
      <w:rPr>
        <w:rFonts w:ascii="Times New Roman" w:eastAsia="Times New Roman" w:hAnsi="Times New Roman" w:cs="Times New Roman" w:hint="default"/>
        <w:color w:val="000080"/>
        <w:w w:val="99"/>
        <w:sz w:val="20"/>
        <w:szCs w:val="20"/>
      </w:rPr>
    </w:lvl>
    <w:lvl w:ilvl="1" w:tplc="9816142A">
      <w:numFmt w:val="bullet"/>
      <w:lvlText w:val="•"/>
      <w:lvlJc w:val="left"/>
      <w:pPr>
        <w:ind w:left="380" w:hanging="111"/>
      </w:pPr>
      <w:rPr>
        <w:rFonts w:hint="default"/>
      </w:rPr>
    </w:lvl>
    <w:lvl w:ilvl="2" w:tplc="13B0C7E4">
      <w:numFmt w:val="bullet"/>
      <w:lvlText w:val="•"/>
      <w:lvlJc w:val="left"/>
      <w:pPr>
        <w:ind w:left="580" w:hanging="111"/>
      </w:pPr>
      <w:rPr>
        <w:rFonts w:hint="default"/>
      </w:rPr>
    </w:lvl>
    <w:lvl w:ilvl="3" w:tplc="137E1D56">
      <w:numFmt w:val="bullet"/>
      <w:lvlText w:val="•"/>
      <w:lvlJc w:val="left"/>
      <w:pPr>
        <w:ind w:left="781" w:hanging="111"/>
      </w:pPr>
      <w:rPr>
        <w:rFonts w:hint="default"/>
      </w:rPr>
    </w:lvl>
    <w:lvl w:ilvl="4" w:tplc="AC98E0FE">
      <w:numFmt w:val="bullet"/>
      <w:lvlText w:val="•"/>
      <w:lvlJc w:val="left"/>
      <w:pPr>
        <w:ind w:left="981" w:hanging="111"/>
      </w:pPr>
      <w:rPr>
        <w:rFonts w:hint="default"/>
      </w:rPr>
    </w:lvl>
    <w:lvl w:ilvl="5" w:tplc="1B5AA05E">
      <w:numFmt w:val="bullet"/>
      <w:lvlText w:val="•"/>
      <w:lvlJc w:val="left"/>
      <w:pPr>
        <w:ind w:left="1182" w:hanging="111"/>
      </w:pPr>
      <w:rPr>
        <w:rFonts w:hint="default"/>
      </w:rPr>
    </w:lvl>
    <w:lvl w:ilvl="6" w:tplc="C072507E">
      <w:numFmt w:val="bullet"/>
      <w:lvlText w:val="•"/>
      <w:lvlJc w:val="left"/>
      <w:pPr>
        <w:ind w:left="1382" w:hanging="111"/>
      </w:pPr>
      <w:rPr>
        <w:rFonts w:hint="default"/>
      </w:rPr>
    </w:lvl>
    <w:lvl w:ilvl="7" w:tplc="5890E54E">
      <w:numFmt w:val="bullet"/>
      <w:lvlText w:val="•"/>
      <w:lvlJc w:val="left"/>
      <w:pPr>
        <w:ind w:left="1583" w:hanging="111"/>
      </w:pPr>
      <w:rPr>
        <w:rFonts w:hint="default"/>
      </w:rPr>
    </w:lvl>
    <w:lvl w:ilvl="8" w:tplc="A1884B12">
      <w:numFmt w:val="bullet"/>
      <w:lvlText w:val="•"/>
      <w:lvlJc w:val="left"/>
      <w:pPr>
        <w:ind w:left="1783" w:hanging="111"/>
      </w:pPr>
      <w:rPr>
        <w:rFonts w:hint="default"/>
      </w:rPr>
    </w:lvl>
  </w:abstractNum>
  <w:abstractNum w:abstractNumId="40">
    <w:nsid w:val="65860466"/>
    <w:multiLevelType w:val="hybridMultilevel"/>
    <w:tmpl w:val="EBC6C430"/>
    <w:lvl w:ilvl="0" w:tplc="D8D630FC">
      <w:numFmt w:val="bullet"/>
      <w:lvlText w:val="-"/>
      <w:lvlJc w:val="left"/>
      <w:pPr>
        <w:ind w:left="244" w:hanging="130"/>
      </w:pPr>
      <w:rPr>
        <w:rFonts w:ascii="Calibri" w:eastAsia="Calibri" w:hAnsi="Calibri" w:cs="Calibri" w:hint="default"/>
        <w:w w:val="99"/>
        <w:sz w:val="20"/>
        <w:szCs w:val="20"/>
      </w:rPr>
    </w:lvl>
    <w:lvl w:ilvl="1" w:tplc="9C282C62">
      <w:numFmt w:val="bullet"/>
      <w:lvlText w:val="•"/>
      <w:lvlJc w:val="left"/>
      <w:pPr>
        <w:ind w:left="429" w:hanging="130"/>
      </w:pPr>
      <w:rPr>
        <w:rFonts w:hint="default"/>
      </w:rPr>
    </w:lvl>
    <w:lvl w:ilvl="2" w:tplc="22D6F03E">
      <w:numFmt w:val="bullet"/>
      <w:lvlText w:val="•"/>
      <w:lvlJc w:val="left"/>
      <w:pPr>
        <w:ind w:left="619" w:hanging="130"/>
      </w:pPr>
      <w:rPr>
        <w:rFonts w:hint="default"/>
      </w:rPr>
    </w:lvl>
    <w:lvl w:ilvl="3" w:tplc="21E0F0C0">
      <w:numFmt w:val="bullet"/>
      <w:lvlText w:val="•"/>
      <w:lvlJc w:val="left"/>
      <w:pPr>
        <w:ind w:left="809" w:hanging="130"/>
      </w:pPr>
      <w:rPr>
        <w:rFonts w:hint="default"/>
      </w:rPr>
    </w:lvl>
    <w:lvl w:ilvl="4" w:tplc="A5C04578">
      <w:numFmt w:val="bullet"/>
      <w:lvlText w:val="•"/>
      <w:lvlJc w:val="left"/>
      <w:pPr>
        <w:ind w:left="999" w:hanging="130"/>
      </w:pPr>
      <w:rPr>
        <w:rFonts w:hint="default"/>
      </w:rPr>
    </w:lvl>
    <w:lvl w:ilvl="5" w:tplc="926E10C8">
      <w:numFmt w:val="bullet"/>
      <w:lvlText w:val="•"/>
      <w:lvlJc w:val="left"/>
      <w:pPr>
        <w:ind w:left="1189" w:hanging="130"/>
      </w:pPr>
      <w:rPr>
        <w:rFonts w:hint="default"/>
      </w:rPr>
    </w:lvl>
    <w:lvl w:ilvl="6" w:tplc="046C161C">
      <w:numFmt w:val="bullet"/>
      <w:lvlText w:val="•"/>
      <w:lvlJc w:val="left"/>
      <w:pPr>
        <w:ind w:left="1379" w:hanging="130"/>
      </w:pPr>
      <w:rPr>
        <w:rFonts w:hint="default"/>
      </w:rPr>
    </w:lvl>
    <w:lvl w:ilvl="7" w:tplc="8E7A5C9A">
      <w:numFmt w:val="bullet"/>
      <w:lvlText w:val="•"/>
      <w:lvlJc w:val="left"/>
      <w:pPr>
        <w:ind w:left="1569" w:hanging="130"/>
      </w:pPr>
      <w:rPr>
        <w:rFonts w:hint="default"/>
      </w:rPr>
    </w:lvl>
    <w:lvl w:ilvl="8" w:tplc="DB06FDCE">
      <w:numFmt w:val="bullet"/>
      <w:lvlText w:val="•"/>
      <w:lvlJc w:val="left"/>
      <w:pPr>
        <w:ind w:left="1759" w:hanging="130"/>
      </w:pPr>
      <w:rPr>
        <w:rFonts w:hint="default"/>
      </w:rPr>
    </w:lvl>
  </w:abstractNum>
  <w:abstractNum w:abstractNumId="41">
    <w:nsid w:val="68000604"/>
    <w:multiLevelType w:val="hybridMultilevel"/>
    <w:tmpl w:val="F1E814D2"/>
    <w:lvl w:ilvl="0" w:tplc="365CED46">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257C77B8">
      <w:numFmt w:val="bullet"/>
      <w:lvlText w:val="•"/>
      <w:lvlJc w:val="left"/>
      <w:pPr>
        <w:ind w:left="352" w:hanging="111"/>
      </w:pPr>
      <w:rPr>
        <w:rFonts w:hint="default"/>
      </w:rPr>
    </w:lvl>
    <w:lvl w:ilvl="2" w:tplc="6AC47DC2">
      <w:numFmt w:val="bullet"/>
      <w:lvlText w:val="•"/>
      <w:lvlJc w:val="left"/>
      <w:pPr>
        <w:ind w:left="524" w:hanging="111"/>
      </w:pPr>
      <w:rPr>
        <w:rFonts w:hint="default"/>
      </w:rPr>
    </w:lvl>
    <w:lvl w:ilvl="3" w:tplc="F3722676">
      <w:numFmt w:val="bullet"/>
      <w:lvlText w:val="•"/>
      <w:lvlJc w:val="left"/>
      <w:pPr>
        <w:ind w:left="697" w:hanging="111"/>
      </w:pPr>
      <w:rPr>
        <w:rFonts w:hint="default"/>
      </w:rPr>
    </w:lvl>
    <w:lvl w:ilvl="4" w:tplc="DCA2EF64">
      <w:numFmt w:val="bullet"/>
      <w:lvlText w:val="•"/>
      <w:lvlJc w:val="left"/>
      <w:pPr>
        <w:ind w:left="869" w:hanging="111"/>
      </w:pPr>
      <w:rPr>
        <w:rFonts w:hint="default"/>
      </w:rPr>
    </w:lvl>
    <w:lvl w:ilvl="5" w:tplc="8098E042">
      <w:numFmt w:val="bullet"/>
      <w:lvlText w:val="•"/>
      <w:lvlJc w:val="left"/>
      <w:pPr>
        <w:ind w:left="1041" w:hanging="111"/>
      </w:pPr>
      <w:rPr>
        <w:rFonts w:hint="default"/>
      </w:rPr>
    </w:lvl>
    <w:lvl w:ilvl="6" w:tplc="F29C1248">
      <w:numFmt w:val="bullet"/>
      <w:lvlText w:val="•"/>
      <w:lvlJc w:val="left"/>
      <w:pPr>
        <w:ind w:left="1214" w:hanging="111"/>
      </w:pPr>
      <w:rPr>
        <w:rFonts w:hint="default"/>
      </w:rPr>
    </w:lvl>
    <w:lvl w:ilvl="7" w:tplc="A1F25094">
      <w:numFmt w:val="bullet"/>
      <w:lvlText w:val="•"/>
      <w:lvlJc w:val="left"/>
      <w:pPr>
        <w:ind w:left="1386" w:hanging="111"/>
      </w:pPr>
      <w:rPr>
        <w:rFonts w:hint="default"/>
      </w:rPr>
    </w:lvl>
    <w:lvl w:ilvl="8" w:tplc="A4365BB2">
      <w:numFmt w:val="bullet"/>
      <w:lvlText w:val="•"/>
      <w:lvlJc w:val="left"/>
      <w:pPr>
        <w:ind w:left="1559" w:hanging="111"/>
      </w:pPr>
      <w:rPr>
        <w:rFonts w:hint="default"/>
      </w:rPr>
    </w:lvl>
  </w:abstractNum>
  <w:abstractNum w:abstractNumId="42">
    <w:nsid w:val="6A213FAE"/>
    <w:multiLevelType w:val="hybridMultilevel"/>
    <w:tmpl w:val="6458E360"/>
    <w:lvl w:ilvl="0" w:tplc="738EA74E">
      <w:numFmt w:val="bullet"/>
      <w:lvlText w:val=""/>
      <w:lvlJc w:val="left"/>
      <w:pPr>
        <w:ind w:left="160" w:hanging="142"/>
      </w:pPr>
      <w:rPr>
        <w:rFonts w:ascii="Wingdings" w:eastAsia="Wingdings" w:hAnsi="Wingdings" w:cs="Wingdings" w:hint="default"/>
        <w:w w:val="99"/>
        <w:sz w:val="20"/>
        <w:szCs w:val="20"/>
      </w:rPr>
    </w:lvl>
    <w:lvl w:ilvl="1" w:tplc="C9AC56A8">
      <w:numFmt w:val="bullet"/>
      <w:lvlText w:val="•"/>
      <w:lvlJc w:val="left"/>
      <w:pPr>
        <w:ind w:left="397" w:hanging="142"/>
      </w:pPr>
      <w:rPr>
        <w:rFonts w:hint="default"/>
      </w:rPr>
    </w:lvl>
    <w:lvl w:ilvl="2" w:tplc="CFEAC2CA">
      <w:numFmt w:val="bullet"/>
      <w:lvlText w:val="•"/>
      <w:lvlJc w:val="left"/>
      <w:pPr>
        <w:ind w:left="634" w:hanging="142"/>
      </w:pPr>
      <w:rPr>
        <w:rFonts w:hint="default"/>
      </w:rPr>
    </w:lvl>
    <w:lvl w:ilvl="3" w:tplc="4954680A">
      <w:numFmt w:val="bullet"/>
      <w:lvlText w:val="•"/>
      <w:lvlJc w:val="left"/>
      <w:pPr>
        <w:ind w:left="871" w:hanging="142"/>
      </w:pPr>
      <w:rPr>
        <w:rFonts w:hint="default"/>
      </w:rPr>
    </w:lvl>
    <w:lvl w:ilvl="4" w:tplc="BF1287FA">
      <w:numFmt w:val="bullet"/>
      <w:lvlText w:val="•"/>
      <w:lvlJc w:val="left"/>
      <w:pPr>
        <w:ind w:left="1109" w:hanging="142"/>
      </w:pPr>
      <w:rPr>
        <w:rFonts w:hint="default"/>
      </w:rPr>
    </w:lvl>
    <w:lvl w:ilvl="5" w:tplc="E8606066">
      <w:numFmt w:val="bullet"/>
      <w:lvlText w:val="•"/>
      <w:lvlJc w:val="left"/>
      <w:pPr>
        <w:ind w:left="1346" w:hanging="142"/>
      </w:pPr>
      <w:rPr>
        <w:rFonts w:hint="default"/>
      </w:rPr>
    </w:lvl>
    <w:lvl w:ilvl="6" w:tplc="9892A29A">
      <w:numFmt w:val="bullet"/>
      <w:lvlText w:val="•"/>
      <w:lvlJc w:val="left"/>
      <w:pPr>
        <w:ind w:left="1583" w:hanging="142"/>
      </w:pPr>
      <w:rPr>
        <w:rFonts w:hint="default"/>
      </w:rPr>
    </w:lvl>
    <w:lvl w:ilvl="7" w:tplc="5596BCF8">
      <w:numFmt w:val="bullet"/>
      <w:lvlText w:val="•"/>
      <w:lvlJc w:val="left"/>
      <w:pPr>
        <w:ind w:left="1820" w:hanging="142"/>
      </w:pPr>
      <w:rPr>
        <w:rFonts w:hint="default"/>
      </w:rPr>
    </w:lvl>
    <w:lvl w:ilvl="8" w:tplc="00A4F8A4">
      <w:numFmt w:val="bullet"/>
      <w:lvlText w:val="•"/>
      <w:lvlJc w:val="left"/>
      <w:pPr>
        <w:ind w:left="2057" w:hanging="142"/>
      </w:pPr>
      <w:rPr>
        <w:rFonts w:hint="default"/>
      </w:rPr>
    </w:lvl>
  </w:abstractNum>
  <w:abstractNum w:abstractNumId="43">
    <w:nsid w:val="7284726A"/>
    <w:multiLevelType w:val="hybridMultilevel"/>
    <w:tmpl w:val="5DA0402E"/>
    <w:lvl w:ilvl="0" w:tplc="8BA24A98">
      <w:numFmt w:val="bullet"/>
      <w:lvlText w:val=""/>
      <w:lvlJc w:val="left"/>
      <w:pPr>
        <w:ind w:left="160" w:hanging="142"/>
      </w:pPr>
      <w:rPr>
        <w:rFonts w:ascii="Wingdings" w:eastAsia="Wingdings" w:hAnsi="Wingdings" w:cs="Wingdings" w:hint="default"/>
        <w:w w:val="99"/>
        <w:sz w:val="20"/>
        <w:szCs w:val="20"/>
      </w:rPr>
    </w:lvl>
    <w:lvl w:ilvl="1" w:tplc="16DE8B80">
      <w:numFmt w:val="bullet"/>
      <w:lvlText w:val="•"/>
      <w:lvlJc w:val="left"/>
      <w:pPr>
        <w:ind w:left="397" w:hanging="142"/>
      </w:pPr>
      <w:rPr>
        <w:rFonts w:hint="default"/>
      </w:rPr>
    </w:lvl>
    <w:lvl w:ilvl="2" w:tplc="1C52CE44">
      <w:numFmt w:val="bullet"/>
      <w:lvlText w:val="•"/>
      <w:lvlJc w:val="left"/>
      <w:pPr>
        <w:ind w:left="634" w:hanging="142"/>
      </w:pPr>
      <w:rPr>
        <w:rFonts w:hint="default"/>
      </w:rPr>
    </w:lvl>
    <w:lvl w:ilvl="3" w:tplc="9BD017F0">
      <w:numFmt w:val="bullet"/>
      <w:lvlText w:val="•"/>
      <w:lvlJc w:val="left"/>
      <w:pPr>
        <w:ind w:left="871" w:hanging="142"/>
      </w:pPr>
      <w:rPr>
        <w:rFonts w:hint="default"/>
      </w:rPr>
    </w:lvl>
    <w:lvl w:ilvl="4" w:tplc="A2089784">
      <w:numFmt w:val="bullet"/>
      <w:lvlText w:val="•"/>
      <w:lvlJc w:val="left"/>
      <w:pPr>
        <w:ind w:left="1109" w:hanging="142"/>
      </w:pPr>
      <w:rPr>
        <w:rFonts w:hint="default"/>
      </w:rPr>
    </w:lvl>
    <w:lvl w:ilvl="5" w:tplc="33C09496">
      <w:numFmt w:val="bullet"/>
      <w:lvlText w:val="•"/>
      <w:lvlJc w:val="left"/>
      <w:pPr>
        <w:ind w:left="1346" w:hanging="142"/>
      </w:pPr>
      <w:rPr>
        <w:rFonts w:hint="default"/>
      </w:rPr>
    </w:lvl>
    <w:lvl w:ilvl="6" w:tplc="E85E0740">
      <w:numFmt w:val="bullet"/>
      <w:lvlText w:val="•"/>
      <w:lvlJc w:val="left"/>
      <w:pPr>
        <w:ind w:left="1583" w:hanging="142"/>
      </w:pPr>
      <w:rPr>
        <w:rFonts w:hint="default"/>
      </w:rPr>
    </w:lvl>
    <w:lvl w:ilvl="7" w:tplc="8864F138">
      <w:numFmt w:val="bullet"/>
      <w:lvlText w:val="•"/>
      <w:lvlJc w:val="left"/>
      <w:pPr>
        <w:ind w:left="1820" w:hanging="142"/>
      </w:pPr>
      <w:rPr>
        <w:rFonts w:hint="default"/>
      </w:rPr>
    </w:lvl>
    <w:lvl w:ilvl="8" w:tplc="888250BE">
      <w:numFmt w:val="bullet"/>
      <w:lvlText w:val="•"/>
      <w:lvlJc w:val="left"/>
      <w:pPr>
        <w:ind w:left="2057" w:hanging="142"/>
      </w:pPr>
      <w:rPr>
        <w:rFonts w:hint="default"/>
      </w:rPr>
    </w:lvl>
  </w:abstractNum>
  <w:abstractNum w:abstractNumId="44">
    <w:nsid w:val="774E4633"/>
    <w:multiLevelType w:val="hybridMultilevel"/>
    <w:tmpl w:val="90AC9D1E"/>
    <w:lvl w:ilvl="0" w:tplc="F64097BA">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2ADEF046">
      <w:numFmt w:val="bullet"/>
      <w:lvlText w:val="•"/>
      <w:lvlJc w:val="left"/>
      <w:pPr>
        <w:ind w:left="333" w:hanging="111"/>
      </w:pPr>
      <w:rPr>
        <w:rFonts w:hint="default"/>
      </w:rPr>
    </w:lvl>
    <w:lvl w:ilvl="2" w:tplc="315E69A0">
      <w:numFmt w:val="bullet"/>
      <w:lvlText w:val="•"/>
      <w:lvlJc w:val="left"/>
      <w:pPr>
        <w:ind w:left="486" w:hanging="111"/>
      </w:pPr>
      <w:rPr>
        <w:rFonts w:hint="default"/>
      </w:rPr>
    </w:lvl>
    <w:lvl w:ilvl="3" w:tplc="9F282A42">
      <w:numFmt w:val="bullet"/>
      <w:lvlText w:val="•"/>
      <w:lvlJc w:val="left"/>
      <w:pPr>
        <w:ind w:left="639" w:hanging="111"/>
      </w:pPr>
      <w:rPr>
        <w:rFonts w:hint="default"/>
      </w:rPr>
    </w:lvl>
    <w:lvl w:ilvl="4" w:tplc="9604B5DE">
      <w:numFmt w:val="bullet"/>
      <w:lvlText w:val="•"/>
      <w:lvlJc w:val="left"/>
      <w:pPr>
        <w:ind w:left="792" w:hanging="111"/>
      </w:pPr>
      <w:rPr>
        <w:rFonts w:hint="default"/>
      </w:rPr>
    </w:lvl>
    <w:lvl w:ilvl="5" w:tplc="A7EA3A3C">
      <w:numFmt w:val="bullet"/>
      <w:lvlText w:val="•"/>
      <w:lvlJc w:val="left"/>
      <w:pPr>
        <w:ind w:left="945" w:hanging="111"/>
      </w:pPr>
      <w:rPr>
        <w:rFonts w:hint="default"/>
      </w:rPr>
    </w:lvl>
    <w:lvl w:ilvl="6" w:tplc="693446F8">
      <w:numFmt w:val="bullet"/>
      <w:lvlText w:val="•"/>
      <w:lvlJc w:val="left"/>
      <w:pPr>
        <w:ind w:left="1099" w:hanging="111"/>
      </w:pPr>
      <w:rPr>
        <w:rFonts w:hint="default"/>
      </w:rPr>
    </w:lvl>
    <w:lvl w:ilvl="7" w:tplc="05AC026A">
      <w:numFmt w:val="bullet"/>
      <w:lvlText w:val="•"/>
      <w:lvlJc w:val="left"/>
      <w:pPr>
        <w:ind w:left="1252" w:hanging="111"/>
      </w:pPr>
      <w:rPr>
        <w:rFonts w:hint="default"/>
      </w:rPr>
    </w:lvl>
    <w:lvl w:ilvl="8" w:tplc="F97A4498">
      <w:numFmt w:val="bullet"/>
      <w:lvlText w:val="•"/>
      <w:lvlJc w:val="left"/>
      <w:pPr>
        <w:ind w:left="1405" w:hanging="111"/>
      </w:pPr>
      <w:rPr>
        <w:rFonts w:hint="default"/>
      </w:rPr>
    </w:lvl>
  </w:abstractNum>
  <w:abstractNum w:abstractNumId="45">
    <w:nsid w:val="77A8418D"/>
    <w:multiLevelType w:val="hybridMultilevel"/>
    <w:tmpl w:val="267CD3A6"/>
    <w:lvl w:ilvl="0" w:tplc="3280A982">
      <w:numFmt w:val="bullet"/>
      <w:lvlText w:val="•"/>
      <w:lvlJc w:val="left"/>
      <w:pPr>
        <w:ind w:left="172" w:hanging="111"/>
      </w:pPr>
      <w:rPr>
        <w:rFonts w:ascii="Times New Roman" w:eastAsia="Times New Roman" w:hAnsi="Times New Roman" w:cs="Times New Roman" w:hint="default"/>
        <w:color w:val="000080"/>
        <w:w w:val="100"/>
        <w:sz w:val="17"/>
        <w:szCs w:val="17"/>
      </w:rPr>
    </w:lvl>
    <w:lvl w:ilvl="1" w:tplc="8C727472">
      <w:numFmt w:val="bullet"/>
      <w:lvlText w:val="•"/>
      <w:lvlJc w:val="left"/>
      <w:pPr>
        <w:ind w:left="371" w:hanging="111"/>
      </w:pPr>
      <w:rPr>
        <w:rFonts w:hint="default"/>
      </w:rPr>
    </w:lvl>
    <w:lvl w:ilvl="2" w:tplc="C0C257EE">
      <w:numFmt w:val="bullet"/>
      <w:lvlText w:val="•"/>
      <w:lvlJc w:val="left"/>
      <w:pPr>
        <w:ind w:left="563" w:hanging="111"/>
      </w:pPr>
      <w:rPr>
        <w:rFonts w:hint="default"/>
      </w:rPr>
    </w:lvl>
    <w:lvl w:ilvl="3" w:tplc="9E4654CC">
      <w:numFmt w:val="bullet"/>
      <w:lvlText w:val="•"/>
      <w:lvlJc w:val="left"/>
      <w:pPr>
        <w:ind w:left="754" w:hanging="111"/>
      </w:pPr>
      <w:rPr>
        <w:rFonts w:hint="default"/>
      </w:rPr>
    </w:lvl>
    <w:lvl w:ilvl="4" w:tplc="80907D04">
      <w:numFmt w:val="bullet"/>
      <w:lvlText w:val="•"/>
      <w:lvlJc w:val="left"/>
      <w:pPr>
        <w:ind w:left="946" w:hanging="111"/>
      </w:pPr>
      <w:rPr>
        <w:rFonts w:hint="default"/>
      </w:rPr>
    </w:lvl>
    <w:lvl w:ilvl="5" w:tplc="9E92EA2A">
      <w:numFmt w:val="bullet"/>
      <w:lvlText w:val="•"/>
      <w:lvlJc w:val="left"/>
      <w:pPr>
        <w:ind w:left="1137" w:hanging="111"/>
      </w:pPr>
      <w:rPr>
        <w:rFonts w:hint="default"/>
      </w:rPr>
    </w:lvl>
    <w:lvl w:ilvl="6" w:tplc="FF20264C">
      <w:numFmt w:val="bullet"/>
      <w:lvlText w:val="•"/>
      <w:lvlJc w:val="left"/>
      <w:pPr>
        <w:ind w:left="1329" w:hanging="111"/>
      </w:pPr>
      <w:rPr>
        <w:rFonts w:hint="default"/>
      </w:rPr>
    </w:lvl>
    <w:lvl w:ilvl="7" w:tplc="9FC02FA2">
      <w:numFmt w:val="bullet"/>
      <w:lvlText w:val="•"/>
      <w:lvlJc w:val="left"/>
      <w:pPr>
        <w:ind w:left="1521" w:hanging="111"/>
      </w:pPr>
      <w:rPr>
        <w:rFonts w:hint="default"/>
      </w:rPr>
    </w:lvl>
    <w:lvl w:ilvl="8" w:tplc="CA5A97A6">
      <w:numFmt w:val="bullet"/>
      <w:lvlText w:val="•"/>
      <w:lvlJc w:val="left"/>
      <w:pPr>
        <w:ind w:left="1712" w:hanging="111"/>
      </w:pPr>
      <w:rPr>
        <w:rFonts w:hint="default"/>
      </w:rPr>
    </w:lvl>
  </w:abstractNum>
  <w:num w:numId="1">
    <w:abstractNumId w:val="24"/>
  </w:num>
  <w:num w:numId="2">
    <w:abstractNumId w:val="23"/>
  </w:num>
  <w:num w:numId="3">
    <w:abstractNumId w:val="11"/>
  </w:num>
  <w:num w:numId="4">
    <w:abstractNumId w:val="27"/>
  </w:num>
  <w:num w:numId="5">
    <w:abstractNumId w:val="40"/>
  </w:num>
  <w:num w:numId="6">
    <w:abstractNumId w:val="17"/>
  </w:num>
  <w:num w:numId="7">
    <w:abstractNumId w:val="42"/>
  </w:num>
  <w:num w:numId="8">
    <w:abstractNumId w:val="12"/>
  </w:num>
  <w:num w:numId="9">
    <w:abstractNumId w:val="10"/>
  </w:num>
  <w:num w:numId="10">
    <w:abstractNumId w:val="22"/>
  </w:num>
  <w:num w:numId="11">
    <w:abstractNumId w:val="7"/>
  </w:num>
  <w:num w:numId="12">
    <w:abstractNumId w:val="43"/>
  </w:num>
  <w:num w:numId="13">
    <w:abstractNumId w:val="5"/>
  </w:num>
  <w:num w:numId="14">
    <w:abstractNumId w:val="14"/>
  </w:num>
  <w:num w:numId="15">
    <w:abstractNumId w:val="25"/>
  </w:num>
  <w:num w:numId="16">
    <w:abstractNumId w:val="34"/>
  </w:num>
  <w:num w:numId="17">
    <w:abstractNumId w:val="45"/>
  </w:num>
  <w:num w:numId="18">
    <w:abstractNumId w:val="13"/>
  </w:num>
  <w:num w:numId="19">
    <w:abstractNumId w:val="44"/>
  </w:num>
  <w:num w:numId="20">
    <w:abstractNumId w:val="3"/>
  </w:num>
  <w:num w:numId="21">
    <w:abstractNumId w:val="8"/>
  </w:num>
  <w:num w:numId="22">
    <w:abstractNumId w:val="21"/>
  </w:num>
  <w:num w:numId="23">
    <w:abstractNumId w:val="41"/>
  </w:num>
  <w:num w:numId="24">
    <w:abstractNumId w:val="4"/>
  </w:num>
  <w:num w:numId="25">
    <w:abstractNumId w:val="36"/>
  </w:num>
  <w:num w:numId="26">
    <w:abstractNumId w:val="31"/>
  </w:num>
  <w:num w:numId="27">
    <w:abstractNumId w:val="6"/>
  </w:num>
  <w:num w:numId="28">
    <w:abstractNumId w:val="9"/>
  </w:num>
  <w:num w:numId="29">
    <w:abstractNumId w:val="20"/>
  </w:num>
  <w:num w:numId="30">
    <w:abstractNumId w:val="37"/>
  </w:num>
  <w:num w:numId="31">
    <w:abstractNumId w:val="35"/>
  </w:num>
  <w:num w:numId="32">
    <w:abstractNumId w:val="30"/>
  </w:num>
  <w:num w:numId="33">
    <w:abstractNumId w:val="38"/>
  </w:num>
  <w:num w:numId="34">
    <w:abstractNumId w:val="18"/>
  </w:num>
  <w:num w:numId="35">
    <w:abstractNumId w:val="2"/>
  </w:num>
  <w:num w:numId="36">
    <w:abstractNumId w:val="39"/>
  </w:num>
  <w:num w:numId="37">
    <w:abstractNumId w:val="16"/>
  </w:num>
  <w:num w:numId="38">
    <w:abstractNumId w:val="19"/>
  </w:num>
  <w:num w:numId="39">
    <w:abstractNumId w:val="26"/>
  </w:num>
  <w:num w:numId="40">
    <w:abstractNumId w:val="1"/>
  </w:num>
  <w:num w:numId="41">
    <w:abstractNumId w:val="0"/>
  </w:num>
  <w:num w:numId="42">
    <w:abstractNumId w:val="32"/>
  </w:num>
  <w:num w:numId="43">
    <w:abstractNumId w:val="29"/>
  </w:num>
  <w:num w:numId="44">
    <w:abstractNumId w:val="33"/>
  </w:num>
  <w:num w:numId="45">
    <w:abstractNumId w:val="28"/>
  </w:num>
  <w:num w:numId="46">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113"/>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03EE"/>
    <w:rsid w:val="000004E4"/>
    <w:rsid w:val="000017F1"/>
    <w:rsid w:val="00002637"/>
    <w:rsid w:val="0000304F"/>
    <w:rsid w:val="000145A2"/>
    <w:rsid w:val="000170EC"/>
    <w:rsid w:val="0002363B"/>
    <w:rsid w:val="00023BB2"/>
    <w:rsid w:val="00024F23"/>
    <w:rsid w:val="00032B37"/>
    <w:rsid w:val="00032E19"/>
    <w:rsid w:val="00033A2C"/>
    <w:rsid w:val="00034525"/>
    <w:rsid w:val="00037B24"/>
    <w:rsid w:val="00043C57"/>
    <w:rsid w:val="00047208"/>
    <w:rsid w:val="00047B59"/>
    <w:rsid w:val="00055239"/>
    <w:rsid w:val="00055AB5"/>
    <w:rsid w:val="00060376"/>
    <w:rsid w:val="000713E9"/>
    <w:rsid w:val="00074010"/>
    <w:rsid w:val="000749C5"/>
    <w:rsid w:val="000765C2"/>
    <w:rsid w:val="00077CD4"/>
    <w:rsid w:val="00085D0E"/>
    <w:rsid w:val="00086D4D"/>
    <w:rsid w:val="00092CAE"/>
    <w:rsid w:val="00096528"/>
    <w:rsid w:val="00096985"/>
    <w:rsid w:val="000A024F"/>
    <w:rsid w:val="000A3B4D"/>
    <w:rsid w:val="000B1CE1"/>
    <w:rsid w:val="000B2F9D"/>
    <w:rsid w:val="000B3C27"/>
    <w:rsid w:val="000B3D9B"/>
    <w:rsid w:val="000B3F06"/>
    <w:rsid w:val="000B673A"/>
    <w:rsid w:val="000C3FEF"/>
    <w:rsid w:val="000C4A3B"/>
    <w:rsid w:val="000C70FC"/>
    <w:rsid w:val="000D199E"/>
    <w:rsid w:val="000D43F1"/>
    <w:rsid w:val="000D57DA"/>
    <w:rsid w:val="000E024D"/>
    <w:rsid w:val="000E06B1"/>
    <w:rsid w:val="000E2566"/>
    <w:rsid w:val="000E5BA6"/>
    <w:rsid w:val="000F5BBE"/>
    <w:rsid w:val="000F7F87"/>
    <w:rsid w:val="001004E4"/>
    <w:rsid w:val="001023A4"/>
    <w:rsid w:val="00104C04"/>
    <w:rsid w:val="00106F6D"/>
    <w:rsid w:val="00111054"/>
    <w:rsid w:val="001125E2"/>
    <w:rsid w:val="00122026"/>
    <w:rsid w:val="0012310B"/>
    <w:rsid w:val="00124F91"/>
    <w:rsid w:val="00125140"/>
    <w:rsid w:val="0012550D"/>
    <w:rsid w:val="00132731"/>
    <w:rsid w:val="0013687B"/>
    <w:rsid w:val="00140E80"/>
    <w:rsid w:val="00143E8B"/>
    <w:rsid w:val="001446C6"/>
    <w:rsid w:val="00146D52"/>
    <w:rsid w:val="00150C60"/>
    <w:rsid w:val="00153CC5"/>
    <w:rsid w:val="00155BCF"/>
    <w:rsid w:val="00161F37"/>
    <w:rsid w:val="00162B5E"/>
    <w:rsid w:val="001664AB"/>
    <w:rsid w:val="00166898"/>
    <w:rsid w:val="001721C8"/>
    <w:rsid w:val="00173FEF"/>
    <w:rsid w:val="001761E4"/>
    <w:rsid w:val="00176E0E"/>
    <w:rsid w:val="00176F72"/>
    <w:rsid w:val="0018045A"/>
    <w:rsid w:val="001816AF"/>
    <w:rsid w:val="00184768"/>
    <w:rsid w:val="001942D4"/>
    <w:rsid w:val="00194CF0"/>
    <w:rsid w:val="0019581C"/>
    <w:rsid w:val="001A5C18"/>
    <w:rsid w:val="001B00B2"/>
    <w:rsid w:val="001B762F"/>
    <w:rsid w:val="001B796E"/>
    <w:rsid w:val="001C0806"/>
    <w:rsid w:val="001C445C"/>
    <w:rsid w:val="001C5CDE"/>
    <w:rsid w:val="001C6A0A"/>
    <w:rsid w:val="001C6F05"/>
    <w:rsid w:val="001C7EC0"/>
    <w:rsid w:val="001D2895"/>
    <w:rsid w:val="001D6390"/>
    <w:rsid w:val="001E5AF6"/>
    <w:rsid w:val="001E665A"/>
    <w:rsid w:val="001F04D8"/>
    <w:rsid w:val="001F06EE"/>
    <w:rsid w:val="001F194A"/>
    <w:rsid w:val="001F4A20"/>
    <w:rsid w:val="001F5EE7"/>
    <w:rsid w:val="001F5F4A"/>
    <w:rsid w:val="002003D4"/>
    <w:rsid w:val="002009A1"/>
    <w:rsid w:val="0020160E"/>
    <w:rsid w:val="0020170B"/>
    <w:rsid w:val="00203CBE"/>
    <w:rsid w:val="00204DAD"/>
    <w:rsid w:val="0020507F"/>
    <w:rsid w:val="002065B0"/>
    <w:rsid w:val="00211085"/>
    <w:rsid w:val="00213234"/>
    <w:rsid w:val="00214854"/>
    <w:rsid w:val="0021715D"/>
    <w:rsid w:val="00217EA7"/>
    <w:rsid w:val="00230D53"/>
    <w:rsid w:val="00233280"/>
    <w:rsid w:val="00236254"/>
    <w:rsid w:val="00241432"/>
    <w:rsid w:val="0024206A"/>
    <w:rsid w:val="00242233"/>
    <w:rsid w:val="0024361A"/>
    <w:rsid w:val="00243B60"/>
    <w:rsid w:val="00246322"/>
    <w:rsid w:val="00253D21"/>
    <w:rsid w:val="00266C06"/>
    <w:rsid w:val="00273B87"/>
    <w:rsid w:val="0028403A"/>
    <w:rsid w:val="00293FE3"/>
    <w:rsid w:val="002A0B7E"/>
    <w:rsid w:val="002A120F"/>
    <w:rsid w:val="002A3C4B"/>
    <w:rsid w:val="002A4351"/>
    <w:rsid w:val="002A47D7"/>
    <w:rsid w:val="002A4833"/>
    <w:rsid w:val="002A4BD8"/>
    <w:rsid w:val="002C0A85"/>
    <w:rsid w:val="002C1BA4"/>
    <w:rsid w:val="002C200D"/>
    <w:rsid w:val="002C3C14"/>
    <w:rsid w:val="002D0F4A"/>
    <w:rsid w:val="002D3653"/>
    <w:rsid w:val="002D5EB1"/>
    <w:rsid w:val="002D65E5"/>
    <w:rsid w:val="002F2528"/>
    <w:rsid w:val="002F5953"/>
    <w:rsid w:val="00303EE3"/>
    <w:rsid w:val="00304B02"/>
    <w:rsid w:val="003128C6"/>
    <w:rsid w:val="00313AC8"/>
    <w:rsid w:val="00316427"/>
    <w:rsid w:val="00316833"/>
    <w:rsid w:val="00320CCE"/>
    <w:rsid w:val="00320F7C"/>
    <w:rsid w:val="00327C8B"/>
    <w:rsid w:val="003360ED"/>
    <w:rsid w:val="0033619F"/>
    <w:rsid w:val="00336633"/>
    <w:rsid w:val="00341E1C"/>
    <w:rsid w:val="003423B9"/>
    <w:rsid w:val="00342E37"/>
    <w:rsid w:val="00345C84"/>
    <w:rsid w:val="00347F15"/>
    <w:rsid w:val="00355ADF"/>
    <w:rsid w:val="00365069"/>
    <w:rsid w:val="00365141"/>
    <w:rsid w:val="00366695"/>
    <w:rsid w:val="00381062"/>
    <w:rsid w:val="0038331D"/>
    <w:rsid w:val="0039138A"/>
    <w:rsid w:val="00397541"/>
    <w:rsid w:val="003A2A0C"/>
    <w:rsid w:val="003A38DC"/>
    <w:rsid w:val="003A4DD5"/>
    <w:rsid w:val="003A63A5"/>
    <w:rsid w:val="003B6021"/>
    <w:rsid w:val="003B69E1"/>
    <w:rsid w:val="003C48FF"/>
    <w:rsid w:val="003C7A98"/>
    <w:rsid w:val="003E1A85"/>
    <w:rsid w:val="003E1E2A"/>
    <w:rsid w:val="003E204F"/>
    <w:rsid w:val="003E33ED"/>
    <w:rsid w:val="003E47CD"/>
    <w:rsid w:val="003F17B7"/>
    <w:rsid w:val="003F1B59"/>
    <w:rsid w:val="003F29A8"/>
    <w:rsid w:val="00400B32"/>
    <w:rsid w:val="004042DD"/>
    <w:rsid w:val="00405451"/>
    <w:rsid w:val="0041300C"/>
    <w:rsid w:val="00420682"/>
    <w:rsid w:val="00420B63"/>
    <w:rsid w:val="00433AF3"/>
    <w:rsid w:val="00433BCD"/>
    <w:rsid w:val="00445155"/>
    <w:rsid w:val="00445610"/>
    <w:rsid w:val="00446633"/>
    <w:rsid w:val="00452A6C"/>
    <w:rsid w:val="00453E85"/>
    <w:rsid w:val="00455BBA"/>
    <w:rsid w:val="0046047A"/>
    <w:rsid w:val="00460BC4"/>
    <w:rsid w:val="00462385"/>
    <w:rsid w:val="004647DB"/>
    <w:rsid w:val="004656AC"/>
    <w:rsid w:val="00470094"/>
    <w:rsid w:val="004736C4"/>
    <w:rsid w:val="0047694F"/>
    <w:rsid w:val="00476C4D"/>
    <w:rsid w:val="00477804"/>
    <w:rsid w:val="00481D46"/>
    <w:rsid w:val="004860F7"/>
    <w:rsid w:val="004925B7"/>
    <w:rsid w:val="00495252"/>
    <w:rsid w:val="004A4957"/>
    <w:rsid w:val="004A5884"/>
    <w:rsid w:val="004B0119"/>
    <w:rsid w:val="004B12D2"/>
    <w:rsid w:val="004B6ED9"/>
    <w:rsid w:val="004C08F2"/>
    <w:rsid w:val="004C2DFD"/>
    <w:rsid w:val="004C3FA9"/>
    <w:rsid w:val="004D1FE1"/>
    <w:rsid w:val="004D3CAA"/>
    <w:rsid w:val="004E2CEC"/>
    <w:rsid w:val="004E618F"/>
    <w:rsid w:val="004E6281"/>
    <w:rsid w:val="004E7290"/>
    <w:rsid w:val="004E7E53"/>
    <w:rsid w:val="004F447A"/>
    <w:rsid w:val="004F482A"/>
    <w:rsid w:val="004F7030"/>
    <w:rsid w:val="004F7C3F"/>
    <w:rsid w:val="00500457"/>
    <w:rsid w:val="005079B0"/>
    <w:rsid w:val="00512EF0"/>
    <w:rsid w:val="00517037"/>
    <w:rsid w:val="005201B5"/>
    <w:rsid w:val="00522D0E"/>
    <w:rsid w:val="00522FFB"/>
    <w:rsid w:val="0052363E"/>
    <w:rsid w:val="0052382E"/>
    <w:rsid w:val="00524E24"/>
    <w:rsid w:val="00531659"/>
    <w:rsid w:val="00531A97"/>
    <w:rsid w:val="0053337A"/>
    <w:rsid w:val="00541C78"/>
    <w:rsid w:val="00542102"/>
    <w:rsid w:val="00550FA3"/>
    <w:rsid w:val="00551729"/>
    <w:rsid w:val="00552E39"/>
    <w:rsid w:val="00553C30"/>
    <w:rsid w:val="00554631"/>
    <w:rsid w:val="0055575B"/>
    <w:rsid w:val="005726F2"/>
    <w:rsid w:val="00573EE3"/>
    <w:rsid w:val="0057433B"/>
    <w:rsid w:val="0057650B"/>
    <w:rsid w:val="005767F6"/>
    <w:rsid w:val="0057754B"/>
    <w:rsid w:val="005809BB"/>
    <w:rsid w:val="0059342C"/>
    <w:rsid w:val="005936EF"/>
    <w:rsid w:val="00593BA1"/>
    <w:rsid w:val="005A1277"/>
    <w:rsid w:val="005A1BBF"/>
    <w:rsid w:val="005A37C2"/>
    <w:rsid w:val="005B455F"/>
    <w:rsid w:val="005B6E3F"/>
    <w:rsid w:val="005D7801"/>
    <w:rsid w:val="005E0919"/>
    <w:rsid w:val="005E2A40"/>
    <w:rsid w:val="005E59ED"/>
    <w:rsid w:val="005F2EA9"/>
    <w:rsid w:val="005F5509"/>
    <w:rsid w:val="0060535D"/>
    <w:rsid w:val="00606BDC"/>
    <w:rsid w:val="00615CA4"/>
    <w:rsid w:val="006166EB"/>
    <w:rsid w:val="0062077A"/>
    <w:rsid w:val="00621A17"/>
    <w:rsid w:val="006334E5"/>
    <w:rsid w:val="006465EF"/>
    <w:rsid w:val="00646924"/>
    <w:rsid w:val="0064748A"/>
    <w:rsid w:val="006512C5"/>
    <w:rsid w:val="00663243"/>
    <w:rsid w:val="006637C8"/>
    <w:rsid w:val="006718D2"/>
    <w:rsid w:val="006737CE"/>
    <w:rsid w:val="0067406E"/>
    <w:rsid w:val="00676C26"/>
    <w:rsid w:val="00677E6C"/>
    <w:rsid w:val="00686B90"/>
    <w:rsid w:val="006A2E84"/>
    <w:rsid w:val="006A550D"/>
    <w:rsid w:val="006A7D85"/>
    <w:rsid w:val="006B28E8"/>
    <w:rsid w:val="006B57CD"/>
    <w:rsid w:val="006B5D0E"/>
    <w:rsid w:val="006B7BD8"/>
    <w:rsid w:val="006D0C46"/>
    <w:rsid w:val="006D2BB3"/>
    <w:rsid w:val="006E191B"/>
    <w:rsid w:val="006F31B1"/>
    <w:rsid w:val="006F4D55"/>
    <w:rsid w:val="006F6B1B"/>
    <w:rsid w:val="0070098F"/>
    <w:rsid w:val="00705851"/>
    <w:rsid w:val="0070653E"/>
    <w:rsid w:val="00715E78"/>
    <w:rsid w:val="00726525"/>
    <w:rsid w:val="0073111F"/>
    <w:rsid w:val="007313B6"/>
    <w:rsid w:val="00733062"/>
    <w:rsid w:val="007342D6"/>
    <w:rsid w:val="00734DFF"/>
    <w:rsid w:val="00736DC8"/>
    <w:rsid w:val="007403CF"/>
    <w:rsid w:val="00741EAA"/>
    <w:rsid w:val="00745726"/>
    <w:rsid w:val="00747DE1"/>
    <w:rsid w:val="007532AE"/>
    <w:rsid w:val="00753CA2"/>
    <w:rsid w:val="00756B9D"/>
    <w:rsid w:val="007654B3"/>
    <w:rsid w:val="00770FAD"/>
    <w:rsid w:val="00774741"/>
    <w:rsid w:val="0077485B"/>
    <w:rsid w:val="00776C0D"/>
    <w:rsid w:val="007806C0"/>
    <w:rsid w:val="0078627E"/>
    <w:rsid w:val="00786614"/>
    <w:rsid w:val="00791D8A"/>
    <w:rsid w:val="00792288"/>
    <w:rsid w:val="00795989"/>
    <w:rsid w:val="007A2E0E"/>
    <w:rsid w:val="007A53D2"/>
    <w:rsid w:val="007A7983"/>
    <w:rsid w:val="007B5EB3"/>
    <w:rsid w:val="007B6801"/>
    <w:rsid w:val="007B68D7"/>
    <w:rsid w:val="007C083E"/>
    <w:rsid w:val="007D1A5E"/>
    <w:rsid w:val="007D1FAB"/>
    <w:rsid w:val="007D742E"/>
    <w:rsid w:val="007E2515"/>
    <w:rsid w:val="007E6019"/>
    <w:rsid w:val="007E6904"/>
    <w:rsid w:val="007E6EAC"/>
    <w:rsid w:val="007F4192"/>
    <w:rsid w:val="0080238D"/>
    <w:rsid w:val="00810E0F"/>
    <w:rsid w:val="00811138"/>
    <w:rsid w:val="008127F3"/>
    <w:rsid w:val="0081449E"/>
    <w:rsid w:val="008171B5"/>
    <w:rsid w:val="0082248B"/>
    <w:rsid w:val="008274CD"/>
    <w:rsid w:val="0082753C"/>
    <w:rsid w:val="00840462"/>
    <w:rsid w:val="0084395F"/>
    <w:rsid w:val="00854195"/>
    <w:rsid w:val="00854256"/>
    <w:rsid w:val="0085472C"/>
    <w:rsid w:val="008578CF"/>
    <w:rsid w:val="008620E4"/>
    <w:rsid w:val="0086360A"/>
    <w:rsid w:val="00867377"/>
    <w:rsid w:val="00870AE8"/>
    <w:rsid w:val="00871993"/>
    <w:rsid w:val="008720AB"/>
    <w:rsid w:val="0087264B"/>
    <w:rsid w:val="00875F82"/>
    <w:rsid w:val="0088147A"/>
    <w:rsid w:val="00883B97"/>
    <w:rsid w:val="0088543C"/>
    <w:rsid w:val="00885A4E"/>
    <w:rsid w:val="008914C1"/>
    <w:rsid w:val="00892C77"/>
    <w:rsid w:val="00893E12"/>
    <w:rsid w:val="008A1646"/>
    <w:rsid w:val="008A6ECB"/>
    <w:rsid w:val="008B1278"/>
    <w:rsid w:val="008B4809"/>
    <w:rsid w:val="008B6554"/>
    <w:rsid w:val="008C15C7"/>
    <w:rsid w:val="008C4C05"/>
    <w:rsid w:val="008D12D7"/>
    <w:rsid w:val="008D1BD2"/>
    <w:rsid w:val="008D7297"/>
    <w:rsid w:val="008E5481"/>
    <w:rsid w:val="008F1F97"/>
    <w:rsid w:val="008F4590"/>
    <w:rsid w:val="00900D7B"/>
    <w:rsid w:val="0090322E"/>
    <w:rsid w:val="0091014E"/>
    <w:rsid w:val="009104DF"/>
    <w:rsid w:val="00912834"/>
    <w:rsid w:val="00915CA3"/>
    <w:rsid w:val="009211D8"/>
    <w:rsid w:val="00921533"/>
    <w:rsid w:val="00922C31"/>
    <w:rsid w:val="00925623"/>
    <w:rsid w:val="0093186B"/>
    <w:rsid w:val="00935CFE"/>
    <w:rsid w:val="009365AB"/>
    <w:rsid w:val="00942156"/>
    <w:rsid w:val="00947AA7"/>
    <w:rsid w:val="00950449"/>
    <w:rsid w:val="00952CD0"/>
    <w:rsid w:val="00963E30"/>
    <w:rsid w:val="0096601B"/>
    <w:rsid w:val="00970816"/>
    <w:rsid w:val="00970B93"/>
    <w:rsid w:val="00970D95"/>
    <w:rsid w:val="00971CA1"/>
    <w:rsid w:val="00974717"/>
    <w:rsid w:val="00976A3C"/>
    <w:rsid w:val="00977D24"/>
    <w:rsid w:val="00991D86"/>
    <w:rsid w:val="00993F70"/>
    <w:rsid w:val="0099741A"/>
    <w:rsid w:val="009A406B"/>
    <w:rsid w:val="009A6BD5"/>
    <w:rsid w:val="009A6F98"/>
    <w:rsid w:val="009A7E95"/>
    <w:rsid w:val="009B2786"/>
    <w:rsid w:val="009B3B2A"/>
    <w:rsid w:val="009C06AC"/>
    <w:rsid w:val="009D078A"/>
    <w:rsid w:val="009D0DE1"/>
    <w:rsid w:val="009D1A37"/>
    <w:rsid w:val="009F02F5"/>
    <w:rsid w:val="009F55D9"/>
    <w:rsid w:val="00A0266A"/>
    <w:rsid w:val="00A052C4"/>
    <w:rsid w:val="00A06D12"/>
    <w:rsid w:val="00A07CA2"/>
    <w:rsid w:val="00A11C63"/>
    <w:rsid w:val="00A15DE9"/>
    <w:rsid w:val="00A202C2"/>
    <w:rsid w:val="00A33172"/>
    <w:rsid w:val="00A33C30"/>
    <w:rsid w:val="00A34D9D"/>
    <w:rsid w:val="00A35310"/>
    <w:rsid w:val="00A36E70"/>
    <w:rsid w:val="00A431DD"/>
    <w:rsid w:val="00A45B01"/>
    <w:rsid w:val="00A45BE3"/>
    <w:rsid w:val="00A52355"/>
    <w:rsid w:val="00A55064"/>
    <w:rsid w:val="00A55AAA"/>
    <w:rsid w:val="00A568E6"/>
    <w:rsid w:val="00A6104B"/>
    <w:rsid w:val="00A645A6"/>
    <w:rsid w:val="00A70952"/>
    <w:rsid w:val="00A71F17"/>
    <w:rsid w:val="00A80440"/>
    <w:rsid w:val="00A92504"/>
    <w:rsid w:val="00AA0B64"/>
    <w:rsid w:val="00AA32E0"/>
    <w:rsid w:val="00AA358D"/>
    <w:rsid w:val="00AA3AF9"/>
    <w:rsid w:val="00AC2686"/>
    <w:rsid w:val="00AC44B5"/>
    <w:rsid w:val="00AC5C10"/>
    <w:rsid w:val="00AC7B77"/>
    <w:rsid w:val="00AD6F0B"/>
    <w:rsid w:val="00AF0CE9"/>
    <w:rsid w:val="00AF34CD"/>
    <w:rsid w:val="00AF444E"/>
    <w:rsid w:val="00AF4CEE"/>
    <w:rsid w:val="00B03A16"/>
    <w:rsid w:val="00B0440D"/>
    <w:rsid w:val="00B05A95"/>
    <w:rsid w:val="00B0689F"/>
    <w:rsid w:val="00B1590B"/>
    <w:rsid w:val="00B16DFB"/>
    <w:rsid w:val="00B17AA1"/>
    <w:rsid w:val="00B2257D"/>
    <w:rsid w:val="00B25465"/>
    <w:rsid w:val="00B27400"/>
    <w:rsid w:val="00B33ED3"/>
    <w:rsid w:val="00B367EE"/>
    <w:rsid w:val="00B371D1"/>
    <w:rsid w:val="00B41418"/>
    <w:rsid w:val="00B4215F"/>
    <w:rsid w:val="00B53F76"/>
    <w:rsid w:val="00B54D96"/>
    <w:rsid w:val="00B57C4C"/>
    <w:rsid w:val="00B628D7"/>
    <w:rsid w:val="00B6427E"/>
    <w:rsid w:val="00B65E6C"/>
    <w:rsid w:val="00B67778"/>
    <w:rsid w:val="00B716D0"/>
    <w:rsid w:val="00B74C4D"/>
    <w:rsid w:val="00B84F8F"/>
    <w:rsid w:val="00B8668D"/>
    <w:rsid w:val="00B86FAC"/>
    <w:rsid w:val="00B879E6"/>
    <w:rsid w:val="00BA1706"/>
    <w:rsid w:val="00BA5571"/>
    <w:rsid w:val="00BB15C8"/>
    <w:rsid w:val="00BC1B72"/>
    <w:rsid w:val="00BC74CD"/>
    <w:rsid w:val="00BC79A1"/>
    <w:rsid w:val="00BD0D0A"/>
    <w:rsid w:val="00BD3B8A"/>
    <w:rsid w:val="00BD3F25"/>
    <w:rsid w:val="00BD4611"/>
    <w:rsid w:val="00BF0E09"/>
    <w:rsid w:val="00C02529"/>
    <w:rsid w:val="00C040ED"/>
    <w:rsid w:val="00C10624"/>
    <w:rsid w:val="00C25056"/>
    <w:rsid w:val="00C341E9"/>
    <w:rsid w:val="00C4191B"/>
    <w:rsid w:val="00C446ED"/>
    <w:rsid w:val="00C47BE9"/>
    <w:rsid w:val="00C47FED"/>
    <w:rsid w:val="00C521D5"/>
    <w:rsid w:val="00C5268F"/>
    <w:rsid w:val="00C5355A"/>
    <w:rsid w:val="00C559DE"/>
    <w:rsid w:val="00C562C7"/>
    <w:rsid w:val="00C60CAD"/>
    <w:rsid w:val="00C6573D"/>
    <w:rsid w:val="00C662EF"/>
    <w:rsid w:val="00C672D9"/>
    <w:rsid w:val="00C820FB"/>
    <w:rsid w:val="00C840E7"/>
    <w:rsid w:val="00C84577"/>
    <w:rsid w:val="00C877CE"/>
    <w:rsid w:val="00C90FD7"/>
    <w:rsid w:val="00C94CBB"/>
    <w:rsid w:val="00CA0828"/>
    <w:rsid w:val="00CB37FC"/>
    <w:rsid w:val="00CC1222"/>
    <w:rsid w:val="00CC1ADB"/>
    <w:rsid w:val="00CC6FF4"/>
    <w:rsid w:val="00CC7CA2"/>
    <w:rsid w:val="00CD4A55"/>
    <w:rsid w:val="00CD5A51"/>
    <w:rsid w:val="00CD6BF8"/>
    <w:rsid w:val="00CE1D0F"/>
    <w:rsid w:val="00CF14DF"/>
    <w:rsid w:val="00CF2636"/>
    <w:rsid w:val="00CF3199"/>
    <w:rsid w:val="00CF4189"/>
    <w:rsid w:val="00CF5B26"/>
    <w:rsid w:val="00D0022F"/>
    <w:rsid w:val="00D02900"/>
    <w:rsid w:val="00D127FB"/>
    <w:rsid w:val="00D20DC6"/>
    <w:rsid w:val="00D23C4B"/>
    <w:rsid w:val="00D2455C"/>
    <w:rsid w:val="00D27458"/>
    <w:rsid w:val="00D31E0F"/>
    <w:rsid w:val="00D3611F"/>
    <w:rsid w:val="00D362C1"/>
    <w:rsid w:val="00D40334"/>
    <w:rsid w:val="00D42896"/>
    <w:rsid w:val="00D43DCD"/>
    <w:rsid w:val="00D45313"/>
    <w:rsid w:val="00D45AC2"/>
    <w:rsid w:val="00D54D19"/>
    <w:rsid w:val="00D5528A"/>
    <w:rsid w:val="00D56A91"/>
    <w:rsid w:val="00D6063D"/>
    <w:rsid w:val="00D60B38"/>
    <w:rsid w:val="00D60C6B"/>
    <w:rsid w:val="00D65591"/>
    <w:rsid w:val="00D657AE"/>
    <w:rsid w:val="00D67C7C"/>
    <w:rsid w:val="00D96D32"/>
    <w:rsid w:val="00D96FA4"/>
    <w:rsid w:val="00DA2741"/>
    <w:rsid w:val="00DA52B0"/>
    <w:rsid w:val="00DA56D4"/>
    <w:rsid w:val="00DB0D5D"/>
    <w:rsid w:val="00DB386C"/>
    <w:rsid w:val="00DB4F2A"/>
    <w:rsid w:val="00DB7A67"/>
    <w:rsid w:val="00DC03DB"/>
    <w:rsid w:val="00DC0BDC"/>
    <w:rsid w:val="00DC2AC6"/>
    <w:rsid w:val="00DC561D"/>
    <w:rsid w:val="00DD0196"/>
    <w:rsid w:val="00DD3AA6"/>
    <w:rsid w:val="00DD6053"/>
    <w:rsid w:val="00DD6463"/>
    <w:rsid w:val="00DD7A3C"/>
    <w:rsid w:val="00DF2BE8"/>
    <w:rsid w:val="00DF6B91"/>
    <w:rsid w:val="00DF75FB"/>
    <w:rsid w:val="00E06D25"/>
    <w:rsid w:val="00E10FA6"/>
    <w:rsid w:val="00E11A6E"/>
    <w:rsid w:val="00E21307"/>
    <w:rsid w:val="00E21A56"/>
    <w:rsid w:val="00E2347D"/>
    <w:rsid w:val="00E24472"/>
    <w:rsid w:val="00E30D94"/>
    <w:rsid w:val="00E32B8C"/>
    <w:rsid w:val="00E3373A"/>
    <w:rsid w:val="00E370B3"/>
    <w:rsid w:val="00E452DA"/>
    <w:rsid w:val="00E47823"/>
    <w:rsid w:val="00E566A7"/>
    <w:rsid w:val="00E6234F"/>
    <w:rsid w:val="00E64B72"/>
    <w:rsid w:val="00E650D0"/>
    <w:rsid w:val="00E654BC"/>
    <w:rsid w:val="00E7058D"/>
    <w:rsid w:val="00E7155B"/>
    <w:rsid w:val="00E72BC5"/>
    <w:rsid w:val="00E72CDA"/>
    <w:rsid w:val="00E74521"/>
    <w:rsid w:val="00E75207"/>
    <w:rsid w:val="00E75482"/>
    <w:rsid w:val="00E75A28"/>
    <w:rsid w:val="00E76065"/>
    <w:rsid w:val="00E76B9D"/>
    <w:rsid w:val="00E83726"/>
    <w:rsid w:val="00E8782D"/>
    <w:rsid w:val="00E93565"/>
    <w:rsid w:val="00EA277B"/>
    <w:rsid w:val="00EB1A7A"/>
    <w:rsid w:val="00EB67F0"/>
    <w:rsid w:val="00EC0277"/>
    <w:rsid w:val="00EC0B50"/>
    <w:rsid w:val="00EC183C"/>
    <w:rsid w:val="00EC1936"/>
    <w:rsid w:val="00EC55E7"/>
    <w:rsid w:val="00EC57E8"/>
    <w:rsid w:val="00EC5B9E"/>
    <w:rsid w:val="00ED3ABA"/>
    <w:rsid w:val="00ED3E4D"/>
    <w:rsid w:val="00EE30E2"/>
    <w:rsid w:val="00EE390E"/>
    <w:rsid w:val="00EE59E4"/>
    <w:rsid w:val="00EE7E5D"/>
    <w:rsid w:val="00EF041C"/>
    <w:rsid w:val="00EF3E82"/>
    <w:rsid w:val="00EF729E"/>
    <w:rsid w:val="00F011B2"/>
    <w:rsid w:val="00F01799"/>
    <w:rsid w:val="00F07F7F"/>
    <w:rsid w:val="00F112BF"/>
    <w:rsid w:val="00F155B0"/>
    <w:rsid w:val="00F1565E"/>
    <w:rsid w:val="00F234B6"/>
    <w:rsid w:val="00F27478"/>
    <w:rsid w:val="00F36739"/>
    <w:rsid w:val="00F37FF0"/>
    <w:rsid w:val="00F51A34"/>
    <w:rsid w:val="00F5200F"/>
    <w:rsid w:val="00F52125"/>
    <w:rsid w:val="00F537D2"/>
    <w:rsid w:val="00F61BDE"/>
    <w:rsid w:val="00F630AC"/>
    <w:rsid w:val="00F66715"/>
    <w:rsid w:val="00F7439A"/>
    <w:rsid w:val="00F84F9C"/>
    <w:rsid w:val="00F85B51"/>
    <w:rsid w:val="00F975A8"/>
    <w:rsid w:val="00FB5CED"/>
    <w:rsid w:val="00FC0874"/>
    <w:rsid w:val="00FC484A"/>
    <w:rsid w:val="00FC51BF"/>
    <w:rsid w:val="00FC631E"/>
    <w:rsid w:val="00FC768D"/>
    <w:rsid w:val="00FD35BF"/>
    <w:rsid w:val="00FE126B"/>
    <w:rsid w:val="00FE1429"/>
    <w:rsid w:val="00FE25B0"/>
    <w:rsid w:val="00FE394E"/>
    <w:rsid w:val="00FF0EEF"/>
    <w:rsid w:val="00FF2798"/>
    <w:rsid w:val="00FF7C9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D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304B02"/>
    <w:pPr>
      <w:widowControl w:val="0"/>
      <w:spacing w:before="44" w:after="0" w:line="240" w:lineRule="auto"/>
      <w:ind w:left="140"/>
      <w:jc w:val="both"/>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1"/>
    <w:unhideWhenUsed/>
    <w:qFormat/>
    <w:rsid w:val="005809B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unhideWhenUsed/>
    <w:qFormat/>
    <w:rsid w:val="00500457"/>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1"/>
    <w:unhideWhenUsed/>
    <w:qFormat/>
    <w:rsid w:val="005809B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1"/>
    <w:unhideWhenUsed/>
    <w:qFormat/>
    <w:rsid w:val="005809B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1"/>
    <w:unhideWhenUsed/>
    <w:qFormat/>
    <w:rsid w:val="005809BB"/>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OOTNOTES,fn,ft,single space"/>
    <w:basedOn w:val="Normal"/>
    <w:link w:val="FootnoteTextChar"/>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1,Footnote Text Char Char Char2,Fußnote Char1,Footnote Char1,Footnote Text Char1 Char Char1,Footnote Text Char1 Char Char Char Char1,Footnote Text Char Char Char Char Char Char1,FOOTNOTES Char,fn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Char"/>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character" w:styleId="Hyperlink">
    <w:name w:val="Hyperlink"/>
    <w:uiPriority w:val="99"/>
    <w:unhideWhenUsed/>
    <w:rsid w:val="00446633"/>
    <w:rPr>
      <w:rFonts w:cs="Times New Roman"/>
      <w:color w:val="0000FF"/>
      <w:u w:val="single"/>
    </w:rPr>
  </w:style>
  <w:style w:type="paragraph" w:styleId="ListParagraph">
    <w:name w:val="List Paragraph"/>
    <w:basedOn w:val="Normal"/>
    <w:uiPriority w:val="99"/>
    <w:qFormat/>
    <w:rsid w:val="00446633"/>
    <w:pPr>
      <w:ind w:left="720"/>
      <w:contextualSpacing/>
    </w:pPr>
  </w:style>
  <w:style w:type="paragraph" w:customStyle="1" w:styleId="TEKSTIII">
    <w:name w:val="TEKSTIII"/>
    <w:basedOn w:val="Normal"/>
    <w:qFormat/>
    <w:rsid w:val="00915CA3"/>
    <w:pPr>
      <w:spacing w:after="0" w:line="240" w:lineRule="auto"/>
      <w:ind w:firstLine="284"/>
      <w:jc w:val="both"/>
    </w:pPr>
    <w:rPr>
      <w:rFonts w:ascii="Garamond" w:hAnsi="Garamond"/>
      <w:sz w:val="24"/>
      <w:szCs w:val="24"/>
    </w:rPr>
  </w:style>
  <w:style w:type="character" w:customStyle="1" w:styleId="FootnoteTextChar1">
    <w:name w:val="Footnote Text Char1"/>
    <w:aliases w:val="Footnote Text Char Char1,Footnote Text Char Char Char Char,Footnote Text Char Char Char1,Fußnote Char,Footnote Char,Footnote Text Char1 Char Char,Footnote Text Char1 Char Char Char Char,Footnote Text Char Char Char Char Char Char"/>
    <w:uiPriority w:val="99"/>
    <w:locked/>
    <w:rsid w:val="00915CA3"/>
    <w:rPr>
      <w:rFonts w:ascii="Times New Roman" w:eastAsia="Times New Roman" w:hAnsi="Times New Roman"/>
      <w:lang w:eastAsia="en-GB"/>
    </w:rPr>
  </w:style>
  <w:style w:type="paragraph" w:customStyle="1" w:styleId="BVIfnrChar">
    <w:name w:val="BVI fnr Char"/>
    <w:aliases w:val="Appel note de bas de p.;BVI fnr Car Car Car Car, BVI fnr Car Car,BVI fnr Car, BVI fnr Car Car Car Car, BVI fnr Car Car Car Car Char"/>
    <w:basedOn w:val="Normal"/>
    <w:link w:val="FootnoteReference"/>
    <w:uiPriority w:val="99"/>
    <w:rsid w:val="00915CA3"/>
    <w:pPr>
      <w:spacing w:line="240" w:lineRule="exact"/>
    </w:pPr>
    <w:rPr>
      <w:rFonts w:cs="Times New Roman"/>
      <w:vertAlign w:val="superscript"/>
    </w:rPr>
  </w:style>
  <w:style w:type="character" w:customStyle="1" w:styleId="Heading1Char">
    <w:name w:val="Heading 1 Char"/>
    <w:basedOn w:val="DefaultParagraphFont"/>
    <w:link w:val="Heading1"/>
    <w:uiPriority w:val="1"/>
    <w:rsid w:val="00304B02"/>
    <w:rPr>
      <w:rFonts w:ascii="Calibri" w:eastAsia="Calibri" w:hAnsi="Calibri" w:cs="Calibri"/>
      <w:b/>
      <w:bCs/>
      <w:sz w:val="28"/>
      <w:szCs w:val="28"/>
      <w:lang w:val="en-US"/>
    </w:rPr>
  </w:style>
  <w:style w:type="paragraph" w:styleId="BodyText">
    <w:name w:val="Body Text"/>
    <w:basedOn w:val="Normal"/>
    <w:link w:val="BodyTextChar"/>
    <w:uiPriority w:val="1"/>
    <w:qFormat/>
    <w:rsid w:val="00304B02"/>
    <w:pPr>
      <w:widowControl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304B02"/>
    <w:rPr>
      <w:rFonts w:ascii="Calibri" w:eastAsia="Calibri" w:hAnsi="Calibri" w:cs="Calibri"/>
      <w:lang w:val="en-US"/>
    </w:rPr>
  </w:style>
  <w:style w:type="paragraph" w:customStyle="1" w:styleId="TableParagraph">
    <w:name w:val="Table Paragraph"/>
    <w:basedOn w:val="Normal"/>
    <w:uiPriority w:val="1"/>
    <w:qFormat/>
    <w:rsid w:val="00304B02"/>
    <w:pPr>
      <w:widowControl w:val="0"/>
      <w:spacing w:after="0" w:line="240" w:lineRule="auto"/>
    </w:pPr>
    <w:rPr>
      <w:rFonts w:ascii="Calibri" w:eastAsia="Calibri" w:hAnsi="Calibri" w:cs="Calibri"/>
      <w:lang w:val="en-US"/>
    </w:rPr>
  </w:style>
  <w:style w:type="character" w:customStyle="1" w:styleId="Heading2Char">
    <w:name w:val="Heading 2 Char"/>
    <w:basedOn w:val="DefaultParagraphFont"/>
    <w:link w:val="Heading2"/>
    <w:uiPriority w:val="9"/>
    <w:semiHidden/>
    <w:rsid w:val="005809BB"/>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semiHidden/>
    <w:rsid w:val="005809B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809B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809BB"/>
    <w:rPr>
      <w:rFonts w:asciiTheme="majorHAnsi" w:eastAsiaTheme="majorEastAsia" w:hAnsiTheme="majorHAnsi" w:cstheme="majorBidi"/>
      <w:i/>
      <w:iCs/>
      <w:color w:val="1F4D78" w:themeColor="accent1" w:themeShade="7F"/>
    </w:rPr>
  </w:style>
  <w:style w:type="character" w:customStyle="1" w:styleId="Heading3Char">
    <w:name w:val="Heading 3 Char"/>
    <w:basedOn w:val="DefaultParagraphFont"/>
    <w:link w:val="Heading3"/>
    <w:uiPriority w:val="9"/>
    <w:semiHidden/>
    <w:rsid w:val="00500457"/>
    <w:rPr>
      <w:rFonts w:asciiTheme="majorHAnsi" w:eastAsiaTheme="majorEastAsia" w:hAnsiTheme="majorHAnsi" w:cstheme="majorBidi"/>
      <w:b/>
      <w:bCs/>
      <w:color w:val="5B9BD5" w:themeColor="accent1"/>
    </w:rPr>
  </w:style>
  <w:style w:type="paragraph" w:styleId="TOC1">
    <w:name w:val="toc 1"/>
    <w:basedOn w:val="Normal"/>
    <w:uiPriority w:val="1"/>
    <w:qFormat/>
    <w:rsid w:val="00500457"/>
    <w:pPr>
      <w:widowControl w:val="0"/>
      <w:spacing w:before="139" w:after="0" w:line="240" w:lineRule="auto"/>
      <w:ind w:left="358" w:hanging="268"/>
    </w:pPr>
    <w:rPr>
      <w:rFonts w:ascii="Calibri" w:eastAsia="Calibri" w:hAnsi="Calibri" w:cs="Calibri"/>
      <w:lang w:val="en-US"/>
    </w:rPr>
  </w:style>
  <w:style w:type="paragraph" w:styleId="TOC2">
    <w:name w:val="toc 2"/>
    <w:basedOn w:val="Normal"/>
    <w:uiPriority w:val="1"/>
    <w:qFormat/>
    <w:rsid w:val="00500457"/>
    <w:pPr>
      <w:widowControl w:val="0"/>
      <w:spacing w:before="139" w:after="0" w:line="240" w:lineRule="auto"/>
      <w:ind w:left="1021" w:hanging="660"/>
    </w:pPr>
    <w:rPr>
      <w:rFonts w:ascii="Calibri" w:eastAsia="Calibri" w:hAnsi="Calibri" w:cs="Calibri"/>
      <w:lang w:val="en-US"/>
    </w:rPr>
  </w:style>
  <w:style w:type="paragraph" w:styleId="TOC3">
    <w:name w:val="toc 3"/>
    <w:basedOn w:val="Normal"/>
    <w:uiPriority w:val="1"/>
    <w:qFormat/>
    <w:rsid w:val="00500457"/>
    <w:pPr>
      <w:widowControl w:val="0"/>
      <w:spacing w:before="142" w:after="0" w:line="240" w:lineRule="auto"/>
      <w:ind w:left="361"/>
    </w:pPr>
    <w:rPr>
      <w:rFonts w:ascii="Calibri" w:eastAsia="Calibri" w:hAnsi="Calibri" w:cs="Calibri"/>
      <w:i/>
      <w:lang w:val="en-US"/>
    </w:rPr>
  </w:style>
  <w:style w:type="paragraph" w:styleId="TOC4">
    <w:name w:val="toc 4"/>
    <w:basedOn w:val="Normal"/>
    <w:uiPriority w:val="1"/>
    <w:qFormat/>
    <w:rsid w:val="00500457"/>
    <w:pPr>
      <w:widowControl w:val="0"/>
      <w:spacing w:before="139" w:after="0" w:line="240" w:lineRule="auto"/>
      <w:ind w:left="1460" w:hanging="881"/>
    </w:pPr>
    <w:rPr>
      <w:rFonts w:ascii="Calibri" w:eastAsia="Calibri" w:hAnsi="Calibri" w:cs="Calibri"/>
      <w:lang w:val="en-US"/>
    </w:rPr>
  </w:style>
  <w:style w:type="paragraph" w:styleId="TOC5">
    <w:name w:val="toc 5"/>
    <w:basedOn w:val="Normal"/>
    <w:uiPriority w:val="1"/>
    <w:qFormat/>
    <w:rsid w:val="00500457"/>
    <w:pPr>
      <w:widowControl w:val="0"/>
      <w:spacing w:before="139" w:after="0" w:line="240" w:lineRule="auto"/>
      <w:ind w:left="579"/>
    </w:pPr>
    <w:rPr>
      <w:rFonts w:ascii="Calibri" w:eastAsia="Calibri" w:hAnsi="Calibri" w:cs="Calibri"/>
      <w:b/>
      <w:bCs/>
      <w:i/>
      <w:lang w:val="en-US"/>
    </w:rPr>
  </w:style>
  <w:style w:type="paragraph" w:styleId="HTMLPreformatted">
    <w:name w:val="HTML Preformatted"/>
    <w:basedOn w:val="Normal"/>
    <w:link w:val="HTMLPreformattedChar"/>
    <w:uiPriority w:val="99"/>
    <w:rsid w:val="00124F91"/>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200" w:line="276" w:lineRule="atLeast"/>
    </w:pPr>
    <w:rPr>
      <w:rFonts w:ascii="Times New Roman" w:hAnsi="Times New Roman" w:cs="Times New Roman"/>
      <w:color w:val="000000"/>
      <w:sz w:val="20"/>
      <w:szCs w:val="20"/>
    </w:rPr>
  </w:style>
  <w:style w:type="character" w:customStyle="1" w:styleId="HTMLPreformattedChar">
    <w:name w:val="HTML Preformatted Char"/>
    <w:basedOn w:val="DefaultParagraphFont"/>
    <w:link w:val="HTMLPreformatted"/>
    <w:uiPriority w:val="99"/>
    <w:rsid w:val="00124F91"/>
    <w:rPr>
      <w:rFonts w:ascii="Times New Roman" w:hAnsi="Times New Roman" w:cs="Times New Roman"/>
      <w:color w:val="000000"/>
      <w:sz w:val="20"/>
      <w:szCs w:val="20"/>
    </w:rPr>
  </w:style>
  <w:style w:type="paragraph" w:customStyle="1" w:styleId="StyleHeading1ArialNarrow11ptLeft0cmHanging1cm">
    <w:name w:val="Style Heading 1 + Arial Narrow 11 pt Left:  0 cm Hanging:  1 cm"/>
    <w:basedOn w:val="Heading1"/>
    <w:rsid w:val="00971CA1"/>
    <w:pPr>
      <w:keepNext/>
      <w:widowControl/>
      <w:spacing w:before="240" w:after="60"/>
      <w:ind w:left="567" w:hanging="567"/>
      <w:jc w:val="left"/>
    </w:pPr>
    <w:rPr>
      <w:rFonts w:ascii="Arial Narrow" w:eastAsia="Times New Roman" w:hAnsi="Arial Narrow" w:cs="Times New Roman"/>
      <w:kern w:val="32"/>
      <w:szCs w:val="20"/>
      <w:lang w:val="en-GB" w:eastAsia="en-GB"/>
    </w:rPr>
  </w:style>
  <w:style w:type="paragraph" w:customStyle="1" w:styleId="Style2">
    <w:name w:val="Style2"/>
    <w:basedOn w:val="Normal"/>
    <w:qFormat/>
    <w:rsid w:val="00971CA1"/>
    <w:pPr>
      <w:spacing w:after="0" w:line="240" w:lineRule="auto"/>
    </w:pPr>
    <w:rPr>
      <w:rFonts w:ascii="Arial Narrow" w:eastAsia="Times New Roman" w:hAnsi="Arial Narrow" w:cs="Times New Roman"/>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304B02"/>
    <w:pPr>
      <w:widowControl w:val="0"/>
      <w:spacing w:before="44" w:after="0" w:line="240" w:lineRule="auto"/>
      <w:ind w:left="140"/>
      <w:jc w:val="both"/>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1"/>
    <w:unhideWhenUsed/>
    <w:qFormat/>
    <w:rsid w:val="005809B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unhideWhenUsed/>
    <w:qFormat/>
    <w:rsid w:val="00500457"/>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1"/>
    <w:unhideWhenUsed/>
    <w:qFormat/>
    <w:rsid w:val="005809B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1"/>
    <w:unhideWhenUsed/>
    <w:qFormat/>
    <w:rsid w:val="005809B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1"/>
    <w:unhideWhenUsed/>
    <w:qFormat/>
    <w:rsid w:val="005809BB"/>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OOTNOTES,fn,ft,single space"/>
    <w:basedOn w:val="Normal"/>
    <w:link w:val="FootnoteTextChar"/>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 Char Char Char1,Footnote Text Char Char Char2,Fußnote Char1,Footnote Char1,Footnote Text Char1 Char Char1,Footnote Text Char1 Char Char Char Char1,Footnote Text Char Char Char Char Char Char1,FOOTNOTES Char,fn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Char"/>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character" w:styleId="Hyperlink">
    <w:name w:val="Hyperlink"/>
    <w:uiPriority w:val="99"/>
    <w:unhideWhenUsed/>
    <w:rsid w:val="00446633"/>
    <w:rPr>
      <w:rFonts w:cs="Times New Roman"/>
      <w:color w:val="0000FF"/>
      <w:u w:val="single"/>
    </w:rPr>
  </w:style>
  <w:style w:type="paragraph" w:styleId="ListParagraph">
    <w:name w:val="List Paragraph"/>
    <w:basedOn w:val="Normal"/>
    <w:uiPriority w:val="99"/>
    <w:qFormat/>
    <w:rsid w:val="00446633"/>
    <w:pPr>
      <w:ind w:left="720"/>
      <w:contextualSpacing/>
    </w:pPr>
  </w:style>
  <w:style w:type="paragraph" w:customStyle="1" w:styleId="TEKSTIII">
    <w:name w:val="TEKSTIII"/>
    <w:basedOn w:val="Normal"/>
    <w:qFormat/>
    <w:rsid w:val="00915CA3"/>
    <w:pPr>
      <w:spacing w:after="0" w:line="240" w:lineRule="auto"/>
      <w:ind w:firstLine="284"/>
      <w:jc w:val="both"/>
    </w:pPr>
    <w:rPr>
      <w:rFonts w:ascii="Garamond" w:hAnsi="Garamond"/>
      <w:sz w:val="24"/>
      <w:szCs w:val="24"/>
    </w:rPr>
  </w:style>
  <w:style w:type="character" w:customStyle="1" w:styleId="FootnoteTextChar1">
    <w:name w:val="Footnote Text Char1"/>
    <w:aliases w:val="Footnote Text Char Char1,Footnote Text Char Char Char Char,Footnote Text Char Char Char1,Fußnote Char,Footnote Char,Footnote Text Char1 Char Char,Footnote Text Char1 Char Char Char Char,Footnote Text Char Char Char Char Char Char"/>
    <w:uiPriority w:val="99"/>
    <w:locked/>
    <w:rsid w:val="00915CA3"/>
    <w:rPr>
      <w:rFonts w:ascii="Times New Roman" w:eastAsia="Times New Roman" w:hAnsi="Times New Roman"/>
      <w:lang w:eastAsia="en-GB"/>
    </w:rPr>
  </w:style>
  <w:style w:type="paragraph" w:customStyle="1" w:styleId="BVIfnrChar">
    <w:name w:val="BVI fnr Char"/>
    <w:aliases w:val="Appel note de bas de p.;BVI fnr Car Car Car Car, BVI fnr Car Car,BVI fnr Car, BVI fnr Car Car Car Car, BVI fnr Car Car Car Car Char"/>
    <w:basedOn w:val="Normal"/>
    <w:link w:val="FootnoteReference"/>
    <w:uiPriority w:val="99"/>
    <w:rsid w:val="00915CA3"/>
    <w:pPr>
      <w:spacing w:line="240" w:lineRule="exact"/>
    </w:pPr>
    <w:rPr>
      <w:rFonts w:cs="Times New Roman"/>
      <w:vertAlign w:val="superscript"/>
    </w:rPr>
  </w:style>
  <w:style w:type="character" w:customStyle="1" w:styleId="Heading1Char">
    <w:name w:val="Heading 1 Char"/>
    <w:basedOn w:val="DefaultParagraphFont"/>
    <w:link w:val="Heading1"/>
    <w:uiPriority w:val="1"/>
    <w:rsid w:val="00304B02"/>
    <w:rPr>
      <w:rFonts w:ascii="Calibri" w:eastAsia="Calibri" w:hAnsi="Calibri" w:cs="Calibri"/>
      <w:b/>
      <w:bCs/>
      <w:sz w:val="28"/>
      <w:szCs w:val="28"/>
      <w:lang w:val="en-US"/>
    </w:rPr>
  </w:style>
  <w:style w:type="paragraph" w:styleId="BodyText">
    <w:name w:val="Body Text"/>
    <w:basedOn w:val="Normal"/>
    <w:link w:val="BodyTextChar"/>
    <w:uiPriority w:val="1"/>
    <w:qFormat/>
    <w:rsid w:val="00304B02"/>
    <w:pPr>
      <w:widowControl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304B02"/>
    <w:rPr>
      <w:rFonts w:ascii="Calibri" w:eastAsia="Calibri" w:hAnsi="Calibri" w:cs="Calibri"/>
      <w:lang w:val="en-US"/>
    </w:rPr>
  </w:style>
  <w:style w:type="paragraph" w:customStyle="1" w:styleId="TableParagraph">
    <w:name w:val="Table Paragraph"/>
    <w:basedOn w:val="Normal"/>
    <w:uiPriority w:val="1"/>
    <w:qFormat/>
    <w:rsid w:val="00304B02"/>
    <w:pPr>
      <w:widowControl w:val="0"/>
      <w:spacing w:after="0" w:line="240" w:lineRule="auto"/>
    </w:pPr>
    <w:rPr>
      <w:rFonts w:ascii="Calibri" w:eastAsia="Calibri" w:hAnsi="Calibri" w:cs="Calibri"/>
      <w:lang w:val="en-US"/>
    </w:rPr>
  </w:style>
  <w:style w:type="character" w:customStyle="1" w:styleId="Heading2Char">
    <w:name w:val="Heading 2 Char"/>
    <w:basedOn w:val="DefaultParagraphFont"/>
    <w:link w:val="Heading2"/>
    <w:uiPriority w:val="9"/>
    <w:semiHidden/>
    <w:rsid w:val="005809BB"/>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semiHidden/>
    <w:rsid w:val="005809B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809B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809BB"/>
    <w:rPr>
      <w:rFonts w:asciiTheme="majorHAnsi" w:eastAsiaTheme="majorEastAsia" w:hAnsiTheme="majorHAnsi" w:cstheme="majorBidi"/>
      <w:i/>
      <w:iCs/>
      <w:color w:val="1F4D78" w:themeColor="accent1" w:themeShade="7F"/>
    </w:rPr>
  </w:style>
  <w:style w:type="character" w:customStyle="1" w:styleId="Heading3Char">
    <w:name w:val="Heading 3 Char"/>
    <w:basedOn w:val="DefaultParagraphFont"/>
    <w:link w:val="Heading3"/>
    <w:uiPriority w:val="9"/>
    <w:semiHidden/>
    <w:rsid w:val="00500457"/>
    <w:rPr>
      <w:rFonts w:asciiTheme="majorHAnsi" w:eastAsiaTheme="majorEastAsia" w:hAnsiTheme="majorHAnsi" w:cstheme="majorBidi"/>
      <w:b/>
      <w:bCs/>
      <w:color w:val="5B9BD5" w:themeColor="accent1"/>
    </w:rPr>
  </w:style>
  <w:style w:type="paragraph" w:styleId="TOC1">
    <w:name w:val="toc 1"/>
    <w:basedOn w:val="Normal"/>
    <w:uiPriority w:val="1"/>
    <w:qFormat/>
    <w:rsid w:val="00500457"/>
    <w:pPr>
      <w:widowControl w:val="0"/>
      <w:spacing w:before="139" w:after="0" w:line="240" w:lineRule="auto"/>
      <w:ind w:left="358" w:hanging="268"/>
    </w:pPr>
    <w:rPr>
      <w:rFonts w:ascii="Calibri" w:eastAsia="Calibri" w:hAnsi="Calibri" w:cs="Calibri"/>
      <w:lang w:val="en-US"/>
    </w:rPr>
  </w:style>
  <w:style w:type="paragraph" w:styleId="TOC2">
    <w:name w:val="toc 2"/>
    <w:basedOn w:val="Normal"/>
    <w:uiPriority w:val="1"/>
    <w:qFormat/>
    <w:rsid w:val="00500457"/>
    <w:pPr>
      <w:widowControl w:val="0"/>
      <w:spacing w:before="139" w:after="0" w:line="240" w:lineRule="auto"/>
      <w:ind w:left="1021" w:hanging="660"/>
    </w:pPr>
    <w:rPr>
      <w:rFonts w:ascii="Calibri" w:eastAsia="Calibri" w:hAnsi="Calibri" w:cs="Calibri"/>
      <w:lang w:val="en-US"/>
    </w:rPr>
  </w:style>
  <w:style w:type="paragraph" w:styleId="TOC3">
    <w:name w:val="toc 3"/>
    <w:basedOn w:val="Normal"/>
    <w:uiPriority w:val="1"/>
    <w:qFormat/>
    <w:rsid w:val="00500457"/>
    <w:pPr>
      <w:widowControl w:val="0"/>
      <w:spacing w:before="142" w:after="0" w:line="240" w:lineRule="auto"/>
      <w:ind w:left="361"/>
    </w:pPr>
    <w:rPr>
      <w:rFonts w:ascii="Calibri" w:eastAsia="Calibri" w:hAnsi="Calibri" w:cs="Calibri"/>
      <w:i/>
      <w:lang w:val="en-US"/>
    </w:rPr>
  </w:style>
  <w:style w:type="paragraph" w:styleId="TOC4">
    <w:name w:val="toc 4"/>
    <w:basedOn w:val="Normal"/>
    <w:uiPriority w:val="1"/>
    <w:qFormat/>
    <w:rsid w:val="00500457"/>
    <w:pPr>
      <w:widowControl w:val="0"/>
      <w:spacing w:before="139" w:after="0" w:line="240" w:lineRule="auto"/>
      <w:ind w:left="1460" w:hanging="881"/>
    </w:pPr>
    <w:rPr>
      <w:rFonts w:ascii="Calibri" w:eastAsia="Calibri" w:hAnsi="Calibri" w:cs="Calibri"/>
      <w:lang w:val="en-US"/>
    </w:rPr>
  </w:style>
  <w:style w:type="paragraph" w:styleId="TOC5">
    <w:name w:val="toc 5"/>
    <w:basedOn w:val="Normal"/>
    <w:uiPriority w:val="1"/>
    <w:qFormat/>
    <w:rsid w:val="00500457"/>
    <w:pPr>
      <w:widowControl w:val="0"/>
      <w:spacing w:before="139" w:after="0" w:line="240" w:lineRule="auto"/>
      <w:ind w:left="579"/>
    </w:pPr>
    <w:rPr>
      <w:rFonts w:ascii="Calibri" w:eastAsia="Calibri" w:hAnsi="Calibri" w:cs="Calibri"/>
      <w:b/>
      <w:bCs/>
      <w:i/>
      <w:lang w:val="en-US"/>
    </w:rPr>
  </w:style>
  <w:style w:type="paragraph" w:styleId="HTMLPreformatted">
    <w:name w:val="HTML Preformatted"/>
    <w:basedOn w:val="Normal"/>
    <w:link w:val="HTMLPreformattedChar"/>
    <w:uiPriority w:val="99"/>
    <w:rsid w:val="00124F91"/>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200" w:line="276" w:lineRule="atLeast"/>
    </w:pPr>
    <w:rPr>
      <w:rFonts w:ascii="Times New Roman" w:hAnsi="Times New Roman" w:cs="Times New Roman"/>
      <w:color w:val="000000"/>
      <w:sz w:val="20"/>
      <w:szCs w:val="20"/>
    </w:rPr>
  </w:style>
  <w:style w:type="character" w:customStyle="1" w:styleId="HTMLPreformattedChar">
    <w:name w:val="HTML Preformatted Char"/>
    <w:basedOn w:val="DefaultParagraphFont"/>
    <w:link w:val="HTMLPreformatted"/>
    <w:uiPriority w:val="99"/>
    <w:rsid w:val="00124F91"/>
    <w:rPr>
      <w:rFonts w:ascii="Times New Roman" w:hAnsi="Times New Roman" w:cs="Times New Roman"/>
      <w:color w:val="000000"/>
      <w:sz w:val="20"/>
      <w:szCs w:val="20"/>
    </w:rPr>
  </w:style>
  <w:style w:type="paragraph" w:customStyle="1" w:styleId="StyleHeading1ArialNarrow11ptLeft0cmHanging1cm">
    <w:name w:val="Style Heading 1 + Arial Narrow 11 pt Left:  0 cm Hanging:  1 cm"/>
    <w:basedOn w:val="Heading1"/>
    <w:rsid w:val="00971CA1"/>
    <w:pPr>
      <w:keepNext/>
      <w:widowControl/>
      <w:spacing w:before="240" w:after="60"/>
      <w:ind w:left="567" w:hanging="567"/>
      <w:jc w:val="left"/>
    </w:pPr>
    <w:rPr>
      <w:rFonts w:ascii="Arial Narrow" w:eastAsia="Times New Roman" w:hAnsi="Arial Narrow" w:cs="Times New Roman"/>
      <w:kern w:val="32"/>
      <w:szCs w:val="20"/>
      <w:lang w:val="en-GB" w:eastAsia="en-GB"/>
    </w:rPr>
  </w:style>
  <w:style w:type="paragraph" w:customStyle="1" w:styleId="Style2">
    <w:name w:val="Style2"/>
    <w:basedOn w:val="Normal"/>
    <w:qFormat/>
    <w:rsid w:val="00971CA1"/>
    <w:pPr>
      <w:spacing w:after="0" w:line="240" w:lineRule="auto"/>
    </w:pPr>
    <w:rPr>
      <w:rFonts w:ascii="Arial Narrow" w:eastAsia="Times New Roman" w:hAnsi="Arial Narrow" w:cs="Times New Roman"/>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6352780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95831178">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2914005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10306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Bejko.late@financa.gov.al"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mailto:Natasa.kovacevic@mif.gov.me" TargetMode="External"/><Relationship Id="rId20" Type="http://schemas.openxmlformats.org/officeDocument/2006/relationships/image" Target="media/image2.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plav.me/uploads/dokumenta/odluke/GUSINJE%20-%20studija.pdf"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EAR-D1@ec.europa.eu" TargetMode="External"/><Relationship Id="rId23" Type="http://schemas.openxmlformats.org/officeDocument/2006/relationships/hyperlink" Target="http://www.trpezi.eu/BIHOR%20I%20STUDIJA.html" TargetMode="External"/><Relationship Id="rId28" Type="http://schemas.openxmlformats.org/officeDocument/2006/relationships/image" Target="media/image8.jpeg"/><Relationship Id="rId10" Type="http://schemas.microsoft.com/office/2007/relationships/stylesWithEffects" Target="stylesWithEffects.xml"/><Relationship Id="rId19" Type="http://schemas.openxmlformats.org/officeDocument/2006/relationships/image" Target="media/image1.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image" Target="media/image4.jpeg"/><Relationship Id="rId27" Type="http://schemas.openxmlformats.org/officeDocument/2006/relationships/image" Target="media/image7.jpeg"/><Relationship Id="rId30"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eeas.europa.eu/headquarters/headquarters-homepage/8442/consolidated-list-sanction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132</Nr_x002e__x0020_akti>
    <Data_x0020_e_x0020_Krijimit xmlns="0e656187-b300-4fb0-8bf4-3a50f872073c">2021-12-28T11:06:57Z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2021-12-27T23:00:00Z</Date_x0020_protokolli>
    <Titulli xmlns="0e656187-b300-4fb0-8bf4-3a50f872073c">Për ratifikimin e marrëveshjes së financimit ndërmjet Republikës së Shqipërisë, përfaqësuar nga Këshilli i Ministrave, Malit të Zi, përfaqësuar nga zyra e integrimit europian, dhe Komisionit Europian për programin e veprimit të bashkëpunimit ndërkufitar IPA II, Mali i Zi-Shqipëri 2014-2020, alokimet për vitin 2020</Titulli>
    <Modifikuesi xmlns="0e656187-b300-4fb0-8bf4-3a50f872073c">valjeta.kaftalli</Modifikuesi>
    <Nr_x002e__x0020_prot_x0020_QBZ xmlns="0e656187-b300-4fb0-8bf4-3a50f872073c">1782/5</Nr_x002e__x0020_prot_x0020_QBZ>
    <Data_x0020_e_x0020_Modifikimit xmlns="0e656187-b300-4fb0-8bf4-3a50f872073c">2022-01-05T10:06:34Z</Data_x0020_e_x0020_Modifikimit>
    <Dekretuar xmlns="0e656187-b300-4fb0-8bf4-3a50f872073c">false</Dekretuar>
    <Data xmlns="0e656187-b300-4fb0-8bf4-3a50f872073c">2021-12-19T23:00:00Z</Data>
    <Nr_x002e__x0020_protokolli_x0020_i_x0020_aktit xmlns="0e656187-b300-4fb0-8bf4-3a50f872073c">3440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574D7E19C9F4BCB87234F4D16AA657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574D7E19C9F4BCB87234F4D16AA657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40970-8964-4D1C-8047-6C45300BFBAD}">
  <ds:schemaRefs>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http://www.w3.org/XML/1998/namespace"/>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D116D31C-F9A8-4E39-BAA7-7A26D3E775F3}">
  <ds:schemaRefs>
    <ds:schemaRef ds:uri="http://schemas.microsoft.com/sharepoint/v3/contenttype/forms"/>
  </ds:schemaRefs>
</ds:datastoreItem>
</file>

<file path=customXml/itemProps3.xml><?xml version="1.0" encoding="utf-8"?>
<ds:datastoreItem xmlns:ds="http://schemas.openxmlformats.org/officeDocument/2006/customXml" ds:itemID="{A875C88A-FD75-4572-9F2B-FD27D71FD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823CDAD-726A-4EF8-9EEB-CE02750F32F1}">
  <ds:schemaRefs>
    <ds:schemaRef ds:uri="http://schemas.microsoft.com/sharepoint/v3/contenttype/forms"/>
  </ds:schemaRefs>
</ds:datastoreItem>
</file>

<file path=customXml/itemProps5.xml><?xml version="1.0" encoding="utf-8"?>
<ds:datastoreItem xmlns:ds="http://schemas.openxmlformats.org/officeDocument/2006/customXml" ds:itemID="{C8D91766-D340-4C7C-94C9-9CE9590F8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E9EE10B-8958-48EA-896D-C1D0201D2178}">
  <ds:schemaRefs>
    <ds:schemaRef ds:uri="http://schemas.openxmlformats.org/officeDocument/2006/bibliography"/>
  </ds:schemaRefs>
</ds:datastoreItem>
</file>

<file path=customXml/itemProps7.xml><?xml version="1.0" encoding="utf-8"?>
<ds:datastoreItem xmlns:ds="http://schemas.openxmlformats.org/officeDocument/2006/customXml" ds:itemID="{62E590CE-B754-41E3-89E8-D5357EF3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98</Pages>
  <Words>44450</Words>
  <Characters>253369</Characters>
  <Application>Microsoft Office Word</Application>
  <DocSecurity>0</DocSecurity>
  <Lines>2111</Lines>
  <Paragraphs>594</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Malit të Zi, përfaqësuar nga zyra e integrimit europian, dhe Komisionit Europian për programin e veprimit të bashkëpunimit ndërkufitar I</vt:lpstr>
    </vt:vector>
  </TitlesOfParts>
  <Company/>
  <LinksUpToDate>false</LinksUpToDate>
  <CharactersWithSpaces>297225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Malit të Zi, përfaqësuar nga zyra e integrimit europian, dhe Komisionit Europian për programin e veprimit të bashkëpunimit ndërkufitar IPA II, Mali i Zi-Shqipëri 2014-2020, alokimet për vitin 2020</dc:title>
  <dc:creator>gazmend.hanku</dc:creator>
  <cp:lastModifiedBy>Ermira Bukaci</cp:lastModifiedBy>
  <cp:revision>480</cp:revision>
  <cp:lastPrinted>2021-12-21T08:22:00Z</cp:lastPrinted>
  <dcterms:created xsi:type="dcterms:W3CDTF">2021-12-28T12:00:00Z</dcterms:created>
  <dcterms:modified xsi:type="dcterms:W3CDTF">2022-01-05T10:16:00Z</dcterms:modified>
</cp:coreProperties>
</file>