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FB20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LIGJ</w:t>
      </w:r>
    </w:p>
    <w:p w14:paraId="748FB204"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Nr. 33/2022</w:t>
      </w:r>
    </w:p>
    <w:p w14:paraId="748FB20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06"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PËR TË DHËNAT E HAPURA DHE RIPËRDORIMIN E INFORMACIONIT TË SEKTORIT PUBLIK</w:t>
      </w:r>
      <w:r w:rsidRPr="001666B9">
        <w:rPr>
          <w:rStyle w:val="FootnoteReference"/>
          <w:rFonts w:ascii="Garamond" w:hAnsi="Garamond"/>
          <w:b/>
          <w:bCs/>
          <w:color w:val="000000"/>
          <w:sz w:val="24"/>
          <w:szCs w:val="24"/>
        </w:rPr>
        <w:footnoteReference w:id="1"/>
      </w:r>
    </w:p>
    <w:p w14:paraId="748FB20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0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Në mbështetje të neneve 78, 81, pika 1, dhe 83, pika 1, të Kushtetutës, me propozimin e Këshillit të Ministrave, </w:t>
      </w:r>
    </w:p>
    <w:p w14:paraId="748FB20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0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KUVENDI</w:t>
      </w:r>
    </w:p>
    <w:p w14:paraId="748FB20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I REPUBLIKËS SË SHQIPËRISË</w:t>
      </w:r>
    </w:p>
    <w:p w14:paraId="748FB20C"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0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VENDOSI:</w:t>
      </w:r>
    </w:p>
    <w:p w14:paraId="748FB20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0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KREU I</w:t>
      </w:r>
    </w:p>
    <w:p w14:paraId="748FB210"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DISPOZITA TË PËRGJITHSHME</w:t>
      </w:r>
    </w:p>
    <w:p w14:paraId="748FB21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1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w:t>
      </w:r>
    </w:p>
    <w:p w14:paraId="748FB21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Qëllimi</w:t>
      </w:r>
    </w:p>
    <w:p w14:paraId="748FB214"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1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Ky ligj ka për qëllim krijimin e bazës ligjore për promovimin e përdorimit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të hapura në Republikën e Shqipërisë me synim nxitjen e inovacionit në ofrimin e produkteve dhe të shërbimeve.</w:t>
      </w:r>
    </w:p>
    <w:p w14:paraId="748FB21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 </w:t>
      </w:r>
    </w:p>
    <w:p w14:paraId="748FB217"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2</w:t>
      </w:r>
    </w:p>
    <w:p w14:paraId="748FB218"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 xml:space="preserve">Objekti </w:t>
      </w:r>
    </w:p>
    <w:p w14:paraId="748FB219"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p>
    <w:p w14:paraId="748FB21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Objekt i këtij ligji është përcaktimi i rregullave dhe procedurave për të drejtën e ripërdorimit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të hapura për qëllime fitimi ose jo të dokumenteve që mbahen nga organet e sektorit publik ose sipërmarrjet publike në Republikën e Shqipërisë.</w:t>
      </w:r>
    </w:p>
    <w:p w14:paraId="748FB21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1C"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3</w:t>
      </w:r>
    </w:p>
    <w:p w14:paraId="748FB21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Fusha e zbatimit</w:t>
      </w:r>
    </w:p>
    <w:p w14:paraId="748FB21E"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p>
    <w:p w14:paraId="748FB21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2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Ky ligj zbatohet për ripërdorimin e: </w:t>
      </w:r>
    </w:p>
    <w:p w14:paraId="748FB22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a) dokumenteve ekzistuese që mbahen nga organet e sektorit publik;</w:t>
      </w:r>
    </w:p>
    <w:p w14:paraId="748FB22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b) dokumenteve ekzistuese që mbahen nga sipërmarrjet publike:</w:t>
      </w:r>
    </w:p>
    <w:p w14:paraId="748FB22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i. që kryejnë veprimtari sektoriale sipas ligjit për prokurimet publike në ofrimin e shërbimeve të interesit të përgjithshëm në sektorët e ujit, të energjetikës, të transportit dhe të shërbimeve postare;</w:t>
      </w:r>
    </w:p>
    <w:p w14:paraId="748FB22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666B9">
        <w:rPr>
          <w:rFonts w:ascii="Garamond" w:hAnsi="Garamond" w:cs="Times New Roman"/>
          <w:color w:val="000000"/>
          <w:sz w:val="24"/>
          <w:szCs w:val="24"/>
        </w:rPr>
        <w:t>ii</w:t>
      </w:r>
      <w:proofErr w:type="spellEnd"/>
      <w:r w:rsidRPr="001666B9">
        <w:rPr>
          <w:rFonts w:ascii="Garamond" w:hAnsi="Garamond" w:cs="Times New Roman"/>
          <w:color w:val="000000"/>
          <w:sz w:val="24"/>
          <w:szCs w:val="24"/>
        </w:rPr>
        <w:t>. veprojnë si operatorë të shërbimeve të transportit publik, rrugor, ajror e detar;</w:t>
      </w:r>
    </w:p>
    <w:p w14:paraId="748FB22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c) të dhënave kërkimore, si: statistika, rezultate eksperimentesh, matje, vëzhgime që vijnë nga puna në terren, rezultate anketimesh, regjistrime intervistash e imazhe, duke përfshirë edhe të dhënat meta (</w:t>
      </w:r>
      <w:proofErr w:type="spellStart"/>
      <w:r w:rsidRPr="001666B9">
        <w:rPr>
          <w:rFonts w:ascii="Garamond" w:hAnsi="Garamond" w:cs="Times New Roman"/>
          <w:color w:val="000000"/>
          <w:sz w:val="24"/>
          <w:szCs w:val="24"/>
        </w:rPr>
        <w:t>metadata</w:t>
      </w:r>
      <w:proofErr w:type="spellEnd"/>
      <w:r w:rsidRPr="001666B9">
        <w:rPr>
          <w:rFonts w:ascii="Garamond" w:hAnsi="Garamond" w:cs="Times New Roman"/>
          <w:color w:val="000000"/>
          <w:sz w:val="24"/>
          <w:szCs w:val="24"/>
        </w:rPr>
        <w:t>), specifikime dhe objekte të tjera digjitale në përputhje me parashikimet e nenit 13 të këtij ligji.</w:t>
      </w:r>
    </w:p>
    <w:p w14:paraId="748FB22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27"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4</w:t>
      </w:r>
    </w:p>
    <w:p w14:paraId="748FB228"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Kufizime</w:t>
      </w:r>
    </w:p>
    <w:p w14:paraId="748FB22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2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Ky ligj nuk zbatohet për dokumente:</w:t>
      </w:r>
    </w:p>
    <w:p w14:paraId="748FB22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a) ofrimi i të cilave është jashtë objektit të veprimtarisë së organit përkatës të sektorit publik;</w:t>
      </w:r>
    </w:p>
    <w:p w14:paraId="748FB22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b) të sipërmarrjeve publike të parashikuara në shkronjën “b” të nenit 3 të këtij ligji kur ato janë hartuar përtej objektit të ofrimit të shërbimit të interesit të përgjithshëm ose që nuk janë subjekt i rregullave të prokurimit sipas legjislacionit për prokurimin publik; </w:t>
      </w:r>
    </w:p>
    <w:p w14:paraId="748FB22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c) për të cilat palët e treta kanë të drejta të pronësisë intelektuale;</w:t>
      </w:r>
    </w:p>
    <w:p w14:paraId="748FB22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ç) që përmbajnë të dhëna </w:t>
      </w:r>
      <w:proofErr w:type="spellStart"/>
      <w:r w:rsidRPr="001666B9">
        <w:rPr>
          <w:rFonts w:ascii="Garamond" w:hAnsi="Garamond" w:cs="Times New Roman"/>
          <w:color w:val="000000"/>
          <w:sz w:val="24"/>
          <w:szCs w:val="24"/>
        </w:rPr>
        <w:t>sensitive</w:t>
      </w:r>
      <w:proofErr w:type="spellEnd"/>
      <w:r w:rsidRPr="001666B9">
        <w:rPr>
          <w:rFonts w:ascii="Garamond" w:hAnsi="Garamond" w:cs="Times New Roman"/>
          <w:color w:val="000000"/>
          <w:sz w:val="24"/>
          <w:szCs w:val="24"/>
        </w:rPr>
        <w:t xml:space="preserve">, përfshirë edhe ato që përjashtohen për arsye të: </w:t>
      </w:r>
    </w:p>
    <w:p w14:paraId="748FB22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i. mbrojtjes së sigurisë kombëtare, të mbrojtjes ose të sigurisë publike;</w:t>
      </w:r>
    </w:p>
    <w:p w14:paraId="748FB23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666B9">
        <w:rPr>
          <w:rFonts w:ascii="Garamond" w:hAnsi="Garamond" w:cs="Times New Roman"/>
          <w:color w:val="000000"/>
          <w:sz w:val="24"/>
          <w:szCs w:val="24"/>
        </w:rPr>
        <w:t>ii</w:t>
      </w:r>
      <w:proofErr w:type="spellEnd"/>
      <w:r w:rsidRPr="001666B9">
        <w:rPr>
          <w:rFonts w:ascii="Garamond" w:hAnsi="Garamond" w:cs="Times New Roman"/>
          <w:color w:val="000000"/>
          <w:sz w:val="24"/>
          <w:szCs w:val="24"/>
        </w:rPr>
        <w:t>. konfidencialitetit statistikor;</w:t>
      </w:r>
    </w:p>
    <w:p w14:paraId="748FB23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666B9">
        <w:rPr>
          <w:rFonts w:ascii="Garamond" w:hAnsi="Garamond" w:cs="Times New Roman"/>
          <w:color w:val="000000"/>
          <w:sz w:val="24"/>
          <w:szCs w:val="24"/>
        </w:rPr>
        <w:t>iii</w:t>
      </w:r>
      <w:proofErr w:type="spellEnd"/>
      <w:r w:rsidRPr="001666B9">
        <w:rPr>
          <w:rFonts w:ascii="Garamond" w:hAnsi="Garamond" w:cs="Times New Roman"/>
          <w:color w:val="000000"/>
          <w:sz w:val="24"/>
          <w:szCs w:val="24"/>
        </w:rPr>
        <w:t xml:space="preserve">. konfidencialitetit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tregtare ose profesionale të kompanive/shoqërive tregtare;</w:t>
      </w:r>
    </w:p>
    <w:p w14:paraId="748FB23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d) aksesi i të cilave është i përjashtuar apo i kufizuar për shkak të mbrojtjes së infrastrukturës kritike me të dhëna </w:t>
      </w:r>
      <w:proofErr w:type="spellStart"/>
      <w:r w:rsidRPr="001666B9">
        <w:rPr>
          <w:rFonts w:ascii="Garamond" w:hAnsi="Garamond" w:cs="Times New Roman"/>
          <w:color w:val="000000"/>
          <w:sz w:val="24"/>
          <w:szCs w:val="24"/>
        </w:rPr>
        <w:t>sensitive</w:t>
      </w:r>
      <w:proofErr w:type="spellEnd"/>
      <w:r w:rsidRPr="001666B9">
        <w:rPr>
          <w:rFonts w:ascii="Garamond" w:hAnsi="Garamond" w:cs="Times New Roman"/>
          <w:color w:val="000000"/>
          <w:sz w:val="24"/>
          <w:szCs w:val="24"/>
        </w:rPr>
        <w:t>;</w:t>
      </w:r>
    </w:p>
    <w:p w14:paraId="748FB233" w14:textId="65ACFDC1"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dh)</w:t>
      </w:r>
      <w:r w:rsidR="001666B9"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 xml:space="preserve">aksesi i të cilave është i kufizuar sipas ligjit për të drejtën e informimit, përfshirë rastet ku qytetarët apo personat juridikë duhet të provojnë një interes të veçantë për të </w:t>
      </w:r>
      <w:proofErr w:type="spellStart"/>
      <w:r w:rsidRPr="001666B9">
        <w:rPr>
          <w:rFonts w:ascii="Garamond" w:hAnsi="Garamond" w:cs="Times New Roman"/>
          <w:color w:val="000000"/>
          <w:sz w:val="24"/>
          <w:szCs w:val="24"/>
        </w:rPr>
        <w:t>aksesuar</w:t>
      </w:r>
      <w:proofErr w:type="spellEnd"/>
      <w:r w:rsidRPr="001666B9">
        <w:rPr>
          <w:rFonts w:ascii="Garamond" w:hAnsi="Garamond" w:cs="Times New Roman"/>
          <w:color w:val="000000"/>
          <w:sz w:val="24"/>
          <w:szCs w:val="24"/>
        </w:rPr>
        <w:t xml:space="preserve"> dokumentet;</w:t>
      </w:r>
    </w:p>
    <w:p w14:paraId="748FB23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e) si: logo, stema ose shenja; </w:t>
      </w:r>
    </w:p>
    <w:p w14:paraId="748FB23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ë) aksesi i të cilave është i përjashtuar ose i kufizuar nga zbatimi i rregullave të aksesit për qëllim të mbrojtjes së të dhënave personale, si dhe pjesë të dokumenteve që përmbajnë të dhëna personale, ripërdorimi i të cilave nuk është në përputhje me legjislacionin për mbrojtjen e të dhënave personale;</w:t>
      </w:r>
    </w:p>
    <w:p w14:paraId="748FB23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f) të Radiotelevizionit Publik Shqiptar (RTSH) dhe të institucioneve të varësisë së tij në kuadër të përmbushjes së funksionit të shërbimit të transmetimit publik;</w:t>
      </w:r>
    </w:p>
    <w:p w14:paraId="748FB23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g) të institucioneve kulturore, duke bërë përjashtim nga këto institucione bibliotekat, përfshirë bibliotekat universitare, muzetë dhe arkivat; </w:t>
      </w:r>
    </w:p>
    <w:p w14:paraId="748FB238" w14:textId="7D260211"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gj)</w:t>
      </w:r>
      <w:r w:rsidR="001666B9"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të institucioneve të arsimit parauniversitar dhe institucioneve të arsimit të lartë;</w:t>
      </w:r>
    </w:p>
    <w:p w14:paraId="748FB23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h) që janë në zotërim të organizatave të cilat kryejnë kërkime shkencore dhe të organizatave të financimit të kërkimeve, përfshirë organizatat e themeluara për transferimin e rezultateve të kërkimeve, përveç atyre të përcaktuara në shkronjën “c” të nenit 3 të këtij ligji.</w:t>
      </w:r>
    </w:p>
    <w:p w14:paraId="748FB23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3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5</w:t>
      </w:r>
    </w:p>
    <w:p w14:paraId="748FB23C"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Lidhja me ligjet e tjera</w:t>
      </w:r>
    </w:p>
    <w:p w14:paraId="748FB23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3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Ky ligj mbështetet në dispozitat ligjore që rregullojnë të drejtën për akses në dokumente dhe nuk përcakton të drejta shtesë për akses në informacion, në tejkalim të dispozitave në fjalë.</w:t>
      </w:r>
    </w:p>
    <w:p w14:paraId="748FB23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2. Dispozitat e ligjit për të drejtën e informimit nuk preken nga ky ligj. E njëjta vlen edhe për detyrimet ligjore për mbrojtjen e konfidencialitetit.</w:t>
      </w:r>
    </w:p>
    <w:p w14:paraId="748FB24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3. Ky ligj nuk cenon mbrojtjen e individëve lidhur me përpunimin e të dhënave personale sipas parashikimeve të legjislacionit për mbrojtjen e të dhënave personale, si dhe mbrojtjen e privatësisë në komunikimet elektronike.</w:t>
      </w:r>
    </w:p>
    <w:p w14:paraId="748FB24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Ky ligj nuk cenon të drejtat e pronësisë intelektuale të rregulluara sipas legjislacionit në fuqi për të drejtën e autorit dhe të drejtat e lidhura me të, si dhe nga marrëveshjet ndërkombëtare për pronësinë intelektuale, ku Republika e Shqipërisë është palë. </w:t>
      </w:r>
    </w:p>
    <w:p w14:paraId="748FB24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5. Të drejtat e pronësisë intelektuale të palëve të treta për krijimin e </w:t>
      </w:r>
      <w:proofErr w:type="spellStart"/>
      <w:r w:rsidRPr="001666B9">
        <w:rPr>
          <w:rFonts w:ascii="Garamond" w:hAnsi="Garamond" w:cs="Times New Roman"/>
          <w:color w:val="000000"/>
          <w:sz w:val="24"/>
          <w:szCs w:val="24"/>
        </w:rPr>
        <w:t>databazave</w:t>
      </w:r>
      <w:proofErr w:type="spellEnd"/>
      <w:r w:rsidRPr="001666B9">
        <w:rPr>
          <w:rFonts w:ascii="Garamond" w:hAnsi="Garamond" w:cs="Times New Roman"/>
          <w:color w:val="000000"/>
          <w:sz w:val="24"/>
          <w:szCs w:val="24"/>
        </w:rPr>
        <w:t xml:space="preserve"> nuk preken nga ky ligj. </w:t>
      </w:r>
    </w:p>
    <w:p w14:paraId="748FB24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6. Rregullat e përcaktuara në këtë ligj për ripërdorimin e dokumenteve të organeve të sektorit publik dhe të sipërmarrjeve publike përfshijnë edhe dokumentet për të cilat zbatohet ligji për të dhënat </w:t>
      </w:r>
      <w:proofErr w:type="spellStart"/>
      <w:r w:rsidRPr="001666B9">
        <w:rPr>
          <w:rFonts w:ascii="Garamond" w:hAnsi="Garamond" w:cs="Times New Roman"/>
          <w:color w:val="000000"/>
          <w:sz w:val="24"/>
          <w:szCs w:val="24"/>
        </w:rPr>
        <w:t>gjeohapësinore</w:t>
      </w:r>
      <w:proofErr w:type="spellEnd"/>
      <w:r w:rsidRPr="001666B9">
        <w:rPr>
          <w:rFonts w:ascii="Garamond" w:hAnsi="Garamond" w:cs="Times New Roman"/>
          <w:color w:val="000000"/>
          <w:sz w:val="24"/>
          <w:szCs w:val="24"/>
        </w:rPr>
        <w:t>.</w:t>
      </w:r>
    </w:p>
    <w:p w14:paraId="748FB24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45"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6</w:t>
      </w:r>
    </w:p>
    <w:p w14:paraId="748FB246"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Përkufizime</w:t>
      </w:r>
    </w:p>
    <w:p w14:paraId="748FB24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4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Për qëllime të këtij ligji termat e mëposhtëm kanë këto kuptime:</w:t>
      </w:r>
    </w:p>
    <w:p w14:paraId="748FB24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w:t>
      </w:r>
      <w:proofErr w:type="spellStart"/>
      <w:r w:rsidRPr="001666B9">
        <w:rPr>
          <w:rFonts w:ascii="Garamond" w:hAnsi="Garamond" w:cs="Times New Roman"/>
          <w:color w:val="000000"/>
          <w:sz w:val="24"/>
          <w:szCs w:val="24"/>
        </w:rPr>
        <w:t>Anonimizim</w:t>
      </w:r>
      <w:proofErr w:type="spellEnd"/>
      <w:r w:rsidRPr="001666B9">
        <w:rPr>
          <w:rFonts w:ascii="Garamond" w:hAnsi="Garamond" w:cs="Times New Roman"/>
          <w:color w:val="000000"/>
          <w:sz w:val="24"/>
          <w:szCs w:val="24"/>
        </w:rPr>
        <w:t>” është procesi i ndryshimit të dokumenteve në mënyrë që dokumenti të mos lidhet me një individ të identifikuar ose të identifikueshëm, ose procesi i bërjes së të dhënave personale anonime në mënyrë të tillë që subjekti i të dhënave të mos jetë më i identifikueshëm.</w:t>
      </w:r>
    </w:p>
    <w:p w14:paraId="748FB24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“Dokument” është çdo përmbajtje, pavarësisht formatit (shkresor ose elektronik, regjistrim zanor, pamor ose </w:t>
      </w:r>
      <w:proofErr w:type="spellStart"/>
      <w:r w:rsidRPr="001666B9">
        <w:rPr>
          <w:rFonts w:ascii="Garamond" w:hAnsi="Garamond" w:cs="Times New Roman"/>
          <w:color w:val="000000"/>
          <w:sz w:val="24"/>
          <w:szCs w:val="24"/>
        </w:rPr>
        <w:t>audioviziv</w:t>
      </w:r>
      <w:proofErr w:type="spellEnd"/>
      <w:r w:rsidRPr="001666B9">
        <w:rPr>
          <w:rFonts w:ascii="Garamond" w:hAnsi="Garamond" w:cs="Times New Roman"/>
          <w:color w:val="000000"/>
          <w:sz w:val="24"/>
          <w:szCs w:val="24"/>
        </w:rPr>
        <w:t>), ose çdo pjesë e këtyre përmbajtjeve.</w:t>
      </w:r>
    </w:p>
    <w:p w14:paraId="748FB24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3. “Format i lexueshëm nga kompjuteri” është formati i strukturuar në mënyrë të tillë që programet informatike të mund të identifikojnë, të njohin e të ekstraktojnë lehtësisht të dhëna të caktuara, përfshirë deklaratat individuale dhe strukturën e tyre të brendshme.</w:t>
      </w:r>
    </w:p>
    <w:p w14:paraId="748FB24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“Grupe të dhënash me vlerë të madhe” janë dokumente, ripërdorimi i të cilave lidhet me përfitime të rëndësishme për shoqërinë, mjedisin dhe ekonominë, veçanërisht në krijimin e shërbimeve dhe të aplikacioneve me vlerë të shtuar, hapjen e vendeve të punës të përshtatshme dhe me cilësi të lartë, si dhe për shkak të numrit të përfituesve të mundshëm të shërbimeve dhe aplikacioneve me vlerë të shtuar të bazuara në këto grupe të dhënash. </w:t>
      </w:r>
    </w:p>
    <w:p w14:paraId="748FB24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5. “Institucione të arsimit të lartë” ka të njëjtin kuptim me atë të ligjit të zbatueshëm për arsimin e lartë dhe kërkimin shkencor.</w:t>
      </w:r>
    </w:p>
    <w:p w14:paraId="748FB24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6. “Licencë standarde” është tërësia e kushteve të ripërdorimit të paracaktuara në një format digjital që i bëhen të njohura aplikantit në momentin e kërkesës për ripërdorim.</w:t>
      </w:r>
    </w:p>
    <w:p w14:paraId="748FB24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7. “</w:t>
      </w:r>
      <w:proofErr w:type="spellStart"/>
      <w:r w:rsidRPr="001666B9">
        <w:rPr>
          <w:rFonts w:ascii="Garamond" w:hAnsi="Garamond" w:cs="Times New Roman"/>
          <w:color w:val="000000"/>
          <w:sz w:val="24"/>
          <w:szCs w:val="24"/>
        </w:rPr>
        <w:t>Metadata</w:t>
      </w:r>
      <w:proofErr w:type="spellEnd"/>
      <w:r w:rsidRPr="001666B9">
        <w:rPr>
          <w:rFonts w:ascii="Garamond" w:hAnsi="Garamond" w:cs="Times New Roman"/>
          <w:color w:val="000000"/>
          <w:sz w:val="24"/>
          <w:szCs w:val="24"/>
        </w:rPr>
        <w:t>” është çdo e dhënë që jep informacion për të dhëna të tjera.</w:t>
      </w:r>
    </w:p>
    <w:p w14:paraId="748FB25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8. “Ndërfaqe e programimit të aplikimit (</w:t>
      </w:r>
      <w:proofErr w:type="spellStart"/>
      <w:r w:rsidRPr="001666B9">
        <w:rPr>
          <w:rFonts w:ascii="Garamond" w:hAnsi="Garamond" w:cs="Times New Roman"/>
          <w:color w:val="000000"/>
          <w:sz w:val="24"/>
          <w:szCs w:val="24"/>
        </w:rPr>
        <w:t>API</w:t>
      </w:r>
      <w:proofErr w:type="spellEnd"/>
      <w:r w:rsidRPr="001666B9">
        <w:rPr>
          <w:rFonts w:ascii="Garamond" w:hAnsi="Garamond" w:cs="Times New Roman"/>
          <w:color w:val="000000"/>
          <w:sz w:val="24"/>
          <w:szCs w:val="24"/>
        </w:rPr>
        <w:t xml:space="preserve">)” është ndërfaqe </w:t>
      </w:r>
      <w:proofErr w:type="spellStart"/>
      <w:r w:rsidRPr="001666B9">
        <w:rPr>
          <w:rFonts w:ascii="Garamond" w:hAnsi="Garamond" w:cs="Times New Roman"/>
          <w:i/>
          <w:color w:val="000000"/>
          <w:sz w:val="24"/>
          <w:szCs w:val="24"/>
        </w:rPr>
        <w:t>software</w:t>
      </w:r>
      <w:proofErr w:type="spellEnd"/>
      <w:r w:rsidRPr="001666B9">
        <w:rPr>
          <w:rFonts w:ascii="Garamond" w:hAnsi="Garamond" w:cs="Times New Roman"/>
          <w:color w:val="000000"/>
          <w:sz w:val="24"/>
          <w:szCs w:val="24"/>
        </w:rPr>
        <w:t xml:space="preserve">-i për bashkëveprimin ndërmjet sistemeve, i cili lejon shkëmbim informacioni midis sistemeve dhe aplikacioneve. </w:t>
      </w:r>
    </w:p>
    <w:p w14:paraId="748FB25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9. “Organet e sektorit publik” përfshin çdo organ të pushtetit qendror, i cili kryen funksione administrative; çdo organ të enteve publike, në masën që ato kryejnë funksione administrative; çdo organ të pushtetit vendor që kryen funksione administrative; çdo organ të Forcave të Armatosura, për aq kohë sa kryejnë funksione administrative, si dhe çdo person fizik ose juridik, të cilit i është dhënë me ligj, akt nënligjor ose çdolloj forme tjetër, të parashikuar nga legjislacioni në fuqi, e drejta e ushtrimit të funksioneve administrative publike. </w:t>
      </w:r>
    </w:p>
    <w:p w14:paraId="748FB25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10.</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“Palë e tretë” është çdo person fizik apo juridik, përveç një organi të sektorit publik ose të një sipërmarrjeje publike që zotëron të dhëna.</w:t>
      </w:r>
    </w:p>
    <w:p w14:paraId="748FB253" w14:textId="0C0C2952" w:rsidR="00655A47" w:rsidRPr="001666B9" w:rsidRDefault="00655A47" w:rsidP="00655A47">
      <w:pPr>
        <w:autoSpaceDE w:val="0"/>
        <w:autoSpaceDN w:val="0"/>
        <w:adjustRightInd w:val="0"/>
        <w:spacing w:after="0" w:line="240" w:lineRule="auto"/>
        <w:ind w:firstLine="284"/>
        <w:jc w:val="both"/>
        <w:rPr>
          <w:rFonts w:ascii="Garamond" w:hAnsi="Garamond" w:cs="Calibri"/>
          <w:color w:val="000000"/>
          <w:sz w:val="24"/>
          <w:szCs w:val="24"/>
        </w:rPr>
      </w:pPr>
      <w:r w:rsidRPr="001666B9">
        <w:rPr>
          <w:rFonts w:ascii="Garamond" w:hAnsi="Garamond" w:cs="Times New Roman"/>
          <w:color w:val="000000"/>
          <w:sz w:val="24"/>
          <w:szCs w:val="24"/>
        </w:rPr>
        <w:t>11.</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“Ripërdorimi” është përdorimi nga ana e personave fizikë ose juridikë i dokumenteve që mbahen nga organet e sektorit publik në kuadër të detyrës publike ose sipërmarrjeve publike në kuadër të shërbimeve që ato ofrojnë, për qëllime tregtare ose jo, të ndryshme nga qëllimi fillestar për të cilin dokumenti është prodhuar. Shkëmbimi i dokumenteve ndërmjet organeve të sektorit publik ose ndërmjet sipërmarrjeve publike dhe organeve të sektorit publik në përmbushje të detyrave</w:t>
      </w:r>
      <w:r w:rsidR="001666B9"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publike të organeve të sektorit publik nuk përbën ripërdorim.</w:t>
      </w:r>
    </w:p>
    <w:p w14:paraId="748FB25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12.</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“Sipërmarrje publike” është çdo sipërmarrje që vepron në fushat e përcaktuara në shkronjën “b” të nenit 3 të këtij ligji, mbi të cilën organet e sektorit publik mund të ushtrojnë drejtpërdrejt ose tërthorazi një ndikim dominues për shkak të pronësisë që kanë mbi të, të pjesëmarrjes së tyre financiare në të apo nëpërmjet rregullave që e qeverisin atë. Ndikimi i organeve të sektorit publik në sipërmarrje publike vlerësohet kur organet e sektorit publik, drejtpërdrejt apo tërthorazi:</w:t>
      </w:r>
    </w:p>
    <w:p w14:paraId="748FB25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a)</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kanë shumicën e aksioneve të sipërmarrjes;</w:t>
      </w:r>
    </w:p>
    <w:p w14:paraId="748FB25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b)</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kontrollojnë shumicën e votave lidhur me aksionet e hedhura në treg nga sipërmarrja;</w:t>
      </w:r>
    </w:p>
    <w:p w14:paraId="748FB25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c)</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mund të emërojnë më shumë se gjysmën e organit administrativ, drejtues apo mbikëqyrës të sipërmarrjes.</w:t>
      </w:r>
    </w:p>
    <w:p w14:paraId="748FB25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lastRenderedPageBreak/>
        <w:t>13.</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 xml:space="preserve">“Standard i hapur zyrtar” është standardi i përcaktuar me shkrim, i cili detajon specifikimet për kërkesat lidhur me sigurimin e </w:t>
      </w:r>
      <w:proofErr w:type="spellStart"/>
      <w:r w:rsidRPr="001666B9">
        <w:rPr>
          <w:rFonts w:ascii="Garamond" w:hAnsi="Garamond" w:cs="Times New Roman"/>
          <w:color w:val="000000"/>
          <w:sz w:val="24"/>
          <w:szCs w:val="24"/>
        </w:rPr>
        <w:t>ndërveprueshmërisë</w:t>
      </w:r>
      <w:proofErr w:type="spellEnd"/>
      <w:r w:rsidRPr="001666B9">
        <w:rPr>
          <w:rFonts w:ascii="Garamond" w:hAnsi="Garamond" w:cs="Times New Roman"/>
          <w:color w:val="000000"/>
          <w:sz w:val="24"/>
          <w:szCs w:val="24"/>
        </w:rPr>
        <w:t xml:space="preserve"> së programeve kompjuterike.</w:t>
      </w:r>
    </w:p>
    <w:p w14:paraId="748FB25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14.</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 xml:space="preserve">“Të dhëna dinamike” janë dokumente në formë digjitale, që u nënshtrohen përditësimeve të shpeshta ose në kohë reale, në veçanti për shkak të paqëndrueshmërisë së tyre ose vjetrimit të shpejtë. Të dhënat e </w:t>
      </w:r>
      <w:proofErr w:type="spellStart"/>
      <w:r w:rsidRPr="001666B9">
        <w:rPr>
          <w:rFonts w:ascii="Garamond" w:hAnsi="Garamond" w:cs="Times New Roman"/>
          <w:color w:val="000000"/>
          <w:sz w:val="24"/>
          <w:szCs w:val="24"/>
        </w:rPr>
        <w:t>gjeneruara</w:t>
      </w:r>
      <w:proofErr w:type="spellEnd"/>
      <w:r w:rsidRPr="001666B9">
        <w:rPr>
          <w:rFonts w:ascii="Garamond" w:hAnsi="Garamond" w:cs="Times New Roman"/>
          <w:color w:val="000000"/>
          <w:sz w:val="24"/>
          <w:szCs w:val="24"/>
        </w:rPr>
        <w:t xml:space="preserve"> nga </w:t>
      </w:r>
      <w:proofErr w:type="spellStart"/>
      <w:r w:rsidRPr="001666B9">
        <w:rPr>
          <w:rFonts w:ascii="Garamond" w:hAnsi="Garamond" w:cs="Times New Roman"/>
          <w:color w:val="000000"/>
          <w:sz w:val="24"/>
          <w:szCs w:val="24"/>
        </w:rPr>
        <w:t>sensorët</w:t>
      </w:r>
      <w:proofErr w:type="spellEnd"/>
      <w:r w:rsidRPr="001666B9">
        <w:rPr>
          <w:rFonts w:ascii="Garamond" w:hAnsi="Garamond" w:cs="Times New Roman"/>
          <w:color w:val="000000"/>
          <w:sz w:val="24"/>
          <w:szCs w:val="24"/>
        </w:rPr>
        <w:t xml:space="preserve"> zakonisht konsiderohen të dhëna dinamike. </w:t>
      </w:r>
    </w:p>
    <w:p w14:paraId="748FB25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15.</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“Të dhëna të hapura” është format i pavarur nga platforma, i vënë në dispozicion të publikut pa asnjë kufizim që pengon ripërdorimin e dokumenteve.</w:t>
      </w:r>
    </w:p>
    <w:p w14:paraId="748FB25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16.</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“Të dhëna kërkimore” janë dokumente në format digjital, si: statistika, rezultate eksperimentesh, matje, vëzhgime që vijnë nga puna në terren, rezultate anketimesh, regjistrime intervistash dhe imazhe, duke përfshirë edhe të dhënat meta (</w:t>
      </w:r>
      <w:proofErr w:type="spellStart"/>
      <w:r w:rsidRPr="001666B9">
        <w:rPr>
          <w:rFonts w:ascii="Garamond" w:hAnsi="Garamond" w:cs="Times New Roman"/>
          <w:color w:val="000000"/>
          <w:sz w:val="24"/>
          <w:szCs w:val="24"/>
        </w:rPr>
        <w:t>metadata</w:t>
      </w:r>
      <w:proofErr w:type="spellEnd"/>
      <w:r w:rsidRPr="001666B9">
        <w:rPr>
          <w:rFonts w:ascii="Garamond" w:hAnsi="Garamond" w:cs="Times New Roman"/>
          <w:color w:val="000000"/>
          <w:sz w:val="24"/>
          <w:szCs w:val="24"/>
        </w:rPr>
        <w:t>), specifikime dhe objekte të tjera digjitale, përveç publikimeve shkencore, të cilat mblidhen ose krijohen gjatë veprimtarive të kërkimit shkencor dhe përdoren si provë në procesin kërkimor.</w:t>
      </w:r>
    </w:p>
    <w:p w14:paraId="748FB25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17.</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“Të dhëna personale” ka të njëjtin kuptim me atë të ligjit të zbatueshëm në fushën e mbrojtjes së të dhënave personale.</w:t>
      </w:r>
    </w:p>
    <w:p w14:paraId="748FB25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18.</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 xml:space="preserve">“Të dhëna </w:t>
      </w:r>
      <w:proofErr w:type="spellStart"/>
      <w:r w:rsidRPr="001666B9">
        <w:rPr>
          <w:rFonts w:ascii="Garamond" w:hAnsi="Garamond" w:cs="Times New Roman"/>
          <w:color w:val="000000"/>
          <w:sz w:val="24"/>
          <w:szCs w:val="24"/>
        </w:rPr>
        <w:t>sensitive</w:t>
      </w:r>
      <w:proofErr w:type="spellEnd"/>
      <w:r w:rsidRPr="001666B9">
        <w:rPr>
          <w:rFonts w:ascii="Garamond" w:hAnsi="Garamond" w:cs="Times New Roman"/>
          <w:color w:val="000000"/>
          <w:sz w:val="24"/>
          <w:szCs w:val="24"/>
        </w:rPr>
        <w:t>” ka të njëjtin kuptim me atë të ligjit të zbatueshëm në fushën e mbrojtjes së të dhënave personale.</w:t>
      </w:r>
    </w:p>
    <w:p w14:paraId="748FB25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19.</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“Veprimtari sektoriale” është veprimtari nga fusha e prokurimit në sektorët e ujit, energjetikës, transportit e shërbimeve postare, të cilat rregullohen sipas ligjit për prokurimin publik.</w:t>
      </w:r>
    </w:p>
    <w:p w14:paraId="748FB25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 xml:space="preserve">KREU </w:t>
      </w:r>
      <w:proofErr w:type="spellStart"/>
      <w:r w:rsidRPr="001666B9">
        <w:rPr>
          <w:rFonts w:ascii="Garamond" w:hAnsi="Garamond" w:cs="Times New Roman"/>
          <w:color w:val="000000"/>
          <w:sz w:val="24"/>
          <w:szCs w:val="24"/>
        </w:rPr>
        <w:t>II</w:t>
      </w:r>
      <w:proofErr w:type="spellEnd"/>
    </w:p>
    <w:p w14:paraId="748FB260"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KËRKESAT PËR RIPËRDORIM</w:t>
      </w:r>
    </w:p>
    <w:p w14:paraId="748FB26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6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7</w:t>
      </w:r>
    </w:p>
    <w:p w14:paraId="748FB26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E drejta për ripërdorim</w:t>
      </w:r>
    </w:p>
    <w:p w14:paraId="748FB26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6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 xml:space="preserve">Çdo person gëzon të drejtën të ripërdorë dokumente ekzistuese të organit të sektorit publik për qëllime fitimi ose jo, në përputhje me dispozitat e këtij ligji. </w:t>
      </w:r>
    </w:p>
    <w:p w14:paraId="748FB26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2. Në rastet kur lejohet ripërdorimi për dokumente që bibliotekat, përfshirë bibliotekat universitare, muzetë dhe arkivat, zotërojnë të drejta të pronësisë intelektuale dhe për dokumentet e zotëruara nga sipërmarrjet publike, ripërdorimi i këtyre dokumenteve për qëllime fitimi ose jo bëhet në përputhje me dispozitat e këtij ligji.</w:t>
      </w:r>
    </w:p>
    <w:p w14:paraId="748FB26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3. Organi i sektorit publik përcakton listën e dokumenteve ekzistuese që mund të ofrohen në formatin e të dhënave të hapura, të cilën e bën publike.</w:t>
      </w:r>
    </w:p>
    <w:p w14:paraId="748FB26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Për qëllime të ripërdorimit të dokumenteve, organi i sektorit publik nuk është i detyruar të krijojë, të përshtat dokumente ose të ofrojë ekstrakte në ato raste kur kjo kërkon përpjekje të konsiderueshme shtesë dhe </w:t>
      </w:r>
      <w:proofErr w:type="spellStart"/>
      <w:r w:rsidRPr="001666B9">
        <w:rPr>
          <w:rFonts w:ascii="Garamond" w:hAnsi="Garamond" w:cs="Times New Roman"/>
          <w:color w:val="000000"/>
          <w:sz w:val="24"/>
          <w:szCs w:val="24"/>
        </w:rPr>
        <w:t>joproporcionale</w:t>
      </w:r>
      <w:proofErr w:type="spellEnd"/>
      <w:r w:rsidRPr="001666B9">
        <w:rPr>
          <w:rFonts w:ascii="Garamond" w:hAnsi="Garamond" w:cs="Times New Roman"/>
          <w:color w:val="000000"/>
          <w:sz w:val="24"/>
          <w:szCs w:val="24"/>
        </w:rPr>
        <w:t xml:space="preserve"> që shkojnë përtej funksionit të zakonshëm. </w:t>
      </w:r>
    </w:p>
    <w:p w14:paraId="748FB26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6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8</w:t>
      </w:r>
    </w:p>
    <w:p w14:paraId="748FB26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Trajtimi i kërkesës</w:t>
      </w:r>
    </w:p>
    <w:p w14:paraId="748FB26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6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Organet e sektorit publik e trajtojnë kërkesën për ripërdorim duke i vënë në dispozicion dokumentin për ripërdorim kërkuesit sa më shpejt të jetë e mundur, por jo më vonë se 15 ditë pune nga dita e dorëzimit të kërkesës. Kur është e mundur dhe e përshtatshme, organet e sektorit publik trajtojnë kërkesën për ripërdorim me mjete elektronike. </w:t>
      </w:r>
    </w:p>
    <w:p w14:paraId="748FB26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Afati i parashikuar në pikën 1 të këtij neni mund të zgjatet me jo më shumë se 20 ditë pune në rast të kërkesave voluminoze apo të ndërlikuara. Në këto raste, kërkuesi njoftohet se nevojitet më shumë kohë për trajtimin e saj brenda afatit të parashikuar në pikën 1 të këtij neni. </w:t>
      </w:r>
    </w:p>
    <w:p w14:paraId="748FB26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3. Organi i sektorit publik, i cili refuzon një kërkesë për ripërdorim, informon kërkuesin me shkrim lidhur me arsyet e refuzimit.</w:t>
      </w:r>
    </w:p>
    <w:p w14:paraId="748FB27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lastRenderedPageBreak/>
        <w:t xml:space="preserve">4. Sipërmarrjet publike dhe institucionet arsimore, organizatat që kryejnë kërkime dhe organizatat që financojnë kërkime nuk kanë detyrimin për të zbatuar këtë nen. </w:t>
      </w:r>
    </w:p>
    <w:p w14:paraId="748FB27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7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 xml:space="preserve">KREU </w:t>
      </w:r>
      <w:proofErr w:type="spellStart"/>
      <w:r w:rsidRPr="001666B9">
        <w:rPr>
          <w:rFonts w:ascii="Garamond" w:hAnsi="Garamond" w:cs="Times New Roman"/>
          <w:color w:val="000000"/>
          <w:sz w:val="24"/>
          <w:szCs w:val="24"/>
        </w:rPr>
        <w:t>III</w:t>
      </w:r>
      <w:proofErr w:type="spellEnd"/>
    </w:p>
    <w:p w14:paraId="748FB27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KUSHTET PËR RIPËRDORIM</w:t>
      </w:r>
    </w:p>
    <w:p w14:paraId="748FB274"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75"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9</w:t>
      </w:r>
    </w:p>
    <w:p w14:paraId="748FB276"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Formati i dokumenteve</w:t>
      </w:r>
    </w:p>
    <w:p w14:paraId="748FB27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b/>
          <w:bCs/>
          <w:color w:val="000000"/>
          <w:sz w:val="24"/>
          <w:szCs w:val="24"/>
        </w:rPr>
      </w:pPr>
    </w:p>
    <w:p w14:paraId="748FB27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Organet e sektorit publik dhe sipërmarrjet publike vënë në dispozicion një dokument në formatin e gjuhën që zotërohet, në datën e kërkesës për ripërdorim e, kur është e mundur dhe e përshtatshme, përmes mjeteve elektronike në format të hapur, të lexueshëm nga kompjuterët, të </w:t>
      </w:r>
      <w:proofErr w:type="spellStart"/>
      <w:r w:rsidRPr="001666B9">
        <w:rPr>
          <w:rFonts w:ascii="Garamond" w:hAnsi="Garamond" w:cs="Times New Roman"/>
          <w:color w:val="000000"/>
          <w:sz w:val="24"/>
          <w:szCs w:val="24"/>
        </w:rPr>
        <w:t>aksesueshëm</w:t>
      </w:r>
      <w:proofErr w:type="spellEnd"/>
      <w:r w:rsidRPr="001666B9">
        <w:rPr>
          <w:rFonts w:ascii="Garamond" w:hAnsi="Garamond" w:cs="Times New Roman"/>
          <w:color w:val="000000"/>
          <w:sz w:val="24"/>
          <w:szCs w:val="24"/>
        </w:rPr>
        <w:t xml:space="preserve"> dhe të </w:t>
      </w:r>
      <w:proofErr w:type="spellStart"/>
      <w:r w:rsidRPr="001666B9">
        <w:rPr>
          <w:rFonts w:ascii="Garamond" w:hAnsi="Garamond" w:cs="Times New Roman"/>
          <w:color w:val="000000"/>
          <w:sz w:val="24"/>
          <w:szCs w:val="24"/>
        </w:rPr>
        <w:t>ripërdorshëm</w:t>
      </w:r>
      <w:proofErr w:type="spellEnd"/>
      <w:r w:rsidRPr="001666B9">
        <w:rPr>
          <w:rFonts w:ascii="Garamond" w:hAnsi="Garamond" w:cs="Times New Roman"/>
          <w:color w:val="000000"/>
          <w:sz w:val="24"/>
          <w:szCs w:val="24"/>
        </w:rPr>
        <w:t xml:space="preserve">, së bashku me </w:t>
      </w:r>
      <w:proofErr w:type="spellStart"/>
      <w:r w:rsidRPr="001666B9">
        <w:rPr>
          <w:rFonts w:ascii="Garamond" w:hAnsi="Garamond" w:cs="Times New Roman"/>
          <w:color w:val="000000"/>
          <w:sz w:val="24"/>
          <w:szCs w:val="24"/>
        </w:rPr>
        <w:t>metadatat</w:t>
      </w:r>
      <w:proofErr w:type="spellEnd"/>
      <w:r w:rsidRPr="001666B9">
        <w:rPr>
          <w:rFonts w:ascii="Garamond" w:hAnsi="Garamond" w:cs="Times New Roman"/>
          <w:color w:val="000000"/>
          <w:sz w:val="24"/>
          <w:szCs w:val="24"/>
        </w:rPr>
        <w:t xml:space="preserve"> e tij.</w:t>
      </w:r>
    </w:p>
    <w:p w14:paraId="748FB27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2. Organet e sektorit publik dhe sipërmarrjet publike, kur është e mundur, hartojnë dhe bëjnë të disponueshme dokumentet për ripërdorim që nga faza e hartimit ose krijimit të tyre.</w:t>
      </w:r>
    </w:p>
    <w:p w14:paraId="748FB27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Organet e sektorit publik dhe sipërmarrjet publike nuk janë të detyruara të vijojnë prodhimin dhe ruajtjen e një lloji të caktuar dokumenti vetëm për ripërdorimin e tij nga një institucion i sektorit publik apo privat. </w:t>
      </w:r>
    </w:p>
    <w:p w14:paraId="748FB27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Organet e sektorit publik dhe sipërmarrjet publike, për aq sa është e mundur teknikisht, i bëjnë të disponueshme të dhënat për ripërdorim menjëherë pas mbledhjes, përmes ndërfaqeve të përshtatshme </w:t>
      </w:r>
      <w:proofErr w:type="spellStart"/>
      <w:r w:rsidRPr="001666B9">
        <w:rPr>
          <w:rFonts w:ascii="Garamond" w:hAnsi="Garamond" w:cs="Times New Roman"/>
          <w:color w:val="000000"/>
          <w:sz w:val="24"/>
          <w:szCs w:val="24"/>
        </w:rPr>
        <w:t>API</w:t>
      </w:r>
      <w:proofErr w:type="spellEnd"/>
      <w:r w:rsidRPr="001666B9">
        <w:rPr>
          <w:rFonts w:ascii="Garamond" w:hAnsi="Garamond" w:cs="Times New Roman"/>
          <w:color w:val="000000"/>
          <w:sz w:val="24"/>
          <w:szCs w:val="24"/>
        </w:rPr>
        <w:t xml:space="preserve">, në formë dinamike ose kur është e përshtatshme, si një shkarkim i vetëm voluminoz </w:t>
      </w:r>
      <w:r w:rsidRPr="001666B9">
        <w:rPr>
          <w:rFonts w:ascii="Garamond" w:hAnsi="Garamond" w:cs="Times New Roman"/>
          <w:i/>
          <w:color w:val="000000"/>
          <w:sz w:val="24"/>
          <w:szCs w:val="24"/>
        </w:rPr>
        <w:t>(</w:t>
      </w:r>
      <w:proofErr w:type="spellStart"/>
      <w:r w:rsidRPr="001666B9">
        <w:rPr>
          <w:rFonts w:ascii="Garamond" w:hAnsi="Garamond" w:cs="Times New Roman"/>
          <w:i/>
          <w:color w:val="000000"/>
          <w:sz w:val="24"/>
          <w:szCs w:val="24"/>
        </w:rPr>
        <w:t>bulk</w:t>
      </w:r>
      <w:proofErr w:type="spellEnd"/>
      <w:r w:rsidRPr="001666B9">
        <w:rPr>
          <w:rFonts w:ascii="Garamond" w:hAnsi="Garamond" w:cs="Times New Roman"/>
          <w:i/>
          <w:color w:val="000000"/>
          <w:sz w:val="24"/>
          <w:szCs w:val="24"/>
        </w:rPr>
        <w:t xml:space="preserve"> </w:t>
      </w:r>
      <w:proofErr w:type="spellStart"/>
      <w:r w:rsidRPr="001666B9">
        <w:rPr>
          <w:rFonts w:ascii="Garamond" w:hAnsi="Garamond" w:cs="Times New Roman"/>
          <w:i/>
          <w:color w:val="000000"/>
          <w:sz w:val="24"/>
          <w:szCs w:val="24"/>
        </w:rPr>
        <w:t>download</w:t>
      </w:r>
      <w:proofErr w:type="spellEnd"/>
      <w:r w:rsidRPr="001666B9">
        <w:rPr>
          <w:rFonts w:ascii="Garamond" w:hAnsi="Garamond" w:cs="Times New Roman"/>
          <w:i/>
          <w:color w:val="000000"/>
          <w:sz w:val="24"/>
          <w:szCs w:val="24"/>
        </w:rPr>
        <w:t>).</w:t>
      </w:r>
    </w:p>
    <w:p w14:paraId="748FB27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5. Në rastet kur vënia në dispozicion e të dhënave dinamike për ripërdorim nga organi i sektorit publik, sipas përcaktimit të pikës 4 të këtij neni, nuk është e mundur për arsye teknike ose financiare, këto të dhëna dinamike bëhen të disponueshme për ripërdorim brenda afatit të përcaktuar në nenin 8 të këtij ligji. </w:t>
      </w:r>
    </w:p>
    <w:p w14:paraId="748FB27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7E"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10</w:t>
      </w:r>
    </w:p>
    <w:p w14:paraId="748FB27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Kostoja e ripërdorimit</w:t>
      </w:r>
    </w:p>
    <w:p w14:paraId="748FB28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8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Ripërdorimi i dokumenteve, si rregull, ofrohet pa pagesë.</w:t>
      </w:r>
    </w:p>
    <w:p w14:paraId="748FB28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color w:val="000000"/>
          <w:sz w:val="24"/>
          <w:szCs w:val="24"/>
        </w:rPr>
        <w:t xml:space="preserve"> 2. Ripërdorimi i dokumenteve mund të bëhet kundrejt një tarife për të mbuluar kostot shtesë për arsye të riprodhimit, ofrimit e shpërndarjes së dokumenteve, për </w:t>
      </w:r>
      <w:proofErr w:type="spellStart"/>
      <w:r w:rsidRPr="001666B9">
        <w:rPr>
          <w:rFonts w:ascii="Garamond" w:hAnsi="Garamond" w:cs="Times New Roman"/>
          <w:color w:val="000000"/>
          <w:sz w:val="24"/>
          <w:szCs w:val="24"/>
        </w:rPr>
        <w:t>anonimizimin</w:t>
      </w:r>
      <w:proofErr w:type="spellEnd"/>
      <w:r w:rsidRPr="001666B9">
        <w:rPr>
          <w:rFonts w:ascii="Garamond" w:hAnsi="Garamond" w:cs="Times New Roman"/>
          <w:color w:val="000000"/>
          <w:sz w:val="24"/>
          <w:szCs w:val="24"/>
        </w:rPr>
        <w:t xml:space="preserve"> e të dhënave personale, si dhe për masat e marra për të mbrojtur informacionin sekret tregtar. </w:t>
      </w:r>
    </w:p>
    <w:p w14:paraId="748FB28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 xml:space="preserve">3. Bëjnë përjashtim nga ofrimi i dokumenteve pa pagesë: </w:t>
      </w:r>
    </w:p>
    <w:p w14:paraId="748FB28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a) organet e sektorit publik, të cilat, sipas legjislacionit të posaçëm për funksionimin e tyre, sigurojnë të ardhura për të mbuluar një pjesë të konsiderueshme të kostove që lidhen me kryerjen e detyrave të tyre publike;</w:t>
      </w:r>
    </w:p>
    <w:p w14:paraId="748FB28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b) bibliotekat, përfshirë bibliotekat universitare, muzetë dhe arkivat;</w:t>
      </w:r>
    </w:p>
    <w:p w14:paraId="748FB28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 xml:space="preserve">c) sipërmarrjet publike. </w:t>
      </w:r>
    </w:p>
    <w:p w14:paraId="748FB28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 xml:space="preserve">4. Të ardhurat nga ofrimi dhe lejimi i ripërdorimit të dokumenteve nuk mund të jenë më të larta se kostoja administrative për mbledhjen, prodhimin, riprodhimin, shpërndarjen e ruajtjen e të dhënave, dhe, në rastet që gjen zbatim, </w:t>
      </w:r>
      <w:proofErr w:type="spellStart"/>
      <w:r w:rsidRPr="001666B9">
        <w:rPr>
          <w:rFonts w:ascii="Garamond" w:hAnsi="Garamond" w:cs="Times New Roman"/>
          <w:sz w:val="24"/>
          <w:szCs w:val="24"/>
        </w:rPr>
        <w:t>anonimizimin</w:t>
      </w:r>
      <w:proofErr w:type="spellEnd"/>
      <w:r w:rsidRPr="001666B9">
        <w:rPr>
          <w:rFonts w:ascii="Garamond" w:hAnsi="Garamond" w:cs="Times New Roman"/>
          <w:sz w:val="24"/>
          <w:szCs w:val="24"/>
        </w:rPr>
        <w:t xml:space="preserve"> e të dhënave personale dhe masat e marra për mbrojtjen e informacionit sekret tregtar. </w:t>
      </w:r>
    </w:p>
    <w:p w14:paraId="748FB28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sz w:val="24"/>
          <w:szCs w:val="24"/>
        </w:rPr>
        <w:t xml:space="preserve">5. Për çdo rast ku aplikohet tarifa, metodologjia, masa dhe përdorimi i tarifës duhet të </w:t>
      </w:r>
      <w:r w:rsidRPr="001666B9">
        <w:rPr>
          <w:rFonts w:ascii="Garamond" w:hAnsi="Garamond" w:cs="Times New Roman"/>
          <w:color w:val="000000"/>
          <w:sz w:val="24"/>
          <w:szCs w:val="24"/>
        </w:rPr>
        <w:t xml:space="preserve">përcaktohen me vendim të Këshillit të Ministrave. Organi i sektorit publik që aplikon tarifa për të drejtën e ripërdorimit e bën atë publike në faqen e vet të internetit, si dhe në portalin unik qeveritar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të hapura.</w:t>
      </w:r>
    </w:p>
    <w:p w14:paraId="748FB28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8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11</w:t>
      </w:r>
    </w:p>
    <w:p w14:paraId="748FB28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Licenca standarde</w:t>
      </w:r>
    </w:p>
    <w:p w14:paraId="748FB28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8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Ripërdorimi i dokumenteve, si rregull, është i hapur dhe vendosja e kushteve bëhet në rastet e justifikuara për interesin publik. Kushtet për ripërdorimin e dokumenteve duhet të jenë objektive, proporcionale dhe </w:t>
      </w:r>
      <w:proofErr w:type="spellStart"/>
      <w:r w:rsidRPr="001666B9">
        <w:rPr>
          <w:rFonts w:ascii="Garamond" w:hAnsi="Garamond" w:cs="Times New Roman"/>
          <w:color w:val="000000"/>
          <w:sz w:val="24"/>
          <w:szCs w:val="24"/>
        </w:rPr>
        <w:t>jodiskriminuese</w:t>
      </w:r>
      <w:proofErr w:type="spellEnd"/>
      <w:r w:rsidRPr="001666B9">
        <w:rPr>
          <w:rFonts w:ascii="Garamond" w:hAnsi="Garamond" w:cs="Times New Roman"/>
          <w:color w:val="000000"/>
          <w:sz w:val="24"/>
          <w:szCs w:val="24"/>
        </w:rPr>
        <w:t xml:space="preserve">. </w:t>
      </w:r>
    </w:p>
    <w:p w14:paraId="748FB28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Ripërdorimi i dokumenteve është i hapur ose kundrejt aplikimit të licencës standarde. Në rastin e aplikimit të licencës standarde, licenca ofrohet në formatin elektronik sipas modelit të miratuar me udhëzim të përbashkët të ministrit përgjegjës dhe </w:t>
      </w:r>
      <w:proofErr w:type="spellStart"/>
      <w:r w:rsidRPr="001666B9">
        <w:rPr>
          <w:rFonts w:ascii="Garamond" w:hAnsi="Garamond" w:cs="Times New Roman"/>
          <w:color w:val="000000"/>
          <w:sz w:val="24"/>
          <w:szCs w:val="24"/>
        </w:rPr>
        <w:t>Komisionerit</w:t>
      </w:r>
      <w:proofErr w:type="spellEnd"/>
      <w:r w:rsidRPr="001666B9">
        <w:rPr>
          <w:rFonts w:ascii="Garamond" w:hAnsi="Garamond" w:cs="Times New Roman"/>
          <w:color w:val="000000"/>
          <w:sz w:val="24"/>
          <w:szCs w:val="24"/>
        </w:rPr>
        <w:t xml:space="preserve"> për të Drejtën e Informimit dhe Mbrojtjen e të Dhënave Personale.</w:t>
      </w:r>
    </w:p>
    <w:p w14:paraId="748FB28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Licenca standarde përcakton të drejtat e kufizimet e ripërdorimit, si: për printimin, kopjimin, përpunimin e të dhënave, lejimin ose jo të transferimit te palë të treta, kërkesat për respektimin e pronësisë intelektuale dhe mbrojtjen e të dhënave personale. </w:t>
      </w:r>
    </w:p>
    <w:p w14:paraId="748FB29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9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12</w:t>
      </w:r>
    </w:p>
    <w:p w14:paraId="748FB29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 xml:space="preserve">Lehtësimi i kërkimit të </w:t>
      </w:r>
      <w:proofErr w:type="spellStart"/>
      <w:r w:rsidRPr="001666B9">
        <w:rPr>
          <w:rFonts w:ascii="Garamond" w:hAnsi="Garamond" w:cs="Times New Roman"/>
          <w:b/>
          <w:bCs/>
          <w:color w:val="000000"/>
          <w:sz w:val="24"/>
          <w:szCs w:val="24"/>
        </w:rPr>
        <w:t>të</w:t>
      </w:r>
      <w:proofErr w:type="spellEnd"/>
      <w:r w:rsidRPr="001666B9">
        <w:rPr>
          <w:rFonts w:ascii="Garamond" w:hAnsi="Garamond" w:cs="Times New Roman"/>
          <w:b/>
          <w:bCs/>
          <w:color w:val="000000"/>
          <w:sz w:val="24"/>
          <w:szCs w:val="24"/>
        </w:rPr>
        <w:t xml:space="preserve"> dhënave të hapura</w:t>
      </w:r>
    </w:p>
    <w:p w14:paraId="748FB29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9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Me qëllim lehtësimin e kërkimit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të hapura të ofruara nga organet e sektorit publik, krijohet/funksionon portali i të dhënave të hapura qeveritare.</w:t>
      </w:r>
    </w:p>
    <w:p w14:paraId="748FB29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Me vendim të Këshillit të Ministrave miratohen rregulla praktike për lehtësimin e kërkimit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të hapura.</w:t>
      </w:r>
    </w:p>
    <w:p w14:paraId="748FB29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97"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13</w:t>
      </w:r>
    </w:p>
    <w:p w14:paraId="748FB298"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Të dhënat kërkimore</w:t>
      </w:r>
    </w:p>
    <w:p w14:paraId="748FB29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9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Të dhënat kërkimore të financuara me fonde publike janë të disponueshme për ripërdorim me qëllim fitimi ose jo.</w:t>
      </w:r>
    </w:p>
    <w:p w14:paraId="748FB29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Të dhënat kërkimore vihen në dispozicion duke respektuar të drejtat e pronësisë intelektuale, mbrojtjen e të dhënave personale dhe konfidencialitetin, sigurinë e interesat tregtare legjitime. </w:t>
      </w:r>
    </w:p>
    <w:p w14:paraId="748FB29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Detyrimet që lindin nga ky nen zbatohen vetëm për ato të dhëna kërkimore nga momenti që ato bëhen publike nga studiuesit, organizatat e kryerjes së kërkimeve ose organizatat e financimit të kërkimeve. </w:t>
      </w:r>
    </w:p>
    <w:p w14:paraId="748FB29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14</w:t>
      </w:r>
    </w:p>
    <w:p w14:paraId="748FB29E"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Mosdiskriminimi</w:t>
      </w:r>
    </w:p>
    <w:p w14:paraId="748FB29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A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Të gjitha kushtet në fuqi për ripërdorimin e dokumenteve zbatohen në mënyrë të njëjtë dhe nuk janë diskriminuese për kategoritë e ngjashme të ripërdorimit, përfshirë ripërdorimin ndërkufitar. </w:t>
      </w:r>
    </w:p>
    <w:p w14:paraId="748FB2A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Nëse dokumentet ripërdoren nga një organ i sektorit publik si material për veprimtaritë e veta tregtare, që janë jashtë objektit të detyrave të veta publike, të njëjtat tarifa dhe kushte të tjera që zbatohen për përdoruesit e tjerë zbatohen edhe për dokumentet e kërkuara për këto veprimtari. </w:t>
      </w:r>
    </w:p>
    <w:p w14:paraId="748FB2A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A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15</w:t>
      </w:r>
    </w:p>
    <w:p w14:paraId="748FB2A4"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Marrëveshjet ekskluzive</w:t>
      </w:r>
    </w:p>
    <w:p w14:paraId="748FB2A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A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Ripërdorimi i dokumenteve është i hapur për të gjithë.</w:t>
      </w:r>
    </w:p>
    <w:p w14:paraId="748FB2A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2. Marrëveshjet dhe kontratat e tjera ndërmjet organeve të sektorit publik ose sipërmarrjeve publike që zotërojnë dokumente dhe palëve të treta nuk duhet të garantojnë asnjë të drejtë ekskluzive për ripërdorim.</w:t>
      </w:r>
    </w:p>
    <w:p w14:paraId="748FB2A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3. Pika 2 e këtij neni nuk gjen zbatim në rastet kur është e nevojshme një e drejtë ekskluzive për ofrimin e një shërbimi me interes publik, arsyeja për dhënien e së cilës shqyrtohet rregullisht, jo më pak se një herë në çdo 3 vjet. Marrëveshjet ekskluzive të nënshkruara nga data e hyrjes në fuqi të këtij ligji dhe në vijim bëhen publike në internet të paktën 2 muaj para hyrjes së tyre në fuqi. Kushtet përfundimtare të këtyre marrëveshjeve janë transparente dhe bëhen publike në internet.</w:t>
      </w:r>
    </w:p>
    <w:p w14:paraId="748FB2A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Kur e drejta ekskluzive lidhet me digjitalizimin e burimeve kulturore, periudha e </w:t>
      </w:r>
      <w:proofErr w:type="spellStart"/>
      <w:r w:rsidRPr="001666B9">
        <w:rPr>
          <w:rFonts w:ascii="Garamond" w:hAnsi="Garamond" w:cs="Times New Roman"/>
          <w:color w:val="000000"/>
          <w:sz w:val="24"/>
          <w:szCs w:val="24"/>
        </w:rPr>
        <w:t>ekskluzivitetit</w:t>
      </w:r>
      <w:proofErr w:type="spellEnd"/>
      <w:r w:rsidRPr="001666B9">
        <w:rPr>
          <w:rFonts w:ascii="Garamond" w:hAnsi="Garamond" w:cs="Times New Roman"/>
          <w:color w:val="000000"/>
          <w:sz w:val="24"/>
          <w:szCs w:val="24"/>
        </w:rPr>
        <w:t xml:space="preserve"> nuk duhet t’i kalojë 10 vjetët. Kur ajo i kalon 10 vjetët, kohëzgjatja shqyrtohet gjatë vitit të 11-t dhe, nëse është rasti, çdo 7 vjet pas tij. </w:t>
      </w:r>
    </w:p>
    <w:p w14:paraId="748FB2AA" w14:textId="2FAF7AB2"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5. Marrëveshjet ligjore, që, pa dhënë shprehimisht një të drejtë ekskluzive, synojnë ose mund të çojnë në vënien në dispozicion në mënyrë të kufizuar të ripërdorimit të dokumenteve nga subjekte të tjera përveç palëve të treta që marrin pjesë në marrëveshje, bëhen publike në internet të paktën 2</w:t>
      </w:r>
      <w:r w:rsidR="001666B9"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muaj para hyrjes në fuqi të tyre.</w:t>
      </w:r>
    </w:p>
    <w:p w14:paraId="748FB2A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6. Efekti i këtyre marrëveshjeve ligjore për </w:t>
      </w:r>
      <w:proofErr w:type="spellStart"/>
      <w:r w:rsidRPr="001666B9">
        <w:rPr>
          <w:rFonts w:ascii="Garamond" w:hAnsi="Garamond" w:cs="Times New Roman"/>
          <w:color w:val="000000"/>
          <w:sz w:val="24"/>
          <w:szCs w:val="24"/>
        </w:rPr>
        <w:t>disponueshmërinë</w:t>
      </w:r>
      <w:proofErr w:type="spellEnd"/>
      <w:r w:rsidRPr="001666B9">
        <w:rPr>
          <w:rFonts w:ascii="Garamond" w:hAnsi="Garamond" w:cs="Times New Roman"/>
          <w:color w:val="000000"/>
          <w:sz w:val="24"/>
          <w:szCs w:val="24"/>
        </w:rPr>
        <w:t xml:space="preserve"> e të dhënave për ripërdorim vlerësohet çdo 3 vjet.</w:t>
      </w:r>
    </w:p>
    <w:p w14:paraId="748FB2A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A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 xml:space="preserve">KREU </w:t>
      </w:r>
      <w:proofErr w:type="spellStart"/>
      <w:r w:rsidRPr="001666B9">
        <w:rPr>
          <w:rFonts w:ascii="Garamond" w:hAnsi="Garamond" w:cs="Times New Roman"/>
          <w:color w:val="000000"/>
          <w:sz w:val="24"/>
          <w:szCs w:val="24"/>
        </w:rPr>
        <w:t>IV</w:t>
      </w:r>
      <w:proofErr w:type="spellEnd"/>
    </w:p>
    <w:p w14:paraId="748FB2A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GRUPET E TË DHËNAVE ME VLERË TË MADHE</w:t>
      </w:r>
    </w:p>
    <w:p w14:paraId="748FB2B0"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B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16</w:t>
      </w:r>
    </w:p>
    <w:p w14:paraId="748FB2B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 xml:space="preserve">Kategoritë tematike të grupeve të </w:t>
      </w:r>
      <w:proofErr w:type="spellStart"/>
      <w:r w:rsidRPr="001666B9">
        <w:rPr>
          <w:rFonts w:ascii="Garamond" w:hAnsi="Garamond" w:cs="Times New Roman"/>
          <w:b/>
          <w:bCs/>
          <w:color w:val="000000"/>
          <w:sz w:val="24"/>
          <w:szCs w:val="24"/>
        </w:rPr>
        <w:t>të</w:t>
      </w:r>
      <w:proofErr w:type="spellEnd"/>
      <w:r w:rsidRPr="001666B9">
        <w:rPr>
          <w:rFonts w:ascii="Garamond" w:hAnsi="Garamond" w:cs="Times New Roman"/>
          <w:b/>
          <w:bCs/>
          <w:color w:val="000000"/>
          <w:sz w:val="24"/>
          <w:szCs w:val="24"/>
        </w:rPr>
        <w:t xml:space="preserve"> dhënave me vlerë të madhe</w:t>
      </w:r>
    </w:p>
    <w:p w14:paraId="748FB2B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B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1. Në grupin e të dhënave me vlerë të madhe përfshihen të dhëna në fushat:</w:t>
      </w:r>
    </w:p>
    <w:p w14:paraId="748FB2B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a) </w:t>
      </w:r>
      <w:proofErr w:type="spellStart"/>
      <w:r w:rsidRPr="001666B9">
        <w:rPr>
          <w:rFonts w:ascii="Garamond" w:hAnsi="Garamond" w:cs="Times New Roman"/>
          <w:color w:val="000000"/>
          <w:sz w:val="24"/>
          <w:szCs w:val="24"/>
        </w:rPr>
        <w:t>gjeohapësinore</w:t>
      </w:r>
      <w:proofErr w:type="spellEnd"/>
      <w:r w:rsidRPr="001666B9">
        <w:rPr>
          <w:rFonts w:ascii="Garamond" w:hAnsi="Garamond" w:cs="Times New Roman"/>
          <w:color w:val="000000"/>
          <w:sz w:val="24"/>
          <w:szCs w:val="24"/>
        </w:rPr>
        <w:t xml:space="preserve">; </w:t>
      </w:r>
    </w:p>
    <w:p w14:paraId="748FB2B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b) mjedisore dhe të vëzhgimit të tokës; </w:t>
      </w:r>
    </w:p>
    <w:p w14:paraId="748FB2B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c) meteorologjike; </w:t>
      </w:r>
    </w:p>
    <w:p w14:paraId="748FB2B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ç) statistikore; </w:t>
      </w:r>
    </w:p>
    <w:p w14:paraId="748FB2B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d) e shoqërive tregtare dhe pronësisë në këto shoqëri; </w:t>
      </w:r>
    </w:p>
    <w:p w14:paraId="748FB2B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dh) e transportit publik. </w:t>
      </w:r>
    </w:p>
    <w:p w14:paraId="748FB2B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Me vendim të Këshillit të Ministrave shtohen kategori tematike të grupeve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me vlerë të madhe sa herë është e nevojshme, me qëllim reflektimin e zhvillimeve teknologjike dhe zhvillimeve të tregut. </w:t>
      </w:r>
    </w:p>
    <w:p w14:paraId="748FB2B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B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17</w:t>
      </w:r>
    </w:p>
    <w:p w14:paraId="748FB2BE"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B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 xml:space="preserve">Ripërdorimi i grupeve specifike të </w:t>
      </w:r>
      <w:proofErr w:type="spellStart"/>
      <w:r w:rsidRPr="001666B9">
        <w:rPr>
          <w:rFonts w:ascii="Garamond" w:hAnsi="Garamond" w:cs="Times New Roman"/>
          <w:b/>
          <w:bCs/>
          <w:color w:val="000000"/>
          <w:sz w:val="24"/>
          <w:szCs w:val="24"/>
        </w:rPr>
        <w:t>të</w:t>
      </w:r>
      <w:proofErr w:type="spellEnd"/>
      <w:r w:rsidRPr="001666B9">
        <w:rPr>
          <w:rFonts w:ascii="Garamond" w:hAnsi="Garamond" w:cs="Times New Roman"/>
          <w:b/>
          <w:bCs/>
          <w:color w:val="000000"/>
          <w:sz w:val="24"/>
          <w:szCs w:val="24"/>
        </w:rPr>
        <w:t xml:space="preserve"> dhënave me vlerë të madhe</w:t>
      </w:r>
    </w:p>
    <w:p w14:paraId="748FB2C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C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Për çdo kategori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me vlerë të madhe për ekonominë dhe shoqërinë nga organi/et publike përgjegjëse, në koordinim me </w:t>
      </w:r>
      <w:proofErr w:type="spellStart"/>
      <w:r w:rsidRPr="001666B9">
        <w:rPr>
          <w:rFonts w:ascii="Garamond" w:hAnsi="Garamond" w:cs="Times New Roman"/>
          <w:color w:val="000000"/>
          <w:sz w:val="24"/>
          <w:szCs w:val="24"/>
        </w:rPr>
        <w:t>Komisionerin</w:t>
      </w:r>
      <w:proofErr w:type="spellEnd"/>
      <w:r w:rsidRPr="001666B9">
        <w:rPr>
          <w:rFonts w:ascii="Garamond" w:hAnsi="Garamond" w:cs="Times New Roman"/>
          <w:color w:val="000000"/>
          <w:sz w:val="24"/>
          <w:szCs w:val="24"/>
        </w:rPr>
        <w:t xml:space="preserve"> për të Drejtën e Informimit dhe Mbrojtjen e të Dhënave Personale, përcaktohen grupet specifike të këtyre të dhënave. </w:t>
      </w:r>
    </w:p>
    <w:p w14:paraId="748FB2C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Grupet specifike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me vlerë të madhe duhet të jenë:</w:t>
      </w:r>
    </w:p>
    <w:p w14:paraId="748FB2C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a) të disponueshme pa pagesë;</w:t>
      </w:r>
    </w:p>
    <w:p w14:paraId="748FB2C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b) të lexueshme nga kompjuteri;</w:t>
      </w:r>
    </w:p>
    <w:p w14:paraId="748FB2C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c) të ofruara përmes </w:t>
      </w:r>
      <w:proofErr w:type="spellStart"/>
      <w:r w:rsidRPr="001666B9">
        <w:rPr>
          <w:rFonts w:ascii="Garamond" w:hAnsi="Garamond" w:cs="Times New Roman"/>
          <w:color w:val="000000"/>
          <w:sz w:val="24"/>
          <w:szCs w:val="24"/>
        </w:rPr>
        <w:t>API</w:t>
      </w:r>
      <w:proofErr w:type="spellEnd"/>
      <w:r w:rsidRPr="001666B9">
        <w:rPr>
          <w:rFonts w:ascii="Garamond" w:hAnsi="Garamond" w:cs="Times New Roman"/>
          <w:color w:val="000000"/>
          <w:sz w:val="24"/>
          <w:szCs w:val="24"/>
        </w:rPr>
        <w:t>-ve; dhe</w:t>
      </w:r>
    </w:p>
    <w:p w14:paraId="748FB2C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ç) kur është me rëndësi, të ofruara si një shkarkim i vetëm. </w:t>
      </w:r>
    </w:p>
    <w:p w14:paraId="748FB2C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Pavarësisht nga sa parashikohet në pikën 2 të këtij neni, ofrimi pa pagesë i grupeve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me vlerë të lartë nuk zbatohet për grupet specifike të </w:t>
      </w:r>
      <w:proofErr w:type="spellStart"/>
      <w:r w:rsidRPr="001666B9">
        <w:rPr>
          <w:rFonts w:ascii="Garamond" w:hAnsi="Garamond" w:cs="Times New Roman"/>
          <w:color w:val="000000"/>
          <w:sz w:val="24"/>
          <w:szCs w:val="24"/>
        </w:rPr>
        <w:t>të</w:t>
      </w:r>
      <w:proofErr w:type="spellEnd"/>
      <w:r w:rsidRPr="001666B9">
        <w:rPr>
          <w:rFonts w:ascii="Garamond" w:hAnsi="Garamond" w:cs="Times New Roman"/>
          <w:color w:val="000000"/>
          <w:sz w:val="24"/>
          <w:szCs w:val="24"/>
        </w:rPr>
        <w:t xml:space="preserve"> dhënave me vlerë të madhe në zotërim të sipërmarrjeve publike, që çojnë në shtrembërim të konkurrencës në tregjet përkatëse, si dhe për bibliotekat, përfshirë bibliotekat universitare, muzetë dhe arkivat.</w:t>
      </w:r>
    </w:p>
    <w:p w14:paraId="748FB2C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4. Me vendim të Këshillit të Ministrave, organet e sektorit publik mund të përjashtohen nga detyrimi për ofrimin e të dhënave me vlerë të lartë pa pagesë për një periudhë jo më të gjatë se 2 vjet, në rast se ofrimi i tyre pa pagesë do të kishte ndikim thelbësor në buxhetin e këtyre organeve.</w:t>
      </w:r>
    </w:p>
    <w:p w14:paraId="748FB2C9"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KREU V</w:t>
      </w:r>
    </w:p>
    <w:p w14:paraId="748FB2C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SHKELJET DHE SANKSIONET ADMINISTRATIVE</w:t>
      </w:r>
    </w:p>
    <w:p w14:paraId="748FB2C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CC"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18</w:t>
      </w:r>
    </w:p>
    <w:p w14:paraId="748FB2C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Kundërvajtjet administrative dhe sanksionet</w:t>
      </w:r>
    </w:p>
    <w:p w14:paraId="748FB2C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C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Kundërvajtje administrative konsiderohen veprimet e mosveprimet në kundërshtim me këtë ligj si më poshtë: </w:t>
      </w:r>
    </w:p>
    <w:p w14:paraId="748FB2D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a) refuzimi i vënies në dispozicion të dokumenteve për ripërdorim në kundërshtim me parashikimet e këtij ligji dënohet me gjobë nga 100 000 (njëqind mijë) deri në 1 000 000 (një milion) lekë;</w:t>
      </w:r>
    </w:p>
    <w:p w14:paraId="748FB2D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b) mospublikimi i tarifave në kundërshtim me pikën 5 të nenit 10 të këtij ligji dënohet me gjobë nga 50 000 (pesëdhjetë mijë) deri në 500 000 (pesëqind mijë) lekë; </w:t>
      </w:r>
    </w:p>
    <w:p w14:paraId="748FB2D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c) mosrespektimi i kërkesave ligjore për kushtet e ripërdorimit/licencës standarde dënohet me gjobë nga 50 000 (pesëdhjetë mijë) deri në 500 000 (pesëqind mijë) lekë;</w:t>
      </w:r>
    </w:p>
    <w:p w14:paraId="748FB2D3"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ç) mospublikimi i listës së dokumenteve ekzistuese që mund të ofrohen në formatin e të dhënave të hapura dënohet me gjobë nga 50 000 (pesëdhjetë mijë) deri në 500 000 (pesëqind mijë) lekë; </w:t>
      </w:r>
    </w:p>
    <w:p w14:paraId="748FB2D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d) mosbashkëpunimi dhe mosdhënia e informacionit të kërkuar nga </w:t>
      </w:r>
      <w:proofErr w:type="spellStart"/>
      <w:r w:rsidRPr="001666B9">
        <w:rPr>
          <w:rFonts w:ascii="Garamond" w:hAnsi="Garamond" w:cs="Times New Roman"/>
          <w:color w:val="000000"/>
          <w:sz w:val="24"/>
          <w:szCs w:val="24"/>
        </w:rPr>
        <w:t>Komisioneri</w:t>
      </w:r>
      <w:proofErr w:type="spellEnd"/>
      <w:r w:rsidRPr="001666B9">
        <w:rPr>
          <w:rFonts w:ascii="Garamond" w:hAnsi="Garamond" w:cs="Times New Roman"/>
          <w:color w:val="000000"/>
          <w:sz w:val="24"/>
          <w:szCs w:val="24"/>
        </w:rPr>
        <w:t xml:space="preserve"> për të Drejtën e Informimit dhe Mbrojtjen e të Dhënave Personale për përmbushjen e detyrave të përcaktuara në këtë ligj dënohet me gjobë nga 50 000 (pesëdhjetë mijë) deri në 500 000 (pesëqind mijë) lekë. </w:t>
      </w:r>
    </w:p>
    <w:p w14:paraId="748FB2D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2. Vendosja e masave administrative ndaj organit të sektorit publik ose sipërmarrjes publike që kryen kundërvajtje administrative duhet të jetë proporcionale me dëmin dhe shkeljet e shkaktuara.</w:t>
      </w:r>
    </w:p>
    <w:p w14:paraId="748FB2D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Në çdo rast, organi i sektorit publik ose sipërmarrja publike brenda 30 ditëve kalendarike nga data e marrjes së njoftimit mund të bëjë ankim në gjykatë në përputhje me ligjin për kundërvajtjet administrative. </w:t>
      </w:r>
    </w:p>
    <w:p w14:paraId="748FB2D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D8"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 xml:space="preserve">KREU </w:t>
      </w:r>
      <w:proofErr w:type="spellStart"/>
      <w:r w:rsidRPr="001666B9">
        <w:rPr>
          <w:rFonts w:ascii="Garamond" w:hAnsi="Garamond" w:cs="Times New Roman"/>
          <w:color w:val="000000"/>
          <w:sz w:val="24"/>
          <w:szCs w:val="24"/>
        </w:rPr>
        <w:t>VI</w:t>
      </w:r>
      <w:proofErr w:type="spellEnd"/>
    </w:p>
    <w:p w14:paraId="748FB2D9" w14:textId="57DFD990"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KOMPETENCAT E PROCEDURAT PËR SHQYRTIMIN</w:t>
      </w:r>
      <w:r w:rsidR="001666B9"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E ANKESAVE</w:t>
      </w:r>
    </w:p>
    <w:p w14:paraId="748FB2D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DB"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19</w:t>
      </w:r>
    </w:p>
    <w:p w14:paraId="748FB2DC"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 xml:space="preserve">Kompetencat e </w:t>
      </w:r>
      <w:proofErr w:type="spellStart"/>
      <w:r w:rsidRPr="001666B9">
        <w:rPr>
          <w:rFonts w:ascii="Garamond" w:hAnsi="Garamond" w:cs="Times New Roman"/>
          <w:b/>
          <w:bCs/>
          <w:color w:val="000000"/>
          <w:sz w:val="24"/>
          <w:szCs w:val="24"/>
        </w:rPr>
        <w:t>Komisionerit</w:t>
      </w:r>
      <w:proofErr w:type="spellEnd"/>
      <w:r w:rsidRPr="001666B9">
        <w:rPr>
          <w:rFonts w:ascii="Garamond" w:hAnsi="Garamond" w:cs="Times New Roman"/>
          <w:b/>
          <w:bCs/>
          <w:color w:val="000000"/>
          <w:sz w:val="24"/>
          <w:szCs w:val="24"/>
        </w:rPr>
        <w:t xml:space="preserve"> për të Drejtën e Informimit dhe Mbrojtjen e të Dhënave Personale</w:t>
      </w:r>
    </w:p>
    <w:p w14:paraId="748FB2D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D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w:t>
      </w:r>
      <w:proofErr w:type="spellStart"/>
      <w:r w:rsidRPr="001666B9">
        <w:rPr>
          <w:rFonts w:ascii="Garamond" w:hAnsi="Garamond" w:cs="Times New Roman"/>
          <w:color w:val="000000"/>
          <w:sz w:val="24"/>
          <w:szCs w:val="24"/>
        </w:rPr>
        <w:t>Komisioneri</w:t>
      </w:r>
      <w:proofErr w:type="spellEnd"/>
      <w:r w:rsidRPr="001666B9">
        <w:rPr>
          <w:rFonts w:ascii="Garamond" w:hAnsi="Garamond" w:cs="Times New Roman"/>
          <w:color w:val="000000"/>
          <w:sz w:val="24"/>
          <w:szCs w:val="24"/>
        </w:rPr>
        <w:t xml:space="preserve"> për të Drejtën e Informimit dhe Mbrojtjen e të Dhënave Personale është përgjegjës për mbrojtjen, mbikëqyrjen dhe promovimin e së drejtës për ripërdorim të dokumenteve sipas këtij ligji. </w:t>
      </w:r>
    </w:p>
    <w:p w14:paraId="748FB2D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2. Organet e sektorit publik duhet të bashkëpunojnë me </w:t>
      </w:r>
      <w:proofErr w:type="spellStart"/>
      <w:r w:rsidRPr="001666B9">
        <w:rPr>
          <w:rFonts w:ascii="Garamond" w:hAnsi="Garamond" w:cs="Times New Roman"/>
          <w:color w:val="000000"/>
          <w:sz w:val="24"/>
          <w:szCs w:val="24"/>
        </w:rPr>
        <w:t>Komisionerin</w:t>
      </w:r>
      <w:proofErr w:type="spellEnd"/>
      <w:r w:rsidRPr="001666B9">
        <w:rPr>
          <w:rFonts w:ascii="Garamond" w:hAnsi="Garamond" w:cs="Times New Roman"/>
          <w:color w:val="000000"/>
          <w:sz w:val="24"/>
          <w:szCs w:val="24"/>
        </w:rPr>
        <w:t xml:space="preserve"> për të Drejtën e Informimit dhe Mbrojtjen e të Dhënave Personale duke i dhënë të gjithë informacionin që ai kërkon për përmbushjen e detyrave të tij të përcaktuara në këtë ligj.</w:t>
      </w:r>
    </w:p>
    <w:p w14:paraId="748FB2E0" w14:textId="77777777" w:rsidR="00655A47" w:rsidRPr="001666B9" w:rsidRDefault="00655A47" w:rsidP="00655A47">
      <w:pPr>
        <w:autoSpaceDE w:val="0"/>
        <w:autoSpaceDN w:val="0"/>
        <w:adjustRightInd w:val="0"/>
        <w:spacing w:after="0" w:line="240" w:lineRule="auto"/>
        <w:ind w:firstLine="284"/>
        <w:rPr>
          <w:rFonts w:ascii="Garamond" w:hAnsi="Garamond" w:cs="Times New Roman"/>
          <w:color w:val="000000"/>
          <w:sz w:val="24"/>
          <w:szCs w:val="24"/>
        </w:rPr>
      </w:pPr>
    </w:p>
    <w:p w14:paraId="748FB2E1"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E2"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20</w:t>
      </w:r>
    </w:p>
    <w:p w14:paraId="748FB2E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Procedura për shqyrtimin e ankesave</w:t>
      </w:r>
    </w:p>
    <w:p w14:paraId="748FB2E4"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E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1. Nëse palët e interesuara vlerësojnë se organi i sektorit publik ose sipërmarrja publike ka cenuar të drejtën e tyre për ripërdorim të dokumenteve sipas parashikimeve të këtij ligji, ato kanë të drejtë të ankohen në rrugë administrative pranë </w:t>
      </w:r>
      <w:proofErr w:type="spellStart"/>
      <w:r w:rsidRPr="001666B9">
        <w:rPr>
          <w:rFonts w:ascii="Garamond" w:hAnsi="Garamond" w:cs="Times New Roman"/>
          <w:color w:val="000000"/>
          <w:sz w:val="24"/>
          <w:szCs w:val="24"/>
        </w:rPr>
        <w:t>Komisionerit</w:t>
      </w:r>
      <w:proofErr w:type="spellEnd"/>
      <w:r w:rsidRPr="001666B9">
        <w:rPr>
          <w:rFonts w:ascii="Garamond" w:hAnsi="Garamond" w:cs="Times New Roman"/>
          <w:color w:val="000000"/>
          <w:sz w:val="24"/>
          <w:szCs w:val="24"/>
        </w:rPr>
        <w:t xml:space="preserve"> për të Drejtën e Informimit dhe Mbrojtjen e të Dhënave Personale në përputhje me këtë ligj dhe Kodin e Procedurave Administrative.</w:t>
      </w:r>
    </w:p>
    <w:p w14:paraId="748FB2E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 2. Ankimi administrativ pranë </w:t>
      </w:r>
      <w:proofErr w:type="spellStart"/>
      <w:r w:rsidRPr="001666B9">
        <w:rPr>
          <w:rFonts w:ascii="Garamond" w:hAnsi="Garamond" w:cs="Times New Roman"/>
          <w:color w:val="000000"/>
          <w:sz w:val="24"/>
          <w:szCs w:val="24"/>
        </w:rPr>
        <w:t>Komisionerit</w:t>
      </w:r>
      <w:proofErr w:type="spellEnd"/>
      <w:r w:rsidRPr="001666B9">
        <w:rPr>
          <w:rFonts w:ascii="Garamond" w:hAnsi="Garamond" w:cs="Times New Roman"/>
          <w:color w:val="000000"/>
          <w:sz w:val="24"/>
          <w:szCs w:val="24"/>
        </w:rPr>
        <w:t xml:space="preserve"> për të Drejtën e Informimit dhe Mbrojtjen e të Dhënave Personale bëhet brenda 30 ditësh pune nga dita kur: </w:t>
      </w:r>
    </w:p>
    <w:p w14:paraId="748FB2E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a) ankuesi ka marrë njoftim për refuzimin e ripërdorimit të dokumenteve; </w:t>
      </w:r>
    </w:p>
    <w:p w14:paraId="748FB2E8"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b) ka kaluar afati i parashikuar në këtë ligj për dhënien e dokumentit për ripërdorim. </w:t>
      </w:r>
    </w:p>
    <w:p w14:paraId="748FB2E9"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3. </w:t>
      </w:r>
      <w:proofErr w:type="spellStart"/>
      <w:r w:rsidRPr="001666B9">
        <w:rPr>
          <w:rFonts w:ascii="Garamond" w:hAnsi="Garamond" w:cs="Times New Roman"/>
          <w:color w:val="000000"/>
          <w:sz w:val="24"/>
          <w:szCs w:val="24"/>
        </w:rPr>
        <w:t>Komisioneri</w:t>
      </w:r>
      <w:proofErr w:type="spellEnd"/>
      <w:r w:rsidRPr="001666B9">
        <w:rPr>
          <w:rFonts w:ascii="Garamond" w:hAnsi="Garamond" w:cs="Times New Roman"/>
          <w:color w:val="000000"/>
          <w:sz w:val="24"/>
          <w:szCs w:val="24"/>
        </w:rPr>
        <w:t xml:space="preserve"> për të Drejtën e Informimit dhe Mbrojtjen e të Dhënave Personale brenda 30 ditësh pune nga dita kur është dorëzuar ankimi vendos: </w:t>
      </w:r>
    </w:p>
    <w:p w14:paraId="748FB2EA"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a) mospranimin e ankesës kur: </w:t>
      </w:r>
    </w:p>
    <w:p w14:paraId="748FB2E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i. ka kaluar afati i parashikuar në pikën 2 të këtij neni;</w:t>
      </w:r>
    </w:p>
    <w:p w14:paraId="748FB2EC"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666B9">
        <w:rPr>
          <w:rFonts w:ascii="Garamond" w:hAnsi="Garamond" w:cs="Times New Roman"/>
          <w:color w:val="000000"/>
          <w:sz w:val="24"/>
          <w:szCs w:val="24"/>
        </w:rPr>
        <w:t>ii</w:t>
      </w:r>
      <w:proofErr w:type="spellEnd"/>
      <w:r w:rsidRPr="001666B9">
        <w:rPr>
          <w:rFonts w:ascii="Garamond" w:hAnsi="Garamond" w:cs="Times New Roman"/>
          <w:color w:val="000000"/>
          <w:sz w:val="24"/>
          <w:szCs w:val="24"/>
        </w:rPr>
        <w:t xml:space="preserve">. ankimi nuk paraqitet në formë shkresore; </w:t>
      </w:r>
    </w:p>
    <w:p w14:paraId="748FB2ED"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1666B9">
        <w:rPr>
          <w:rFonts w:ascii="Garamond" w:hAnsi="Garamond" w:cs="Times New Roman"/>
          <w:color w:val="000000"/>
          <w:sz w:val="24"/>
          <w:szCs w:val="24"/>
        </w:rPr>
        <w:t>iii</w:t>
      </w:r>
      <w:proofErr w:type="spellEnd"/>
      <w:r w:rsidRPr="001666B9">
        <w:rPr>
          <w:rFonts w:ascii="Garamond" w:hAnsi="Garamond" w:cs="Times New Roman"/>
          <w:color w:val="000000"/>
          <w:sz w:val="24"/>
          <w:szCs w:val="24"/>
        </w:rPr>
        <w:t>.</w:t>
      </w:r>
      <w:r w:rsidR="00866B8D" w:rsidRPr="001666B9">
        <w:rPr>
          <w:rFonts w:ascii="Garamond" w:hAnsi="Garamond" w:cs="Times New Roman"/>
          <w:color w:val="000000"/>
          <w:sz w:val="24"/>
          <w:szCs w:val="24"/>
        </w:rPr>
        <w:t xml:space="preserve"> </w:t>
      </w:r>
      <w:r w:rsidRPr="001666B9">
        <w:rPr>
          <w:rFonts w:ascii="Garamond" w:hAnsi="Garamond" w:cs="Times New Roman"/>
          <w:color w:val="000000"/>
          <w:sz w:val="24"/>
          <w:szCs w:val="24"/>
        </w:rPr>
        <w:t>nuk tregohet emri dhe adresa e ankuesit.</w:t>
      </w:r>
    </w:p>
    <w:p w14:paraId="748FB2EE"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b) pranimin e ankesës dhe urdhërimin e organit të sektorit publik ose të sipërmarrjes publike për të vënë në dispozicion dokumentin e kërkuar për ripërdorim në mënyrë të plotë ose të pjesshme; </w:t>
      </w:r>
    </w:p>
    <w:p w14:paraId="748FB2EF"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c) rrëzimin e ankesës, pjesërisht ose tërësisht; </w:t>
      </w:r>
    </w:p>
    <w:p w14:paraId="748FB2F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ç) afatin brenda të cilit organi i sektorit publik ose sipërmarrja publike duhet të zbatojë urdhrin. </w:t>
      </w:r>
    </w:p>
    <w:p w14:paraId="748FB2F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4. Në qoftë se </w:t>
      </w:r>
      <w:proofErr w:type="spellStart"/>
      <w:r w:rsidRPr="001666B9">
        <w:rPr>
          <w:rFonts w:ascii="Garamond" w:hAnsi="Garamond" w:cs="Times New Roman"/>
          <w:color w:val="000000"/>
          <w:sz w:val="24"/>
          <w:szCs w:val="24"/>
        </w:rPr>
        <w:t>Komisioneri</w:t>
      </w:r>
      <w:proofErr w:type="spellEnd"/>
      <w:r w:rsidRPr="001666B9">
        <w:rPr>
          <w:rFonts w:ascii="Garamond" w:hAnsi="Garamond" w:cs="Times New Roman"/>
          <w:color w:val="000000"/>
          <w:sz w:val="24"/>
          <w:szCs w:val="24"/>
        </w:rPr>
        <w:t xml:space="preserve"> për të Drejtën e Informimit dhe Mbrojtjen e të Dhënave Personale nuk merr vendim përpara mbarimit të afatit të parashikuar në pikën 3 të këtij neni, ankuesit i lind e drejta për t’iu drejtuar gjykatës.</w:t>
      </w:r>
    </w:p>
    <w:p w14:paraId="748FB2F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F3"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21</w:t>
      </w:r>
    </w:p>
    <w:p w14:paraId="748FB2F4"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Ankimi në gjykatë</w:t>
      </w:r>
    </w:p>
    <w:p w14:paraId="748FB2F5"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F6"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 xml:space="preserve">Të gjitha palët e prekura nga vendimi i </w:t>
      </w:r>
      <w:proofErr w:type="spellStart"/>
      <w:r w:rsidRPr="001666B9">
        <w:rPr>
          <w:rFonts w:ascii="Garamond" w:hAnsi="Garamond" w:cs="Times New Roman"/>
          <w:color w:val="000000"/>
          <w:sz w:val="24"/>
          <w:szCs w:val="24"/>
        </w:rPr>
        <w:t>Komisionerit</w:t>
      </w:r>
      <w:proofErr w:type="spellEnd"/>
      <w:r w:rsidRPr="001666B9">
        <w:rPr>
          <w:rFonts w:ascii="Garamond" w:hAnsi="Garamond" w:cs="Times New Roman"/>
          <w:color w:val="000000"/>
          <w:sz w:val="24"/>
          <w:szCs w:val="24"/>
        </w:rPr>
        <w:t xml:space="preserve"> për të Drejtën e Informimit dhe Mbrojtjen e të Dhënave Personale kanë të drejtën të </w:t>
      </w:r>
      <w:proofErr w:type="spellStart"/>
      <w:r w:rsidRPr="001666B9">
        <w:rPr>
          <w:rFonts w:ascii="Garamond" w:hAnsi="Garamond" w:cs="Times New Roman"/>
          <w:color w:val="000000"/>
          <w:sz w:val="24"/>
          <w:szCs w:val="24"/>
        </w:rPr>
        <w:t>ankimojnë</w:t>
      </w:r>
      <w:proofErr w:type="spellEnd"/>
      <w:r w:rsidRPr="001666B9">
        <w:rPr>
          <w:rFonts w:ascii="Garamond" w:hAnsi="Garamond" w:cs="Times New Roman"/>
          <w:color w:val="000000"/>
          <w:sz w:val="24"/>
          <w:szCs w:val="24"/>
        </w:rPr>
        <w:t xml:space="preserve"> këtë vendim në gjykatën administrative të shkallës së parë Tiranë. </w:t>
      </w:r>
    </w:p>
    <w:p w14:paraId="748FB2F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2F8"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22</w:t>
      </w:r>
    </w:p>
    <w:p w14:paraId="748FB2F9"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sz w:val="24"/>
          <w:szCs w:val="24"/>
        </w:rPr>
      </w:pPr>
      <w:r w:rsidRPr="001666B9">
        <w:rPr>
          <w:rFonts w:ascii="Garamond" w:hAnsi="Garamond" w:cs="Times New Roman"/>
          <w:b/>
          <w:bCs/>
          <w:color w:val="000000"/>
          <w:sz w:val="24"/>
          <w:szCs w:val="24"/>
        </w:rPr>
        <w:t>Nxjerrja e akteve nënligjore</w:t>
      </w:r>
    </w:p>
    <w:p w14:paraId="748FB2FA"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sz w:val="24"/>
          <w:szCs w:val="24"/>
        </w:rPr>
      </w:pPr>
    </w:p>
    <w:p w14:paraId="748FB2FB"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1. Ngarkohet Këshilli i Ministrave që brenda 6 muajve nga data e hyrjes në fuqi e këtij ligji të nxjerrë aktet nënligjore në zbatim të nenit 10, pika 5; nenit 12, pika 2; nenit 16, pika 2, nenit 17, pika 4, të ligjit.</w:t>
      </w:r>
    </w:p>
    <w:p w14:paraId="748FB2FC" w14:textId="397AD130" w:rsidR="00655A47" w:rsidRPr="001666B9" w:rsidRDefault="00655A47" w:rsidP="00655A47">
      <w:pPr>
        <w:autoSpaceDE w:val="0"/>
        <w:autoSpaceDN w:val="0"/>
        <w:adjustRightInd w:val="0"/>
        <w:spacing w:after="0" w:line="240" w:lineRule="auto"/>
        <w:ind w:firstLine="284"/>
        <w:jc w:val="both"/>
        <w:rPr>
          <w:rFonts w:ascii="Garamond" w:hAnsi="Garamond" w:cs="Times New Roman"/>
          <w:sz w:val="24"/>
          <w:szCs w:val="24"/>
        </w:rPr>
      </w:pPr>
      <w:r w:rsidRPr="001666B9">
        <w:rPr>
          <w:rFonts w:ascii="Garamond" w:hAnsi="Garamond" w:cs="Times New Roman"/>
          <w:sz w:val="24"/>
          <w:szCs w:val="24"/>
        </w:rPr>
        <w:t xml:space="preserve">2. Ngarkohet ministri përgjegjës dhe </w:t>
      </w:r>
      <w:proofErr w:type="spellStart"/>
      <w:r w:rsidRPr="001666B9">
        <w:rPr>
          <w:rFonts w:ascii="Garamond" w:hAnsi="Garamond" w:cs="Times New Roman"/>
          <w:sz w:val="24"/>
          <w:szCs w:val="24"/>
        </w:rPr>
        <w:t>Komisioneri</w:t>
      </w:r>
      <w:proofErr w:type="spellEnd"/>
      <w:r w:rsidRPr="001666B9">
        <w:rPr>
          <w:rFonts w:ascii="Garamond" w:hAnsi="Garamond" w:cs="Times New Roman"/>
          <w:sz w:val="24"/>
          <w:szCs w:val="24"/>
        </w:rPr>
        <w:t xml:space="preserve"> për të Drejtën e Informimit dhe Mbrojtjen e të Dhënave Personale që brenda 6 muajve nga hyrja në fuqi e këtij ligji të nxjerrin</w:t>
      </w:r>
      <w:r w:rsidR="001666B9" w:rsidRPr="001666B9">
        <w:rPr>
          <w:rFonts w:ascii="Garamond" w:hAnsi="Garamond" w:cs="Times New Roman"/>
          <w:sz w:val="24"/>
          <w:szCs w:val="24"/>
        </w:rPr>
        <w:t xml:space="preserve"> </w:t>
      </w:r>
      <w:r w:rsidRPr="001666B9">
        <w:rPr>
          <w:rFonts w:ascii="Garamond" w:hAnsi="Garamond" w:cs="Times New Roman"/>
          <w:sz w:val="24"/>
          <w:szCs w:val="24"/>
        </w:rPr>
        <w:t>aktin nënligjor në zbatim nenit 11,</w:t>
      </w:r>
      <w:r w:rsidR="001666B9" w:rsidRPr="001666B9">
        <w:rPr>
          <w:rFonts w:ascii="Garamond" w:hAnsi="Garamond" w:cs="Times New Roman"/>
          <w:sz w:val="24"/>
          <w:szCs w:val="24"/>
        </w:rPr>
        <w:t xml:space="preserve"> </w:t>
      </w:r>
      <w:r w:rsidRPr="001666B9">
        <w:rPr>
          <w:rFonts w:ascii="Garamond" w:hAnsi="Garamond" w:cs="Times New Roman"/>
          <w:sz w:val="24"/>
          <w:szCs w:val="24"/>
        </w:rPr>
        <w:t>pika 2, të ligjit.</w:t>
      </w:r>
    </w:p>
    <w:p w14:paraId="748FB2FD"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p>
    <w:p w14:paraId="748FB2FE"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color w:val="000000"/>
          <w:sz w:val="24"/>
          <w:szCs w:val="24"/>
        </w:rPr>
      </w:pPr>
      <w:r w:rsidRPr="001666B9">
        <w:rPr>
          <w:rFonts w:ascii="Garamond" w:hAnsi="Garamond" w:cs="Times New Roman"/>
          <w:color w:val="000000"/>
          <w:sz w:val="24"/>
          <w:szCs w:val="24"/>
        </w:rPr>
        <w:t>Neni 23</w:t>
      </w:r>
    </w:p>
    <w:p w14:paraId="748FB2FF" w14:textId="77777777" w:rsidR="00655A47" w:rsidRPr="001666B9" w:rsidRDefault="00655A47" w:rsidP="00655A47">
      <w:pPr>
        <w:autoSpaceDE w:val="0"/>
        <w:autoSpaceDN w:val="0"/>
        <w:adjustRightInd w:val="0"/>
        <w:spacing w:after="0" w:line="240" w:lineRule="auto"/>
        <w:ind w:firstLine="284"/>
        <w:jc w:val="center"/>
        <w:rPr>
          <w:rFonts w:ascii="Garamond" w:hAnsi="Garamond" w:cs="Times New Roman"/>
          <w:b/>
          <w:bCs/>
          <w:color w:val="000000"/>
          <w:sz w:val="24"/>
          <w:szCs w:val="24"/>
        </w:rPr>
      </w:pPr>
      <w:r w:rsidRPr="001666B9">
        <w:rPr>
          <w:rFonts w:ascii="Garamond" w:hAnsi="Garamond" w:cs="Times New Roman"/>
          <w:b/>
          <w:bCs/>
          <w:color w:val="000000"/>
          <w:sz w:val="24"/>
          <w:szCs w:val="24"/>
        </w:rPr>
        <w:t>Hyrja në fuqi</w:t>
      </w:r>
    </w:p>
    <w:p w14:paraId="748FB300"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301"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Ky ligj hyn në fuqi 1 vit pas botimit në Fletoren Zyrtare.</w:t>
      </w:r>
    </w:p>
    <w:p w14:paraId="748FB302"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303" w14:textId="77777777" w:rsidR="00655A47" w:rsidRPr="001666B9" w:rsidRDefault="00655A47" w:rsidP="00655A47">
      <w:pPr>
        <w:autoSpaceDE w:val="0"/>
        <w:autoSpaceDN w:val="0"/>
        <w:adjustRightInd w:val="0"/>
        <w:spacing w:after="0" w:line="240" w:lineRule="auto"/>
        <w:ind w:firstLine="284"/>
        <w:jc w:val="right"/>
        <w:rPr>
          <w:rFonts w:ascii="Garamond" w:hAnsi="Garamond" w:cs="Times New Roman"/>
          <w:color w:val="000000"/>
          <w:sz w:val="24"/>
          <w:szCs w:val="24"/>
        </w:rPr>
      </w:pPr>
      <w:r w:rsidRPr="001666B9">
        <w:rPr>
          <w:rFonts w:ascii="Garamond" w:hAnsi="Garamond" w:cs="Times New Roman"/>
          <w:color w:val="000000"/>
          <w:sz w:val="24"/>
          <w:szCs w:val="24"/>
        </w:rPr>
        <w:t>ZËVENDËSKRYETARE</w:t>
      </w:r>
    </w:p>
    <w:p w14:paraId="748FB304" w14:textId="77777777" w:rsidR="00655A47" w:rsidRPr="001666B9" w:rsidRDefault="00655A47" w:rsidP="00655A47">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1666B9">
        <w:rPr>
          <w:rFonts w:ascii="Garamond" w:hAnsi="Garamond" w:cs="Times New Roman"/>
          <w:b/>
          <w:bCs/>
          <w:color w:val="000000"/>
          <w:sz w:val="24"/>
          <w:szCs w:val="24"/>
        </w:rPr>
        <w:t>Ermonela</w:t>
      </w:r>
      <w:proofErr w:type="spellEnd"/>
      <w:r w:rsidRPr="001666B9">
        <w:rPr>
          <w:rFonts w:ascii="Garamond" w:hAnsi="Garamond" w:cs="Times New Roman"/>
          <w:b/>
          <w:bCs/>
          <w:color w:val="000000"/>
          <w:sz w:val="24"/>
          <w:szCs w:val="24"/>
        </w:rPr>
        <w:t xml:space="preserve"> </w:t>
      </w:r>
      <w:proofErr w:type="spellStart"/>
      <w:r w:rsidRPr="001666B9">
        <w:rPr>
          <w:rFonts w:ascii="Garamond" w:hAnsi="Garamond" w:cs="Times New Roman"/>
          <w:b/>
          <w:bCs/>
          <w:color w:val="000000"/>
          <w:sz w:val="24"/>
          <w:szCs w:val="24"/>
        </w:rPr>
        <w:t>Felaj</w:t>
      </w:r>
      <w:proofErr w:type="spellEnd"/>
      <w:r w:rsidRPr="001666B9">
        <w:rPr>
          <w:rFonts w:ascii="Garamond" w:hAnsi="Garamond" w:cs="Times New Roman"/>
          <w:b/>
          <w:bCs/>
          <w:color w:val="000000"/>
          <w:sz w:val="24"/>
          <w:szCs w:val="24"/>
        </w:rPr>
        <w:t xml:space="preserve"> (</w:t>
      </w:r>
      <w:proofErr w:type="spellStart"/>
      <w:r w:rsidRPr="001666B9">
        <w:rPr>
          <w:rFonts w:ascii="Garamond" w:hAnsi="Garamond" w:cs="Times New Roman"/>
          <w:b/>
          <w:bCs/>
          <w:color w:val="000000"/>
          <w:sz w:val="24"/>
          <w:szCs w:val="24"/>
        </w:rPr>
        <w:t>Valikaj</w:t>
      </w:r>
      <w:proofErr w:type="spellEnd"/>
      <w:r w:rsidRPr="001666B9">
        <w:rPr>
          <w:rFonts w:ascii="Garamond" w:hAnsi="Garamond" w:cs="Times New Roman"/>
          <w:b/>
          <w:bCs/>
          <w:color w:val="000000"/>
          <w:sz w:val="24"/>
          <w:szCs w:val="24"/>
        </w:rPr>
        <w:t>)</w:t>
      </w:r>
    </w:p>
    <w:p w14:paraId="748FB305" w14:textId="77777777" w:rsidR="00655A47" w:rsidRPr="001666B9" w:rsidRDefault="00655A47" w:rsidP="00655A47">
      <w:pPr>
        <w:autoSpaceDE w:val="0"/>
        <w:autoSpaceDN w:val="0"/>
        <w:adjustRightInd w:val="0"/>
        <w:spacing w:after="0" w:line="240" w:lineRule="auto"/>
        <w:ind w:firstLine="284"/>
        <w:jc w:val="right"/>
        <w:rPr>
          <w:rFonts w:ascii="Garamond" w:hAnsi="Garamond" w:cs="Times New Roman"/>
          <w:b/>
          <w:bCs/>
          <w:color w:val="000000"/>
          <w:sz w:val="24"/>
          <w:szCs w:val="24"/>
        </w:rPr>
      </w:pPr>
    </w:p>
    <w:p w14:paraId="748FB306" w14:textId="37CEE960"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r w:rsidRPr="001666B9">
        <w:rPr>
          <w:rFonts w:ascii="Garamond" w:hAnsi="Garamond" w:cs="Times New Roman"/>
          <w:color w:val="000000"/>
          <w:sz w:val="24"/>
          <w:szCs w:val="24"/>
        </w:rPr>
        <w:t>Miratuar në datën 31.3.2022</w:t>
      </w:r>
      <w:r w:rsidR="001666B9">
        <w:rPr>
          <w:rFonts w:ascii="Garamond" w:hAnsi="Garamond" w:cs="Times New Roman"/>
          <w:color w:val="000000"/>
          <w:sz w:val="24"/>
          <w:szCs w:val="24"/>
        </w:rPr>
        <w:t>.</w:t>
      </w:r>
      <w:bookmarkStart w:id="0" w:name="_GoBack"/>
      <w:bookmarkEnd w:id="0"/>
    </w:p>
    <w:p w14:paraId="748FB307" w14:textId="77777777" w:rsidR="00655A47" w:rsidRPr="001666B9" w:rsidRDefault="00655A47" w:rsidP="00655A47">
      <w:pPr>
        <w:autoSpaceDE w:val="0"/>
        <w:autoSpaceDN w:val="0"/>
        <w:adjustRightInd w:val="0"/>
        <w:spacing w:after="0" w:line="240" w:lineRule="auto"/>
        <w:ind w:firstLine="284"/>
        <w:jc w:val="both"/>
        <w:rPr>
          <w:rFonts w:ascii="Garamond" w:hAnsi="Garamond" w:cs="Times New Roman"/>
          <w:color w:val="000000"/>
          <w:sz w:val="24"/>
          <w:szCs w:val="24"/>
        </w:rPr>
      </w:pPr>
    </w:p>
    <w:p w14:paraId="748FB308" w14:textId="77777777" w:rsidR="00655A47" w:rsidRPr="001666B9" w:rsidRDefault="00655A47" w:rsidP="00655A47">
      <w:pPr>
        <w:autoSpaceDE w:val="0"/>
        <w:autoSpaceDN w:val="0"/>
        <w:adjustRightInd w:val="0"/>
        <w:spacing w:after="0" w:line="240" w:lineRule="auto"/>
        <w:ind w:firstLine="284"/>
        <w:rPr>
          <w:rFonts w:ascii="Garamond" w:hAnsi="Garamond" w:cs="Times New Roman"/>
          <w:i/>
          <w:iCs/>
          <w:color w:val="000000"/>
          <w:sz w:val="24"/>
          <w:szCs w:val="24"/>
        </w:rPr>
      </w:pPr>
      <w:r w:rsidRPr="001666B9">
        <w:rPr>
          <w:rFonts w:ascii="Garamond" w:hAnsi="Garamond" w:cs="Times New Roman"/>
          <w:color w:val="000000"/>
          <w:sz w:val="24"/>
          <w:szCs w:val="24"/>
        </w:rPr>
        <w:t xml:space="preserve"> </w:t>
      </w:r>
    </w:p>
    <w:p w14:paraId="748FB309" w14:textId="77777777" w:rsidR="00DE274E" w:rsidRPr="001666B9" w:rsidRDefault="00DE274E" w:rsidP="00655A47">
      <w:pPr>
        <w:spacing w:after="0" w:line="240" w:lineRule="auto"/>
        <w:ind w:firstLine="284"/>
        <w:rPr>
          <w:rFonts w:ascii="Garamond" w:hAnsi="Garamond"/>
          <w:sz w:val="24"/>
          <w:szCs w:val="24"/>
        </w:rPr>
      </w:pPr>
    </w:p>
    <w:sectPr w:rsidR="00DE274E" w:rsidRPr="001666B9" w:rsidSect="00E616F3">
      <w:footerReference w:type="default" r:id="rId1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8FB30C" w14:textId="77777777" w:rsidR="00EF60AE" w:rsidRDefault="00EF60AE" w:rsidP="00420682">
      <w:pPr>
        <w:spacing w:after="0" w:line="240" w:lineRule="auto"/>
      </w:pPr>
      <w:r>
        <w:separator/>
      </w:r>
    </w:p>
  </w:endnote>
  <w:endnote w:type="continuationSeparator" w:id="0">
    <w:p w14:paraId="748FB30D" w14:textId="77777777" w:rsidR="00EF60AE" w:rsidRDefault="00EF60AE" w:rsidP="00420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8FB30E" w14:textId="77777777" w:rsidR="00C50773" w:rsidRPr="008167E7" w:rsidRDefault="00C50773">
    <w:pPr>
      <w:pStyle w:val="Footer"/>
      <w:jc w:val="center"/>
      <w:rPr>
        <w:rFonts w:ascii="Times New Roman" w:hAnsi="Times New Roman" w:cs="Times New Roman"/>
        <w:sz w:val="24"/>
        <w:szCs w:val="24"/>
      </w:rPr>
    </w:pPr>
  </w:p>
  <w:p w14:paraId="748FB30F" w14:textId="77777777" w:rsidR="00C50773" w:rsidRDefault="00C507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8FB30A" w14:textId="77777777" w:rsidR="00EF60AE" w:rsidRDefault="00EF60AE" w:rsidP="00420682">
      <w:pPr>
        <w:spacing w:after="0" w:line="240" w:lineRule="auto"/>
      </w:pPr>
      <w:r>
        <w:separator/>
      </w:r>
    </w:p>
  </w:footnote>
  <w:footnote w:type="continuationSeparator" w:id="0">
    <w:p w14:paraId="748FB30B" w14:textId="77777777" w:rsidR="00EF60AE" w:rsidRDefault="00EF60AE" w:rsidP="00420682">
      <w:pPr>
        <w:spacing w:after="0" w:line="240" w:lineRule="auto"/>
      </w:pPr>
      <w:r>
        <w:continuationSeparator/>
      </w:r>
    </w:p>
  </w:footnote>
  <w:footnote w:id="1">
    <w:p w14:paraId="748FB310" w14:textId="15DF6FC1" w:rsidR="00655A47" w:rsidRPr="00655A47" w:rsidRDefault="00655A47" w:rsidP="00655A47">
      <w:pPr>
        <w:autoSpaceDE w:val="0"/>
        <w:autoSpaceDN w:val="0"/>
        <w:adjustRightInd w:val="0"/>
        <w:spacing w:after="0" w:line="240" w:lineRule="auto"/>
        <w:jc w:val="both"/>
        <w:rPr>
          <w:rFonts w:ascii="Garamond" w:hAnsi="Garamond" w:cs="Times New Roman"/>
          <w:i/>
          <w:iCs/>
          <w:color w:val="000000"/>
          <w:sz w:val="24"/>
          <w:szCs w:val="24"/>
        </w:rPr>
      </w:pPr>
      <w:r w:rsidRPr="00655A47">
        <w:rPr>
          <w:rStyle w:val="FootnoteReference"/>
          <w:rFonts w:ascii="Garamond" w:hAnsi="Garamond"/>
        </w:rPr>
        <w:footnoteRef/>
      </w:r>
      <w:r w:rsidRPr="00655A47">
        <w:rPr>
          <w:rFonts w:ascii="Garamond" w:hAnsi="Garamond"/>
        </w:rPr>
        <w:t xml:space="preserve"> </w:t>
      </w:r>
      <w:r w:rsidRPr="00655A47">
        <w:rPr>
          <w:rFonts w:ascii="Garamond" w:hAnsi="Garamond" w:cs="Times New Roman"/>
          <w:i/>
          <w:iCs/>
          <w:color w:val="000000"/>
          <w:sz w:val="24"/>
          <w:szCs w:val="24"/>
        </w:rPr>
        <w:t>Ky ligj është përafruar pjesërisht me:</w:t>
      </w:r>
      <w:r w:rsidR="001666B9">
        <w:rPr>
          <w:rFonts w:ascii="Garamond" w:hAnsi="Garamond" w:cs="Times New Roman"/>
          <w:i/>
          <w:iCs/>
          <w:color w:val="000000"/>
          <w:sz w:val="24"/>
          <w:szCs w:val="24"/>
        </w:rPr>
        <w:t xml:space="preserve"> </w:t>
      </w:r>
      <w:r w:rsidR="001666B9" w:rsidRPr="00655A47">
        <w:rPr>
          <w:rFonts w:ascii="Garamond" w:hAnsi="Garamond" w:cs="Times New Roman"/>
          <w:i/>
          <w:iCs/>
          <w:color w:val="000000"/>
          <w:sz w:val="24"/>
          <w:szCs w:val="24"/>
        </w:rPr>
        <w:t xml:space="preserve">direktivën </w:t>
      </w:r>
      <w:r w:rsidRPr="00655A47">
        <w:rPr>
          <w:rFonts w:ascii="Garamond" w:hAnsi="Garamond" w:cs="Times New Roman"/>
          <w:i/>
          <w:iCs/>
          <w:color w:val="000000"/>
          <w:sz w:val="24"/>
          <w:szCs w:val="24"/>
        </w:rPr>
        <w:t>(BE) 2019/1024</w:t>
      </w:r>
      <w:r w:rsidR="001666B9">
        <w:rPr>
          <w:rFonts w:ascii="Garamond" w:hAnsi="Garamond" w:cs="Times New Roman"/>
          <w:i/>
          <w:iCs/>
          <w:color w:val="000000"/>
          <w:sz w:val="24"/>
          <w:szCs w:val="24"/>
        </w:rPr>
        <w:t xml:space="preserve"> </w:t>
      </w:r>
      <w:r w:rsidRPr="00655A47">
        <w:rPr>
          <w:rFonts w:ascii="Garamond" w:hAnsi="Garamond" w:cs="Times New Roman"/>
          <w:i/>
          <w:iCs/>
          <w:color w:val="000000"/>
          <w:sz w:val="24"/>
          <w:szCs w:val="24"/>
        </w:rPr>
        <w:t xml:space="preserve">të Parlamentit </w:t>
      </w:r>
      <w:r w:rsidR="001666B9" w:rsidRPr="00655A47">
        <w:rPr>
          <w:rFonts w:ascii="Garamond" w:hAnsi="Garamond" w:cs="Times New Roman"/>
          <w:i/>
          <w:iCs/>
          <w:color w:val="000000"/>
          <w:sz w:val="24"/>
          <w:szCs w:val="24"/>
        </w:rPr>
        <w:t>Evropian</w:t>
      </w:r>
      <w:r w:rsidRPr="00655A47">
        <w:rPr>
          <w:rFonts w:ascii="Garamond" w:hAnsi="Garamond" w:cs="Times New Roman"/>
          <w:i/>
          <w:iCs/>
          <w:color w:val="000000"/>
          <w:sz w:val="24"/>
          <w:szCs w:val="24"/>
        </w:rPr>
        <w:t xml:space="preserve"> dhe të Këshillit, datë 20 qershor 2019</w:t>
      </w:r>
      <w:r w:rsidR="001666B9">
        <w:rPr>
          <w:rFonts w:ascii="Garamond" w:hAnsi="Garamond" w:cs="Times New Roman"/>
          <w:i/>
          <w:iCs/>
          <w:color w:val="000000"/>
          <w:sz w:val="24"/>
          <w:szCs w:val="24"/>
        </w:rPr>
        <w:t>,</w:t>
      </w:r>
      <w:r w:rsidRPr="00655A47">
        <w:rPr>
          <w:rFonts w:ascii="Garamond" w:hAnsi="Garamond" w:cs="Times New Roman"/>
          <w:i/>
          <w:iCs/>
          <w:color w:val="000000"/>
          <w:sz w:val="24"/>
          <w:szCs w:val="24"/>
        </w:rPr>
        <w:t xml:space="preserve"> “Për të dhënat e hapura dhe ripërdorimin e informacionit të sektorit publik”, </w:t>
      </w:r>
      <w:r w:rsidR="001666B9" w:rsidRPr="00655A47">
        <w:rPr>
          <w:rFonts w:ascii="Garamond" w:hAnsi="Garamond" w:cs="Times New Roman"/>
          <w:i/>
          <w:iCs/>
          <w:color w:val="000000"/>
          <w:sz w:val="24"/>
          <w:szCs w:val="24"/>
        </w:rPr>
        <w:t xml:space="preserve">numri </w:t>
      </w:r>
      <w:proofErr w:type="spellStart"/>
      <w:r w:rsidRPr="00655A47">
        <w:rPr>
          <w:rFonts w:ascii="Garamond" w:hAnsi="Garamond" w:cs="Times New Roman"/>
          <w:i/>
          <w:iCs/>
          <w:color w:val="000000"/>
          <w:sz w:val="24"/>
          <w:szCs w:val="24"/>
        </w:rPr>
        <w:t>CELEX</w:t>
      </w:r>
      <w:proofErr w:type="spellEnd"/>
      <w:r w:rsidRPr="00655A47">
        <w:rPr>
          <w:rFonts w:ascii="Garamond" w:hAnsi="Garamond" w:cs="Times New Roman"/>
          <w:i/>
          <w:iCs/>
          <w:color w:val="000000"/>
          <w:sz w:val="24"/>
          <w:szCs w:val="24"/>
        </w:rPr>
        <w:t xml:space="preserve"> </w:t>
      </w:r>
      <w:proofErr w:type="spellStart"/>
      <w:r w:rsidRPr="00655A47">
        <w:rPr>
          <w:rFonts w:ascii="Garamond" w:hAnsi="Garamond" w:cs="Times New Roman"/>
          <w:i/>
          <w:iCs/>
          <w:color w:val="000000"/>
          <w:sz w:val="24"/>
          <w:szCs w:val="24"/>
        </w:rPr>
        <w:t>32019L1024</w:t>
      </w:r>
      <w:proofErr w:type="spellEnd"/>
      <w:r w:rsidRPr="00655A47">
        <w:rPr>
          <w:rFonts w:ascii="Garamond" w:hAnsi="Garamond" w:cs="Times New Roman"/>
          <w:i/>
          <w:iCs/>
          <w:color w:val="000000"/>
          <w:sz w:val="24"/>
          <w:szCs w:val="24"/>
        </w:rPr>
        <w:t xml:space="preserve">, Fletorja Zyrtare e Bashkimit </w:t>
      </w:r>
      <w:r w:rsidR="001666B9" w:rsidRPr="00655A47">
        <w:rPr>
          <w:rFonts w:ascii="Garamond" w:hAnsi="Garamond" w:cs="Times New Roman"/>
          <w:i/>
          <w:iCs/>
          <w:color w:val="000000"/>
          <w:sz w:val="24"/>
          <w:szCs w:val="24"/>
        </w:rPr>
        <w:t>Evropian</w:t>
      </w:r>
      <w:r w:rsidRPr="00655A47">
        <w:rPr>
          <w:rFonts w:ascii="Garamond" w:hAnsi="Garamond" w:cs="Times New Roman"/>
          <w:i/>
          <w:iCs/>
          <w:color w:val="000000"/>
          <w:sz w:val="24"/>
          <w:szCs w:val="24"/>
        </w:rPr>
        <w:t xml:space="preserve">, </w:t>
      </w:r>
      <w:r w:rsidR="001666B9" w:rsidRPr="00655A47">
        <w:rPr>
          <w:rFonts w:ascii="Garamond" w:hAnsi="Garamond" w:cs="Times New Roman"/>
          <w:i/>
          <w:iCs/>
          <w:color w:val="000000"/>
          <w:sz w:val="24"/>
          <w:szCs w:val="24"/>
        </w:rPr>
        <w:t xml:space="preserve">seria </w:t>
      </w:r>
      <w:r w:rsidRPr="00655A47">
        <w:rPr>
          <w:rFonts w:ascii="Garamond" w:hAnsi="Garamond" w:cs="Times New Roman"/>
          <w:i/>
          <w:iCs/>
          <w:color w:val="000000"/>
          <w:sz w:val="24"/>
          <w:szCs w:val="24"/>
        </w:rPr>
        <w:t>L, nr.</w:t>
      </w:r>
      <w:r w:rsidR="001666B9">
        <w:rPr>
          <w:rFonts w:ascii="Garamond" w:hAnsi="Garamond" w:cs="Times New Roman"/>
          <w:i/>
          <w:iCs/>
          <w:color w:val="000000"/>
          <w:sz w:val="24"/>
          <w:szCs w:val="24"/>
        </w:rPr>
        <w:t xml:space="preserve"> 172, datë 26.6.2019, f. </w:t>
      </w:r>
      <w:r w:rsidRPr="00655A47">
        <w:rPr>
          <w:rFonts w:ascii="Garamond" w:hAnsi="Garamond" w:cs="Times New Roman"/>
          <w:i/>
          <w:iCs/>
          <w:color w:val="000000"/>
          <w:sz w:val="24"/>
          <w:szCs w:val="24"/>
        </w:rPr>
        <w:t>56</w:t>
      </w:r>
      <w:r w:rsidR="001666B9">
        <w:rPr>
          <w:rFonts w:ascii="Garamond" w:hAnsi="Garamond" w:cs="Times New Roman"/>
          <w:i/>
          <w:iCs/>
          <w:color w:val="000000"/>
          <w:sz w:val="24"/>
          <w:szCs w:val="24"/>
        </w:rPr>
        <w:t>–</w:t>
      </w:r>
      <w:r w:rsidRPr="00655A47">
        <w:rPr>
          <w:rFonts w:ascii="Garamond" w:hAnsi="Garamond" w:cs="Times New Roman"/>
          <w:i/>
          <w:iCs/>
          <w:color w:val="000000"/>
          <w:sz w:val="24"/>
          <w:szCs w:val="24"/>
        </w:rPr>
        <w:t>83.</w:t>
      </w:r>
    </w:p>
    <w:p w14:paraId="748FB311" w14:textId="77777777" w:rsidR="00655A47" w:rsidRPr="00655A47" w:rsidRDefault="00655A47" w:rsidP="00655A47">
      <w:pPr>
        <w:pStyle w:val="FootnoteText"/>
        <w:jc w:val="both"/>
        <w:rPr>
          <w:rFonts w:ascii="Garamond" w:hAnsi="Garamond"/>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34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63A9"/>
    <w:rsid w:val="00011EB5"/>
    <w:rsid w:val="000252A8"/>
    <w:rsid w:val="00043C57"/>
    <w:rsid w:val="000466EA"/>
    <w:rsid w:val="00055AB5"/>
    <w:rsid w:val="00060376"/>
    <w:rsid w:val="000765C2"/>
    <w:rsid w:val="00096985"/>
    <w:rsid w:val="000A3B4D"/>
    <w:rsid w:val="000B7DAB"/>
    <w:rsid w:val="000D199E"/>
    <w:rsid w:val="000D310B"/>
    <w:rsid w:val="000E5BA6"/>
    <w:rsid w:val="00106F6D"/>
    <w:rsid w:val="00121C86"/>
    <w:rsid w:val="0012550D"/>
    <w:rsid w:val="00135A36"/>
    <w:rsid w:val="00135CAB"/>
    <w:rsid w:val="00136F2E"/>
    <w:rsid w:val="00146D52"/>
    <w:rsid w:val="00153CC5"/>
    <w:rsid w:val="00155BCF"/>
    <w:rsid w:val="00165C77"/>
    <w:rsid w:val="001666B9"/>
    <w:rsid w:val="00166898"/>
    <w:rsid w:val="001816AF"/>
    <w:rsid w:val="001942D4"/>
    <w:rsid w:val="001B796E"/>
    <w:rsid w:val="001B7FF8"/>
    <w:rsid w:val="001C0806"/>
    <w:rsid w:val="001C445C"/>
    <w:rsid w:val="001C5CDE"/>
    <w:rsid w:val="001C6A0A"/>
    <w:rsid w:val="001C7EC0"/>
    <w:rsid w:val="001D2895"/>
    <w:rsid w:val="001D7E1E"/>
    <w:rsid w:val="001E02C6"/>
    <w:rsid w:val="001F194A"/>
    <w:rsid w:val="001F78C3"/>
    <w:rsid w:val="002009A1"/>
    <w:rsid w:val="0020160E"/>
    <w:rsid w:val="002016E5"/>
    <w:rsid w:val="0020170B"/>
    <w:rsid w:val="00203101"/>
    <w:rsid w:val="00204F42"/>
    <w:rsid w:val="0020507F"/>
    <w:rsid w:val="00213234"/>
    <w:rsid w:val="00214854"/>
    <w:rsid w:val="0021715D"/>
    <w:rsid w:val="00217977"/>
    <w:rsid w:val="00220C1F"/>
    <w:rsid w:val="00221516"/>
    <w:rsid w:val="00224329"/>
    <w:rsid w:val="00233280"/>
    <w:rsid w:val="0024206A"/>
    <w:rsid w:val="00243B60"/>
    <w:rsid w:val="00266C06"/>
    <w:rsid w:val="00274D2E"/>
    <w:rsid w:val="00283960"/>
    <w:rsid w:val="00285D76"/>
    <w:rsid w:val="002A47D7"/>
    <w:rsid w:val="002D492A"/>
    <w:rsid w:val="002E5105"/>
    <w:rsid w:val="002F5953"/>
    <w:rsid w:val="002F5F81"/>
    <w:rsid w:val="00343A15"/>
    <w:rsid w:val="0038331D"/>
    <w:rsid w:val="00383758"/>
    <w:rsid w:val="00395239"/>
    <w:rsid w:val="00397541"/>
    <w:rsid w:val="003A38DC"/>
    <w:rsid w:val="003A63A5"/>
    <w:rsid w:val="003C48FF"/>
    <w:rsid w:val="003E6C53"/>
    <w:rsid w:val="003F29A8"/>
    <w:rsid w:val="0041203B"/>
    <w:rsid w:val="0041300C"/>
    <w:rsid w:val="00417BE3"/>
    <w:rsid w:val="00420682"/>
    <w:rsid w:val="00433BCD"/>
    <w:rsid w:val="00445610"/>
    <w:rsid w:val="00455BBA"/>
    <w:rsid w:val="00460BC4"/>
    <w:rsid w:val="004647DB"/>
    <w:rsid w:val="00477804"/>
    <w:rsid w:val="004823CA"/>
    <w:rsid w:val="004A5884"/>
    <w:rsid w:val="004B12D2"/>
    <w:rsid w:val="004B6ED9"/>
    <w:rsid w:val="004C2DFD"/>
    <w:rsid w:val="004E7290"/>
    <w:rsid w:val="004E7E53"/>
    <w:rsid w:val="004F447A"/>
    <w:rsid w:val="004F7030"/>
    <w:rsid w:val="00514D7A"/>
    <w:rsid w:val="0051632B"/>
    <w:rsid w:val="005201B5"/>
    <w:rsid w:val="00522FFB"/>
    <w:rsid w:val="00531A97"/>
    <w:rsid w:val="00536B68"/>
    <w:rsid w:val="00537958"/>
    <w:rsid w:val="00542102"/>
    <w:rsid w:val="00550FA3"/>
    <w:rsid w:val="0055575B"/>
    <w:rsid w:val="005726F2"/>
    <w:rsid w:val="00573EE3"/>
    <w:rsid w:val="005767F6"/>
    <w:rsid w:val="0059248B"/>
    <w:rsid w:val="0059342C"/>
    <w:rsid w:val="005A1CCF"/>
    <w:rsid w:val="005B6E3F"/>
    <w:rsid w:val="005C5F30"/>
    <w:rsid w:val="005C6C3A"/>
    <w:rsid w:val="005F2324"/>
    <w:rsid w:val="005F27A9"/>
    <w:rsid w:val="0060535D"/>
    <w:rsid w:val="0062077A"/>
    <w:rsid w:val="00621A17"/>
    <w:rsid w:val="00643E9B"/>
    <w:rsid w:val="006465EF"/>
    <w:rsid w:val="00646924"/>
    <w:rsid w:val="00655A47"/>
    <w:rsid w:val="006615BE"/>
    <w:rsid w:val="00663243"/>
    <w:rsid w:val="006712AE"/>
    <w:rsid w:val="0067406E"/>
    <w:rsid w:val="00677E6C"/>
    <w:rsid w:val="006A4972"/>
    <w:rsid w:val="006B022A"/>
    <w:rsid w:val="006D3FD1"/>
    <w:rsid w:val="006F13FD"/>
    <w:rsid w:val="006F2B95"/>
    <w:rsid w:val="006F4D55"/>
    <w:rsid w:val="00703A51"/>
    <w:rsid w:val="00706926"/>
    <w:rsid w:val="00722FB1"/>
    <w:rsid w:val="00726525"/>
    <w:rsid w:val="00736DC8"/>
    <w:rsid w:val="007403CF"/>
    <w:rsid w:val="007456A8"/>
    <w:rsid w:val="007654B3"/>
    <w:rsid w:val="00770FAD"/>
    <w:rsid w:val="00774741"/>
    <w:rsid w:val="00795F3B"/>
    <w:rsid w:val="007A2E0E"/>
    <w:rsid w:val="007C083E"/>
    <w:rsid w:val="007C0CD3"/>
    <w:rsid w:val="007C6834"/>
    <w:rsid w:val="007D742E"/>
    <w:rsid w:val="007E2515"/>
    <w:rsid w:val="00800A45"/>
    <w:rsid w:val="00811138"/>
    <w:rsid w:val="008167E7"/>
    <w:rsid w:val="00837567"/>
    <w:rsid w:val="00840462"/>
    <w:rsid w:val="0085159C"/>
    <w:rsid w:val="0085472C"/>
    <w:rsid w:val="008620E4"/>
    <w:rsid w:val="0086360A"/>
    <w:rsid w:val="00866B8D"/>
    <w:rsid w:val="008720AB"/>
    <w:rsid w:val="00872343"/>
    <w:rsid w:val="0087264B"/>
    <w:rsid w:val="008914C1"/>
    <w:rsid w:val="00892C77"/>
    <w:rsid w:val="008A1646"/>
    <w:rsid w:val="008C15C7"/>
    <w:rsid w:val="008D12D7"/>
    <w:rsid w:val="00900D7B"/>
    <w:rsid w:val="0091014E"/>
    <w:rsid w:val="009104DF"/>
    <w:rsid w:val="00932539"/>
    <w:rsid w:val="00940333"/>
    <w:rsid w:val="00957A39"/>
    <w:rsid w:val="00970D95"/>
    <w:rsid w:val="00974717"/>
    <w:rsid w:val="00976A3C"/>
    <w:rsid w:val="00991D86"/>
    <w:rsid w:val="00995B6F"/>
    <w:rsid w:val="0099741A"/>
    <w:rsid w:val="009A6F98"/>
    <w:rsid w:val="009B0ED5"/>
    <w:rsid w:val="009E4373"/>
    <w:rsid w:val="00A06D12"/>
    <w:rsid w:val="00A10D0C"/>
    <w:rsid w:val="00A1292F"/>
    <w:rsid w:val="00A15DE9"/>
    <w:rsid w:val="00A27C1F"/>
    <w:rsid w:val="00A34D9D"/>
    <w:rsid w:val="00A431DD"/>
    <w:rsid w:val="00A444EF"/>
    <w:rsid w:val="00A63318"/>
    <w:rsid w:val="00A645A6"/>
    <w:rsid w:val="00A92FAF"/>
    <w:rsid w:val="00AA175A"/>
    <w:rsid w:val="00AA32E0"/>
    <w:rsid w:val="00AA6627"/>
    <w:rsid w:val="00AC2686"/>
    <w:rsid w:val="00AC3C21"/>
    <w:rsid w:val="00AF0CE9"/>
    <w:rsid w:val="00B03A16"/>
    <w:rsid w:val="00B46B49"/>
    <w:rsid w:val="00B54D96"/>
    <w:rsid w:val="00B6427E"/>
    <w:rsid w:val="00B67778"/>
    <w:rsid w:val="00B75CC4"/>
    <w:rsid w:val="00B8668D"/>
    <w:rsid w:val="00B9483A"/>
    <w:rsid w:val="00BA1706"/>
    <w:rsid w:val="00BA5571"/>
    <w:rsid w:val="00BB15C8"/>
    <w:rsid w:val="00BD4611"/>
    <w:rsid w:val="00BF175F"/>
    <w:rsid w:val="00BF4DDE"/>
    <w:rsid w:val="00C03CF4"/>
    <w:rsid w:val="00C10624"/>
    <w:rsid w:val="00C22AA1"/>
    <w:rsid w:val="00C4191B"/>
    <w:rsid w:val="00C446ED"/>
    <w:rsid w:val="00C46886"/>
    <w:rsid w:val="00C46A17"/>
    <w:rsid w:val="00C50773"/>
    <w:rsid w:val="00C5546D"/>
    <w:rsid w:val="00C60A6F"/>
    <w:rsid w:val="00C60CAD"/>
    <w:rsid w:val="00C6573D"/>
    <w:rsid w:val="00C751AA"/>
    <w:rsid w:val="00C90FD7"/>
    <w:rsid w:val="00C92C5B"/>
    <w:rsid w:val="00CA0828"/>
    <w:rsid w:val="00CB522C"/>
    <w:rsid w:val="00CC7CA2"/>
    <w:rsid w:val="00CD4A75"/>
    <w:rsid w:val="00CF07EC"/>
    <w:rsid w:val="00CF5B26"/>
    <w:rsid w:val="00D23C4B"/>
    <w:rsid w:val="00D45AC2"/>
    <w:rsid w:val="00D60C6B"/>
    <w:rsid w:val="00D80F20"/>
    <w:rsid w:val="00DA4CEE"/>
    <w:rsid w:val="00DA56D4"/>
    <w:rsid w:val="00DB6AFB"/>
    <w:rsid w:val="00DC03DB"/>
    <w:rsid w:val="00DC0BDC"/>
    <w:rsid w:val="00DD5C4D"/>
    <w:rsid w:val="00DE274E"/>
    <w:rsid w:val="00DF5184"/>
    <w:rsid w:val="00E00358"/>
    <w:rsid w:val="00E32B8C"/>
    <w:rsid w:val="00E370B3"/>
    <w:rsid w:val="00E43B3E"/>
    <w:rsid w:val="00E452DA"/>
    <w:rsid w:val="00E616F3"/>
    <w:rsid w:val="00E6234F"/>
    <w:rsid w:val="00E72BC5"/>
    <w:rsid w:val="00E76B9D"/>
    <w:rsid w:val="00E90CEA"/>
    <w:rsid w:val="00E94165"/>
    <w:rsid w:val="00EC55E7"/>
    <w:rsid w:val="00EC57E8"/>
    <w:rsid w:val="00EC5BC9"/>
    <w:rsid w:val="00ED3F27"/>
    <w:rsid w:val="00ED7A19"/>
    <w:rsid w:val="00EE30CA"/>
    <w:rsid w:val="00EE7E5D"/>
    <w:rsid w:val="00EF3342"/>
    <w:rsid w:val="00EF60AE"/>
    <w:rsid w:val="00F07F7F"/>
    <w:rsid w:val="00F234B6"/>
    <w:rsid w:val="00F47DC6"/>
    <w:rsid w:val="00F52125"/>
    <w:rsid w:val="00F537D2"/>
    <w:rsid w:val="00F56B34"/>
    <w:rsid w:val="00F630AC"/>
    <w:rsid w:val="00F66E47"/>
    <w:rsid w:val="00F76DB3"/>
    <w:rsid w:val="00F84F9C"/>
    <w:rsid w:val="00F9602B"/>
    <w:rsid w:val="00FA0571"/>
    <w:rsid w:val="00FB0000"/>
    <w:rsid w:val="00FB5CED"/>
    <w:rsid w:val="00FC484A"/>
    <w:rsid w:val="00FC631E"/>
    <w:rsid w:val="00FE0680"/>
    <w:rsid w:val="00FE32E6"/>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FB203"/>
  <w15:docId w15:val="{F352170B-FA2E-48BD-8ED7-488A5B221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816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67E7"/>
  </w:style>
  <w:style w:type="paragraph" w:styleId="Footer">
    <w:name w:val="footer"/>
    <w:basedOn w:val="Normal"/>
    <w:link w:val="FooterChar"/>
    <w:uiPriority w:val="99"/>
    <w:unhideWhenUsed/>
    <w:rsid w:val="00816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67E7"/>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TOC style"/>
    <w:basedOn w:val="Normal"/>
    <w:link w:val="ListParagraphChar"/>
    <w:qFormat/>
    <w:rsid w:val="00F66E47"/>
    <w:pPr>
      <w:spacing w:after="5" w:line="248" w:lineRule="auto"/>
      <w:ind w:left="720" w:right="3" w:hanging="10"/>
      <w:contextualSpacing/>
      <w:jc w:val="both"/>
    </w:pPr>
    <w:rPr>
      <w:rFonts w:ascii="Times New Roman" w:eastAsia="Times New Roman" w:hAnsi="Times New Roman" w:cs="Times New Roman"/>
      <w:color w:val="000000"/>
      <w:sz w:val="28"/>
      <w:lang w:val="en-US"/>
    </w:r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qFormat/>
    <w:locked/>
    <w:rsid w:val="00F66E47"/>
    <w:rPr>
      <w:rFonts w:ascii="Times New Roman" w:eastAsia="Times New Roman" w:hAnsi="Times New Roman" w:cs="Times New Roman"/>
      <w:color w:val="000000"/>
      <w:sz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AD603407E244002BFF2C9C42A949F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Nr_x002e__x0020_akti>
    <Data_x0020_e_x0020_Krijimit xmlns="0e656187-b300-4fb0-8bf4-3a50f872073c">2022-04-28T12:53:59Z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2022-04-27T22:00:00Z</Date_x0020_protokolli>
    <Titulli xmlns="0e656187-b300-4fb0-8bf4-3a50f872073c">Për të dhënat e hapura dhe ripërdorimin e informacionit të sektorit publik</Titulli>
    <Modifikuesi xmlns="0e656187-b300-4fb0-8bf4-3a50f872073c">nevila.samarxhi</Modifikuesi>
    <Nr_x002e__x0020_prot_x0020_QBZ xmlns="0e656187-b300-4fb0-8bf4-3a50f872073c">648/3</Nr_x002e__x0020_prot_x0020_QBZ>
    <Data_x0020_e_x0020_Modifikimit xmlns="0e656187-b300-4fb0-8bf4-3a50f872073c">2022-04-28T13:16:29Z</Data_x0020_e_x0020_Modifikimit>
    <Dekretuar xmlns="0e656187-b300-4fb0-8bf4-3a50f872073c">false</Dekretuar>
    <Data xmlns="0e656187-b300-4fb0-8bf4-3a50f872073c">2022-03-30T22:00:00Z</Data>
    <Nr_x002e__x0020_protokolli_x0020_i_x0020_aktit xmlns="0e656187-b300-4fb0-8bf4-3a50f872073c">1362/1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20752-AFF8-4AE9-B8BD-4950BA8036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F66754E-C6F0-41D0-89BE-DDFC6863F47A}">
  <ds:schemaRef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75579FB9-EFDB-4A10-BA86-CECDB7E48DDD}">
  <ds:schemaRefs>
    <ds:schemaRef ds:uri="http://schemas.microsoft.com/sharepoint/v3/contenttype/forms"/>
  </ds:schemaRefs>
</ds:datastoreItem>
</file>

<file path=customXml/itemProps4.xml><?xml version="1.0" encoding="utf-8"?>
<ds:datastoreItem xmlns:ds="http://schemas.openxmlformats.org/officeDocument/2006/customXml" ds:itemID="{01884472-6E72-4224-91B7-B79C9FAC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9</Pages>
  <Words>3769</Words>
  <Characters>21485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Alma Lisaku</cp:lastModifiedBy>
  <cp:revision>13</cp:revision>
  <cp:lastPrinted>2022-04-05T11:20:00Z</cp:lastPrinted>
  <dcterms:created xsi:type="dcterms:W3CDTF">2022-04-01T12:25:00Z</dcterms:created>
  <dcterms:modified xsi:type="dcterms:W3CDTF">2022-04-29T06:58:00Z</dcterms:modified>
</cp:coreProperties>
</file>