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3FB86"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LIGJ</w:t>
      </w:r>
    </w:p>
    <w:p w14:paraId="3923FB87"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Nr. 34/2022</w:t>
      </w:r>
    </w:p>
    <w:p w14:paraId="3923FB88"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89" w14:textId="61A4680C"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PËR PËRCAKTIMIN E PROCEDURËS SË VEÇANTË</w:t>
      </w:r>
      <w:r w:rsidR="00631883" w:rsidRPr="00631883">
        <w:rPr>
          <w:rFonts w:ascii="Garamond" w:hAnsi="Garamond" w:cs="Times New Roman"/>
          <w:b/>
          <w:bCs/>
          <w:sz w:val="24"/>
          <w:szCs w:val="24"/>
        </w:rPr>
        <w:t>,</w:t>
      </w:r>
      <w:r w:rsidRPr="00631883">
        <w:rPr>
          <w:rFonts w:ascii="Garamond" w:hAnsi="Garamond" w:cs="Times New Roman"/>
          <w:b/>
          <w:bCs/>
          <w:sz w:val="24"/>
          <w:szCs w:val="24"/>
        </w:rPr>
        <w:t xml:space="preserve"> PËR NEGOCIMIN</w:t>
      </w:r>
      <w:r w:rsidR="009722B9">
        <w:rPr>
          <w:rFonts w:ascii="Garamond" w:hAnsi="Garamond" w:cs="Times New Roman"/>
          <w:b/>
          <w:bCs/>
          <w:sz w:val="24"/>
          <w:szCs w:val="24"/>
        </w:rPr>
        <w:t xml:space="preserve"> </w:t>
      </w:r>
    </w:p>
    <w:p w14:paraId="3923FB8A" w14:textId="7B388845"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DHE ZBATIMIN E KONTRATËS ME SHOQËRINË “JONES GROUP INTERNATIONAL”</w:t>
      </w:r>
      <w:r w:rsidR="00631883" w:rsidRPr="00631883">
        <w:rPr>
          <w:rFonts w:ascii="Garamond" w:hAnsi="Garamond" w:cs="Times New Roman"/>
          <w:b/>
          <w:bCs/>
          <w:sz w:val="24"/>
          <w:szCs w:val="24"/>
        </w:rPr>
        <w:t>,</w:t>
      </w:r>
      <w:r w:rsidRPr="00631883">
        <w:rPr>
          <w:rFonts w:ascii="Garamond" w:hAnsi="Garamond" w:cs="Times New Roman"/>
          <w:b/>
          <w:bCs/>
          <w:sz w:val="24"/>
          <w:szCs w:val="24"/>
        </w:rPr>
        <w:t xml:space="preserve"> PËR FORCIMIN E SIGURISË KIBERNETIKE</w:t>
      </w:r>
    </w:p>
    <w:p w14:paraId="3923FB8B"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8C"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 xml:space="preserve">Në mbështetje të neneve 78 dhe 83, pikat 1 dhe 2, të Kushtetutës, me propozimin e Këshillit të Ministrave, </w:t>
      </w:r>
    </w:p>
    <w:p w14:paraId="3923FB8D"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8E"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KUVENDI</w:t>
      </w:r>
    </w:p>
    <w:p w14:paraId="3923FB8F"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I REPUBLIKËS SË SHQIPËRISË</w:t>
      </w:r>
    </w:p>
    <w:p w14:paraId="3923FB90"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p>
    <w:p w14:paraId="3923FB91"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VENDOSI:</w:t>
      </w:r>
    </w:p>
    <w:p w14:paraId="3923FB92"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93"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1</w:t>
      </w:r>
    </w:p>
    <w:p w14:paraId="3923FB94"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Qëllimi</w:t>
      </w:r>
    </w:p>
    <w:p w14:paraId="3923FB95"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96"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Qëllimi i këtij ligji është autorizimi dhe përcaktimi i procedurës së veçantë për negocimin, miratimin dhe zbatimin e kontratës me shoqërinë “Jones Group International” (në vijim “Jones Group”) ose një degë të tij, me qëllim forcimin e sigurisë kombëtare, rritjen e aftësisë dhe qëndrueshmërinë e sigurisë kibernetike në Republikën e Shqipërisë.</w:t>
      </w:r>
    </w:p>
    <w:p w14:paraId="3923FB97"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98"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2</w:t>
      </w:r>
    </w:p>
    <w:p w14:paraId="3923FB99"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Përmbajtja e kontratës</w:t>
      </w:r>
    </w:p>
    <w:p w14:paraId="3923FB9A"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9B" w14:textId="7850A98D"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w:t>
      </w:r>
      <w:r w:rsidR="00631883">
        <w:rPr>
          <w:rFonts w:ascii="Garamond" w:hAnsi="Garamond" w:cs="Times New Roman"/>
          <w:sz w:val="24"/>
          <w:szCs w:val="24"/>
        </w:rPr>
        <w:t xml:space="preserve"> </w:t>
      </w:r>
      <w:r w:rsidRPr="00631883">
        <w:rPr>
          <w:rFonts w:ascii="Garamond" w:hAnsi="Garamond" w:cs="Times New Roman"/>
          <w:sz w:val="24"/>
          <w:szCs w:val="24"/>
        </w:rPr>
        <w:t>Kontrata me “Jones Group” ndahet në tri pjesë</w:t>
      </w:r>
      <w:r w:rsidR="00631883">
        <w:rPr>
          <w:rFonts w:ascii="Garamond" w:hAnsi="Garamond" w:cs="Times New Roman"/>
          <w:sz w:val="24"/>
          <w:szCs w:val="24"/>
        </w:rPr>
        <w:t>,</w:t>
      </w:r>
      <w:r w:rsidRPr="00631883">
        <w:rPr>
          <w:rFonts w:ascii="Garamond" w:hAnsi="Garamond" w:cs="Times New Roman"/>
          <w:sz w:val="24"/>
          <w:szCs w:val="24"/>
        </w:rPr>
        <w:t xml:space="preserve"> si më poshtë:</w:t>
      </w:r>
    </w:p>
    <w:p w14:paraId="3923FB9C" w14:textId="49856DD9"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a)</w:t>
      </w:r>
      <w:r w:rsidR="00631883">
        <w:rPr>
          <w:rFonts w:ascii="Garamond" w:hAnsi="Garamond" w:cs="Times New Roman"/>
          <w:sz w:val="24"/>
          <w:szCs w:val="24"/>
        </w:rPr>
        <w:t xml:space="preserve"> </w:t>
      </w:r>
      <w:r w:rsidRPr="00631883">
        <w:rPr>
          <w:rFonts w:ascii="Garamond" w:hAnsi="Garamond" w:cs="Times New Roman"/>
          <w:sz w:val="24"/>
          <w:szCs w:val="24"/>
        </w:rPr>
        <w:t>pjesa e parë përfshin shërbimin e hartimit të të gjithë vlerësimit kibernetik dhe certifikimit të nevojshëm ISO dhe/ose SSH EN ISO, të domosdoshëm për aktivitetet e punës, si një propozim tek</w:t>
      </w:r>
      <w:r w:rsidR="00631883">
        <w:rPr>
          <w:rFonts w:ascii="Garamond" w:hAnsi="Garamond" w:cs="Times New Roman"/>
          <w:sz w:val="24"/>
          <w:szCs w:val="24"/>
        </w:rPr>
        <w:t>nik për autoritetin kontraktor;</w:t>
      </w:r>
      <w:r w:rsidRPr="00631883">
        <w:rPr>
          <w:rFonts w:ascii="Garamond" w:hAnsi="Garamond" w:cs="Times New Roman"/>
          <w:sz w:val="24"/>
          <w:szCs w:val="24"/>
        </w:rPr>
        <w:t xml:space="preserve"> </w:t>
      </w:r>
    </w:p>
    <w:p w14:paraId="3923FB9D"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b) pjesa e dytë përfshin:</w:t>
      </w:r>
    </w:p>
    <w:p w14:paraId="3923FB9E"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i. shërbimin e hartimit të planit të veprimit teknik të nevojshëm për zbatimin e gjetjeve dhe të rekomandimeve të miratuara për secilin institucion nga vlerësimet kibernetike;</w:t>
      </w:r>
    </w:p>
    <w:p w14:paraId="3923FB9F" w14:textId="3324AB1D"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ii. dorëzimin dhe/ose implementimin e infrastrukturës fizike, aplikimet software në përputhje me Agjencinë Kombëtare të Sho</w:t>
      </w:r>
      <w:r w:rsidR="00631883">
        <w:rPr>
          <w:rFonts w:ascii="Garamond" w:hAnsi="Garamond" w:cs="Times New Roman"/>
          <w:sz w:val="24"/>
          <w:szCs w:val="24"/>
        </w:rPr>
        <w:t>qërisë së Informacionit (AKSHI);</w:t>
      </w:r>
    </w:p>
    <w:p w14:paraId="3923FBA0" w14:textId="20C547DC"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c)</w:t>
      </w:r>
      <w:r w:rsidR="00631883">
        <w:rPr>
          <w:rFonts w:ascii="Garamond" w:hAnsi="Garamond" w:cs="Times New Roman"/>
          <w:sz w:val="24"/>
          <w:szCs w:val="24"/>
        </w:rPr>
        <w:t xml:space="preserve"> </w:t>
      </w:r>
      <w:r w:rsidRPr="00631883">
        <w:rPr>
          <w:rFonts w:ascii="Garamond" w:hAnsi="Garamond" w:cs="Times New Roman"/>
          <w:sz w:val="24"/>
          <w:szCs w:val="24"/>
        </w:rPr>
        <w:t>pjesa e tretë përfshin projektimin e përcaktimit teknik dhe asistencën teknike për krijimin, zhvillimin, zbatimin dhe funksionimin e Qendrës Shqiptare të Operacioneve të Sigurisë Kibernetike në përputhje me Agjencinë Kombëtare të Shoqërisë së Informacionit (AKSHI).</w:t>
      </w:r>
    </w:p>
    <w:p w14:paraId="3923FBA1" w14:textId="4B6291F9"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Për tri pjesët e sipërpërmendura “Jones Group”</w:t>
      </w:r>
      <w:r w:rsidR="009722B9">
        <w:rPr>
          <w:rFonts w:ascii="Garamond" w:hAnsi="Garamond" w:cs="Times New Roman"/>
          <w:sz w:val="24"/>
          <w:szCs w:val="24"/>
        </w:rPr>
        <w:t xml:space="preserve"> </w:t>
      </w:r>
      <w:r w:rsidRPr="00631883">
        <w:rPr>
          <w:rFonts w:ascii="Garamond" w:hAnsi="Garamond" w:cs="Times New Roman"/>
          <w:sz w:val="24"/>
          <w:szCs w:val="24"/>
        </w:rPr>
        <w:t>siguron dhe asiston Agjencinë Kombëtare të Shoqërisë së Informacionit si autoritetin</w:t>
      </w:r>
      <w:r w:rsidR="009722B9">
        <w:rPr>
          <w:rFonts w:ascii="Garamond" w:hAnsi="Garamond" w:cs="Times New Roman"/>
          <w:sz w:val="24"/>
          <w:szCs w:val="24"/>
        </w:rPr>
        <w:t xml:space="preserve"> </w:t>
      </w:r>
      <w:r w:rsidRPr="00631883">
        <w:rPr>
          <w:rFonts w:ascii="Garamond" w:hAnsi="Garamond" w:cs="Times New Roman"/>
          <w:sz w:val="24"/>
          <w:szCs w:val="24"/>
        </w:rPr>
        <w:t>kontraktor të Këshillit të Ministrave të Republikës së Shqipërisë me të gjithë informacionin/dokumentacionin teknik e ligjor.</w:t>
      </w:r>
    </w:p>
    <w:p w14:paraId="3923FBA2" w14:textId="1F86C923"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w:t>
      </w:r>
      <w:r w:rsidR="00631883">
        <w:rPr>
          <w:rFonts w:ascii="Garamond" w:hAnsi="Garamond" w:cs="Times New Roman"/>
          <w:sz w:val="24"/>
          <w:szCs w:val="24"/>
        </w:rPr>
        <w:t xml:space="preserve"> </w:t>
      </w:r>
      <w:r w:rsidRPr="00631883">
        <w:rPr>
          <w:rFonts w:ascii="Garamond" w:hAnsi="Garamond" w:cs="Times New Roman"/>
          <w:sz w:val="24"/>
          <w:szCs w:val="24"/>
        </w:rPr>
        <w:t>Kontrata e përcaktuar në pikën 1 përfshin minimalisht kryerjen e aktiviteteve të mëposhtme nga “Jones Group”:</w:t>
      </w:r>
    </w:p>
    <w:p w14:paraId="3923FBA3"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a) vlerësimet gjithëpërfshirëse kibernetike dhe të certifikatave ISO/IEC 27001 për çdo agjenci të qeverisjes civile dhe agjenci të mbrojtjes;</w:t>
      </w:r>
    </w:p>
    <w:p w14:paraId="3923FBA4"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b) hartimin e planeve të transformimit kibernetik për çdo agjenci, pasuar nga zbatimi i rekomandimeve të miratuara nga çdo plan transformimi;</w:t>
      </w:r>
    </w:p>
    <w:p w14:paraId="3923FBA5" w14:textId="604F99C3"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c) dhënien e ndihmës ndaj qeverisë shqiptare dhe agjencive të saj me trajnimin dhe ndërgjegjësimin përkatës për sigurinë kibernetike;</w:t>
      </w:r>
    </w:p>
    <w:p w14:paraId="3923FBA6" w14:textId="68CAA701"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lastRenderedPageBreak/>
        <w:t>ç)</w:t>
      </w:r>
      <w:r w:rsidR="00631883">
        <w:rPr>
          <w:rFonts w:ascii="Garamond" w:hAnsi="Garamond" w:cs="Times New Roman"/>
          <w:sz w:val="24"/>
          <w:szCs w:val="24"/>
        </w:rPr>
        <w:t xml:space="preserve"> </w:t>
      </w:r>
      <w:r w:rsidRPr="00631883">
        <w:rPr>
          <w:rFonts w:ascii="Garamond" w:hAnsi="Garamond" w:cs="Times New Roman"/>
          <w:sz w:val="24"/>
          <w:szCs w:val="24"/>
        </w:rPr>
        <w:t>dhënien e ndihmës ndaj qeverisë shqiptare për të krijuar, zhvilluar, zbatuar dhe drejtuar një Qendër Kombëtare të Operacioneve të Sigurisë Kibernetike (në vijim QKOSK) për qeverinë shqiptare dhe agjencitë e saj, përfshirë zhvillimin e teknologjisë dhe të ndërfaqeve të nevojshme;</w:t>
      </w:r>
    </w:p>
    <w:p w14:paraId="3923FBA7" w14:textId="4175B10C"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d)</w:t>
      </w:r>
      <w:r w:rsidR="00631883">
        <w:rPr>
          <w:rFonts w:ascii="Garamond" w:hAnsi="Garamond" w:cs="Times New Roman"/>
          <w:sz w:val="24"/>
          <w:szCs w:val="24"/>
        </w:rPr>
        <w:t xml:space="preserve"> </w:t>
      </w:r>
      <w:r w:rsidRPr="00631883">
        <w:rPr>
          <w:rFonts w:ascii="Garamond" w:hAnsi="Garamond" w:cs="Times New Roman"/>
          <w:sz w:val="24"/>
          <w:szCs w:val="24"/>
        </w:rPr>
        <w:t>sigurimin e ndihmës për ngritjen e Qendrës Shqiptare të Ekselencës për Sigurinë Kibernetike në Tiranë, në përputhje me Agjencinë Kombëtare të Shoqërisë së Informacionit (AKSHI); dhe</w:t>
      </w:r>
    </w:p>
    <w:p w14:paraId="3923FBA8" w14:textId="5B15F179"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dh)</w:t>
      </w:r>
      <w:r w:rsidR="00631883">
        <w:rPr>
          <w:rFonts w:ascii="Garamond" w:hAnsi="Garamond" w:cs="Times New Roman"/>
          <w:sz w:val="24"/>
          <w:szCs w:val="24"/>
        </w:rPr>
        <w:t xml:space="preserve"> </w:t>
      </w:r>
      <w:r w:rsidRPr="00631883">
        <w:rPr>
          <w:rFonts w:ascii="Garamond" w:hAnsi="Garamond" w:cs="Times New Roman"/>
          <w:sz w:val="24"/>
          <w:szCs w:val="24"/>
        </w:rPr>
        <w:t>dhënien e rekomandimeve për strukturën, organizimin dhe përgjegjësitë lidhur me sigurinë kibernetike brenda qeverisë shqiptare, QKOSK-ut dhe Qendrës Shqiptare të Ekselencës.</w:t>
      </w:r>
    </w:p>
    <w:p w14:paraId="3923FBA9"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Agjencia Kombëtare e Shoqërisë së Informacionit (AKSHI) ka të drejtën dhe detyrimin, sipas këtij ligji, të ndihmojë “Jones Group” me të gjitha të dhënat teknike dhe ligjore të nevojshme të sistemeve të përdorura nga agjencitë shtetërore, jo më vonë se 10 (dhjetë) ditë pas nënshkrimit të kontratës ndërmjet palëve.</w:t>
      </w:r>
    </w:p>
    <w:p w14:paraId="3923FBAA" w14:textId="1856A36F"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4. Ngarkohet Agjencia Kombëtare e Shoqërisë së Informacionit (AKSHI) për të kryer monitorimin e veprimtarive të aktiviteteve të përcaktuara në pikat 1, 2 dhe 3 të këtij neni, të paraqitura nga “Jones Group” dhe/ose nëpërmjet instit</w:t>
      </w:r>
      <w:r w:rsidR="00631883">
        <w:rPr>
          <w:rFonts w:ascii="Garamond" w:hAnsi="Garamond" w:cs="Times New Roman"/>
          <w:sz w:val="24"/>
          <w:szCs w:val="24"/>
        </w:rPr>
        <w:t>ucioneve përgjegjëse shqiptare.</w:t>
      </w:r>
    </w:p>
    <w:p w14:paraId="3923FBAB"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AC"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3</w:t>
      </w:r>
    </w:p>
    <w:p w14:paraId="3923FBAD"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Procedura para negociatave</w:t>
      </w:r>
    </w:p>
    <w:p w14:paraId="3923FBAE"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p>
    <w:p w14:paraId="3923FBAF"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Para fillimit të procedurës së negocimit, AKSHI informon “Jones Group” lidhur me të gjitha agjencitë shtetërore, fushëveprimin e tyre, sistemet e tyre në përdorim dhe sigurinë e tyre aktuale kibernetike.</w:t>
      </w:r>
    </w:p>
    <w:p w14:paraId="3923FBB0" w14:textId="57F26C2C"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Procedura e negocimit realizohet nga komisioni i negocimit, i cili</w:t>
      </w:r>
      <w:r w:rsidR="009722B9">
        <w:rPr>
          <w:rFonts w:ascii="Garamond" w:hAnsi="Garamond" w:cs="Times New Roman"/>
          <w:sz w:val="24"/>
          <w:szCs w:val="24"/>
        </w:rPr>
        <w:t xml:space="preserve"> </w:t>
      </w:r>
      <w:r w:rsidRPr="00631883">
        <w:rPr>
          <w:rFonts w:ascii="Garamond" w:hAnsi="Garamond" w:cs="Times New Roman"/>
          <w:sz w:val="24"/>
          <w:szCs w:val="24"/>
        </w:rPr>
        <w:t>përbëhet nga 7 (shtatë) anëtarë. Komisioni në përbërje të tij ka përfaqësues të institucioneve</w:t>
      </w:r>
      <w:r w:rsidR="00631883">
        <w:rPr>
          <w:rFonts w:ascii="Garamond" w:hAnsi="Garamond" w:cs="Times New Roman"/>
          <w:sz w:val="24"/>
          <w:szCs w:val="24"/>
        </w:rPr>
        <w:t>,</w:t>
      </w:r>
      <w:r w:rsidRPr="00631883">
        <w:rPr>
          <w:rFonts w:ascii="Garamond" w:hAnsi="Garamond" w:cs="Times New Roman"/>
          <w:sz w:val="24"/>
          <w:szCs w:val="24"/>
        </w:rPr>
        <w:t xml:space="preserve"> si më poshtë:</w:t>
      </w:r>
    </w:p>
    <w:p w14:paraId="3923FBB1"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a) një përfaqësues i ministrisë përgjegjëse për infrastrukturën dhe energjinë;</w:t>
      </w:r>
    </w:p>
    <w:p w14:paraId="3923FBB2"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b) një përfaqësues i ministrisë përgjegjëse për mbrojtjen;</w:t>
      </w:r>
    </w:p>
    <w:p w14:paraId="3923FBB3"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c) një përfaqësues i ministrisë përgjegjëse për rendin publik;</w:t>
      </w:r>
    </w:p>
    <w:p w14:paraId="3923FBB4"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ç) një përfaqësues i ministrisë përgjegjëse për financat dhe ekonominë;</w:t>
      </w:r>
    </w:p>
    <w:p w14:paraId="3923FBB5"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d) një përfaqësues i Avokaturës së Shtetit;</w:t>
      </w:r>
    </w:p>
    <w:p w14:paraId="3923FBB6"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dh) një përfaqësues nga Autoriteti Kombëtar i Certifikimit Elektronik dhe Sigurinë Kibernetike;</w:t>
      </w:r>
    </w:p>
    <w:p w14:paraId="3923FBB7"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e) një përfaqësues nga Drejtoria e Sigurimit të Informacionit të Klasifikuar.</w:t>
      </w:r>
    </w:p>
    <w:p w14:paraId="3923FBB8" w14:textId="700D5D6D"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Përfaqësuesit e institucioneve të përcaktuara në pikën 2</w:t>
      </w:r>
      <w:r w:rsidR="00631883">
        <w:rPr>
          <w:rFonts w:ascii="Garamond" w:hAnsi="Garamond" w:cs="Times New Roman"/>
          <w:sz w:val="24"/>
          <w:szCs w:val="24"/>
        </w:rPr>
        <w:t>,</w:t>
      </w:r>
      <w:r w:rsidR="009722B9">
        <w:rPr>
          <w:rFonts w:ascii="Garamond" w:hAnsi="Garamond" w:cs="Times New Roman"/>
          <w:sz w:val="24"/>
          <w:szCs w:val="24"/>
        </w:rPr>
        <w:t xml:space="preserve"> </w:t>
      </w:r>
      <w:r w:rsidRPr="00631883">
        <w:rPr>
          <w:rFonts w:ascii="Garamond" w:hAnsi="Garamond" w:cs="Times New Roman"/>
          <w:sz w:val="24"/>
          <w:szCs w:val="24"/>
        </w:rPr>
        <w:t>janë pjesë e kategorisë së nivelit të mesëm drejtues të pajisur me certifikatë sigurie sipas legjislacionit në fuqi.</w:t>
      </w:r>
    </w:p>
    <w:p w14:paraId="3923FBB9"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4. Institucionet e përcaktuara në pikën 2 kanë detyrimin të caktojnë përfaqësuesit e tyre në komisionin e negocimit brenda 5 (pesë) ditëve nga hyrja në fuqi e këtij ligji.</w:t>
      </w:r>
    </w:p>
    <w:p w14:paraId="3923FBBA"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5. Ngarkohet AKSHI të thërrasë mbledhjen e parë të komisionit të negocimit brenda 1 (një) muaji nga hyrja në fuqi e këtij ligji.</w:t>
      </w:r>
    </w:p>
    <w:p w14:paraId="3923FBBB"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BC"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4</w:t>
      </w:r>
    </w:p>
    <w:p w14:paraId="3923FBBD"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Detyrat dhe detyrimet e komisionit të negocimit</w:t>
      </w:r>
    </w:p>
    <w:p w14:paraId="3923FBBE"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BF" w14:textId="28A19D64"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Komisioni i negocimit fillon punën në mbledhjen e tij të parë duke verifikuar dërgimin e informacionit, i përcaktuar në pikën 1</w:t>
      </w:r>
      <w:r w:rsidR="00631883">
        <w:rPr>
          <w:rFonts w:ascii="Garamond" w:hAnsi="Garamond" w:cs="Times New Roman"/>
          <w:sz w:val="24"/>
          <w:szCs w:val="24"/>
        </w:rPr>
        <w:t>,</w:t>
      </w:r>
      <w:r w:rsidRPr="00631883">
        <w:rPr>
          <w:rFonts w:ascii="Garamond" w:hAnsi="Garamond" w:cs="Times New Roman"/>
          <w:sz w:val="24"/>
          <w:szCs w:val="24"/>
        </w:rPr>
        <w:t xml:space="preserve"> të nenit 3, nga AKSHI për “Jones Group”, në cilësinë e kontraktorit në lidhje me këtë ligj.</w:t>
      </w:r>
    </w:p>
    <w:p w14:paraId="3923FBC0" w14:textId="5B1FBBBA"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Komisioni i negocimit ka të drejtë të marrë të gjithë informacionin e nevojshëm nga AKSHI dhe kontraktori</w:t>
      </w:r>
      <w:r w:rsidR="00631883">
        <w:rPr>
          <w:rFonts w:ascii="Garamond" w:hAnsi="Garamond" w:cs="Times New Roman"/>
          <w:sz w:val="24"/>
          <w:szCs w:val="24"/>
        </w:rPr>
        <w:t>,</w:t>
      </w:r>
      <w:r w:rsidRPr="00631883">
        <w:rPr>
          <w:rFonts w:ascii="Garamond" w:hAnsi="Garamond" w:cs="Times New Roman"/>
          <w:sz w:val="24"/>
          <w:szCs w:val="24"/>
        </w:rPr>
        <w:t xml:space="preserve"> në lidhje me përmbushjen e detyrimeve të tyre sipas këtij ligji.</w:t>
      </w:r>
    </w:p>
    <w:p w14:paraId="3923FBC1" w14:textId="6B71BA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Procedura e negocimit për finalizimin e pjesës së parë dhe të tretë të kontratës kryhet nga AKSHI nëpërmjet grupit negociator</w:t>
      </w:r>
      <w:r w:rsidR="00631883">
        <w:rPr>
          <w:rFonts w:ascii="Garamond" w:hAnsi="Garamond" w:cs="Times New Roman"/>
          <w:sz w:val="24"/>
          <w:szCs w:val="24"/>
        </w:rPr>
        <w:t>,</w:t>
      </w:r>
      <w:r w:rsidRPr="00631883">
        <w:rPr>
          <w:rFonts w:ascii="Garamond" w:hAnsi="Garamond" w:cs="Times New Roman"/>
          <w:sz w:val="24"/>
          <w:szCs w:val="24"/>
        </w:rPr>
        <w:t xml:space="preserve"> dhe fillon brenda 5 (pesë) ditëve nga dita kur kontraktori do t’i paraqesë AKSHI-t propozimin zyrtar në lidhje me pjesën e parë dhe të tretë të kontratës.</w:t>
      </w:r>
    </w:p>
    <w:p w14:paraId="3923FBC2"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lastRenderedPageBreak/>
        <w:t>4. Ngarkohet komisioni i negocimit për të negociuar kushtet e kontratës, duke pasur parasysh interesin e përgjithshëm të qeverisë së Republikës së Shqipërisë në marrjen e shërbimit për rritjen e sigurisë kibernetike të agjencive shtetërore.</w:t>
      </w:r>
    </w:p>
    <w:p w14:paraId="3923FBC3" w14:textId="1F07FC0B"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5. Komisioni i negocimit asistohet nga një konsulent i përzgjedhur nga Avokatura e Shtetit, sipas procedurave të përcaktuara për këtë q</w:t>
      </w:r>
      <w:r w:rsidR="00631883">
        <w:rPr>
          <w:rFonts w:ascii="Garamond" w:hAnsi="Garamond" w:cs="Times New Roman"/>
          <w:sz w:val="24"/>
          <w:szCs w:val="24"/>
        </w:rPr>
        <w:t>ëllim për Avokaturën e Shtetit.</w:t>
      </w:r>
    </w:p>
    <w:p w14:paraId="3923FBC4"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C5"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5</w:t>
      </w:r>
    </w:p>
    <w:p w14:paraId="3923FBC6"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Procedura e negocimit</w:t>
      </w:r>
    </w:p>
    <w:p w14:paraId="3923FBC7"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C8"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Kontrata nënshkruhet nga AKSHI, në cilësinë e autoritetit kontraktor, si përfaqësues i qeverisë së Republikës së Shqipërisë.</w:t>
      </w:r>
    </w:p>
    <w:p w14:paraId="3923FBC9"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Propozimi zyrtar i “Jones Group” dorëzohet jo më vonë se 15 (pesëmbëdhjetë) ditë nga hyrja në fuqi e këtij ligji dhe pjesë e diskutimit të procedurës së negocimit është vetëm projekti i miratuar nga AKSHI.</w:t>
      </w:r>
    </w:p>
    <w:p w14:paraId="3923FBCA"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Përpara miratimit të projekteve, pjesë të propozimit zyrtar, AKSHI merr miratimin me shkrim të agjencive, brenda fushës ligjore të përgjegjësisë shtetërore, ku zhvillohen projektet, dhe vetëm pas këtij miratimi ia përcjell komisionit të negocimit për t’u bërë pjesë e kontratës.</w:t>
      </w:r>
    </w:p>
    <w:p w14:paraId="3923FBCB"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4. Komisioni i negocimit ka të drejtë të negociojë kushtet dhe kostot e kontratës, duke mbajtur në konsideratë studimin e tregut që do të kryejë lidhur me këtë procedurë dhe limitin e fondit që do të vihet në dispozicion për zbatimin e kësaj kontrate.</w:t>
      </w:r>
    </w:p>
    <w:p w14:paraId="3923FBCC" w14:textId="5B54FF76"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5. Palët negociojnë dhe bien dakord për kushtet e kontratës me</w:t>
      </w:r>
      <w:r w:rsidR="009722B9">
        <w:rPr>
          <w:rFonts w:ascii="Garamond" w:hAnsi="Garamond" w:cs="Times New Roman"/>
          <w:sz w:val="24"/>
          <w:szCs w:val="24"/>
        </w:rPr>
        <w:t xml:space="preserve"> </w:t>
      </w:r>
      <w:r w:rsidRPr="00631883">
        <w:rPr>
          <w:rFonts w:ascii="Garamond" w:hAnsi="Garamond" w:cs="Times New Roman"/>
          <w:sz w:val="24"/>
          <w:szCs w:val="24"/>
        </w:rPr>
        <w:t>“Jones Group”</w:t>
      </w:r>
      <w:r w:rsidR="00631883">
        <w:rPr>
          <w:rFonts w:ascii="Garamond" w:hAnsi="Garamond" w:cs="Times New Roman"/>
          <w:sz w:val="24"/>
          <w:szCs w:val="24"/>
        </w:rPr>
        <w:t>,</w:t>
      </w:r>
      <w:r w:rsidRPr="00631883">
        <w:rPr>
          <w:rFonts w:ascii="Garamond" w:hAnsi="Garamond" w:cs="Times New Roman"/>
          <w:sz w:val="24"/>
          <w:szCs w:val="24"/>
        </w:rPr>
        <w:t xml:space="preserve"> brenda 30 (tridhjetë) ditëve nga fillimi i periudhës së negociatave. Në rast se palët e finalizojnë kontratën brenda afatit të përcaktuar në këtë pikë ose afatit të zgjatur me marrëveshje të ndërsjellë, negociatat e kontratës konsiderohen të mbyllura </w:t>
      </w:r>
      <w:r w:rsidR="00631883">
        <w:rPr>
          <w:rFonts w:ascii="Garamond" w:hAnsi="Garamond" w:cs="Times New Roman"/>
          <w:sz w:val="24"/>
          <w:szCs w:val="24"/>
        </w:rPr>
        <w:t>pa asnjë kosto ndërmjet palëve.</w:t>
      </w:r>
    </w:p>
    <w:p w14:paraId="3923FBCD" w14:textId="66D94554"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6. Pjesë e kontratës është lista e projekteve të miratuara, të cilat zbatohen nga kontraktori nëpërmjet kontratës së posaçme të nënshkruar nga AKSHI dhe kontraktori, siç përmendet në pikën 3</w:t>
      </w:r>
      <w:r w:rsidR="00631883">
        <w:rPr>
          <w:rFonts w:ascii="Garamond" w:hAnsi="Garamond" w:cs="Times New Roman"/>
          <w:sz w:val="24"/>
          <w:szCs w:val="24"/>
        </w:rPr>
        <w:t>,</w:t>
      </w:r>
      <w:r w:rsidRPr="00631883">
        <w:rPr>
          <w:rFonts w:ascii="Garamond" w:hAnsi="Garamond" w:cs="Times New Roman"/>
          <w:sz w:val="24"/>
          <w:szCs w:val="24"/>
        </w:rPr>
        <w:t xml:space="preserve"> të nenit 6</w:t>
      </w:r>
      <w:r w:rsidR="009722B9">
        <w:rPr>
          <w:rFonts w:ascii="Garamond" w:hAnsi="Garamond" w:cs="Times New Roman"/>
          <w:sz w:val="24"/>
          <w:szCs w:val="24"/>
        </w:rPr>
        <w:t xml:space="preserve"> </w:t>
      </w:r>
      <w:r w:rsidRPr="00631883">
        <w:rPr>
          <w:rFonts w:ascii="Garamond" w:hAnsi="Garamond" w:cs="Times New Roman"/>
          <w:sz w:val="24"/>
          <w:szCs w:val="24"/>
        </w:rPr>
        <w:t>të këtij ligji.</w:t>
      </w:r>
    </w:p>
    <w:p w14:paraId="3923FBCE" w14:textId="77777777" w:rsidR="00E758C6" w:rsidRPr="00631883" w:rsidRDefault="00E758C6" w:rsidP="00E758C6">
      <w:pPr>
        <w:autoSpaceDE w:val="0"/>
        <w:autoSpaceDN w:val="0"/>
        <w:adjustRightInd w:val="0"/>
        <w:spacing w:after="0" w:line="240" w:lineRule="auto"/>
        <w:ind w:firstLine="284"/>
        <w:rPr>
          <w:rFonts w:ascii="Garamond" w:hAnsi="Garamond" w:cs="Times New Roman"/>
          <w:sz w:val="24"/>
          <w:szCs w:val="24"/>
        </w:rPr>
      </w:pPr>
    </w:p>
    <w:p w14:paraId="3923FBCF"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6</w:t>
      </w:r>
    </w:p>
    <w:p w14:paraId="3923FBD0"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Nënshkrimi dhe miratimi i kontratës</w:t>
      </w:r>
    </w:p>
    <w:p w14:paraId="3923FBD1"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D2"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Autoriteti kontraktor dhe “Jones Group” nënshkruajnë kontratën brenda 3 (tri) ditëve pune nga data e përfundimit të negociatave.</w:t>
      </w:r>
    </w:p>
    <w:p w14:paraId="3923FBD3"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“Jones Group” cakton një nga degët e tij për të nënshkruar kontratën me autoritetin kontraktor, me miratimin e këtij të fundit. Një “degë”, sipas kësaj pike, ka kuptimin e një shoqërie nën kontrollin e drejtpërdrejtë ose jo të “Jones Group”.</w:t>
      </w:r>
    </w:p>
    <w:p w14:paraId="3923FBD4" w14:textId="5AF50BD8"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Zëvendëskryeministri i paraqet për miratim Këshillit të Ministrave kontratën e nënshkruar në lidhje me projektin</w:t>
      </w:r>
      <w:r w:rsidR="00631883">
        <w:rPr>
          <w:rFonts w:ascii="Garamond" w:hAnsi="Garamond" w:cs="Times New Roman"/>
          <w:sz w:val="24"/>
          <w:szCs w:val="24"/>
        </w:rPr>
        <w:t>,</w:t>
      </w:r>
      <w:r w:rsidRPr="00631883">
        <w:rPr>
          <w:rFonts w:ascii="Garamond" w:hAnsi="Garamond" w:cs="Times New Roman"/>
          <w:sz w:val="24"/>
          <w:szCs w:val="24"/>
        </w:rPr>
        <w:t xml:space="preserve"> brenda 3 (tri) ditëve pune nga nënshkrimi i saj. Data e hyrjes në fuqi </w:t>
      </w:r>
      <w:r w:rsidR="00631883">
        <w:rPr>
          <w:rFonts w:ascii="Garamond" w:hAnsi="Garamond" w:cs="Times New Roman"/>
          <w:sz w:val="24"/>
          <w:szCs w:val="24"/>
        </w:rPr>
        <w:t>të</w:t>
      </w:r>
      <w:r w:rsidRPr="00631883">
        <w:rPr>
          <w:rFonts w:ascii="Garamond" w:hAnsi="Garamond" w:cs="Times New Roman"/>
          <w:sz w:val="24"/>
          <w:szCs w:val="24"/>
        </w:rPr>
        <w:t xml:space="preserve"> kontratës për projektin është data e hyrjes në fuqi e vendimit të Këshillit të Ministrave për miratimin e kontratës.</w:t>
      </w:r>
    </w:p>
    <w:p w14:paraId="3923FBD5"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D6"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7</w:t>
      </w:r>
    </w:p>
    <w:p w14:paraId="3923FBD7"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Zbatimi i kontratës</w:t>
      </w:r>
    </w:p>
    <w:p w14:paraId="3923FBD8"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D9" w14:textId="1ED537F5"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Me hyrjen në fuqi të vendimit të Këshillit të Ministrave për miratimin e kontratës për nënshkrim, referuar pikës 3</w:t>
      </w:r>
      <w:r w:rsidR="00631883">
        <w:rPr>
          <w:rFonts w:ascii="Garamond" w:hAnsi="Garamond" w:cs="Times New Roman"/>
          <w:sz w:val="24"/>
          <w:szCs w:val="24"/>
        </w:rPr>
        <w:t>,</w:t>
      </w:r>
      <w:r w:rsidRPr="00631883">
        <w:rPr>
          <w:rFonts w:ascii="Garamond" w:hAnsi="Garamond" w:cs="Times New Roman"/>
          <w:sz w:val="24"/>
          <w:szCs w:val="24"/>
        </w:rPr>
        <w:t xml:space="preserve"> të nenit 5, ngarkohet AKSHI për monitorimin e ekzekutimit të kontratës.</w:t>
      </w:r>
    </w:p>
    <w:p w14:paraId="3923FBDA" w14:textId="74D0810D"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Pas përfundimit të vlerësimit të sigurisë kibernetike të secilës agjenci dhe dorëzimit të rekomandimeve të planit të transformimit nga “Jones Group”, për të përfshirë koston e propozuar për zbatimin e rekomandimeve, AKSHI</w:t>
      </w:r>
      <w:r w:rsidR="009722B9">
        <w:rPr>
          <w:rFonts w:ascii="Garamond" w:hAnsi="Garamond" w:cs="Times New Roman"/>
          <w:sz w:val="24"/>
          <w:szCs w:val="24"/>
        </w:rPr>
        <w:t xml:space="preserve"> </w:t>
      </w:r>
      <w:r w:rsidRPr="00631883">
        <w:rPr>
          <w:rFonts w:ascii="Garamond" w:hAnsi="Garamond" w:cs="Times New Roman"/>
          <w:sz w:val="24"/>
          <w:szCs w:val="24"/>
        </w:rPr>
        <w:t xml:space="preserve">përcakton se cili, nëse ka, nga rekomandimet </w:t>
      </w:r>
      <w:r w:rsidRPr="00631883">
        <w:rPr>
          <w:rFonts w:ascii="Garamond" w:hAnsi="Garamond" w:cs="Times New Roman"/>
          <w:sz w:val="24"/>
          <w:szCs w:val="24"/>
        </w:rPr>
        <w:lastRenderedPageBreak/>
        <w:t>zbatohet e do të drejtojë “Jones Group” që të vazhdojë në përputhje me financimin e parashikuar për pjesën e dytë të kontratës.</w:t>
      </w:r>
    </w:p>
    <w:p w14:paraId="3923FBDB" w14:textId="6CE0B785"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3. Ngarkohet AKSHI, si përfaqësues i agjencisë shtetërore dhe kontraktori, të nënshkruajë kontratë më vete për çdo agjenci shtetërore dhe çdo projekt në zbatim të kontratës së miratuar, të përmendur në pikën 3</w:t>
      </w:r>
      <w:r w:rsidR="009722B9">
        <w:rPr>
          <w:rFonts w:ascii="Garamond" w:hAnsi="Garamond" w:cs="Times New Roman"/>
          <w:sz w:val="24"/>
          <w:szCs w:val="24"/>
        </w:rPr>
        <w:t>,</w:t>
      </w:r>
      <w:r w:rsidRPr="00631883">
        <w:rPr>
          <w:rFonts w:ascii="Garamond" w:hAnsi="Garamond" w:cs="Times New Roman"/>
          <w:sz w:val="24"/>
          <w:szCs w:val="24"/>
        </w:rPr>
        <w:t xml:space="preserve"> të nenit 5</w:t>
      </w:r>
      <w:r w:rsidR="009722B9">
        <w:rPr>
          <w:rFonts w:ascii="Garamond" w:hAnsi="Garamond" w:cs="Times New Roman"/>
          <w:sz w:val="24"/>
          <w:szCs w:val="24"/>
        </w:rPr>
        <w:t>,</w:t>
      </w:r>
      <w:r w:rsidRPr="00631883">
        <w:rPr>
          <w:rFonts w:ascii="Garamond" w:hAnsi="Garamond" w:cs="Times New Roman"/>
          <w:sz w:val="24"/>
          <w:szCs w:val="24"/>
        </w:rPr>
        <w:t xml:space="preserve"> brenda 3 (tr</w:t>
      </w:r>
      <w:r w:rsidR="00752450">
        <w:rPr>
          <w:rFonts w:ascii="Garamond" w:hAnsi="Garamond" w:cs="Times New Roman"/>
          <w:sz w:val="24"/>
          <w:szCs w:val="24"/>
        </w:rPr>
        <w:t>e</w:t>
      </w:r>
      <w:bookmarkStart w:id="0" w:name="_GoBack"/>
      <w:bookmarkEnd w:id="0"/>
      <w:r w:rsidRPr="00631883">
        <w:rPr>
          <w:rFonts w:ascii="Garamond" w:hAnsi="Garamond" w:cs="Times New Roman"/>
          <w:sz w:val="24"/>
          <w:szCs w:val="24"/>
        </w:rPr>
        <w:t>) muajve nga miratimi i saj. Kontrata më vete</w:t>
      </w:r>
      <w:r w:rsidR="009722B9">
        <w:rPr>
          <w:rFonts w:ascii="Garamond" w:hAnsi="Garamond" w:cs="Times New Roman"/>
          <w:sz w:val="24"/>
          <w:szCs w:val="24"/>
        </w:rPr>
        <w:t xml:space="preserve"> </w:t>
      </w:r>
      <w:r w:rsidRPr="00631883">
        <w:rPr>
          <w:rFonts w:ascii="Garamond" w:hAnsi="Garamond" w:cs="Times New Roman"/>
          <w:sz w:val="24"/>
          <w:szCs w:val="24"/>
        </w:rPr>
        <w:t>bazohet në kontratën e miratimit, termat e referencës dhe kostot e projektit të parashikuara dhe të miratuara në kontratën bazë.</w:t>
      </w:r>
    </w:p>
    <w:p w14:paraId="3923FBDC"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4. Zbatimi i kontratës për pjesën e parë fillon menjëherë pas hyrjes në fuqi, në përputhje me nenin 4 të këtij ligji. Kjo kontratë përcakton shërbimet e detajuara që do të kryejë “Jones Group”.</w:t>
      </w:r>
    </w:p>
    <w:p w14:paraId="3923FBDD"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5. Për zbatimin e pikës 3, pas miratimit të kontratës nga Këshilli i Ministrave, autoriteti kontraktor krijon një njësi të posaçme për zbatimin e këtij projekti, në të cilën janë të paktën 2 (dy) përfaqësues nga agjencia shtetërore përfituese e projektit. AKSHI emëron kryetarin dhe anëtarët e njësisë së zbatimit të projektit, inxhinierët ekspertë, juristët dhe ekonomistët, të cilët ndjekin zbatimin e çdo kontrate.</w:t>
      </w:r>
    </w:p>
    <w:p w14:paraId="3923FBDE"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DF"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8</w:t>
      </w:r>
    </w:p>
    <w:p w14:paraId="3923FBE0"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Shpenzimet financiare</w:t>
      </w:r>
    </w:p>
    <w:p w14:paraId="3923FBE1"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E2"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1. Të gjitha shpenzimet për zbatimin e kontratave sipas këtij ligji mbulohen nga AKSHI.</w:t>
      </w:r>
    </w:p>
    <w:p w14:paraId="3923FBE3" w14:textId="6CD3F2AF"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2. Ministria përgjegjëse për financat dhe ekonominë bën rimbursimin e shpenzimeve për ekspertin ligjor dhe/ose teknik, të përcaktuar në pikën 5</w:t>
      </w:r>
      <w:r w:rsidR="009722B9">
        <w:rPr>
          <w:rFonts w:ascii="Garamond" w:hAnsi="Garamond" w:cs="Times New Roman"/>
          <w:sz w:val="24"/>
          <w:szCs w:val="24"/>
        </w:rPr>
        <w:t>,</w:t>
      </w:r>
      <w:r w:rsidRPr="00631883">
        <w:rPr>
          <w:rFonts w:ascii="Garamond" w:hAnsi="Garamond" w:cs="Times New Roman"/>
          <w:sz w:val="24"/>
          <w:szCs w:val="24"/>
        </w:rPr>
        <w:t xml:space="preserve"> të nenit 4</w:t>
      </w:r>
      <w:r w:rsidR="009722B9">
        <w:rPr>
          <w:rFonts w:ascii="Garamond" w:hAnsi="Garamond" w:cs="Times New Roman"/>
          <w:sz w:val="24"/>
          <w:szCs w:val="24"/>
        </w:rPr>
        <w:t>,</w:t>
      </w:r>
      <w:r w:rsidRPr="00631883">
        <w:rPr>
          <w:rFonts w:ascii="Garamond" w:hAnsi="Garamond" w:cs="Times New Roman"/>
          <w:sz w:val="24"/>
          <w:szCs w:val="24"/>
        </w:rPr>
        <w:t xml:space="preserve"> të këtij ligji.</w:t>
      </w:r>
    </w:p>
    <w:p w14:paraId="3923FBE4"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p>
    <w:p w14:paraId="3923FBE5"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sz w:val="24"/>
          <w:szCs w:val="24"/>
        </w:rPr>
      </w:pPr>
      <w:r w:rsidRPr="00631883">
        <w:rPr>
          <w:rFonts w:ascii="Garamond" w:hAnsi="Garamond" w:cs="Times New Roman"/>
          <w:sz w:val="24"/>
          <w:szCs w:val="24"/>
        </w:rPr>
        <w:t>Neni 9</w:t>
      </w:r>
    </w:p>
    <w:p w14:paraId="3923FBE6" w14:textId="77777777" w:rsidR="00E758C6" w:rsidRPr="00631883" w:rsidRDefault="00E758C6" w:rsidP="00E758C6">
      <w:pPr>
        <w:autoSpaceDE w:val="0"/>
        <w:autoSpaceDN w:val="0"/>
        <w:adjustRightInd w:val="0"/>
        <w:spacing w:after="0" w:line="240" w:lineRule="auto"/>
        <w:ind w:firstLine="284"/>
        <w:jc w:val="center"/>
        <w:rPr>
          <w:rFonts w:ascii="Garamond" w:hAnsi="Garamond" w:cs="Times New Roman"/>
          <w:b/>
          <w:bCs/>
          <w:sz w:val="24"/>
          <w:szCs w:val="24"/>
        </w:rPr>
      </w:pPr>
      <w:r w:rsidRPr="00631883">
        <w:rPr>
          <w:rFonts w:ascii="Garamond" w:hAnsi="Garamond" w:cs="Times New Roman"/>
          <w:b/>
          <w:bCs/>
          <w:sz w:val="24"/>
          <w:szCs w:val="24"/>
        </w:rPr>
        <w:t>Hyrja në fuqi</w:t>
      </w:r>
    </w:p>
    <w:p w14:paraId="3923FBE7"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E8" w14:textId="7CEEA0B5"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Ky ligj hyn në fuqi 15 ditë pas botimit në</w:t>
      </w:r>
      <w:r w:rsidR="009722B9">
        <w:rPr>
          <w:rFonts w:ascii="Garamond" w:hAnsi="Garamond" w:cs="Times New Roman"/>
          <w:sz w:val="24"/>
          <w:szCs w:val="24"/>
        </w:rPr>
        <w:t xml:space="preserve"> </w:t>
      </w:r>
      <w:r w:rsidRPr="00631883">
        <w:rPr>
          <w:rFonts w:ascii="Garamond" w:hAnsi="Garamond" w:cs="Times New Roman"/>
          <w:sz w:val="24"/>
          <w:szCs w:val="24"/>
        </w:rPr>
        <w:t>Fletoren Zyrtare.</w:t>
      </w:r>
    </w:p>
    <w:p w14:paraId="3923FBE9"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p>
    <w:p w14:paraId="3923FBEA" w14:textId="77777777" w:rsidR="00E758C6" w:rsidRPr="00631883" w:rsidRDefault="00E758C6" w:rsidP="00E758C6">
      <w:pPr>
        <w:autoSpaceDE w:val="0"/>
        <w:autoSpaceDN w:val="0"/>
        <w:adjustRightInd w:val="0"/>
        <w:spacing w:after="0" w:line="240" w:lineRule="auto"/>
        <w:ind w:firstLine="284"/>
        <w:jc w:val="right"/>
        <w:rPr>
          <w:rFonts w:ascii="Garamond" w:hAnsi="Garamond" w:cs="Times New Roman"/>
          <w:color w:val="000000"/>
          <w:sz w:val="24"/>
          <w:szCs w:val="24"/>
        </w:rPr>
      </w:pPr>
      <w:r w:rsidRPr="00631883">
        <w:rPr>
          <w:rFonts w:ascii="Garamond" w:hAnsi="Garamond" w:cs="Times New Roman"/>
          <w:color w:val="000000"/>
          <w:sz w:val="24"/>
          <w:szCs w:val="24"/>
        </w:rPr>
        <w:t>ZËVENDËSKRYETARE</w:t>
      </w:r>
    </w:p>
    <w:p w14:paraId="3923FBEB" w14:textId="77777777" w:rsidR="00E758C6" w:rsidRPr="00631883" w:rsidRDefault="00E758C6" w:rsidP="00E758C6">
      <w:pPr>
        <w:autoSpaceDE w:val="0"/>
        <w:autoSpaceDN w:val="0"/>
        <w:adjustRightInd w:val="0"/>
        <w:spacing w:after="0" w:line="240" w:lineRule="auto"/>
        <w:ind w:firstLine="284"/>
        <w:jc w:val="right"/>
        <w:rPr>
          <w:rFonts w:ascii="Garamond" w:hAnsi="Garamond" w:cs="Times New Roman"/>
          <w:b/>
          <w:bCs/>
          <w:color w:val="000000"/>
          <w:sz w:val="24"/>
          <w:szCs w:val="24"/>
        </w:rPr>
      </w:pPr>
      <w:r w:rsidRPr="00631883">
        <w:rPr>
          <w:rFonts w:ascii="Garamond" w:hAnsi="Garamond" w:cs="Times New Roman"/>
          <w:b/>
          <w:bCs/>
          <w:color w:val="000000"/>
          <w:sz w:val="24"/>
          <w:szCs w:val="24"/>
        </w:rPr>
        <w:t>Ermonela Felaj (Valikaj)</w:t>
      </w:r>
    </w:p>
    <w:p w14:paraId="3923FBEC" w14:textId="77777777" w:rsidR="00E758C6" w:rsidRPr="00631883" w:rsidRDefault="00E758C6" w:rsidP="00E758C6">
      <w:pPr>
        <w:autoSpaceDE w:val="0"/>
        <w:autoSpaceDN w:val="0"/>
        <w:adjustRightInd w:val="0"/>
        <w:spacing w:after="0" w:line="240" w:lineRule="auto"/>
        <w:ind w:firstLine="284"/>
        <w:jc w:val="both"/>
        <w:rPr>
          <w:rFonts w:ascii="Garamond" w:hAnsi="Garamond" w:cs="Times New Roman"/>
          <w:b/>
          <w:bCs/>
          <w:sz w:val="24"/>
          <w:szCs w:val="24"/>
        </w:rPr>
      </w:pPr>
    </w:p>
    <w:p w14:paraId="3923FBED" w14:textId="0C393453" w:rsidR="00E758C6" w:rsidRPr="00631883" w:rsidRDefault="00E758C6" w:rsidP="00E758C6">
      <w:pPr>
        <w:autoSpaceDE w:val="0"/>
        <w:autoSpaceDN w:val="0"/>
        <w:adjustRightInd w:val="0"/>
        <w:spacing w:after="0" w:line="240" w:lineRule="auto"/>
        <w:ind w:firstLine="284"/>
        <w:jc w:val="both"/>
        <w:rPr>
          <w:rFonts w:ascii="Garamond" w:hAnsi="Garamond" w:cs="Times New Roman"/>
          <w:sz w:val="24"/>
          <w:szCs w:val="24"/>
        </w:rPr>
      </w:pPr>
      <w:r w:rsidRPr="00631883">
        <w:rPr>
          <w:rFonts w:ascii="Garamond" w:hAnsi="Garamond" w:cs="Times New Roman"/>
          <w:sz w:val="24"/>
          <w:szCs w:val="24"/>
        </w:rPr>
        <w:t>Miratuar në datën 31.3.2022</w:t>
      </w:r>
      <w:r w:rsidR="009722B9">
        <w:rPr>
          <w:rFonts w:ascii="Garamond" w:hAnsi="Garamond" w:cs="Times New Roman"/>
          <w:sz w:val="24"/>
          <w:szCs w:val="24"/>
        </w:rPr>
        <w:t>.</w:t>
      </w:r>
    </w:p>
    <w:sectPr w:rsidR="00E758C6" w:rsidRPr="00631883" w:rsidSect="00522A7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9E6B5" w14:textId="77777777" w:rsidR="009722B9" w:rsidRDefault="009722B9" w:rsidP="00420682">
      <w:pPr>
        <w:spacing w:after="0" w:line="240" w:lineRule="auto"/>
      </w:pPr>
      <w:r>
        <w:separator/>
      </w:r>
    </w:p>
  </w:endnote>
  <w:endnote w:type="continuationSeparator" w:id="0">
    <w:p w14:paraId="402863A2" w14:textId="77777777" w:rsidR="009722B9" w:rsidRDefault="009722B9" w:rsidP="00420682">
      <w:pPr>
        <w:spacing w:after="0" w:line="240" w:lineRule="auto"/>
      </w:pPr>
      <w:r>
        <w:continuationSeparator/>
      </w:r>
    </w:p>
  </w:endnote>
  <w:endnote w:type="continuationNotice" w:id="1">
    <w:p w14:paraId="21168EB9" w14:textId="77777777" w:rsidR="00DD44B6" w:rsidRDefault="00DD44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BE314" w14:textId="77777777" w:rsidR="009722B9" w:rsidRDefault="009722B9" w:rsidP="00420682">
      <w:pPr>
        <w:spacing w:after="0" w:line="240" w:lineRule="auto"/>
      </w:pPr>
      <w:r>
        <w:separator/>
      </w:r>
    </w:p>
  </w:footnote>
  <w:footnote w:type="continuationSeparator" w:id="0">
    <w:p w14:paraId="1EA79330" w14:textId="77777777" w:rsidR="009722B9" w:rsidRDefault="009722B9" w:rsidP="00420682">
      <w:pPr>
        <w:spacing w:after="0" w:line="240" w:lineRule="auto"/>
      </w:pPr>
      <w:r>
        <w:continuationSeparator/>
      </w:r>
    </w:p>
  </w:footnote>
  <w:footnote w:type="continuationNotice" w:id="1">
    <w:p w14:paraId="06E341FA" w14:textId="77777777" w:rsidR="00DD44B6" w:rsidRDefault="00DD44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1EB5"/>
    <w:rsid w:val="00043C57"/>
    <w:rsid w:val="00054F4B"/>
    <w:rsid w:val="00055AB5"/>
    <w:rsid w:val="00060376"/>
    <w:rsid w:val="00072C73"/>
    <w:rsid w:val="000765C2"/>
    <w:rsid w:val="00085EF0"/>
    <w:rsid w:val="00096985"/>
    <w:rsid w:val="000A3B4D"/>
    <w:rsid w:val="000B7DAB"/>
    <w:rsid w:val="000C4A57"/>
    <w:rsid w:val="000D199E"/>
    <w:rsid w:val="000E5BA6"/>
    <w:rsid w:val="00106F6D"/>
    <w:rsid w:val="0012550D"/>
    <w:rsid w:val="00135A36"/>
    <w:rsid w:val="00146D52"/>
    <w:rsid w:val="00153CC5"/>
    <w:rsid w:val="00155BCF"/>
    <w:rsid w:val="00166898"/>
    <w:rsid w:val="001816AF"/>
    <w:rsid w:val="001942D4"/>
    <w:rsid w:val="001A09B5"/>
    <w:rsid w:val="001A1757"/>
    <w:rsid w:val="001B796E"/>
    <w:rsid w:val="001C0806"/>
    <w:rsid w:val="001C445C"/>
    <w:rsid w:val="001C5CDE"/>
    <w:rsid w:val="001C6A0A"/>
    <w:rsid w:val="001C7EC0"/>
    <w:rsid w:val="001D116D"/>
    <w:rsid w:val="001D2895"/>
    <w:rsid w:val="001F194A"/>
    <w:rsid w:val="001F5D30"/>
    <w:rsid w:val="001F78C3"/>
    <w:rsid w:val="002009A1"/>
    <w:rsid w:val="0020160E"/>
    <w:rsid w:val="002016E5"/>
    <w:rsid w:val="0020170B"/>
    <w:rsid w:val="0020507F"/>
    <w:rsid w:val="00213234"/>
    <w:rsid w:val="00214854"/>
    <w:rsid w:val="0021715D"/>
    <w:rsid w:val="00224329"/>
    <w:rsid w:val="00233280"/>
    <w:rsid w:val="0024206A"/>
    <w:rsid w:val="00243B60"/>
    <w:rsid w:val="00266C06"/>
    <w:rsid w:val="00284AF7"/>
    <w:rsid w:val="002A47D7"/>
    <w:rsid w:val="002B61EE"/>
    <w:rsid w:val="002E5105"/>
    <w:rsid w:val="002F5953"/>
    <w:rsid w:val="002F5F81"/>
    <w:rsid w:val="00372083"/>
    <w:rsid w:val="0038331D"/>
    <w:rsid w:val="00397541"/>
    <w:rsid w:val="003A38DC"/>
    <w:rsid w:val="003A63A5"/>
    <w:rsid w:val="003A6883"/>
    <w:rsid w:val="003C212D"/>
    <w:rsid w:val="003C48FF"/>
    <w:rsid w:val="003F29A8"/>
    <w:rsid w:val="0041203B"/>
    <w:rsid w:val="0041300C"/>
    <w:rsid w:val="00420682"/>
    <w:rsid w:val="00433BCD"/>
    <w:rsid w:val="00445610"/>
    <w:rsid w:val="00455BBA"/>
    <w:rsid w:val="00460BC4"/>
    <w:rsid w:val="004647DB"/>
    <w:rsid w:val="00477804"/>
    <w:rsid w:val="004823CA"/>
    <w:rsid w:val="004A5884"/>
    <w:rsid w:val="004B12D2"/>
    <w:rsid w:val="004B6ED9"/>
    <w:rsid w:val="004C2DFD"/>
    <w:rsid w:val="004E2B31"/>
    <w:rsid w:val="004E667B"/>
    <w:rsid w:val="004E7290"/>
    <w:rsid w:val="004E7E53"/>
    <w:rsid w:val="004F447A"/>
    <w:rsid w:val="004F7030"/>
    <w:rsid w:val="005201B5"/>
    <w:rsid w:val="00522A73"/>
    <w:rsid w:val="00522FFB"/>
    <w:rsid w:val="00531A97"/>
    <w:rsid w:val="00537958"/>
    <w:rsid w:val="00542102"/>
    <w:rsid w:val="00550FA3"/>
    <w:rsid w:val="005537B8"/>
    <w:rsid w:val="0055575B"/>
    <w:rsid w:val="005726F2"/>
    <w:rsid w:val="00573EE3"/>
    <w:rsid w:val="005767F6"/>
    <w:rsid w:val="0059248B"/>
    <w:rsid w:val="0059342C"/>
    <w:rsid w:val="005A5534"/>
    <w:rsid w:val="005B419D"/>
    <w:rsid w:val="005B434B"/>
    <w:rsid w:val="005B6E3F"/>
    <w:rsid w:val="0060535D"/>
    <w:rsid w:val="006149AA"/>
    <w:rsid w:val="0062077A"/>
    <w:rsid w:val="00621A17"/>
    <w:rsid w:val="00631883"/>
    <w:rsid w:val="006335A8"/>
    <w:rsid w:val="006465EF"/>
    <w:rsid w:val="00646924"/>
    <w:rsid w:val="00663243"/>
    <w:rsid w:val="0067406E"/>
    <w:rsid w:val="00677E6C"/>
    <w:rsid w:val="00692419"/>
    <w:rsid w:val="006B525E"/>
    <w:rsid w:val="006E6C89"/>
    <w:rsid w:val="006F4D55"/>
    <w:rsid w:val="00702154"/>
    <w:rsid w:val="00703A51"/>
    <w:rsid w:val="00726525"/>
    <w:rsid w:val="00736DC8"/>
    <w:rsid w:val="007403CF"/>
    <w:rsid w:val="007456A8"/>
    <w:rsid w:val="00747C99"/>
    <w:rsid w:val="00752450"/>
    <w:rsid w:val="007654B3"/>
    <w:rsid w:val="00770FAD"/>
    <w:rsid w:val="00774741"/>
    <w:rsid w:val="00795F3B"/>
    <w:rsid w:val="007A284F"/>
    <w:rsid w:val="007A2E0E"/>
    <w:rsid w:val="007B2CC2"/>
    <w:rsid w:val="007C083E"/>
    <w:rsid w:val="007C6834"/>
    <w:rsid w:val="007D742E"/>
    <w:rsid w:val="007E2515"/>
    <w:rsid w:val="007E495C"/>
    <w:rsid w:val="00800A45"/>
    <w:rsid w:val="00811138"/>
    <w:rsid w:val="00840462"/>
    <w:rsid w:val="0085159C"/>
    <w:rsid w:val="0085472C"/>
    <w:rsid w:val="008620E4"/>
    <w:rsid w:val="0086360A"/>
    <w:rsid w:val="008720AB"/>
    <w:rsid w:val="00872343"/>
    <w:rsid w:val="0087264B"/>
    <w:rsid w:val="008914C1"/>
    <w:rsid w:val="00892C77"/>
    <w:rsid w:val="008A1646"/>
    <w:rsid w:val="008C15C7"/>
    <w:rsid w:val="008D12D7"/>
    <w:rsid w:val="00900D7B"/>
    <w:rsid w:val="0091014E"/>
    <w:rsid w:val="009104DF"/>
    <w:rsid w:val="009120D3"/>
    <w:rsid w:val="00914FD9"/>
    <w:rsid w:val="00940333"/>
    <w:rsid w:val="00957A39"/>
    <w:rsid w:val="00970D95"/>
    <w:rsid w:val="009722B9"/>
    <w:rsid w:val="00974717"/>
    <w:rsid w:val="00975229"/>
    <w:rsid w:val="00976A3C"/>
    <w:rsid w:val="00991D86"/>
    <w:rsid w:val="0099741A"/>
    <w:rsid w:val="009A4BC4"/>
    <w:rsid w:val="009A6F98"/>
    <w:rsid w:val="009B0ED5"/>
    <w:rsid w:val="00A06D12"/>
    <w:rsid w:val="00A1292F"/>
    <w:rsid w:val="00A15DE9"/>
    <w:rsid w:val="00A27C1F"/>
    <w:rsid w:val="00A33122"/>
    <w:rsid w:val="00A34D9D"/>
    <w:rsid w:val="00A431DD"/>
    <w:rsid w:val="00A645A6"/>
    <w:rsid w:val="00AA32E0"/>
    <w:rsid w:val="00AA6627"/>
    <w:rsid w:val="00AC2686"/>
    <w:rsid w:val="00AF0CE9"/>
    <w:rsid w:val="00B03A16"/>
    <w:rsid w:val="00B46B49"/>
    <w:rsid w:val="00B47D6D"/>
    <w:rsid w:val="00B54D96"/>
    <w:rsid w:val="00B6427E"/>
    <w:rsid w:val="00B67778"/>
    <w:rsid w:val="00B8668D"/>
    <w:rsid w:val="00B91A61"/>
    <w:rsid w:val="00B97002"/>
    <w:rsid w:val="00BA1706"/>
    <w:rsid w:val="00BA5571"/>
    <w:rsid w:val="00BB15C8"/>
    <w:rsid w:val="00BC3F71"/>
    <w:rsid w:val="00BD4611"/>
    <w:rsid w:val="00C10624"/>
    <w:rsid w:val="00C4191B"/>
    <w:rsid w:val="00C42E62"/>
    <w:rsid w:val="00C446ED"/>
    <w:rsid w:val="00C60CAD"/>
    <w:rsid w:val="00C6573D"/>
    <w:rsid w:val="00C751AA"/>
    <w:rsid w:val="00C90A66"/>
    <w:rsid w:val="00C90FD7"/>
    <w:rsid w:val="00C92C5B"/>
    <w:rsid w:val="00C977D8"/>
    <w:rsid w:val="00CA0828"/>
    <w:rsid w:val="00CB6CCF"/>
    <w:rsid w:val="00CC7CA2"/>
    <w:rsid w:val="00CE20C0"/>
    <w:rsid w:val="00CE417C"/>
    <w:rsid w:val="00CF3A07"/>
    <w:rsid w:val="00CF5B26"/>
    <w:rsid w:val="00D23C4B"/>
    <w:rsid w:val="00D45AC2"/>
    <w:rsid w:val="00D60C6B"/>
    <w:rsid w:val="00DA56D4"/>
    <w:rsid w:val="00DB6AFB"/>
    <w:rsid w:val="00DC03DB"/>
    <w:rsid w:val="00DC0BDC"/>
    <w:rsid w:val="00DD44B6"/>
    <w:rsid w:val="00DE274E"/>
    <w:rsid w:val="00E32B8C"/>
    <w:rsid w:val="00E370B3"/>
    <w:rsid w:val="00E451ED"/>
    <w:rsid w:val="00E452DA"/>
    <w:rsid w:val="00E6234F"/>
    <w:rsid w:val="00E72BC5"/>
    <w:rsid w:val="00E758C6"/>
    <w:rsid w:val="00E76B9D"/>
    <w:rsid w:val="00EC55E7"/>
    <w:rsid w:val="00EC57E8"/>
    <w:rsid w:val="00EE7E5D"/>
    <w:rsid w:val="00F07F7F"/>
    <w:rsid w:val="00F234B6"/>
    <w:rsid w:val="00F30D3D"/>
    <w:rsid w:val="00F52125"/>
    <w:rsid w:val="00F537D2"/>
    <w:rsid w:val="00F570C3"/>
    <w:rsid w:val="00F62B2D"/>
    <w:rsid w:val="00F630AC"/>
    <w:rsid w:val="00F84F9C"/>
    <w:rsid w:val="00F91CCE"/>
    <w:rsid w:val="00FA0571"/>
    <w:rsid w:val="00FA4BC6"/>
    <w:rsid w:val="00FB5CED"/>
    <w:rsid w:val="00FC484A"/>
    <w:rsid w:val="00FC631E"/>
    <w:rsid w:val="00FE0680"/>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3FB86"/>
  <w15:docId w15:val="{45AF7A58-57E8-43A0-9DD8-B22F290C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522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A73"/>
  </w:style>
  <w:style w:type="paragraph" w:styleId="Footer">
    <w:name w:val="footer"/>
    <w:basedOn w:val="Normal"/>
    <w:link w:val="FooterChar"/>
    <w:uiPriority w:val="99"/>
    <w:unhideWhenUsed/>
    <w:rsid w:val="00522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884135E84544DBB9BB48D68A9CE50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2022-04-28T12:53:59Z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2022-04-27T22:00:00Z</Date_x0020_protokolli>
    <Titulli xmlns="0e656187-b300-4fb0-8bf4-3a50f872073c">Për përcaktimin e procedurës së veçantë për negocimin dhe zbatimin e kontratës me shoqërinë “Jones Group International” për forcimin e sigurisë kibernetike</Titulli>
    <Modifikuesi xmlns="0e656187-b300-4fb0-8bf4-3a50f872073c">nevila.samarxhi</Modifikuesi>
    <Nr_x002e__x0020_prot_x0020_QBZ xmlns="0e656187-b300-4fb0-8bf4-3a50f872073c">648/4</Nr_x002e__x0020_prot_x0020_QBZ>
    <Data_x0020_e_x0020_Modifikimit xmlns="0e656187-b300-4fb0-8bf4-3a50f872073c">2022-04-28T13:00:56Z</Data_x0020_e_x0020_Modifikimit>
    <Dekretuar xmlns="0e656187-b300-4fb0-8bf4-3a50f872073c">false</Dekretuar>
    <Data xmlns="0e656187-b300-4fb0-8bf4-3a50f872073c">2022-03-30T22:00:00Z</Data>
    <Nr_x002e__x0020_protokolli_x0020_i_x0020_aktit xmlns="0e656187-b300-4fb0-8bf4-3a50f872073c">1362/1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84135E84544DBB9BB48D68A9CE50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98ECE-EBBD-475F-98D8-D3F7F7507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CF6299-ADA5-49D1-879E-2A741344D76D}">
  <ds:schemaRefs>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http://purl.org/dc/elements/1.1/"/>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3F9FE660-E233-4725-96F6-247BDFFF7287}">
  <ds:schemaRefs>
    <ds:schemaRef ds:uri="http://schemas.microsoft.com/sharepoint/v3/contenttype/forms"/>
  </ds:schemaRefs>
</ds:datastoreItem>
</file>

<file path=customXml/itemProps4.xml><?xml version="1.0" encoding="utf-8"?>
<ds:datastoreItem xmlns:ds="http://schemas.openxmlformats.org/officeDocument/2006/customXml" ds:itemID="{8D2A7010-B344-4A36-8DFE-6EBBAB69ACAA}">
  <ds:schemaRefs>
    <ds:schemaRef ds:uri="http://schemas.microsoft.com/sharepoint/v3/contenttype/forms"/>
  </ds:schemaRefs>
</ds:datastoreItem>
</file>

<file path=customXml/itemProps5.xml><?xml version="1.0" encoding="utf-8"?>
<ds:datastoreItem xmlns:ds="http://schemas.openxmlformats.org/officeDocument/2006/customXml" ds:itemID="{A8969B80-82DD-46D0-A927-6B41E12C3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47BDFDA-7E69-4F33-B985-94FECF30F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4</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Fjora Cahani</cp:lastModifiedBy>
  <cp:revision>137</cp:revision>
  <cp:lastPrinted>2022-04-05T11:23:00Z</cp:lastPrinted>
  <dcterms:created xsi:type="dcterms:W3CDTF">2016-01-20T08:16:00Z</dcterms:created>
  <dcterms:modified xsi:type="dcterms:W3CDTF">2022-04-28T13:13:00Z</dcterms:modified>
</cp:coreProperties>
</file>