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B402EC"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LIGJ</w:t>
      </w:r>
    </w:p>
    <w:p w14:paraId="75B402ED"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Nr. 78/2022</w:t>
      </w:r>
    </w:p>
    <w:p w14:paraId="75B402EE"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p>
    <w:p w14:paraId="75B402F1" w14:textId="433DA6EB" w:rsidR="00831F1F" w:rsidRPr="003F0A72" w:rsidRDefault="00831F1F" w:rsidP="003F0A72">
      <w:pPr>
        <w:autoSpaceDE w:val="0"/>
        <w:autoSpaceDN w:val="0"/>
        <w:adjustRightInd w:val="0"/>
        <w:spacing w:after="0" w:line="240" w:lineRule="auto"/>
        <w:jc w:val="center"/>
        <w:rPr>
          <w:rFonts w:ascii="Garamond" w:hAnsi="Garamond" w:cs="Times New Roman"/>
          <w:b/>
          <w:bCs/>
          <w:color w:val="000000"/>
          <w:sz w:val="24"/>
          <w:szCs w:val="24"/>
        </w:rPr>
      </w:pPr>
      <w:r w:rsidRPr="003F0A72">
        <w:rPr>
          <w:rFonts w:ascii="Garamond" w:hAnsi="Garamond" w:cs="Times New Roman"/>
          <w:b/>
          <w:bCs/>
          <w:color w:val="000000"/>
          <w:sz w:val="24"/>
          <w:szCs w:val="24"/>
        </w:rPr>
        <w:t>PËR DISA SHTESA DHE NDRYSHIME NË LIGJIN NR. 12/2018</w:t>
      </w:r>
      <w:r w:rsidR="003F0A72">
        <w:rPr>
          <w:rFonts w:ascii="Garamond" w:hAnsi="Garamond" w:cs="Times New Roman"/>
          <w:b/>
          <w:bCs/>
          <w:color w:val="000000"/>
          <w:sz w:val="24"/>
          <w:szCs w:val="24"/>
        </w:rPr>
        <w:t>,</w:t>
      </w:r>
      <w:r w:rsidR="003F0A72" w:rsidRPr="003F0A72">
        <w:rPr>
          <w:rFonts w:ascii="Garamond" w:hAnsi="Garamond" w:cs="Times New Roman"/>
          <w:b/>
          <w:bCs/>
          <w:color w:val="000000"/>
          <w:sz w:val="24"/>
          <w:szCs w:val="24"/>
        </w:rPr>
        <w:t xml:space="preserve"> </w:t>
      </w:r>
      <w:r w:rsidRPr="003F0A72">
        <w:rPr>
          <w:rFonts w:ascii="Garamond" w:hAnsi="Garamond" w:cs="Times New Roman"/>
          <w:b/>
          <w:bCs/>
          <w:color w:val="000000"/>
          <w:sz w:val="24"/>
          <w:szCs w:val="24"/>
        </w:rPr>
        <w:t>“PËR VLERËSIMIN KALIMTAR DHE PERIODIK TË PUNONJËSVE</w:t>
      </w:r>
      <w:r w:rsidR="003F0A72" w:rsidRPr="003F0A72">
        <w:rPr>
          <w:rFonts w:ascii="Garamond" w:hAnsi="Garamond" w:cs="Times New Roman"/>
          <w:b/>
          <w:bCs/>
          <w:color w:val="000000"/>
          <w:sz w:val="24"/>
          <w:szCs w:val="24"/>
        </w:rPr>
        <w:t xml:space="preserve"> </w:t>
      </w:r>
      <w:r w:rsidRPr="003F0A72">
        <w:rPr>
          <w:rFonts w:ascii="Garamond" w:hAnsi="Garamond" w:cs="Times New Roman"/>
          <w:b/>
          <w:bCs/>
          <w:color w:val="000000"/>
          <w:sz w:val="24"/>
          <w:szCs w:val="24"/>
        </w:rPr>
        <w:t>TË POLICISË SË SHTETIT, GARDËS SË REPUBLIKËS DHE SHËRBIMIT PËR ÇËSHTJET E BRENDSHME DHE ANKESAT NË MINISTRINË E BRENDSHME”, TË NDRYSHUAR</w:t>
      </w:r>
    </w:p>
    <w:p w14:paraId="75B402F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2F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Në mbështetje të neneve 78 dhe 83, pika 1, të Kushtetutës, me propozimin e Këshillit të Ministrave, </w:t>
      </w:r>
    </w:p>
    <w:p w14:paraId="75B402F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2F5"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KUVENDI</w:t>
      </w:r>
    </w:p>
    <w:p w14:paraId="75B402F6"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I REPUBLIKËS SË SHQIPËRISË</w:t>
      </w:r>
    </w:p>
    <w:p w14:paraId="75B402F7"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p>
    <w:p w14:paraId="75B402F8"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VENDOSI:</w:t>
      </w:r>
    </w:p>
    <w:p w14:paraId="75B402F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2FA" w14:textId="20629B3D"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ligjin nr. 12/2018</w:t>
      </w:r>
      <w:r w:rsidR="008E4ACB">
        <w:rPr>
          <w:rFonts w:ascii="Garamond" w:hAnsi="Garamond" w:cs="Times New Roman"/>
          <w:color w:val="000000"/>
          <w:sz w:val="24"/>
          <w:szCs w:val="24"/>
        </w:rPr>
        <w:t>,</w:t>
      </w:r>
      <w:r w:rsidRPr="003F0A72">
        <w:rPr>
          <w:rFonts w:ascii="Garamond" w:hAnsi="Garamond" w:cs="Times New Roman"/>
          <w:color w:val="000000"/>
          <w:sz w:val="24"/>
          <w:szCs w:val="24"/>
        </w:rPr>
        <w:t xml:space="preserve"> “Për vlerësimin kalimtar dhe periodik të punonjësve të Policisë së Shtetit, Gardës së Republikës dhe Shërbimit për Çështjet e Brendshme dhe Ankesat në Ministrinë e Brendshme”, të ndryshuar, bëhen këto shtesa dhe ndryshime:</w:t>
      </w:r>
    </w:p>
    <w:p w14:paraId="75B402F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2FC"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w:t>
      </w:r>
    </w:p>
    <w:p w14:paraId="75B402F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2F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Kudo në ligj emërtimi “Shërbimi për Çështjet e Brendshme dhe Ankesat” zëvendësohet me emërtimin “Agjencia e Mbikëqyrjes Policore”.</w:t>
      </w:r>
    </w:p>
    <w:p w14:paraId="75B402F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2. Kudo në ligj fjalët “organi i/organet e vlerësimit” zëvendësohen me fjalët “trupa/trupat e vlerësimit”. </w:t>
      </w:r>
    </w:p>
    <w:p w14:paraId="75B4030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Kudo në ligj fjalët “vetëvlerësim profesional” zëvendësohen me fjalët “vlerësim profesional”. </w:t>
      </w:r>
    </w:p>
    <w:p w14:paraId="75B4030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02"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w:t>
      </w:r>
    </w:p>
    <w:p w14:paraId="75B4030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0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3 bëhen shtesat dhe ndryshimet e mëposhtme:</w:t>
      </w:r>
    </w:p>
    <w:p w14:paraId="75B40305" w14:textId="542FDCDC"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Pikat 1 dhe 3</w:t>
      </w:r>
      <w:r w:rsidR="00185717">
        <w:rPr>
          <w:rFonts w:ascii="Garamond" w:hAnsi="Garamond" w:cs="Times New Roman"/>
          <w:color w:val="000000"/>
          <w:sz w:val="24"/>
          <w:szCs w:val="24"/>
        </w:rPr>
        <w:t>,</w:t>
      </w:r>
      <w:r w:rsidRPr="003F0A72">
        <w:rPr>
          <w:rFonts w:ascii="Garamond" w:hAnsi="Garamond" w:cs="Times New Roman"/>
          <w:color w:val="000000"/>
          <w:sz w:val="24"/>
          <w:szCs w:val="24"/>
        </w:rPr>
        <w:t xml:space="preserve"> shfuqizohen.</w:t>
      </w:r>
    </w:p>
    <w:p w14:paraId="75B4030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2. Pas pikës 3 shtohen pikat 3.1, 3.2 dhe 3.3 me këtë përmbajtje: </w:t>
      </w:r>
    </w:p>
    <w:p w14:paraId="75B40307" w14:textId="202E1FF9"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“3.1 “Agjencia e Mbikëqyrjes Policore” është institucioni përgjegjës për vlerësimin kalimtar dhe periodik të punonjësve të Policisë së Shtetit, Gardës së Republikës dhe Agjencisë së Mbikëqyrjes Policore.”; </w:t>
      </w:r>
    </w:p>
    <w:p w14:paraId="75B40308" w14:textId="248D698D"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3.2 “Informacion i klasifikuar” është çdo dokument ose material, pavarësisht nga forma, natyra ose mënyra e transmetimit të tij, i përgatitur ose që përgatitet, për të cilin është vendosur një nivel i caktuar klasifikimi në interes të sigurisë kombëtare dhe në përputhje me legjislacionin në fuqi, që kërkon mbrojtje ndaj çdo shkeljeje, shkatërrimi, përvetësimi, përhapjeje, humbjeje ose aksesi të ndonjë individi të paautorizuar dhe çdo lloj tjetër komprometimi sigurie.”; </w:t>
      </w:r>
    </w:p>
    <w:p w14:paraId="75B40309" w14:textId="601714BF"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3.3 “ILDKPKI” është Inspektorati i Lartë i Deklarimit dhe Kontrollit të Pasurive dhe Konfliktit të Interesave.”.</w:t>
      </w:r>
    </w:p>
    <w:p w14:paraId="75B4030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Pika 5 ndryshohet si më poshtë: </w:t>
      </w:r>
    </w:p>
    <w:p w14:paraId="75B4030B" w14:textId="0B1013F3"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“5. “Kontakt i papërshtatshëm” është një takim, komunikim verbal apo elektronik i vazhdueshëm</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dhe i qëllimshëm, që nuk përputhet dhe/ose nuk ka lidhje me ushtrimin e detyrës nga punonjësi,</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i vërtetuar dhe i dokumentuar si një marrëdhënie e konsoliduar me ndikim në vullnetin e</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subjektit në kuptim të këtij ligji.”.</w:t>
      </w:r>
    </w:p>
    <w:p w14:paraId="75B4030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4. Pika 8 ndryshohet si më poshtë: </w:t>
      </w:r>
    </w:p>
    <w:p w14:paraId="75B4030D" w14:textId="0242A2CA"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lastRenderedPageBreak/>
        <w:t>“8.</w:t>
      </w:r>
      <w:r w:rsidR="003F0A7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Niveli i besueshëm në kontrollin e figurës” është konstatimi në përfundim të procesit të kontrollit të figurës se subjekti është i përshtatshëm për vazhdimin e detyrës sipas përcaktimeve të këtij ligji.”.</w:t>
      </w:r>
    </w:p>
    <w:p w14:paraId="75B4030E" w14:textId="516BC0BA"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5. Në pikën 10 fjalët “organet</w:t>
      </w:r>
      <w:r w:rsidR="003F0A7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e vlerësimit</w:t>
      </w:r>
      <w:r w:rsidR="003F0A7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konsultohen gjatë përzgjedhjes së anëtarëve të</w:t>
      </w:r>
      <w:r w:rsidR="003F0A7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 xml:space="preserve">organeve të vlerësimit dhe vlerësimit kalimtar të punonjësve” zëvendësohen me fjalët “trupat e vlerësimit konsultohen për aspekte teknike të vlerësimit të punonjësve”. </w:t>
      </w:r>
    </w:p>
    <w:p w14:paraId="75B4030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6. Pika 13 ndryshohet si më poshtë: </w:t>
      </w:r>
    </w:p>
    <w:p w14:paraId="75B4031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“13. “Person i përfshirë në krimin e organizuar” është personi i përfshirë ose i dyshuar për përfshirje në kryerjen e një prej veprave penale të parashikuara në legjislacionin në fuqi për parandalimin dhe goditjen e krimit të organizuar, trafikimit, korrupsionit, si dhe veprave penale në fushën e krimit të organizuar, parashikuar nga legjislacioni penal.”.</w:t>
      </w:r>
    </w:p>
    <w:p w14:paraId="75B4031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7. Pika 16 ndryshohet si më poshtë:</w:t>
      </w:r>
    </w:p>
    <w:p w14:paraId="75B4031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 “16. “Punonjës i AMP-së” është personi i emëruar në Agjencinë e Mbikëqyrjes Policore sipas legjislacionit në fuqi.”.</w:t>
      </w:r>
    </w:p>
    <w:p w14:paraId="75B4031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8. Pika 23 ndryshohet si më poshtë:</w:t>
      </w:r>
    </w:p>
    <w:p w14:paraId="75B40314" w14:textId="2A396A11"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“23. “Krimi i organizuar, trafikimi dhe korrupsioni” përfshijnë veprat</w:t>
      </w:r>
      <w:r w:rsidR="003F0A7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penale</w:t>
      </w:r>
      <w:r w:rsidR="003F0A7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sipas nenit 75/a të Kodit të Procedurës Penale.”.</w:t>
      </w:r>
    </w:p>
    <w:p w14:paraId="75B4031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9. Pika 24 ndryshohet si më poshtë:</w:t>
      </w:r>
    </w:p>
    <w:p w14:paraId="75B4031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“24. “Procesi i vlerësimit” përfshin si vlerësimin kalimtar, ashtu edhe vlerësimin periodik të subjekteve të vlerësimit.”. </w:t>
      </w:r>
    </w:p>
    <w:p w14:paraId="75B4031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18"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w:t>
      </w:r>
    </w:p>
    <w:p w14:paraId="75B4031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1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Pas nenit 3 shtohen nenet 3/1 dhe 3/2 me këtë përmbajtje:</w:t>
      </w:r>
    </w:p>
    <w:p w14:paraId="75B4031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1C"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3/1</w:t>
      </w:r>
    </w:p>
    <w:p w14:paraId="75B4031D"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Parimet e vlerësimit</w:t>
      </w:r>
    </w:p>
    <w:p w14:paraId="75B4031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1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Procesi i vlerësimit bazohet në parimet e mëposhtme:</w:t>
      </w:r>
    </w:p>
    <w:p w14:paraId="75B4032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a) ligjshmëria;</w:t>
      </w:r>
    </w:p>
    <w:p w14:paraId="75B4032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b) pavarësia, objektiviteti dhe paanshmëria;</w:t>
      </w:r>
    </w:p>
    <w:p w14:paraId="75B4032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c) profesionalizmi dhe ndershmëria në ushtrimin e detyrave;</w:t>
      </w:r>
    </w:p>
    <w:p w14:paraId="75B4032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ç) transparenca;</w:t>
      </w:r>
    </w:p>
    <w:p w14:paraId="75B4032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 shmangia e konfliktit të interesit;</w:t>
      </w:r>
    </w:p>
    <w:p w14:paraId="75B4032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dh) proporcionaliteti;</w:t>
      </w:r>
    </w:p>
    <w:p w14:paraId="75B4032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e) ruajtja e konfidencialitetit dhe sekretit hetimor;</w:t>
      </w:r>
    </w:p>
    <w:p w14:paraId="75B4032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ë) mbrojtja e sekretit shtetëror;</w:t>
      </w:r>
    </w:p>
    <w:p w14:paraId="75B4032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f) llogaridhënia;</w:t>
      </w:r>
    </w:p>
    <w:p w14:paraId="75B4032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g) mosdiskriminimi dhe barazia gjinore;</w:t>
      </w:r>
    </w:p>
    <w:p w14:paraId="75B4032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gj) respektimi i lirive dhe të drejtave të njeriut; </w:t>
      </w:r>
    </w:p>
    <w:p w14:paraId="75B4032B" w14:textId="5607C5AD"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h) deburokratizimi dhe </w:t>
      </w:r>
      <w:r w:rsidR="009100F6">
        <w:rPr>
          <w:rFonts w:ascii="Garamond" w:hAnsi="Garamond" w:cs="Times New Roman"/>
          <w:color w:val="000000"/>
          <w:sz w:val="24"/>
          <w:szCs w:val="24"/>
        </w:rPr>
        <w:t>eficienc</w:t>
      </w:r>
      <w:r w:rsidRPr="003F0A72">
        <w:rPr>
          <w:rFonts w:ascii="Garamond" w:hAnsi="Garamond" w:cs="Times New Roman"/>
          <w:color w:val="000000"/>
          <w:sz w:val="24"/>
          <w:szCs w:val="24"/>
        </w:rPr>
        <w:t>a;</w:t>
      </w:r>
    </w:p>
    <w:p w14:paraId="75B4032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i) ushtrimi i ligjshëm i diskrecionit;</w:t>
      </w:r>
    </w:p>
    <w:p w14:paraId="75B4032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j) marrja e vendimeve duke garantuar të drejtën e punonjësve për një proces të rregullt ligjor.</w:t>
      </w:r>
    </w:p>
    <w:p w14:paraId="75B4032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2F"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3/2</w:t>
      </w:r>
    </w:p>
    <w:p w14:paraId="75B40330"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E drejta e informimit</w:t>
      </w:r>
    </w:p>
    <w:p w14:paraId="75B4033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3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E drejta e informimit, e parashikuar në legjislacionin në fuqi për të drejtën e informimit, mund të kufizohet nga trupa e vlerësimit, e cila i kërkon mendim me shkrim Komisionerit për të Drejtën e Informimit dhe Mbrojtjes së të Dhënave Personale përpara kufizimit të kësaj të drejte dhe rast pas rasti.”.</w:t>
      </w:r>
    </w:p>
    <w:p w14:paraId="75B4033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34"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w:t>
      </w:r>
    </w:p>
    <w:p w14:paraId="75B4033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36" w14:textId="7EA91D02"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4</w:t>
      </w:r>
      <w:r w:rsidR="005D58DF">
        <w:rPr>
          <w:rFonts w:ascii="Garamond" w:hAnsi="Garamond" w:cs="Times New Roman"/>
          <w:color w:val="000000"/>
          <w:sz w:val="24"/>
          <w:szCs w:val="24"/>
        </w:rPr>
        <w:t>,</w:t>
      </w:r>
      <w:r w:rsidRPr="003F0A72">
        <w:rPr>
          <w:rFonts w:ascii="Garamond" w:hAnsi="Garamond" w:cs="Times New Roman"/>
          <w:color w:val="000000"/>
          <w:sz w:val="24"/>
          <w:szCs w:val="24"/>
        </w:rPr>
        <w:t xml:space="preserve"> pikat 2 dhe 3</w:t>
      </w:r>
      <w:r w:rsidR="005D58DF">
        <w:rPr>
          <w:rFonts w:ascii="Garamond" w:hAnsi="Garamond" w:cs="Times New Roman"/>
          <w:color w:val="000000"/>
          <w:sz w:val="24"/>
          <w:szCs w:val="24"/>
        </w:rPr>
        <w:t>,</w:t>
      </w:r>
      <w:r w:rsidRPr="003F0A72">
        <w:rPr>
          <w:rFonts w:ascii="Garamond" w:hAnsi="Garamond" w:cs="Times New Roman"/>
          <w:color w:val="000000"/>
          <w:sz w:val="24"/>
          <w:szCs w:val="24"/>
        </w:rPr>
        <w:t xml:space="preserve"> shfuqizohen.</w:t>
      </w:r>
    </w:p>
    <w:p w14:paraId="75B4033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38"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5</w:t>
      </w:r>
    </w:p>
    <w:p w14:paraId="75B4033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3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Neni 5 ndryshohet si më poshtë: </w:t>
      </w:r>
    </w:p>
    <w:p w14:paraId="75B4033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3C"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5</w:t>
      </w:r>
    </w:p>
    <w:p w14:paraId="75B4033D"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Institucioni përgjegjës i vlerësimit</w:t>
      </w:r>
    </w:p>
    <w:p w14:paraId="75B4033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3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Institucioni përgjegjës për procesin e vlerësimit është Agjencia e Mbikëqyrjes Policore, e cila organizon trupa vlerësimi për këtë qëllim. </w:t>
      </w:r>
    </w:p>
    <w:p w14:paraId="75B4034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Trupat e vlerësimit gjatë ushtrimit të veprimtarisë së tyre zbatojnë procedurat e parashikuara në këtë ligj, në ligjin “Për organizimin dhe funksionimin e organeve kolegjiale” dhe në Kodin e Procedurave Administrative.</w:t>
      </w:r>
    </w:p>
    <w:p w14:paraId="75B4034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Trupat e vlerësimit janë të organizuara në formën e organit kolegjial dhe janë përgjegjëse për shqyrtimin, verifikimin dhe marrjen e vendimeve ndaj subjekteve që do të vlerësohen në mënyrë të pavarur dhe të paanshme.</w:t>
      </w:r>
    </w:p>
    <w:p w14:paraId="75B4034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4. Trupa e vlerësimit përbëhet nga tre anëtarë, të cilët caktohen me short. Relatori i trupës së vlerësimit caktohet me short.</w:t>
      </w:r>
    </w:p>
    <w:p w14:paraId="75B4034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5. Anëtarët e trupave të vlerësimit pajisen me Certifikatë Sigurie Personeli të përshtatshme, sipas legjislacionit në fuqi, në rastet e trajtimit të informacionit të klasifikuar “Sekret shtetëror”.</w:t>
      </w:r>
    </w:p>
    <w:p w14:paraId="75B4034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6. Punonjësit për t’u vlerësuar nga trupa e vlerësimi caktohen sipas një shorti duke filluar nga funksionet më të larta.</w:t>
      </w:r>
    </w:p>
    <w:p w14:paraId="75B4034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7. Procedurat dhe mënyrat e hedhjes së shortit përcaktohen me udhëzim të ministrit të Brendshëm.”.</w:t>
      </w:r>
    </w:p>
    <w:p w14:paraId="75B4034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47"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6</w:t>
      </w:r>
    </w:p>
    <w:p w14:paraId="75B4034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4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6 ndryshohet si më poshtë:</w:t>
      </w:r>
    </w:p>
    <w:p w14:paraId="75B4034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4B"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 xml:space="preserve"> “Neni 6</w:t>
      </w:r>
    </w:p>
    <w:p w14:paraId="75B4034C"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Fushat e ushtrimit të veprimtarisë së institucionit të vlerësimit kalimtar</w:t>
      </w:r>
    </w:p>
    <w:p w14:paraId="75B4034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4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Agjencia e Mbikëqyrjes Policore vlerëson punonjësit në pozicionet e mëposhtme:</w:t>
      </w:r>
    </w:p>
    <w:p w14:paraId="75B4034F" w14:textId="3268028F"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a) </w:t>
      </w:r>
      <w:r w:rsidR="001D245D" w:rsidRPr="003F0A72">
        <w:rPr>
          <w:rFonts w:ascii="Garamond" w:hAnsi="Garamond" w:cs="Times New Roman"/>
          <w:color w:val="000000"/>
          <w:sz w:val="24"/>
          <w:szCs w:val="24"/>
        </w:rPr>
        <w:t xml:space="preserve">drejtor </w:t>
      </w:r>
      <w:r w:rsidRPr="003F0A72">
        <w:rPr>
          <w:rFonts w:ascii="Garamond" w:hAnsi="Garamond" w:cs="Times New Roman"/>
          <w:color w:val="000000"/>
          <w:sz w:val="24"/>
          <w:szCs w:val="24"/>
        </w:rPr>
        <w:t xml:space="preserve">dhe zëvendësdrejtor i </w:t>
      </w:r>
      <w:r w:rsidR="001D245D" w:rsidRPr="003F0A72">
        <w:rPr>
          <w:rFonts w:ascii="Garamond" w:hAnsi="Garamond" w:cs="Times New Roman"/>
          <w:color w:val="000000"/>
          <w:sz w:val="24"/>
          <w:szCs w:val="24"/>
        </w:rPr>
        <w:t>përgjithshëm</w:t>
      </w:r>
      <w:r w:rsidRPr="003F0A72">
        <w:rPr>
          <w:rFonts w:ascii="Garamond" w:hAnsi="Garamond" w:cs="Times New Roman"/>
          <w:color w:val="000000"/>
          <w:sz w:val="24"/>
          <w:szCs w:val="24"/>
        </w:rPr>
        <w:t>, drejtor departamenti, drejtor i Drejtorisë Qendrore, drejtor në strukturat e veçanta, drejtor e zëvendësdrejtor vendor, drejtor në drejtoritë e kufirit dhe migracionit, shef komisariati, shef sektori në nivel qendror e vendor, që mbulon fushën e krimit të organizuar, krimit ekonomik/financiar dhe policisë rrugore në Policinë e Shtetit;</w:t>
      </w:r>
    </w:p>
    <w:p w14:paraId="75B40350" w14:textId="20DA7DE0"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b) </w:t>
      </w:r>
      <w:r w:rsidR="001D245D" w:rsidRPr="003F0A72">
        <w:rPr>
          <w:rFonts w:ascii="Garamond" w:hAnsi="Garamond" w:cs="Times New Roman"/>
          <w:color w:val="000000"/>
          <w:sz w:val="24"/>
          <w:szCs w:val="24"/>
        </w:rPr>
        <w:t xml:space="preserve">drejtor </w:t>
      </w:r>
      <w:r w:rsidRPr="003F0A72">
        <w:rPr>
          <w:rFonts w:ascii="Garamond" w:hAnsi="Garamond" w:cs="Times New Roman"/>
          <w:color w:val="000000"/>
          <w:sz w:val="24"/>
          <w:szCs w:val="24"/>
        </w:rPr>
        <w:t xml:space="preserve">dhe zëvendësdrejtor i </w:t>
      </w:r>
      <w:r w:rsidR="001D245D" w:rsidRPr="003F0A72">
        <w:rPr>
          <w:rFonts w:ascii="Garamond" w:hAnsi="Garamond" w:cs="Times New Roman"/>
          <w:color w:val="000000"/>
          <w:sz w:val="24"/>
          <w:szCs w:val="24"/>
        </w:rPr>
        <w:t>përgjithshëm</w:t>
      </w:r>
      <w:r w:rsidRPr="003F0A72">
        <w:rPr>
          <w:rFonts w:ascii="Garamond" w:hAnsi="Garamond" w:cs="Times New Roman"/>
          <w:color w:val="000000"/>
          <w:sz w:val="24"/>
          <w:szCs w:val="24"/>
        </w:rPr>
        <w:t>, drejtor drejtorie dhe shef njësie në Gardën e Republikës;</w:t>
      </w:r>
    </w:p>
    <w:p w14:paraId="75B40351" w14:textId="68D0AE1A"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c) </w:t>
      </w:r>
      <w:r w:rsidR="001D245D" w:rsidRPr="003F0A72">
        <w:rPr>
          <w:rFonts w:ascii="Garamond" w:hAnsi="Garamond" w:cs="Times New Roman"/>
          <w:color w:val="000000"/>
          <w:sz w:val="24"/>
          <w:szCs w:val="24"/>
        </w:rPr>
        <w:t xml:space="preserve">drejtor </w:t>
      </w:r>
      <w:r w:rsidRPr="003F0A72">
        <w:rPr>
          <w:rFonts w:ascii="Garamond" w:hAnsi="Garamond" w:cs="Times New Roman"/>
          <w:color w:val="000000"/>
          <w:sz w:val="24"/>
          <w:szCs w:val="24"/>
        </w:rPr>
        <w:t xml:space="preserve">dhe zëvendësdrejtor i </w:t>
      </w:r>
      <w:r w:rsidR="001D245D" w:rsidRPr="003F0A72">
        <w:rPr>
          <w:rFonts w:ascii="Garamond" w:hAnsi="Garamond" w:cs="Times New Roman"/>
          <w:color w:val="000000"/>
          <w:sz w:val="24"/>
          <w:szCs w:val="24"/>
        </w:rPr>
        <w:t>përgjithshëm</w:t>
      </w:r>
      <w:r w:rsidRPr="003F0A72">
        <w:rPr>
          <w:rFonts w:ascii="Garamond" w:hAnsi="Garamond" w:cs="Times New Roman"/>
          <w:color w:val="000000"/>
          <w:sz w:val="24"/>
          <w:szCs w:val="24"/>
        </w:rPr>
        <w:t xml:space="preserve">, drejtor drejtorie, shef sektori në nivel qendror dhe vendor në Agjencinë e Mbikëqyrjes Policore; </w:t>
      </w:r>
    </w:p>
    <w:p w14:paraId="75B4035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ç) punonjësit që do të emërohen në strukturën e vlerësimit kalimtar/periodik në AMP;</w:t>
      </w:r>
    </w:p>
    <w:p w14:paraId="75B40353" w14:textId="0EED2BFC"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 çdo punonjës që emërohet në pozicionet e përcaktuara në shkronjat “a”, “b”, “c” dhe “d”</w:t>
      </w:r>
      <w:r w:rsidR="008E4ACB">
        <w:rPr>
          <w:rFonts w:ascii="Garamond" w:hAnsi="Garamond" w:cs="Times New Roman"/>
          <w:color w:val="000000"/>
          <w:sz w:val="24"/>
          <w:szCs w:val="24"/>
        </w:rPr>
        <w:t>,</w:t>
      </w:r>
      <w:r w:rsidRPr="003F0A72">
        <w:rPr>
          <w:rFonts w:ascii="Garamond" w:hAnsi="Garamond" w:cs="Times New Roman"/>
          <w:color w:val="000000"/>
          <w:sz w:val="24"/>
          <w:szCs w:val="24"/>
        </w:rPr>
        <w:t xml:space="preserve"> të pikës 1</w:t>
      </w:r>
      <w:r w:rsidR="008E4ACB">
        <w:rPr>
          <w:rFonts w:ascii="Garamond" w:hAnsi="Garamond" w:cs="Times New Roman"/>
          <w:color w:val="000000"/>
          <w:sz w:val="24"/>
          <w:szCs w:val="24"/>
        </w:rPr>
        <w:t>,</w:t>
      </w:r>
      <w:r w:rsidRPr="003F0A72">
        <w:rPr>
          <w:rFonts w:ascii="Garamond" w:hAnsi="Garamond" w:cs="Times New Roman"/>
          <w:color w:val="000000"/>
          <w:sz w:val="24"/>
          <w:szCs w:val="24"/>
        </w:rPr>
        <w:t xml:space="preserve"> të këtij neni bëhet subjekt i vlerësimit. </w:t>
      </w:r>
    </w:p>
    <w:p w14:paraId="75B40354" w14:textId="37B6E22E"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2. Subjektet e vlerësimit, të përcaktuara në pikën 1 të këtij neni, kanë detyrimin të plotësojnë dhe të dorëzojnë formularët e deklarimit të pasurisë, të miratuara me udhëzim të ministrit të </w:t>
      </w:r>
      <w:r w:rsidRPr="003F0A72">
        <w:rPr>
          <w:rFonts w:ascii="Garamond" w:hAnsi="Garamond" w:cs="Times New Roman"/>
          <w:color w:val="000000"/>
          <w:sz w:val="24"/>
          <w:szCs w:val="24"/>
        </w:rPr>
        <w:lastRenderedPageBreak/>
        <w:t xml:space="preserve">Brendshëm dhe </w:t>
      </w:r>
      <w:r w:rsidR="00520AD1" w:rsidRPr="003F0A72">
        <w:rPr>
          <w:rFonts w:ascii="Garamond" w:hAnsi="Garamond" w:cs="Times New Roman"/>
          <w:color w:val="000000"/>
          <w:sz w:val="24"/>
          <w:szCs w:val="24"/>
        </w:rPr>
        <w:t xml:space="preserve">inspektorit të përgjithshëm </w:t>
      </w:r>
      <w:r w:rsidRPr="003F0A72">
        <w:rPr>
          <w:rFonts w:ascii="Garamond" w:hAnsi="Garamond" w:cs="Times New Roman"/>
          <w:color w:val="000000"/>
          <w:sz w:val="24"/>
          <w:szCs w:val="24"/>
        </w:rPr>
        <w:t>të ILDKPKI-së, si dhe formularët e deklarimit të kontrollit të figurës dhe profesionalizmit, të miratuara me udhëzim të ministrit të Brendshëm, brenda 30 ditëve nga hyrja në fuqi e udhëzimit ose nga data e emërimit në funksionet e sipërpërmendura.”.</w:t>
      </w:r>
    </w:p>
    <w:p w14:paraId="75B4035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56"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7</w:t>
      </w:r>
    </w:p>
    <w:p w14:paraId="75B4035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5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sz w:val="24"/>
          <w:szCs w:val="24"/>
        </w:rPr>
      </w:pPr>
      <w:r w:rsidRPr="003F0A72">
        <w:rPr>
          <w:rFonts w:ascii="Garamond" w:hAnsi="Garamond" w:cs="Times New Roman"/>
          <w:color w:val="000000"/>
          <w:sz w:val="24"/>
          <w:szCs w:val="24"/>
        </w:rPr>
        <w:t>1. Kreu II ndryshon titullin si vijon: “Përbërja dhe organizimi i strukturës së vlerësimit”.</w:t>
      </w:r>
    </w:p>
    <w:p w14:paraId="75B4035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sz w:val="24"/>
          <w:szCs w:val="24"/>
        </w:rPr>
        <w:t xml:space="preserve">2. Seksioni I ndryshon titullin si vijon: </w:t>
      </w:r>
      <w:r w:rsidRPr="003F0A72">
        <w:rPr>
          <w:rFonts w:ascii="Garamond" w:hAnsi="Garamond" w:cs="Times New Roman"/>
          <w:color w:val="000000"/>
          <w:sz w:val="24"/>
          <w:szCs w:val="24"/>
        </w:rPr>
        <w:t>“Trupat e vlerësimit të Agjencisë së Mbikëqyrjes Policore”.</w:t>
      </w:r>
    </w:p>
    <w:p w14:paraId="75B4035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5B"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8</w:t>
      </w:r>
    </w:p>
    <w:p w14:paraId="75B4035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5D" w14:textId="3BBD1F18"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Nenet 7, 8 dhe 9</w:t>
      </w:r>
      <w:r w:rsidR="008E4ACB">
        <w:rPr>
          <w:rFonts w:ascii="Garamond" w:hAnsi="Garamond" w:cs="Times New Roman"/>
          <w:color w:val="000000"/>
          <w:sz w:val="24"/>
          <w:szCs w:val="24"/>
        </w:rPr>
        <w:t>,</w:t>
      </w:r>
      <w:r w:rsidRPr="003F0A72">
        <w:rPr>
          <w:rFonts w:ascii="Garamond" w:hAnsi="Garamond" w:cs="Times New Roman"/>
          <w:color w:val="000000"/>
          <w:sz w:val="24"/>
          <w:szCs w:val="24"/>
        </w:rPr>
        <w:t xml:space="preserve"> shfuqizohen.</w:t>
      </w:r>
      <w:r w:rsidR="003F0A72">
        <w:rPr>
          <w:rFonts w:ascii="Garamond" w:hAnsi="Garamond" w:cs="Times New Roman"/>
          <w:color w:val="000000"/>
          <w:sz w:val="24"/>
          <w:szCs w:val="24"/>
        </w:rPr>
        <w:t xml:space="preserve"> </w:t>
      </w:r>
    </w:p>
    <w:p w14:paraId="75B4035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5F"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9</w:t>
      </w:r>
    </w:p>
    <w:p w14:paraId="75B4036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6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Në nenin 10 bëhen shtesat dhe ndryshimet e mëposhtme: </w:t>
      </w:r>
    </w:p>
    <w:p w14:paraId="75B4036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Në titull dhe në pikën 1 të nenit fjalët “të/i Komisionit të Jashtëm të Vlerësimit” zëvendësohen me fjalët “të/i trupave të vlerësimit të AMP-së”. </w:t>
      </w:r>
    </w:p>
    <w:p w14:paraId="75B4036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2. Shkronja “a” ndryshohet si më poshtë: </w:t>
      </w:r>
    </w:p>
    <w:p w14:paraId="75B40364" w14:textId="1A2AD2BD"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“a) të ketë diplomë të nivelit “Master i shkencave” në shkencat juridike,</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ekonomike ose në fushën e sigurisë dhe mbrojtjes.”.</w:t>
      </w:r>
    </w:p>
    <w:p w14:paraId="75B4036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Shkronja “b” ndryshohet si më poshtë: </w:t>
      </w:r>
    </w:p>
    <w:p w14:paraId="75B4036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“b) ka eksperiencë pune jo më pak se 4 vjet në profesion.”. </w:t>
      </w:r>
    </w:p>
    <w:p w14:paraId="75B40367" w14:textId="3DB79024"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4. Shkronja “ë”</w:t>
      </w:r>
      <w:r w:rsidR="00520AD1">
        <w:rPr>
          <w:rFonts w:ascii="Garamond" w:hAnsi="Garamond" w:cs="Times New Roman"/>
          <w:color w:val="000000"/>
          <w:sz w:val="24"/>
          <w:szCs w:val="24"/>
        </w:rPr>
        <w:t>,</w:t>
      </w:r>
      <w:r w:rsidRPr="003F0A72">
        <w:rPr>
          <w:rFonts w:ascii="Garamond" w:hAnsi="Garamond" w:cs="Times New Roman"/>
          <w:color w:val="000000"/>
          <w:sz w:val="24"/>
          <w:szCs w:val="24"/>
        </w:rPr>
        <w:t xml:space="preserve"> e pikës 1, pikat 2 dhe 3</w:t>
      </w:r>
      <w:r w:rsidR="00520AD1">
        <w:rPr>
          <w:rFonts w:ascii="Garamond" w:hAnsi="Garamond" w:cs="Times New Roman"/>
          <w:color w:val="000000"/>
          <w:sz w:val="24"/>
          <w:szCs w:val="24"/>
        </w:rPr>
        <w:t>,</w:t>
      </w:r>
      <w:r w:rsidRPr="003F0A72">
        <w:rPr>
          <w:rFonts w:ascii="Garamond" w:hAnsi="Garamond" w:cs="Times New Roman"/>
          <w:color w:val="000000"/>
          <w:sz w:val="24"/>
          <w:szCs w:val="24"/>
        </w:rPr>
        <w:t xml:space="preserve"> shfuqizohen.</w:t>
      </w:r>
      <w:r w:rsidR="003F0A72">
        <w:rPr>
          <w:rFonts w:ascii="Garamond" w:hAnsi="Garamond" w:cs="Times New Roman"/>
          <w:color w:val="000000"/>
          <w:sz w:val="24"/>
          <w:szCs w:val="24"/>
        </w:rPr>
        <w:t xml:space="preserve"> </w:t>
      </w:r>
    </w:p>
    <w:p w14:paraId="75B4036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69"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10</w:t>
      </w:r>
    </w:p>
    <w:p w14:paraId="75B4036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6B" w14:textId="46218C38"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Nenet 11, 12 dhe 13</w:t>
      </w:r>
      <w:r w:rsidR="00520AD1">
        <w:rPr>
          <w:rFonts w:ascii="Garamond" w:hAnsi="Garamond" w:cs="Times New Roman"/>
          <w:color w:val="000000"/>
          <w:sz w:val="24"/>
          <w:szCs w:val="24"/>
        </w:rPr>
        <w:t>,</w:t>
      </w:r>
      <w:r w:rsidRPr="003F0A72">
        <w:rPr>
          <w:rFonts w:ascii="Garamond" w:hAnsi="Garamond" w:cs="Times New Roman"/>
          <w:color w:val="000000"/>
          <w:sz w:val="24"/>
          <w:szCs w:val="24"/>
        </w:rPr>
        <w:t xml:space="preserve"> shfuqizohen.</w:t>
      </w:r>
    </w:p>
    <w:p w14:paraId="75B4036C"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11</w:t>
      </w:r>
    </w:p>
    <w:p w14:paraId="75B4036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6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Seksioni IV ndryshon titullin si vijon: “Seksioni IV “Detyrat dhe përgjegjësitë e drejtuesit dhe anëtarëve të trupave të vlerësimit të Agjencisë së Mbikëqyrjes Policore””.</w:t>
      </w:r>
    </w:p>
    <w:p w14:paraId="75B4036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70"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12</w:t>
      </w:r>
    </w:p>
    <w:p w14:paraId="75B4037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7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24 ndryshohet si më poshtë:</w:t>
      </w:r>
    </w:p>
    <w:p w14:paraId="75B4037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74"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24</w:t>
      </w:r>
    </w:p>
    <w:p w14:paraId="75B40375"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Drejtuesi i trupave të vlerësimit</w:t>
      </w:r>
    </w:p>
    <w:p w14:paraId="75B4037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7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Trupat e vlerësimit drejtohen nga drejtuesi i strukturës së vlerësimit, që ka kaluar procesin e vlerësimit kalimtar.</w:t>
      </w:r>
    </w:p>
    <w:p w14:paraId="75B4037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Drejtuesi i strukturës së vlerësimit është punonjës i AMP-së, që mbikëqyr nga ana administrative punonjësit e trupave të vlerësimit në përmbushjen e detyrave të tyre, si dhe kryen detyra të tjera koordinuese në interes dhe në mbështetje të procesit të vlerësimit në tërësi, duke mos ndikuar në proces dhe në vendimmarrje.</w:t>
      </w:r>
    </w:p>
    <w:p w14:paraId="75B4037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Drejtuesi i trupave të vlerësimit ka këto kompetenca:</w:t>
      </w:r>
    </w:p>
    <w:p w14:paraId="75B4037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a) drejton procedurën e hedhjes së shortit të anëtarëve të trupave të vlerësimit;</w:t>
      </w:r>
    </w:p>
    <w:p w14:paraId="75B4037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b) bashkërendon punën në trupat e vlerësimit;</w:t>
      </w:r>
    </w:p>
    <w:p w14:paraId="75B4037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lastRenderedPageBreak/>
        <w:t>c) i propozon titullarit të institucionit projektakte, programe, dokumente strategjike ose materiale të ndryshme për garantimin e ushtrimit të veprimtarisë së trupave të vlerësimit;</w:t>
      </w:r>
    </w:p>
    <w:p w14:paraId="75B4037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ç) nënshkruan të gjitha aktet e trupave të vlerësimit, me përjashtim të vendimeve për rezultatin e vlerësimit, të cilat nënshkruhen nga trupat e vlerësimit;</w:t>
      </w:r>
    </w:p>
    <w:p w14:paraId="75B4037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 merr masa për sigurimin e kushteve optimale për zhvillimin e veprimtarisë së trupave të vlerësimit;</w:t>
      </w:r>
    </w:p>
    <w:p w14:paraId="75B4037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dh) mbikëqyr ecurinë e procesit administrativ dhe respektimin e afateve nga trupat e vlerësimit.”.</w:t>
      </w:r>
    </w:p>
    <w:p w14:paraId="75B4038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81"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13</w:t>
      </w:r>
    </w:p>
    <w:p w14:paraId="75B4038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83" w14:textId="4E7C4045"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25</w:t>
      </w:r>
      <w:r w:rsidR="00520AD1">
        <w:rPr>
          <w:rFonts w:ascii="Garamond" w:hAnsi="Garamond" w:cs="Times New Roman"/>
          <w:color w:val="000000"/>
          <w:sz w:val="24"/>
          <w:szCs w:val="24"/>
        </w:rPr>
        <w:t>,</w:t>
      </w:r>
      <w:r w:rsidRPr="003F0A72">
        <w:rPr>
          <w:rFonts w:ascii="Garamond" w:hAnsi="Garamond" w:cs="Times New Roman"/>
          <w:color w:val="000000"/>
          <w:sz w:val="24"/>
          <w:szCs w:val="24"/>
        </w:rPr>
        <w:t xml:space="preserve"> shkronja “d”</w:t>
      </w:r>
      <w:r w:rsidR="00520AD1">
        <w:rPr>
          <w:rFonts w:ascii="Garamond" w:hAnsi="Garamond" w:cs="Times New Roman"/>
          <w:color w:val="000000"/>
          <w:sz w:val="24"/>
          <w:szCs w:val="24"/>
        </w:rPr>
        <w:t>,</w:t>
      </w:r>
      <w:r w:rsidRPr="003F0A72">
        <w:rPr>
          <w:rFonts w:ascii="Garamond" w:hAnsi="Garamond" w:cs="Times New Roman"/>
          <w:color w:val="000000"/>
          <w:sz w:val="24"/>
          <w:szCs w:val="24"/>
        </w:rPr>
        <w:t xml:space="preserve"> e pikës 1</w:t>
      </w:r>
      <w:r w:rsidR="00520AD1">
        <w:rPr>
          <w:rFonts w:ascii="Garamond" w:hAnsi="Garamond" w:cs="Times New Roman"/>
          <w:color w:val="000000"/>
          <w:sz w:val="24"/>
          <w:szCs w:val="24"/>
        </w:rPr>
        <w:t>,</w:t>
      </w:r>
      <w:r w:rsidRPr="003F0A72">
        <w:rPr>
          <w:rFonts w:ascii="Garamond" w:hAnsi="Garamond" w:cs="Times New Roman"/>
          <w:color w:val="000000"/>
          <w:sz w:val="24"/>
          <w:szCs w:val="24"/>
        </w:rPr>
        <w:t xml:space="preserve"> shfuqizohet. </w:t>
      </w:r>
    </w:p>
    <w:p w14:paraId="75B4038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85"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14</w:t>
      </w:r>
    </w:p>
    <w:p w14:paraId="75B4038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87" w14:textId="631F5E52"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26</w:t>
      </w:r>
      <w:r w:rsidR="00520AD1">
        <w:rPr>
          <w:rFonts w:ascii="Garamond" w:hAnsi="Garamond" w:cs="Times New Roman"/>
          <w:color w:val="000000"/>
          <w:sz w:val="24"/>
          <w:szCs w:val="24"/>
        </w:rPr>
        <w:t>,</w:t>
      </w:r>
      <w:r w:rsidRPr="003F0A72">
        <w:rPr>
          <w:rFonts w:ascii="Garamond" w:hAnsi="Garamond" w:cs="Times New Roman"/>
          <w:color w:val="000000"/>
          <w:sz w:val="24"/>
          <w:szCs w:val="24"/>
        </w:rPr>
        <w:t xml:space="preserve"> shfuqizohet.</w:t>
      </w:r>
    </w:p>
    <w:p w14:paraId="75B4038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89"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15</w:t>
      </w:r>
    </w:p>
    <w:p w14:paraId="75B4038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8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27 bëhen ndryshimet e mëposhtme:</w:t>
      </w:r>
    </w:p>
    <w:p w14:paraId="75B4038C" w14:textId="047EEBCF"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Në titullin e nenit dhe në pikën 1 emërtimi “Komisionit të Jashtëm të Vlerësimit” zëvendësohet me emërtimin “Trupave të vlerësimit”.</w:t>
      </w:r>
      <w:r w:rsidR="003F0A72">
        <w:rPr>
          <w:rFonts w:ascii="Garamond" w:hAnsi="Garamond" w:cs="Times New Roman"/>
          <w:color w:val="000000"/>
          <w:sz w:val="24"/>
          <w:szCs w:val="24"/>
        </w:rPr>
        <w:t xml:space="preserve"> </w:t>
      </w:r>
    </w:p>
    <w:p w14:paraId="75B4038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Në pikën 1 fjalët “marrjen e detyrës” zëvendësohen me fjalët “pranimin e dosjes së subjektit nga ana e”.</w:t>
      </w:r>
    </w:p>
    <w:p w14:paraId="75B4038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Fjalia hyrëse e pikës 2 ndryshohet si më poshtë: </w:t>
      </w:r>
    </w:p>
    <w:p w14:paraId="75B4038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“2. Anëtari i trupave të vlerësimit, përveç shkeljeve të normuara në ligjin organik të AMP-së, përjashtohet nga detyra/ndërpret marrëdhëniet e punës edhe në rastet e”. </w:t>
      </w:r>
    </w:p>
    <w:p w14:paraId="75B4039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4. Në shkronjën “c” të pikës 2 fjalët “të kryetarit ose të organeve kompetente” zëvendësohen me fjalët “të drejtuesit të strukturës”. </w:t>
      </w:r>
    </w:p>
    <w:p w14:paraId="75B4039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92"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16</w:t>
      </w:r>
    </w:p>
    <w:p w14:paraId="75B4039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9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28 ndryshohet si më poshtë:</w:t>
      </w:r>
    </w:p>
    <w:p w14:paraId="75B4039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96"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28</w:t>
      </w:r>
    </w:p>
    <w:p w14:paraId="75B40397"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Procedurat për përjashtimin e anëtarëve të trupave të vlerësimit</w:t>
      </w:r>
    </w:p>
    <w:p w14:paraId="75B4039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9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Në rast se ka të dhëna të mjaftueshme nga burime të vërtetuara se anëtari i trupave të vlerësimit ka kryer një shkelje disiplinore, ndaj tij fillon hetimi disiplinor nga një komision disiplinor sipas ligjit organik të Agjencisë së Mbikëqyrjes Policore.</w:t>
      </w:r>
    </w:p>
    <w:p w14:paraId="75B4039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Anëtari i trupave të vlerësimit, i cili i nënshtrohet procedimit disiplinor, ka të drejtë të informohet, të mbrohet dhe të dëgjohet gjatë procedimit disiplinor.</w:t>
      </w:r>
    </w:p>
    <w:p w14:paraId="75B4039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Në përfundim të procedurës, komisioni disiplinor vendos për përjashtimin ose jo të anëtarit ndaj të cilit zhvillohet procedimi disiplinor.</w:t>
      </w:r>
    </w:p>
    <w:p w14:paraId="75B4039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4. Për zëvendësimin e anëtarit të shkarkuar caktohen në detyrë anëtarët zëvendësues dhe në rast pamjaftueshmërie, zbatohen procedurat e parashikuara për përzgjedhjen e tij.”.</w:t>
      </w:r>
    </w:p>
    <w:p w14:paraId="75B4039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9E"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17</w:t>
      </w:r>
    </w:p>
    <w:p w14:paraId="75B4039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A0" w14:textId="505F83A8"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30</w:t>
      </w:r>
      <w:r w:rsidR="0017115E">
        <w:rPr>
          <w:rFonts w:ascii="Garamond" w:hAnsi="Garamond" w:cs="Times New Roman"/>
          <w:color w:val="000000"/>
          <w:sz w:val="24"/>
          <w:szCs w:val="24"/>
        </w:rPr>
        <w:t>,</w:t>
      </w:r>
      <w:r w:rsidRPr="003F0A72">
        <w:rPr>
          <w:rFonts w:ascii="Garamond" w:hAnsi="Garamond" w:cs="Times New Roman"/>
          <w:color w:val="000000"/>
          <w:sz w:val="24"/>
          <w:szCs w:val="24"/>
        </w:rPr>
        <w:t xml:space="preserve"> shfuqizohet</w:t>
      </w:r>
      <w:r w:rsidR="0017115E">
        <w:rPr>
          <w:rFonts w:ascii="Garamond" w:hAnsi="Garamond" w:cs="Times New Roman"/>
          <w:color w:val="000000"/>
          <w:sz w:val="24"/>
          <w:szCs w:val="24"/>
        </w:rPr>
        <w:t>.</w:t>
      </w:r>
      <w:r w:rsidRPr="003F0A72">
        <w:rPr>
          <w:rFonts w:ascii="Garamond" w:hAnsi="Garamond" w:cs="Times New Roman"/>
          <w:color w:val="000000"/>
          <w:sz w:val="24"/>
          <w:szCs w:val="24"/>
        </w:rPr>
        <w:t xml:space="preserve"> </w:t>
      </w:r>
    </w:p>
    <w:p w14:paraId="75B403A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A2"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lastRenderedPageBreak/>
        <w:t>Neni 18</w:t>
      </w:r>
    </w:p>
    <w:p w14:paraId="75B403A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A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w:t>
      </w:r>
      <w:r w:rsidR="00BE5EE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Pika 1 e nenit 32 ndryshohet si më poshtë:</w:t>
      </w:r>
    </w:p>
    <w:p w14:paraId="75B403A5" w14:textId="77777777" w:rsidR="00831F1F" w:rsidRPr="003F0A72" w:rsidRDefault="00BE5EE2"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 </w:t>
      </w:r>
      <w:r w:rsidR="00831F1F" w:rsidRPr="003F0A72">
        <w:rPr>
          <w:rFonts w:ascii="Garamond" w:hAnsi="Garamond" w:cs="Times New Roman"/>
          <w:color w:val="000000"/>
          <w:sz w:val="24"/>
          <w:szCs w:val="24"/>
        </w:rPr>
        <w:t>“1. Subjekti i vlerësimit dhe personat e lidhur me të deklarojnë çdo pasuri, të luajtshme apo të paluajtshme, të fituar, poseduar, përdorur apo tjetërsuar, nga data e fillimit të punës në institucionin e Policisë së Shtetit, Gardës së Republikës dhe Agjencisë së Mbikëqyrjes Policore deri në ditën e plotësimit të formularit të deklarimit të pasurisë.”.</w:t>
      </w:r>
    </w:p>
    <w:p w14:paraId="75B403A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Pas pikës 1 shtohet pika 1.1 me këtë përmbajtje:</w:t>
      </w:r>
    </w:p>
    <w:p w14:paraId="75B403A7" w14:textId="15D06AE8"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“1.1 Subjekti i vlerësimit dhe personat e lidhur me të kanë detyrimin për të justifikuar ligjshmërinë e burimit të krijimit të pasurive në rastet e përcaktuara në pikën 1 të këtij neni nga viti 2008 dhe në vijim.”.</w:t>
      </w:r>
    </w:p>
    <w:p w14:paraId="75B403A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Në pikën 2 fjalët “këtij ligji” zëvendësohen me fjalët “e udhëzimit të ministrit të Brendshëm ose nga data e emërimit në funksionet objekt vlerësimi.”. </w:t>
      </w:r>
    </w:p>
    <w:p w14:paraId="75B403A9" w14:textId="1A16602D"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4. Në pikën 3 të nenit 32 fjala “detyra” zëvendësohet nga fjalët “pozicionet e përcaktuara në nenin 6 të këtij ligji”.</w:t>
      </w:r>
      <w:r w:rsidR="003F0A72">
        <w:rPr>
          <w:rFonts w:ascii="Garamond" w:hAnsi="Garamond" w:cs="Times New Roman"/>
          <w:color w:val="000000"/>
          <w:sz w:val="24"/>
          <w:szCs w:val="24"/>
        </w:rPr>
        <w:t xml:space="preserve"> </w:t>
      </w:r>
    </w:p>
    <w:p w14:paraId="75B403AA" w14:textId="6774624E"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5. Në pikën 5 të nenit 32 fjala “mund” zëvendësohet me fjalën “duhet”.</w:t>
      </w:r>
      <w:r w:rsidR="003F0A72">
        <w:rPr>
          <w:rFonts w:ascii="Garamond" w:hAnsi="Garamond" w:cs="Times New Roman"/>
          <w:color w:val="000000"/>
          <w:sz w:val="24"/>
          <w:szCs w:val="24"/>
        </w:rPr>
        <w:t xml:space="preserve"> </w:t>
      </w:r>
    </w:p>
    <w:p w14:paraId="75B403A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AC"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19</w:t>
      </w:r>
    </w:p>
    <w:p w14:paraId="75B403A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A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Neni 33 ndryshohet si më poshtë: </w:t>
      </w:r>
    </w:p>
    <w:p w14:paraId="75B403A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B0" w14:textId="77777777" w:rsidR="00831F1F" w:rsidRPr="003F0A72" w:rsidRDefault="00BE5EE2"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 xml:space="preserve"> </w:t>
      </w:r>
      <w:r w:rsidR="00831F1F" w:rsidRPr="003F0A72">
        <w:rPr>
          <w:rFonts w:ascii="Garamond" w:hAnsi="Garamond" w:cs="Times New Roman"/>
          <w:color w:val="000000"/>
          <w:sz w:val="24"/>
          <w:szCs w:val="24"/>
        </w:rPr>
        <w:t>“Neni 33</w:t>
      </w:r>
    </w:p>
    <w:p w14:paraId="75B403B1"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sz w:val="24"/>
          <w:szCs w:val="24"/>
        </w:rPr>
      </w:pPr>
      <w:r w:rsidRPr="003F0A72">
        <w:rPr>
          <w:rFonts w:ascii="Garamond" w:hAnsi="Garamond" w:cs="Times New Roman"/>
          <w:b/>
          <w:bCs/>
          <w:color w:val="000000"/>
          <w:sz w:val="24"/>
          <w:szCs w:val="24"/>
        </w:rPr>
        <w:t>Deklarimi i pasurisë</w:t>
      </w:r>
    </w:p>
    <w:p w14:paraId="75B403B2"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p>
    <w:p w14:paraId="75B403B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Subjekti, i cili i nënshtrohet vlerësimit, deklaron:</w:t>
      </w:r>
    </w:p>
    <w:p w14:paraId="75B403B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a) të gjitha pasuritë e akumuluara ndër vite deri në datën e dorëzimit të formularit të deklaratës së pasurisë, burimet e krijimit të tyre dhe të drejtat reale mbi to, brenda dhe jashtë territorit të Shqipërisë, në pronësi, në posedim, në përdorim, ose të tjetërsuara nga subjekti i vlerësimit apo në bashkëpronësi të tij me bashkëshortin/en, bashkëjetuesin/en, fëmijët në moshë madhore dhe/ose me persona të tjerë si më poshtë:</w:t>
      </w:r>
    </w:p>
    <w:p w14:paraId="75B403B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i. pasuritë e paluajtshme dhe të drejtat reale mbi to;</w:t>
      </w:r>
    </w:p>
    <w:p w14:paraId="75B403B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ii. pasuritë e luajtshme të regjistrueshme në regjistrat publikë dhe të drejtat reale mbi to;</w:t>
      </w:r>
    </w:p>
    <w:p w14:paraId="75B403B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iii. sendet me vlerë të veçantë mbi 300 000 lekë;</w:t>
      </w:r>
    </w:p>
    <w:p w14:paraId="75B403B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iv. vlerën e aksioneve, të letrave me vlerë dhe pjesët e kapitalit në zotërim;</w:t>
      </w:r>
    </w:p>
    <w:p w14:paraId="75B403B9" w14:textId="094672EC"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v. vlerën e likuiditeteve, gjendje në kesh jashtë sistemit bankar, në llogari rrjedhëse, në depozitë, në bono thesari, në huadhënie, apo mjete të tjera financiare, në lekë ose në valutë të huaj</w:t>
      </w:r>
      <w:r w:rsidR="00EA6FA1">
        <w:rPr>
          <w:rFonts w:ascii="Garamond" w:hAnsi="Garamond" w:cs="Times New Roman"/>
          <w:color w:val="000000"/>
          <w:sz w:val="24"/>
          <w:szCs w:val="24"/>
        </w:rPr>
        <w:t>;</w:t>
      </w:r>
      <w:r w:rsidR="003F0A72">
        <w:rPr>
          <w:rFonts w:ascii="Garamond" w:hAnsi="Garamond" w:cs="Times New Roman"/>
          <w:color w:val="000000"/>
          <w:sz w:val="24"/>
          <w:szCs w:val="24"/>
        </w:rPr>
        <w:t xml:space="preserve"> </w:t>
      </w:r>
    </w:p>
    <w:p w14:paraId="75B403BA" w14:textId="78426480"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b) të ardhurat nga paga, nga angazhime në veprimtari private dhe/ose publike, me qëllim fitimi dhe çdo lloj veprimtarie të kryer brenda dhe jashtë vendit, që ka krijuar të ardhura, si dhe angazhime në organizata fitimprurëse dhe jofitimprurëse, licenca dhe patenta, që sjellin fitim, sindikata ose organizata profesionale, politike, shtetërore dhe pjesëmarrje në çdo organizatë tjetër të subjektit të vlerësimit dhe personave të lidhur me të për periudhën nga momenti i fillimit të detyrës deri në datën e dorëzimit të formularit të deklaratës së pasurisë</w:t>
      </w:r>
      <w:r w:rsidR="00EA6FA1">
        <w:rPr>
          <w:rFonts w:ascii="Garamond" w:hAnsi="Garamond" w:cs="Times New Roman"/>
          <w:color w:val="000000"/>
          <w:sz w:val="24"/>
          <w:szCs w:val="24"/>
        </w:rPr>
        <w:t>;</w:t>
      </w:r>
    </w:p>
    <w:p w14:paraId="75B403BB" w14:textId="4611A2A0"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c) detyrimet financiare ndaj personave juridikë dhe fizikë (kredi, huamarrje, detyrim ndaj të tretëve, etj.), që ekzistojnë brenda dhe jashtë territorit të Shqipërisë, të mbetura ende pa u shlyer deri në datën e dorëzimit të formularit të deklaratës së pasurisë</w:t>
      </w:r>
      <w:r w:rsidR="00EA6FA1">
        <w:rPr>
          <w:rFonts w:ascii="Garamond" w:hAnsi="Garamond" w:cs="Times New Roman"/>
          <w:color w:val="000000"/>
          <w:sz w:val="24"/>
          <w:szCs w:val="24"/>
        </w:rPr>
        <w:t>;</w:t>
      </w:r>
    </w:p>
    <w:p w14:paraId="75B403BC" w14:textId="53236CC9"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ç)</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shpenzimet e vitit të fundit për qira banese, ujë, drita, telefon dhe internet, si dhe të gjitha</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pagesat periodike për kontratat e furnizimit apo pajtimit në emër të tij ose të personave të lidhur;</w:t>
      </w:r>
    </w:p>
    <w:p w14:paraId="75B403BD" w14:textId="536564C6"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 udhëtimet private personale apo të personave të lidhur jashtë territorit shqiptar gjatë 3 (tre) vjetëve të fundit, duke specifikuar shtetin, vendin e qëndrimit, kohëzgjatjen, shpenzimet e përballuara</w:t>
      </w:r>
      <w:r w:rsidR="00EA6FA1">
        <w:rPr>
          <w:rFonts w:ascii="Garamond" w:hAnsi="Garamond" w:cs="Times New Roman"/>
          <w:color w:val="000000"/>
          <w:sz w:val="24"/>
          <w:szCs w:val="24"/>
        </w:rPr>
        <w:t>;</w:t>
      </w:r>
    </w:p>
    <w:p w14:paraId="75B403B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lastRenderedPageBreak/>
        <w:t xml:space="preserve">dh) arsimin e fëmijëve, madhorë apo të mitur, në momentin e deklarimit apo të personave të lidhur, duke deklaruar fillimin, llojin e institucionit arsimor, emrin e institucionit, pagesat vjetore, si dhe kohëzgjatjen e studimeve, sipas periudhës së përcaktuar në nenin 32. </w:t>
      </w:r>
    </w:p>
    <w:p w14:paraId="75B403B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Të gjitha subjektet e vlerësimit dhe personat e lidhur, bashkëshorti/ja, bashkëjetuesi/ja dhe fëmijët në moshë madhore, të cilët bëhen subjekte të këtij ligji dhe plotësojnë deklaratën e pasurisë, nuk mund të mbajnë dhe të deklarojnë gjendje në kesh jashtë sistemit bankar mbi shumën 1,5 milionë lekë. Depozitimi në institucionet bankare i gjendjeve kesh mbi vlerën 1,5 milionë lekë është i detyrueshëm përpara dorëzimit të deklaratës së pasurisë pranë njësisë së burimeve njerëzore.</w:t>
      </w:r>
    </w:p>
    <w:p w14:paraId="75B403C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Nëse subjekti i vlerësimit është në pamundësi objektive për të disponuar dokumentin, që justifikon ligjshmërinë e krijimit të pasurive, duhet t’u vërtetojë trupave të vlerësimit se dokumenti është zhdukur, ka humbur, nuk mund të bëhet përsëri ose nuk merret në rrugë të tjera. Trupat e vlerësimit vendosin nëse mosparaqitja e dokumenteve justifikuese është për shkaqe të arsyeshme. Ky rregull zbatohet edhe në ato raste kur organi përgjegjës për lëshimin e dokumenteve justifikuese nuk përgjigjet brenda afatit ligjor.</w:t>
      </w:r>
    </w:p>
    <w:p w14:paraId="75B403C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4. Subjekti i vlerësimit dhe personat e lidhur me të kanë detyrimin për të justifikuar ligjshmërinë e burimit të krijimit të pasurive sipas përcaktimeve të pikës 2 të nenit 32 të këtij ligji. Ndërsa për personat e tjerë të lidhur në cilësinë e dhuruesit, huadhënësit ose huamarrësit, detyrimin për të justifikuar burimin e krijimit të pasurisë e ka subjekti i vlerësimit.</w:t>
      </w:r>
    </w:p>
    <w:p w14:paraId="75B403C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C3"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20</w:t>
      </w:r>
    </w:p>
    <w:p w14:paraId="75B403C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C5" w14:textId="775E6A25"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Pas nenit</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33 shtohet neni 33/1 me këtë përmbajtje:</w:t>
      </w:r>
    </w:p>
    <w:p w14:paraId="75B403C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C7"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33/1</w:t>
      </w:r>
    </w:p>
    <w:p w14:paraId="75B403C8"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Procedura e vlerësimit të pasurisë nga ILDKPKI-ja</w:t>
      </w:r>
    </w:p>
    <w:p w14:paraId="75B403C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C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Pas dërgimit të listave me emrat e subjekteve të vlerësimit të shortuar, deklaratave të pasurive dhe dokumentacionin që shoqëron ato pranë Inspektoratit të Lartë të Deklarimit dhe Kontrollit të Pasurive dhe Konfliktit të Interesave, ky i fundit kryen kontrollin e saktësisë dhe të vërtetësisë së deklarimit brenda 120 ditëve. </w:t>
      </w:r>
    </w:p>
    <w:p w14:paraId="75B403C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2. ILDKPKI-ja, bazuar në deklarimet e pasurive, zhvillon një procedurë të plotë kontrolli në përputhje me ligjin “Për deklarimin dhe kontrollin e pasurive, detyrimeve financiare të personave të zgjedhur dhe nëpunësve të caktuar publikë”, ligjin “Për parandalimin e konfliktit të interesave në ushtrimin e funksioneve publike” dhe Kodin e Procedurave Administrative. </w:t>
      </w:r>
    </w:p>
    <w:p w14:paraId="75B403C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Në përfundim të kontrollit, ILDKPKI-ja përgatit një raport të hollësishëm dhe të arsyetuar, sipas rastit dhe konstaton se: </w:t>
      </w:r>
    </w:p>
    <w:p w14:paraId="75B403C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a) deklarimi është i saktë, në përputhje me ligjin, me burimet e ligjshme financiare; </w:t>
      </w:r>
    </w:p>
    <w:p w14:paraId="75B403C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b) ka mungesë të burimeve financiare të ligjshme për të justifikuar pasuritë; </w:t>
      </w:r>
    </w:p>
    <w:p w14:paraId="75B403C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c) është kryer fshehje e pasurisë;</w:t>
      </w:r>
    </w:p>
    <w:p w14:paraId="75B403D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ç) është kryer deklarim i rremë; </w:t>
      </w:r>
    </w:p>
    <w:p w14:paraId="75B403D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 subjekti gjendet në situatën e konfliktit të interesit;</w:t>
      </w:r>
    </w:p>
    <w:p w14:paraId="75B403D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dh) deklarimi është i pasaktë, mungesë dokumentacioni justifikues. </w:t>
      </w:r>
    </w:p>
    <w:p w14:paraId="75B403D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4. Në rastet e përcaktuara në pikën 3, shkronja “dh”, ILDKPKI-ja duhet të argumentojë dhe arsyetojë saktësisht në raport llojin e pasurive, që nuk kanë dokumentacion justifikues dhe kohën e krijimit të tyre.”.</w:t>
      </w:r>
    </w:p>
    <w:p w14:paraId="75B403D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D5"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21</w:t>
      </w:r>
    </w:p>
    <w:p w14:paraId="75B403D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D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34 bëhen këto shtesa dhe ndryshime:</w:t>
      </w:r>
    </w:p>
    <w:p w14:paraId="75B403D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Hiqet emërtimi “ose Shërbimi për Çështjet e Brendshme dhe Ankesat”. </w:t>
      </w:r>
    </w:p>
    <w:p w14:paraId="75B403D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lastRenderedPageBreak/>
        <w:t xml:space="preserve">2. Pika 3 ndryshohet si më poshtë: </w:t>
      </w:r>
    </w:p>
    <w:p w14:paraId="75B403D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ILDKPKI-ja vë në dispozicion raportin e hollësishëm dhe të arsyetuar, që ka përgatitur sipas nenit 33/1 të këtij ligji.”. </w:t>
      </w:r>
    </w:p>
    <w:p w14:paraId="75B403DB" w14:textId="73D7EFB8"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Pas pikës 3 shtohet pikat 3.1</w:t>
      </w:r>
      <w:r w:rsidR="00EA6FA1">
        <w:rPr>
          <w:rFonts w:ascii="Garamond" w:hAnsi="Garamond" w:cs="Times New Roman"/>
          <w:color w:val="000000"/>
          <w:sz w:val="24"/>
          <w:szCs w:val="24"/>
        </w:rPr>
        <w:t>,</w:t>
      </w:r>
      <w:r w:rsidRPr="003F0A72">
        <w:rPr>
          <w:rFonts w:ascii="Garamond" w:hAnsi="Garamond" w:cs="Times New Roman"/>
          <w:color w:val="000000"/>
          <w:sz w:val="24"/>
          <w:szCs w:val="24"/>
        </w:rPr>
        <w:t xml:space="preserve"> me këtë përmbajtje:</w:t>
      </w:r>
    </w:p>
    <w:p w14:paraId="75B403D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“3.1 Trupat e vlerësimit të Agjencisë së Mbikëqyrjes Policore kryejnë verifikim të pavarur, sipas procedurave të përcaktuara në këtë nen, brenda 60 ditëve nga vënia në dispozicion e raportit të ILDKPKI-së, me të drejtë shtyrje deri në 30 ditë dhe merr vendim.”.</w:t>
      </w:r>
    </w:p>
    <w:p w14:paraId="75B403D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4. Pika 4 shfuqizohet. </w:t>
      </w:r>
    </w:p>
    <w:p w14:paraId="75B403D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5. Në shkronjën “b” të pikës 6 hiqen fjalët “kur rezulton se ka deklaruar më shumë se dyfishin e pasurisë së ligjshme gjatë vlerësimit të pasurisë, përfshirë edhe personat e lidhur me të.”. </w:t>
      </w:r>
    </w:p>
    <w:p w14:paraId="75B403D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E0"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22</w:t>
      </w:r>
    </w:p>
    <w:p w14:paraId="75B403E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E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Neni 35 ndryshohet si më poshtë: </w:t>
      </w:r>
    </w:p>
    <w:p w14:paraId="75B403E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E4"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35</w:t>
      </w:r>
    </w:p>
    <w:p w14:paraId="75B403E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E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Objekti i kontrollit të figurës është verifikimi i deklarimeve të punonjësit dhe i të dhënave të institucioneve, me qëllim verifikimin e vërtetësisë dhe besueshmërisë së deklarimeve, si dhe identifikimi i atyre që janë të përfshirë apo të dyshuar për përfshirje në krimin e organizuar, kanë kontakte të papërshtatshme me personat e përfshirë ose të dyshuar për përfshirje në krimin e organizuar.”.</w:t>
      </w:r>
    </w:p>
    <w:p w14:paraId="75B403E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E8"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23</w:t>
      </w:r>
    </w:p>
    <w:p w14:paraId="75B403E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E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36 bëhen shtesat dhe ndryshimet e mëposhtme:</w:t>
      </w:r>
    </w:p>
    <w:p w14:paraId="75B403E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Në pikën 1 fjala “tij” zëvendësohet me fjalët “udhëzimit të ministrit të Brendshëm, ose nga data e emërimit në funksionet objekt vlerësimi.”. </w:t>
      </w:r>
    </w:p>
    <w:p w14:paraId="75B403E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Pas pikës 1 shtohet pika 1.1 me këtë përmbajtje:</w:t>
      </w:r>
    </w:p>
    <w:p w14:paraId="75B403E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“1.1 “Nëse punonjësi nuk dorëzon formularin e deklaratës së kontrollit të figurës sipas përcaktimit të pikës 1 të këtij neni, ai largohet nga pozicionet e përcaktuara në nenin 6 të këtij ligji.”.</w:t>
      </w:r>
    </w:p>
    <w:p w14:paraId="75B403E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Në pikën 2 fjalët “komisionin përkatës” zëvendësohen me fjalën “institucionin”.</w:t>
      </w:r>
    </w:p>
    <w:p w14:paraId="75B403E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4. Në shkronjën “c” të pikës 3 hiqet shprehja “për të dhënat që ky institucion disponon”. </w:t>
      </w:r>
    </w:p>
    <w:p w14:paraId="75B403F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5. Shkronja “dh” shfuqizohet dhe pas shkronjës “ë” shtohet shkronja “f” me këtë përmbajtje: </w:t>
      </w:r>
    </w:p>
    <w:p w14:paraId="75B403F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“f) bashkëpunimit me Agjencinë e Inteligjencës dhe Sigurisë së Mbrojtjes në rast se ka informacione për subjektin e vlerësimit.”. </w:t>
      </w:r>
    </w:p>
    <w:p w14:paraId="75B403F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F3"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24</w:t>
      </w:r>
    </w:p>
    <w:p w14:paraId="75B403F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F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37 bëhen ndryshimet e mëposhtme:</w:t>
      </w:r>
    </w:p>
    <w:p w14:paraId="75B403F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Pika 1 ndryshohet si më poshtë:</w:t>
      </w:r>
    </w:p>
    <w:p w14:paraId="75B403F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Për kontrollin e figurës së punonjësit, institucioni i vlerësimit i drejtohet Drejtorisë së Sigurisë së Informacionit të Klasifikuar, Shërbimit Informativ të Shtetit, Agjencisë së Inteligjencës dhe Sigurisë së Mbrojtjes, Drejtorisë së Përgjithshme të Parandalimit dhe Pastrimit të Parave, Agjencisë së Mbikëqyrjes Policore, strukturave apo njësive të Drejtorisë së Përgjithshme të Policisë së Shtetit për informacione ose të dhëna të tjera që mund të kenë këto institucione brenda fushës së veprimtarisë, apo shërbimeve të tjera informative brenda vendit.”</w:t>
      </w:r>
    </w:p>
    <w:p w14:paraId="75B403F8" w14:textId="095A202D"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Pikat 2 dhe 3</w:t>
      </w:r>
      <w:r w:rsidR="003F23A7">
        <w:rPr>
          <w:rFonts w:ascii="Garamond" w:hAnsi="Garamond" w:cs="Times New Roman"/>
          <w:color w:val="000000"/>
          <w:sz w:val="24"/>
          <w:szCs w:val="24"/>
        </w:rPr>
        <w:t>,</w:t>
      </w:r>
      <w:r w:rsidRPr="003F0A72">
        <w:rPr>
          <w:rFonts w:ascii="Garamond" w:hAnsi="Garamond" w:cs="Times New Roman"/>
          <w:color w:val="000000"/>
          <w:sz w:val="24"/>
          <w:szCs w:val="24"/>
        </w:rPr>
        <w:t xml:space="preserve"> shfuqizohen.</w:t>
      </w:r>
      <w:r w:rsidR="003F0A72">
        <w:rPr>
          <w:rFonts w:ascii="Garamond" w:hAnsi="Garamond" w:cs="Times New Roman"/>
          <w:color w:val="000000"/>
          <w:sz w:val="24"/>
          <w:szCs w:val="24"/>
        </w:rPr>
        <w:t xml:space="preserve"> </w:t>
      </w:r>
    </w:p>
    <w:p w14:paraId="75B403F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FA"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25</w:t>
      </w:r>
    </w:p>
    <w:p w14:paraId="75B403F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F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38 ndryshohet si më poshtë:</w:t>
      </w:r>
    </w:p>
    <w:p w14:paraId="75B403F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3FE"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38</w:t>
      </w:r>
    </w:p>
    <w:p w14:paraId="75B403FF"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Vlerësimi i rrethanave për kontrollin e figurës</w:t>
      </w:r>
    </w:p>
    <w:p w14:paraId="75B4040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0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Për kontrollin e figurës, trupat e vlerësimit verifikojnë si më poshtë:</w:t>
      </w:r>
    </w:p>
    <w:p w14:paraId="75B4040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a) identitetin në të shkuarën dhe të tashmen për çdo punonjës që i nënshtrohet kontrollit dhe arsyen e ndryshimeve të emrit, mbiemrit apo gjeneraliteteve të tjera;</w:t>
      </w:r>
    </w:p>
    <w:p w14:paraId="75B4040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b) të dhënat për vendbanimin aktual e të mëparshëm brenda dhe jashtë vendit;</w:t>
      </w:r>
    </w:p>
    <w:p w14:paraId="75B4040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c) rastet e ndryshimeve ose të marrjes së shtetësive të tjera;</w:t>
      </w:r>
    </w:p>
    <w:p w14:paraId="75B40405" w14:textId="1BA7BA43"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ç) ndalimin për hyrje në vendet e Bashkimit E</w:t>
      </w:r>
      <w:r w:rsidR="006D49A7">
        <w:rPr>
          <w:rFonts w:ascii="Garamond" w:hAnsi="Garamond" w:cs="Times New Roman"/>
          <w:color w:val="000000"/>
          <w:sz w:val="24"/>
          <w:szCs w:val="24"/>
        </w:rPr>
        <w:t>v</w:t>
      </w:r>
      <w:r w:rsidRPr="003F0A72">
        <w:rPr>
          <w:rFonts w:ascii="Garamond" w:hAnsi="Garamond" w:cs="Times New Roman"/>
          <w:color w:val="000000"/>
          <w:sz w:val="24"/>
          <w:szCs w:val="24"/>
        </w:rPr>
        <w:t>ropian ose të NATO-s;</w:t>
      </w:r>
    </w:p>
    <w:p w14:paraId="75B4040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 kërkesën për azil në ndonjë shtet;</w:t>
      </w:r>
    </w:p>
    <w:p w14:paraId="75B4040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dh) procedimet penale dhe administrative ndaj punonjësit brenda dhe jashtë vendit, sipas përcaktimeve të ligjit për garantimin e integritetit të personave që zgjidhen, emërohen ose ushtrojnë funksione publike;</w:t>
      </w:r>
    </w:p>
    <w:p w14:paraId="75B4040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e) dëbimin nga shtete të tjera për shkelje të rregullave të hyrjes apo qëndrimit;</w:t>
      </w:r>
    </w:p>
    <w:p w14:paraId="75B4040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ë) nëse janë përdorues të lëndëve narkotike;</w:t>
      </w:r>
    </w:p>
    <w:p w14:paraId="75B4040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f) varësinë nga alkooli apo nga lojërat e fatit;</w:t>
      </w:r>
    </w:p>
    <w:p w14:paraId="75B4040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g) qëllimisht ka fshehur, ka keqprezantuar apo ka falsifikuar një informacion të një rëndësie të madhe, të një natyre sigurie të veçantë apo qëllimisht ka gënjyer gjatë plotësimit të formularit të deklaratës së kontrollit të figurës; </w:t>
      </w:r>
    </w:p>
    <w:p w14:paraId="75B4040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gj)</w:t>
      </w:r>
      <w:r w:rsidR="00BE5EE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ka kryer shkelje sigurie apo në mënyrë të përsëritur ka nëpërkëmbur rregullat e sigurisë së informacionit të klasifikuar, apo ka tentuar dhe ka arritur të kryejë aktivitet të paautorizuar në sistemet e komunikimit të informacionit të klasifikuar;</w:t>
      </w:r>
    </w:p>
    <w:p w14:paraId="75B4040D" w14:textId="1459BBE8"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h) vuan nga çrregullime mendore kronike</w:t>
      </w:r>
      <w:r w:rsidR="00B22500">
        <w:rPr>
          <w:rFonts w:ascii="Garamond" w:hAnsi="Garamond" w:cs="Times New Roman"/>
          <w:color w:val="000000"/>
          <w:sz w:val="24"/>
          <w:szCs w:val="24"/>
        </w:rPr>
        <w:t>;</w:t>
      </w:r>
    </w:p>
    <w:p w14:paraId="75B4040E" w14:textId="10022F1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i) nëse ka qenë person në ndjekje për spiunazh apo terrorizëm, anëtar,</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bashkëpunëtor ose i favorizuar nga ish-Sigurimi i Shtetit para vitit 1990, sipas ligjit për të drejtën e informimit me dokumentet e ish-Sigurimit të Shtetit të Republikës Popullore Socialiste të Shqipërisë</w:t>
      </w:r>
      <w:r w:rsidR="00B22500">
        <w:rPr>
          <w:rFonts w:ascii="Garamond" w:hAnsi="Garamond" w:cs="Times New Roman"/>
          <w:color w:val="000000"/>
          <w:sz w:val="24"/>
          <w:szCs w:val="24"/>
        </w:rPr>
        <w:t>.</w:t>
      </w:r>
    </w:p>
    <w:p w14:paraId="75B4040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Punonjësi i nënshtrohet testimit për përdorim lëndësh narkotike, rezultatet e të cilit, vlerësohen së bashku me rrethanat e tjera.”.</w:t>
      </w:r>
    </w:p>
    <w:p w14:paraId="75B4041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11"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26</w:t>
      </w:r>
    </w:p>
    <w:p w14:paraId="75B4041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1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Pika 1 e nenit 39 ndryshohet si më poshtë:</w:t>
      </w:r>
    </w:p>
    <w:p w14:paraId="75B4041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Kontrolli i figurës zhvillohet bazuar në prova, informacione të klasifikuara dhe të dhëna të tjera të vërtetuara, në kuadër të dyshimit të arsyeshëm, bazuar në burime të ligjshme.”.</w:t>
      </w:r>
    </w:p>
    <w:p w14:paraId="75B4041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w:t>
      </w:r>
      <w:r w:rsidR="00BE5EE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 xml:space="preserve">Në shkronjën “b” të pikës 4 hiqet fjala “të ngushta”. </w:t>
      </w:r>
    </w:p>
    <w:p w14:paraId="75B4041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17"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27</w:t>
      </w:r>
    </w:p>
    <w:p w14:paraId="75B4041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1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40 bëhen shtesat dhe ndryshimet si më poshtë:</w:t>
      </w:r>
    </w:p>
    <w:p w14:paraId="75B4041A" w14:textId="23E2EBB0"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Shkronja “a”</w:t>
      </w:r>
      <w:r w:rsidR="00C60BE8">
        <w:rPr>
          <w:rFonts w:ascii="Garamond" w:hAnsi="Garamond" w:cs="Times New Roman"/>
          <w:color w:val="000000"/>
          <w:sz w:val="24"/>
          <w:szCs w:val="24"/>
        </w:rPr>
        <w:t>,</w:t>
      </w:r>
      <w:r w:rsidRPr="003F0A72">
        <w:rPr>
          <w:rFonts w:ascii="Garamond" w:hAnsi="Garamond" w:cs="Times New Roman"/>
          <w:color w:val="000000"/>
          <w:sz w:val="24"/>
          <w:szCs w:val="24"/>
        </w:rPr>
        <w:t xml:space="preserve"> shfuqizohet. </w:t>
      </w:r>
    </w:p>
    <w:p w14:paraId="75B4041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Në shkronjën “b” pas fjalës “bazuar” shtohet fjala “në ligj”.</w:t>
      </w:r>
    </w:p>
    <w:p w14:paraId="75B4041C" w14:textId="7D7DCDC2"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Pas shkronjës “b” shtohen shkronjat “c” dhe “ç” me këtë përmbajtje:</w:t>
      </w:r>
      <w:r w:rsidR="003F0A72">
        <w:rPr>
          <w:rFonts w:ascii="Garamond" w:hAnsi="Garamond" w:cs="Times New Roman"/>
          <w:color w:val="000000"/>
          <w:sz w:val="24"/>
          <w:szCs w:val="24"/>
        </w:rPr>
        <w:t xml:space="preserve"> </w:t>
      </w:r>
    </w:p>
    <w:p w14:paraId="75B4041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“c) kur personi i dëbuar nga shtetet e tjera është shpallur i padëshiruar;</w:t>
      </w:r>
      <w:r w:rsidRPr="003F0A72">
        <w:rPr>
          <w:rFonts w:ascii="Garamond" w:hAnsi="Garamond" w:cs="Times New Roman"/>
          <w:color w:val="000000"/>
          <w:sz w:val="24"/>
          <w:szCs w:val="24"/>
        </w:rPr>
        <w:tab/>
      </w:r>
    </w:p>
    <w:p w14:paraId="75B4041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ç) subjekti i vlerësimit është përdorues apo ka varësi nga lëndët narkotike.”.</w:t>
      </w:r>
    </w:p>
    <w:p w14:paraId="75B4041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20"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28</w:t>
      </w:r>
    </w:p>
    <w:p w14:paraId="75B4042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2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42 ndryshohet si më poshtë:</w:t>
      </w:r>
    </w:p>
    <w:p w14:paraId="75B40423" w14:textId="77777777" w:rsidR="00831F1F" w:rsidRPr="003F0A72" w:rsidRDefault="00BE5EE2"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lastRenderedPageBreak/>
        <w:t xml:space="preserve"> </w:t>
      </w:r>
      <w:r w:rsidR="00831F1F" w:rsidRPr="003F0A72">
        <w:rPr>
          <w:rFonts w:ascii="Garamond" w:hAnsi="Garamond" w:cs="Times New Roman"/>
          <w:color w:val="000000"/>
          <w:sz w:val="24"/>
          <w:szCs w:val="24"/>
        </w:rPr>
        <w:t>“Neni 42</w:t>
      </w:r>
    </w:p>
    <w:p w14:paraId="75B40424"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Procedura për kontrollin e figurës</w:t>
      </w:r>
    </w:p>
    <w:p w14:paraId="75B4042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2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Për kontrollin e figurës, struktura përgjegjëse pranë Agjencisë së Mbikëqyrjes Policore brenda 120 ditëve përgatit një raport të hollësishëm e të arsyetuar dhe e paraqet pranë trupave të vlerësimit. </w:t>
      </w:r>
    </w:p>
    <w:p w14:paraId="75B4042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Trupa e vlerësimit brenda 60 ditëve nga vënia në dispozicion e raportit, me të drejtë shtyrje deri në 30 ditë, verifikon nëse informacioni i deklaruar është i saktë dhe i besueshëm, në kuadër të dyshimit të arsyeshëm dhe në informacionet e vërtetuara, si dhe nëse punonjësi është i përfshirë ose i dyshuar për përfshirje në krimin e organizuar dhe nëse ka kontakte të papërshtatshme me personat e përfshirë ose të dyshuar për përfshirje në krimin e organizuar.</w:t>
      </w:r>
    </w:p>
    <w:p w14:paraId="75B4042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Në përfundimin e procesit të kontrollit të figurës, trupa e vlerësimit përgatit raportin e arsyetuar në të cilin përcaktohet nëse subjekti është i papërshtatshëm për vazhdimin e detyrës kur: </w:t>
      </w:r>
    </w:p>
    <w:p w14:paraId="75B4042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a) punonjësi ka kryer deklarim të rremë;</w:t>
      </w:r>
    </w:p>
    <w:p w14:paraId="75B4042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b) ka informacione, të dhëna të vërtetuara nga agjencitë ligjzbatuese që punonjësi është i përfshirë ose i dyshuar për përfshirje në krimin e organizuar;</w:t>
      </w:r>
    </w:p>
    <w:p w14:paraId="75B4042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c) ka informacion në deklarimin e tij ose nga institucionet përgjegjëse të përcaktuara në këtë ligj, që tregojnë se punonjësi ka kontakte të papërshtatshme me persona të përfshirë ose të dyshuar për përfshirje në krimin e organizuar.</w:t>
      </w:r>
    </w:p>
    <w:p w14:paraId="75B4042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4.</w:t>
      </w:r>
      <w:r w:rsidR="00BE5EE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Ky raport përmban informacion për kontaktin e punonjësve dhe nuk bëhet publik nëse ai rrezikon sigurinë e burimit të informacionit ose për shkak të rrethanave të tjera objektive.”.</w:t>
      </w:r>
    </w:p>
    <w:p w14:paraId="75B4042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2E"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29</w:t>
      </w:r>
    </w:p>
    <w:p w14:paraId="75B4042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3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Në pikën 1 të nenit 44 fjala “tij” zëvendësohet me fjalët “udhëzimit të ministrit të Brendshëm ose në datën e emërimit në funksionet objekt vlerësimi.”.</w:t>
      </w:r>
    </w:p>
    <w:p w14:paraId="75B4043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Pas pikës 1 shtohet pika 1.1 me këtë përmbajtje:</w:t>
      </w:r>
    </w:p>
    <w:p w14:paraId="75B4043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“1.1 “Nëse punonjësi nuk dorëzon formularin e deklaratës së aftësive profesionale sipas përcaktimit të pikës 1 të këtij neni, ai largohet nga pozicionet e përcaktuara në nenin 6 të këtij ligji.”.</w:t>
      </w:r>
    </w:p>
    <w:p w14:paraId="75B4043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Në pikat 2 dhe 3 fjalët “7 vjet” zëvendësohen me fjalët “5 vjet”. </w:t>
      </w:r>
    </w:p>
    <w:p w14:paraId="75B4043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35"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30</w:t>
      </w:r>
    </w:p>
    <w:p w14:paraId="75B4043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ab/>
      </w:r>
    </w:p>
    <w:p w14:paraId="75B4043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45 ndryshohet si më poshtë:</w:t>
      </w:r>
    </w:p>
    <w:p w14:paraId="75B4043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39"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45</w:t>
      </w:r>
    </w:p>
    <w:p w14:paraId="75B4043A"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Burimet për vlerësimin e aftësive profesionale</w:t>
      </w:r>
    </w:p>
    <w:p w14:paraId="75B4043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3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Aftësitë profesionale të punonjësit vlerësohen duke u bazuar në legjislacionin përkatës, që rregullon marrëdhënien e punës së subjektit të vlerësimit, dhe në përshkrimet e punës për çdo funksion.</w:t>
      </w:r>
    </w:p>
    <w:p w14:paraId="75B4043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Në lidhje me objektin e vlerësimit të aftësive profesionale shërbejnë:</w:t>
      </w:r>
    </w:p>
    <w:p w14:paraId="75B4043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a) arsimi i punonjësit;</w:t>
      </w:r>
    </w:p>
    <w:p w14:paraId="75B4043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b) diplomat;</w:t>
      </w:r>
    </w:p>
    <w:p w14:paraId="75B4044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c) certifikatat e trajnimeve dhe medaljet; </w:t>
      </w:r>
    </w:p>
    <w:p w14:paraId="75B40441" w14:textId="403D2A9B"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ç)</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vlerësimet e punës;</w:t>
      </w:r>
    </w:p>
    <w:p w14:paraId="75B4044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d) masat disiplinore; </w:t>
      </w:r>
    </w:p>
    <w:p w14:paraId="75B4044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dh)</w:t>
      </w:r>
      <w:r w:rsidR="00BE5EE2" w:rsidRPr="003F0A72">
        <w:rPr>
          <w:rFonts w:ascii="Garamond" w:hAnsi="Garamond" w:cs="Times New Roman"/>
          <w:color w:val="000000"/>
          <w:sz w:val="24"/>
          <w:szCs w:val="24"/>
        </w:rPr>
        <w:t xml:space="preserve"> </w:t>
      </w:r>
      <w:r w:rsidRPr="003F0A72">
        <w:rPr>
          <w:rFonts w:ascii="Garamond" w:hAnsi="Garamond" w:cs="Times New Roman"/>
          <w:color w:val="000000"/>
          <w:sz w:val="24"/>
          <w:szCs w:val="24"/>
        </w:rPr>
        <w:t>ecuria në karrierë.</w:t>
      </w:r>
    </w:p>
    <w:p w14:paraId="75B4044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lastRenderedPageBreak/>
        <w:t>3. Nuk përbëjnë burim vlerësimi profesional aktet procedurale të procedimeve penale në proces apo ato që përbëjnë sekret hetimor.”.</w:t>
      </w:r>
    </w:p>
    <w:p w14:paraId="75B4044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46"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31</w:t>
      </w:r>
    </w:p>
    <w:p w14:paraId="75B4044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4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46 bëhen këto shtesa dhe ndryshime:</w:t>
      </w:r>
    </w:p>
    <w:p w14:paraId="75B4044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Pika 2 ndryshohet si më poshtë:</w:t>
      </w:r>
    </w:p>
    <w:p w14:paraId="75B4044A" w14:textId="52539571"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Për komponentin e aftësive profesionale, struktura përgjegjëse e burimeve njerëzore/</w:t>
      </w:r>
      <w:r w:rsidR="00C60BE8">
        <w:rPr>
          <w:rFonts w:ascii="Garamond" w:hAnsi="Garamond" w:cs="Times New Roman"/>
          <w:color w:val="000000"/>
          <w:sz w:val="24"/>
          <w:szCs w:val="24"/>
        </w:rPr>
        <w:t xml:space="preserve"> </w:t>
      </w:r>
      <w:r w:rsidRPr="003F0A72">
        <w:rPr>
          <w:rFonts w:ascii="Garamond" w:hAnsi="Garamond" w:cs="Times New Roman"/>
          <w:color w:val="000000"/>
          <w:sz w:val="24"/>
          <w:szCs w:val="24"/>
        </w:rPr>
        <w:t>standardeve profesionale, bazuar në elementet vlerësuese të përcaktuara në nenin 45, pika 2, të këtij ligji, përgatit një raport të hollësishëm dhe të arsyetuar të vlerësimit të aftësive profesionale brenda 120 ditëve nga kërkesa e dërguar nga trupat e vlerësimit.</w:t>
      </w:r>
    </w:p>
    <w:p w14:paraId="75B4044B" w14:textId="53788A04"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Pika 3</w:t>
      </w:r>
      <w:r w:rsidR="00C60BE8">
        <w:rPr>
          <w:rFonts w:ascii="Garamond" w:hAnsi="Garamond" w:cs="Times New Roman"/>
          <w:color w:val="000000"/>
          <w:sz w:val="24"/>
          <w:szCs w:val="24"/>
        </w:rPr>
        <w:t>,</w:t>
      </w:r>
      <w:r w:rsidRPr="003F0A72">
        <w:rPr>
          <w:rFonts w:ascii="Garamond" w:hAnsi="Garamond" w:cs="Times New Roman"/>
          <w:color w:val="000000"/>
          <w:sz w:val="24"/>
          <w:szCs w:val="24"/>
        </w:rPr>
        <w:t xml:space="preserve"> shfuqizohet.</w:t>
      </w:r>
    </w:p>
    <w:p w14:paraId="75B4044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Pika 5 ndryshohet si më poshtë: </w:t>
      </w:r>
    </w:p>
    <w:p w14:paraId="75B4044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“5. Trupa e vlerësimit në përfundim të shqyrtimit përgatit një raport përfundimtar të arsyetuar të vlerësimit të aftësive profesionale.”.</w:t>
      </w:r>
    </w:p>
    <w:p w14:paraId="75B4044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4F"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32</w:t>
      </w:r>
    </w:p>
    <w:p w14:paraId="75B4045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5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47 ndryshohet si më poshtë:</w:t>
      </w:r>
    </w:p>
    <w:p w14:paraId="75B4045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53"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47</w:t>
      </w:r>
    </w:p>
    <w:p w14:paraId="75B40454"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Raporti përfundimtar i vlerësimit profesional</w:t>
      </w:r>
    </w:p>
    <w:p w14:paraId="75B4045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5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Në përfundim të procesit të vlerësimit të aftësive profesionale, trupa e vlerësimit brenda 60 ditëve, me të drejtë shtyrje deri në 30 ditë, nga vënia në dispozicion e raportit të strukturës përgjegjëse të burimeve njerëzore/standardeve profesionale, si dhe bazuar në formularin e vlerësimit, përgatit raportin përfundimtar të arsyetuar dhe vendos nëse punonjësi është:</w:t>
      </w:r>
    </w:p>
    <w:p w14:paraId="75B4045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a) “I përshtatshëm” kur punonjësi ka arsimin/trajnimin përkatës për funksionin, vlerësime pozitive pune dhe ka rezultuar i kualifikuar për ta ushtruar atë funksion që mban;</w:t>
      </w:r>
    </w:p>
    <w:p w14:paraId="75B40458" w14:textId="2E576460"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b) “Me mangësi” kur punonjësi nuk ka arsimin/trajnimin përkatës për funksionin që kryen, ka vlerësime “dobët” pune</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dhe ka rezultuar i pakualifikuar për ta ushtruar atë funksion që mban.</w:t>
      </w:r>
    </w:p>
    <w:p w14:paraId="75B4045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Në rastin e parashikuar në shkronjën “b” të pikës 1 të këtij neni, trupa e vlerësimit i rekomandon titullarit të institucionit përkatës që punonjësi të largohet nga kategoria e pozicioneve të përcaktuara në nenin 6 të këtij ligji.”.</w:t>
      </w:r>
    </w:p>
    <w:p w14:paraId="75B4045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5B"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33</w:t>
      </w:r>
    </w:p>
    <w:p w14:paraId="75B4045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5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Në pikat 2 dhe 3 të nenit 48 hiqen fjalët “ose Shërbimi për Çështjet e Brendshme dhe Ankesat”.</w:t>
      </w:r>
    </w:p>
    <w:p w14:paraId="75B4045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5F"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34</w:t>
      </w:r>
    </w:p>
    <w:p w14:paraId="75B4046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6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Pas nenit 48 shtohet neni 48/1 me këtë përmbajtje:</w:t>
      </w:r>
    </w:p>
    <w:p w14:paraId="75B4046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63"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48/1</w:t>
      </w:r>
    </w:p>
    <w:p w14:paraId="75B40464"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Paanshmëria e trupave të vlerësimit</w:t>
      </w:r>
    </w:p>
    <w:p w14:paraId="75B40465"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p>
    <w:p w14:paraId="75B4046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Trupat e vlerësimit të Agjencisë së Mbikëqyrjes Policore, të udhëhequra nga parimi i proporcionalitetit, paanshmërisë dhe ligjshmërisë, janë të pavarura dhe të paanshme në vendimmarrjen e tyre.”.</w:t>
      </w:r>
    </w:p>
    <w:p w14:paraId="75B4046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68"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lastRenderedPageBreak/>
        <w:t>Neni 35</w:t>
      </w:r>
    </w:p>
    <w:p w14:paraId="75B4046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6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52 bëhen ndryshimet si më poshtë:</w:t>
      </w:r>
    </w:p>
    <w:p w14:paraId="75B4046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Në pikën 1 fjalët “Anëtarët dhe”, “ose Shërbimi për Çështjet e Brendshme dhe Ankesat” hiqen.</w:t>
      </w:r>
    </w:p>
    <w:p w14:paraId="75B4046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Në shkronjën “c” të pikës 1 hiqen fjalët “ose Shërbimi për Çështjet e Brendshme dhe Ankesat”.</w:t>
      </w:r>
    </w:p>
    <w:p w14:paraId="75B4046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Në pikën 2 fjala “të komisioneve” hiqet. </w:t>
      </w:r>
    </w:p>
    <w:p w14:paraId="75B4046E" w14:textId="652EF78A"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4. Pika 6</w:t>
      </w:r>
      <w:r w:rsidR="00C60BE8">
        <w:rPr>
          <w:rFonts w:ascii="Garamond" w:hAnsi="Garamond" w:cs="Times New Roman"/>
          <w:color w:val="000000"/>
          <w:sz w:val="24"/>
          <w:szCs w:val="24"/>
        </w:rPr>
        <w:t>,</w:t>
      </w:r>
      <w:r w:rsidRPr="003F0A72">
        <w:rPr>
          <w:rFonts w:ascii="Garamond" w:hAnsi="Garamond" w:cs="Times New Roman"/>
          <w:color w:val="000000"/>
          <w:sz w:val="24"/>
          <w:szCs w:val="24"/>
        </w:rPr>
        <w:t xml:space="preserve"> shfuqizohet.</w:t>
      </w:r>
    </w:p>
    <w:p w14:paraId="75B4046F" w14:textId="6B98EFA8"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5. Në pikën 7</w:t>
      </w:r>
      <w:r w:rsidR="00C60BE8">
        <w:rPr>
          <w:rFonts w:ascii="Garamond" w:hAnsi="Garamond" w:cs="Times New Roman"/>
          <w:color w:val="000000"/>
          <w:sz w:val="24"/>
          <w:szCs w:val="24"/>
        </w:rPr>
        <w:t>,</w:t>
      </w:r>
      <w:r w:rsidRPr="003F0A72">
        <w:rPr>
          <w:rFonts w:ascii="Garamond" w:hAnsi="Garamond" w:cs="Times New Roman"/>
          <w:color w:val="000000"/>
          <w:sz w:val="24"/>
          <w:szCs w:val="24"/>
        </w:rPr>
        <w:t xml:space="preserve"> fjalët “Anëtarët e organeve të vlerësimit” zëvendësohen me</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fjalët “Anëtarët e trupave të vlerësimit të AMP-së”.</w:t>
      </w:r>
    </w:p>
    <w:p w14:paraId="75B4047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71"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36</w:t>
      </w:r>
    </w:p>
    <w:p w14:paraId="75B4047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7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nenin 53 pas fjalës “informacionet” shtohen fjalët “të vërtetuara në mënyrë ligjore”.</w:t>
      </w:r>
    </w:p>
    <w:p w14:paraId="75B4047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75"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37</w:t>
      </w:r>
    </w:p>
    <w:p w14:paraId="75B4047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7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Pas nenit 53 shtohet neni 53/1 me këtë përmbajtje:</w:t>
      </w:r>
    </w:p>
    <w:p w14:paraId="75B4047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79"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53/1</w:t>
      </w:r>
    </w:p>
    <w:p w14:paraId="75B4047A"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Barra e provës</w:t>
      </w:r>
    </w:p>
    <w:p w14:paraId="75B4047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7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Trupa e vlerësimit në shqyrtimin e çështjes udhëhiqet nga parimi i objektivitetit, ligjshmërisë, mosdiskriminimit dhe proporcionalitetit. </w:t>
      </w:r>
    </w:p>
    <w:p w14:paraId="75B4047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Nëse trupa e vlerësimit arrin në përfundimin se provat kanë nivelin e provueshmërisë, sipas nenit 48 të këtij ligji, subjekti i vlerësimit ka barrën e provës për të paraqitur prova ose shpjegime të tjera për të provuar të kundërtën.</w:t>
      </w:r>
    </w:p>
    <w:p w14:paraId="75B4047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Parashikimet e nenit 82 të Kodit të Procedurave Administrative nuk zbatohen.”.</w:t>
      </w:r>
    </w:p>
    <w:p w14:paraId="75B4047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80"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38</w:t>
      </w:r>
    </w:p>
    <w:p w14:paraId="75B4048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8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Në nenin 54 bëhen këto ndryshime: </w:t>
      </w:r>
    </w:p>
    <w:p w14:paraId="75B4048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Pika 2 ndryshohet si më poshtë: </w:t>
      </w:r>
    </w:p>
    <w:p w14:paraId="75B4048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Institucionet publike apo agjencitë ligjzbatuese, që disponojnë informacion për subjektet e vlerësimit të nenit 6 të këtij ligji, e dorëzojnë këtë informacion pranë Agjencisë së Mbikëqyrjes Policore.”.</w:t>
      </w:r>
    </w:p>
    <w:p w14:paraId="75B40485" w14:textId="2B1DC2C6"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Pika 3</w:t>
      </w:r>
      <w:r w:rsidR="006C6CB5">
        <w:rPr>
          <w:rFonts w:ascii="Garamond" w:hAnsi="Garamond" w:cs="Times New Roman"/>
          <w:color w:val="000000"/>
          <w:sz w:val="24"/>
          <w:szCs w:val="24"/>
        </w:rPr>
        <w:t>,</w:t>
      </w:r>
      <w:r w:rsidRPr="003F0A72">
        <w:rPr>
          <w:rFonts w:ascii="Garamond" w:hAnsi="Garamond" w:cs="Times New Roman"/>
          <w:color w:val="000000"/>
          <w:sz w:val="24"/>
          <w:szCs w:val="24"/>
        </w:rPr>
        <w:t xml:space="preserve"> shfuqizohet.</w:t>
      </w:r>
    </w:p>
    <w:p w14:paraId="75B40486" w14:textId="0A050972"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Në pikën 4 fjalët “komisionit të jashtëm të vlerësimit” zëvendësohen me fjalët “Agjencisë së Mbikëqyrjes Policore”.</w:t>
      </w:r>
      <w:r w:rsidR="003F0A72">
        <w:rPr>
          <w:rFonts w:ascii="Garamond" w:hAnsi="Garamond" w:cs="Times New Roman"/>
          <w:color w:val="000000"/>
          <w:sz w:val="24"/>
          <w:szCs w:val="24"/>
        </w:rPr>
        <w:t xml:space="preserve"> </w:t>
      </w:r>
    </w:p>
    <w:p w14:paraId="75B4048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88"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39</w:t>
      </w:r>
    </w:p>
    <w:p w14:paraId="75B4048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8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Në nenin 55 fjala “organi” zëvendësohet me fjalën “trupat”, si dhe fjala “Komisionet” zëvendësohet me fjalën “Agjencia e Mbikëqyrjes Policore”. </w:t>
      </w:r>
    </w:p>
    <w:p w14:paraId="75B4048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8C"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40</w:t>
      </w:r>
    </w:p>
    <w:p w14:paraId="75B4048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8E" w14:textId="0808CF5E"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Në pikat 1, 4, 5 dhe 6</w:t>
      </w:r>
      <w:r w:rsidR="00422977">
        <w:rPr>
          <w:rFonts w:ascii="Garamond" w:hAnsi="Garamond" w:cs="Times New Roman"/>
          <w:color w:val="000000"/>
          <w:sz w:val="24"/>
          <w:szCs w:val="24"/>
        </w:rPr>
        <w:t>,</w:t>
      </w:r>
      <w:r w:rsidRPr="003F0A72">
        <w:rPr>
          <w:rFonts w:ascii="Garamond" w:hAnsi="Garamond" w:cs="Times New Roman"/>
          <w:color w:val="000000"/>
          <w:sz w:val="24"/>
          <w:szCs w:val="24"/>
        </w:rPr>
        <w:t xml:space="preserve"> të nenit 56</w:t>
      </w:r>
      <w:r w:rsidR="00422977">
        <w:rPr>
          <w:rFonts w:ascii="Garamond" w:hAnsi="Garamond" w:cs="Times New Roman"/>
          <w:color w:val="000000"/>
          <w:sz w:val="24"/>
          <w:szCs w:val="24"/>
        </w:rPr>
        <w:t>,</w:t>
      </w:r>
      <w:bookmarkStart w:id="0" w:name="_GoBack"/>
      <w:bookmarkEnd w:id="0"/>
      <w:r w:rsidRPr="003F0A72">
        <w:rPr>
          <w:rFonts w:ascii="Garamond" w:hAnsi="Garamond" w:cs="Times New Roman"/>
          <w:color w:val="000000"/>
          <w:sz w:val="24"/>
          <w:szCs w:val="24"/>
        </w:rPr>
        <w:t xml:space="preserve"> hiqen fjalët “ose Shërbimi për Çështjet e Brendshme dhe Ankesat”.</w:t>
      </w:r>
    </w:p>
    <w:p w14:paraId="75B4048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lastRenderedPageBreak/>
        <w:t>2. Në pikën 7 fjalët “anëtar i sekretariatit teknik” zëvendësohen me fjalët “anëtar i trupës së vlerësimit”.</w:t>
      </w:r>
    </w:p>
    <w:p w14:paraId="75B4049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91"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41</w:t>
      </w:r>
    </w:p>
    <w:p w14:paraId="75B4049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9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57 ndryshohet si më poshtë:</w:t>
      </w:r>
    </w:p>
    <w:p w14:paraId="75B4049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95"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57</w:t>
      </w:r>
    </w:p>
    <w:p w14:paraId="75B40496"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Dorëheqja nga detyra</w:t>
      </w:r>
    </w:p>
    <w:p w14:paraId="75B4049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9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Kur punonjësi jep dorëheqjen ose akti i lirimit formalizohet gjatë fazës së hetimit administrativ, trupa e vlerësimit merr vendim për ndërprerjen e procesit të vlerësimit pa një vendim përfundimtar, sipas Kodit të Procedurës Administrative.”.</w:t>
      </w:r>
    </w:p>
    <w:p w14:paraId="75B4049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9A"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42</w:t>
      </w:r>
    </w:p>
    <w:p w14:paraId="75B4049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9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Shkronja “b” e pikës 3 të nenit 58 ndryshohet si më poshtë: </w:t>
      </w:r>
    </w:p>
    <w:p w14:paraId="75B4049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“b) trupën e vlerësimit që ka shqyrtuar çështjen;”.</w:t>
      </w:r>
    </w:p>
    <w:p w14:paraId="75B4049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9F"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43</w:t>
      </w:r>
    </w:p>
    <w:p w14:paraId="75B404A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A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Në nenin 59 bëhen këto shtesa dhe ndryshime: </w:t>
      </w:r>
    </w:p>
    <w:p w14:paraId="75B404A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Në paragrafin e parë hiqen fjalët “ose Shërbimi për Çështjet e Brendshme dhe Ankesat”.</w:t>
      </w:r>
    </w:p>
    <w:p w14:paraId="75B404A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Shkronja “b” ndryshon si më poshtë:</w:t>
      </w:r>
    </w:p>
    <w:p w14:paraId="75B404A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“b) “rekomandimin drejtuar titullarit të institucionit për të larguar punonjësin nga kategoria e pozicioneve objekt vlerësimi;”.</w:t>
      </w:r>
    </w:p>
    <w:p w14:paraId="75B404A5" w14:textId="2FC5FF2C"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Shkronja “c”</w:t>
      </w:r>
      <w:r w:rsidR="006C6CB5">
        <w:rPr>
          <w:rFonts w:ascii="Garamond" w:hAnsi="Garamond" w:cs="Times New Roman"/>
          <w:color w:val="000000"/>
          <w:sz w:val="24"/>
          <w:szCs w:val="24"/>
        </w:rPr>
        <w:t>,</w:t>
      </w:r>
      <w:r w:rsidRPr="003F0A72">
        <w:rPr>
          <w:rFonts w:ascii="Garamond" w:hAnsi="Garamond" w:cs="Times New Roman"/>
          <w:color w:val="000000"/>
          <w:sz w:val="24"/>
          <w:szCs w:val="24"/>
        </w:rPr>
        <w:t xml:space="preserve"> shfuqizohet. </w:t>
      </w:r>
    </w:p>
    <w:p w14:paraId="75B404A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A7"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44</w:t>
      </w:r>
    </w:p>
    <w:p w14:paraId="75B404A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A9" w14:textId="40E6806D"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Në pikën 2</w:t>
      </w:r>
      <w:r w:rsidR="006C6CB5">
        <w:rPr>
          <w:rFonts w:ascii="Garamond" w:hAnsi="Garamond" w:cs="Times New Roman"/>
          <w:color w:val="000000"/>
          <w:sz w:val="24"/>
          <w:szCs w:val="24"/>
        </w:rPr>
        <w:t>,</w:t>
      </w:r>
      <w:r w:rsidRPr="003F0A72">
        <w:rPr>
          <w:rFonts w:ascii="Garamond" w:hAnsi="Garamond" w:cs="Times New Roman"/>
          <w:color w:val="000000"/>
          <w:sz w:val="24"/>
          <w:szCs w:val="24"/>
        </w:rPr>
        <w:t xml:space="preserve"> të nenit 60</w:t>
      </w:r>
      <w:r w:rsidR="006C6CB5">
        <w:rPr>
          <w:rFonts w:ascii="Garamond" w:hAnsi="Garamond" w:cs="Times New Roman"/>
          <w:color w:val="000000"/>
          <w:sz w:val="24"/>
          <w:szCs w:val="24"/>
        </w:rPr>
        <w:t>,</w:t>
      </w:r>
      <w:r w:rsidRPr="003F0A72">
        <w:rPr>
          <w:rFonts w:ascii="Garamond" w:hAnsi="Garamond" w:cs="Times New Roman"/>
          <w:color w:val="000000"/>
          <w:sz w:val="24"/>
          <w:szCs w:val="24"/>
        </w:rPr>
        <w:t xml:space="preserve"> hiqen fjalët “ose Shërbimi për Çështjet e Brendshme dhe Ankesat”.</w:t>
      </w:r>
    </w:p>
    <w:p w14:paraId="75B404A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AB"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45</w:t>
      </w:r>
    </w:p>
    <w:p w14:paraId="75B404A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AD" w14:textId="0585B1A9"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61</w:t>
      </w:r>
      <w:r w:rsidR="00C60BE8">
        <w:rPr>
          <w:rFonts w:ascii="Garamond" w:hAnsi="Garamond" w:cs="Times New Roman"/>
          <w:color w:val="000000"/>
          <w:sz w:val="24"/>
          <w:szCs w:val="24"/>
        </w:rPr>
        <w:t>,</w:t>
      </w:r>
      <w:r w:rsidRPr="003F0A72">
        <w:rPr>
          <w:rFonts w:ascii="Garamond" w:hAnsi="Garamond" w:cs="Times New Roman"/>
          <w:color w:val="000000"/>
          <w:sz w:val="24"/>
          <w:szCs w:val="24"/>
        </w:rPr>
        <w:t xml:space="preserve"> shfuqizohet. </w:t>
      </w:r>
    </w:p>
    <w:p w14:paraId="75B404A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AF"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46</w:t>
      </w:r>
    </w:p>
    <w:p w14:paraId="75B404B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B1" w14:textId="77777777" w:rsidR="00831F1F" w:rsidRPr="003F0A72" w:rsidRDefault="00BE5EE2"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Në </w:t>
      </w:r>
      <w:r w:rsidR="00831F1F" w:rsidRPr="003F0A72">
        <w:rPr>
          <w:rFonts w:ascii="Garamond" w:hAnsi="Garamond" w:cs="Times New Roman"/>
          <w:color w:val="000000"/>
          <w:sz w:val="24"/>
          <w:szCs w:val="24"/>
        </w:rPr>
        <w:t>nenin 62 hiqen fjalët “ose Shërbimi për Çështjet e Brendshme dhe Ankesat”.</w:t>
      </w:r>
    </w:p>
    <w:p w14:paraId="75B404B2" w14:textId="799ED073"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Shkronjat “a” dhe “dh”</w:t>
      </w:r>
      <w:r w:rsidR="00787AA7">
        <w:rPr>
          <w:rFonts w:ascii="Garamond" w:hAnsi="Garamond" w:cs="Times New Roman"/>
          <w:color w:val="000000"/>
          <w:sz w:val="24"/>
          <w:szCs w:val="24"/>
        </w:rPr>
        <w:t>,</w:t>
      </w:r>
      <w:r w:rsidRPr="003F0A72">
        <w:rPr>
          <w:rFonts w:ascii="Garamond" w:hAnsi="Garamond" w:cs="Times New Roman"/>
          <w:color w:val="000000"/>
          <w:sz w:val="24"/>
          <w:szCs w:val="24"/>
        </w:rPr>
        <w:t xml:space="preserve"> shfuqizohen. </w:t>
      </w:r>
    </w:p>
    <w:p w14:paraId="75B404B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3. Shkronja “d” ndryshon si më poshtë: </w:t>
      </w:r>
    </w:p>
    <w:p w14:paraId="75B404B4" w14:textId="367ABA5A"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“d) rezulton i papërshtatshëm nga</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kontrolli i figurës.”.</w:t>
      </w:r>
    </w:p>
    <w:p w14:paraId="75B404B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B6"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47</w:t>
      </w:r>
    </w:p>
    <w:p w14:paraId="75B404B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B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Pas nenit 62 shtohet neni 62/1 me këtë përmbajtje:</w:t>
      </w:r>
    </w:p>
    <w:p w14:paraId="75B404B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BA"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62/1</w:t>
      </w:r>
    </w:p>
    <w:p w14:paraId="75B404BB"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Detyrimi i institucionit për zbatimin e vendimit</w:t>
      </w:r>
    </w:p>
    <w:p w14:paraId="75B404B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BD" w14:textId="70A524E5"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lastRenderedPageBreak/>
        <w:t>1. Institucionet e Policisë së Shtetit, Gardës së Republikës së Shqipërisë dhe Agjencisë së Mbikëqyrjes Policore kanë detyrimin e ekzekutimit/zbatimit të vendimit të trupave të vlerësimit brenda 15 ditëve nga data e njoftimit të vendimit përfundimtar.</w:t>
      </w:r>
      <w:r w:rsidR="003F0A72">
        <w:rPr>
          <w:rFonts w:ascii="Garamond" w:hAnsi="Garamond" w:cs="Times New Roman"/>
          <w:color w:val="000000"/>
          <w:sz w:val="24"/>
          <w:szCs w:val="24"/>
        </w:rPr>
        <w:t xml:space="preserve"> </w:t>
      </w:r>
    </w:p>
    <w:p w14:paraId="75B404B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Në rastet kur mospërmbushja e pikës 1 të këtij neni nuk përbën përgjegjësi penale, konsiderohet shkelje e rëndë disiplinore.”.</w:t>
      </w:r>
    </w:p>
    <w:p w14:paraId="75B404B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C0"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48</w:t>
      </w:r>
    </w:p>
    <w:p w14:paraId="75B404C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C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Neni 64 ndryshon si më poshtë: </w:t>
      </w:r>
    </w:p>
    <w:p w14:paraId="75B404C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1. Titulli i nenit ndryshon si vijon: “Trajnimi paraprak i anëtarëve të Trupave të Vlerësimit”.</w:t>
      </w:r>
    </w:p>
    <w:p w14:paraId="75B404C4" w14:textId="197E1136"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Në pikën 1 fjalët</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“Anëtarët e Komisionit të Jashtëm të Vlerësimit dhe sekretariatit teknik pranë tyre” zëvendësohet me fjalët “Anëtarët e trupave të vlerësimit pranë Agjencisë së Mbikëqyrjes Policore”.</w:t>
      </w:r>
    </w:p>
    <w:p w14:paraId="75B404C5" w14:textId="761E8C2E"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Pika 2</w:t>
      </w:r>
      <w:r w:rsidR="00323AAB">
        <w:rPr>
          <w:rFonts w:ascii="Garamond" w:hAnsi="Garamond" w:cs="Times New Roman"/>
          <w:color w:val="000000"/>
          <w:sz w:val="24"/>
          <w:szCs w:val="24"/>
        </w:rPr>
        <w:t>,</w:t>
      </w:r>
      <w:r w:rsidRPr="003F0A72">
        <w:rPr>
          <w:rFonts w:ascii="Garamond" w:hAnsi="Garamond" w:cs="Times New Roman"/>
          <w:color w:val="000000"/>
          <w:sz w:val="24"/>
          <w:szCs w:val="24"/>
        </w:rPr>
        <w:t xml:space="preserve"> shfuqizohet.</w:t>
      </w:r>
    </w:p>
    <w:p w14:paraId="75B404C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C7"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49</w:t>
      </w:r>
    </w:p>
    <w:p w14:paraId="75B404C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C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65 ndryshohet si më poshtë:</w:t>
      </w:r>
    </w:p>
    <w:p w14:paraId="75B404CA"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CB"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65</w:t>
      </w:r>
    </w:p>
    <w:p w14:paraId="75B404CC"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Vlerësimi periodik i punonjësve</w:t>
      </w:r>
    </w:p>
    <w:p w14:paraId="75B404C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CE" w14:textId="3D09CB8E" w:rsidR="00831F1F" w:rsidRPr="003F0A72" w:rsidRDefault="00BE5EE2"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Pas përfundimit të procesit të </w:t>
      </w:r>
      <w:r w:rsidR="00831F1F" w:rsidRPr="003F0A72">
        <w:rPr>
          <w:rFonts w:ascii="Garamond" w:hAnsi="Garamond" w:cs="Times New Roman"/>
          <w:color w:val="000000"/>
          <w:sz w:val="24"/>
          <w:szCs w:val="24"/>
        </w:rPr>
        <w:t>vlerësimit kalimtar të punonjësve, sipas këtij</w:t>
      </w:r>
      <w:r w:rsidR="003F0A72">
        <w:rPr>
          <w:rFonts w:ascii="Garamond" w:hAnsi="Garamond" w:cs="Times New Roman"/>
          <w:color w:val="000000"/>
          <w:sz w:val="24"/>
          <w:szCs w:val="24"/>
        </w:rPr>
        <w:t xml:space="preserve"> </w:t>
      </w:r>
      <w:r w:rsidR="00831F1F" w:rsidRPr="003F0A72">
        <w:rPr>
          <w:rFonts w:ascii="Garamond" w:hAnsi="Garamond" w:cs="Times New Roman"/>
          <w:color w:val="000000"/>
          <w:sz w:val="24"/>
          <w:szCs w:val="24"/>
        </w:rPr>
        <w:t>ligji, punonjësit e Policisë së Shtetit, të Gardës së Republikës dhe Agjencisë së Mbikëqyrjes Policore,</w:t>
      </w:r>
      <w:r w:rsidR="00831F1F" w:rsidRPr="003F0A72">
        <w:rPr>
          <w:rFonts w:ascii="Garamond" w:hAnsi="Garamond" w:cs="Calibri"/>
          <w:i/>
          <w:iCs/>
          <w:color w:val="000000"/>
          <w:sz w:val="24"/>
          <w:szCs w:val="24"/>
        </w:rPr>
        <w:t xml:space="preserve"> </w:t>
      </w:r>
      <w:r w:rsidR="00831F1F" w:rsidRPr="003F0A72">
        <w:rPr>
          <w:rFonts w:ascii="Garamond" w:hAnsi="Garamond" w:cs="Times New Roman"/>
          <w:color w:val="000000"/>
          <w:sz w:val="24"/>
          <w:szCs w:val="24"/>
        </w:rPr>
        <w:t>përveç trupës vlerësuese, do t’i</w:t>
      </w:r>
      <w:r w:rsidR="003F0A72">
        <w:rPr>
          <w:rFonts w:ascii="Garamond" w:hAnsi="Garamond" w:cs="Times New Roman"/>
          <w:color w:val="000000"/>
          <w:sz w:val="24"/>
          <w:szCs w:val="24"/>
        </w:rPr>
        <w:t xml:space="preserve"> </w:t>
      </w:r>
      <w:r w:rsidR="00831F1F" w:rsidRPr="003F0A72">
        <w:rPr>
          <w:rFonts w:ascii="Garamond" w:hAnsi="Garamond" w:cs="Times New Roman"/>
          <w:color w:val="000000"/>
          <w:sz w:val="24"/>
          <w:szCs w:val="24"/>
        </w:rPr>
        <w:t xml:space="preserve">nënshtrohen deklarimit dhe vlerësimit periodik çdo 5 vjet. </w:t>
      </w:r>
    </w:p>
    <w:p w14:paraId="75B404CF" w14:textId="3BD2CD2B"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Objekti, parimet, procedura dhe vendimmarrja për vlerësimin periodik të kriterit të</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pasurisë,</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kontrollit të figurës dhe vlerësimit</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të</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aftësive</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profesionale</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janë të njëjta me</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atë</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të</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vlerësimit</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kalimtar të përcaktuara</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në</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këtë ligj.</w:t>
      </w:r>
    </w:p>
    <w:p w14:paraId="75B404D0" w14:textId="2115C882"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Punonjësit që parashikohen në nenin 6 të këtij ligji janë të detyruar të plotësojnë formularët çdo 5 vjet. Formularët dorëzohen në</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njësinë e burimeve njerëzore të institucioneve përkatëse, e cila i mban në ruajtje dhe i përcjell pranë Agjencisë së Mbikëqyrjes Policore për vlerësim periodik.</w:t>
      </w:r>
    </w:p>
    <w:p w14:paraId="75B404D1" w14:textId="5BB9ED8E"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4. Në deklaratat që plotësohen gjatë vlerësimit periodik, punonjësit deklarojnë vetëm ndryshimet që kanë ndodhur gjatë periudhës nga vlerësimi kalimtar.</w:t>
      </w:r>
      <w:r w:rsidR="003F0A72">
        <w:rPr>
          <w:rFonts w:ascii="Garamond" w:hAnsi="Garamond" w:cs="Times New Roman"/>
          <w:color w:val="000000"/>
          <w:sz w:val="24"/>
          <w:szCs w:val="24"/>
        </w:rPr>
        <w:t xml:space="preserve"> </w:t>
      </w:r>
    </w:p>
    <w:p w14:paraId="75B404D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5. Institucioni që bën verifikimin e të dhënave të deklaruara nga punonjësit sipas formularëve përkatës është Agjencia e Mbikëqyrjes Policore. Për këtë qëllim Agjencia e Mbikëqyrjes Policore bashkëpunon me institucionet përgjegjëse sipas përcaktimeve të bëra në këtë ligj.</w:t>
      </w:r>
    </w:p>
    <w:p w14:paraId="75B404D3"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D4"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50</w:t>
      </w:r>
    </w:p>
    <w:p w14:paraId="75B404D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D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Neni 66 ndryshohet si më poshtë: </w:t>
      </w:r>
    </w:p>
    <w:p w14:paraId="75B404D7"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D8"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66</w:t>
      </w:r>
    </w:p>
    <w:p w14:paraId="75B404D9"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Aktet nënligjore</w:t>
      </w:r>
    </w:p>
    <w:p w14:paraId="75B404DA"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p>
    <w:p w14:paraId="75B404DB"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Ngarkohet ministri i Brendshëm që brenda një muaji nga hyrja në fuqi e këtij ligji të nxjerrë aktet nënligjore në zbatim të pikës 7 të nenit 5 dhe pikës 2 të nenit 6. </w:t>
      </w:r>
    </w:p>
    <w:p w14:paraId="75B404DC" w14:textId="5BE8A718"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2. Ngarkohet ministri i Brendshëm dhe inspektori i </w:t>
      </w:r>
      <w:r w:rsidR="00185717" w:rsidRPr="003F0A72">
        <w:rPr>
          <w:rFonts w:ascii="Garamond" w:hAnsi="Garamond" w:cs="Times New Roman"/>
          <w:color w:val="000000"/>
          <w:sz w:val="24"/>
          <w:szCs w:val="24"/>
        </w:rPr>
        <w:t>përgjithshëm</w:t>
      </w:r>
      <w:r w:rsidRPr="003F0A72">
        <w:rPr>
          <w:rFonts w:ascii="Garamond" w:hAnsi="Garamond" w:cs="Times New Roman"/>
          <w:color w:val="000000"/>
          <w:sz w:val="24"/>
          <w:szCs w:val="24"/>
        </w:rPr>
        <w:t xml:space="preserve"> i ILDKPKI-së që brenda</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një muaji nga hyrja në fuqi e këtij ligji të nxjerrin udhëzimin në zbatim të pikës 2 të nenit 6.”.</w:t>
      </w:r>
    </w:p>
    <w:p w14:paraId="75B404D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DE"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51</w:t>
      </w:r>
    </w:p>
    <w:p w14:paraId="75B404DF"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E0"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Neni 68 ndryshohet si më poshtë:</w:t>
      </w:r>
    </w:p>
    <w:p w14:paraId="75B404E1"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E2"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68</w:t>
      </w:r>
    </w:p>
    <w:p w14:paraId="75B404E3"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Dispozitë kalimtare</w:t>
      </w:r>
    </w:p>
    <w:p w14:paraId="75B404E4"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E5"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1. Veprimtaria e Komisionit të Jashtëm të Vlerësimit përfundon brenda datës 31 dhjetor 2022, kohë e cila do të shërbejë për dorëzimin e detyrës dhe kalimin e kompetencave pranë Agjencisë së Mbikëqyrjes Policore. </w:t>
      </w:r>
    </w:p>
    <w:p w14:paraId="75B404E6"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2. Dokumentacioni dhe vendimet që janë marrë nga Komisioni i Jashtëm i Vlerësimit për subjektet që ka vlerësuar ky komision, do të dorëzohen pranë Agjencisë së Mbikëqyrjes Policore.</w:t>
      </w:r>
    </w:p>
    <w:p w14:paraId="75B404E7" w14:textId="108B9C3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3. Punonjësit që kanë kaluar më parë vlerësimin kalimtar nga Komisioni i Jashtëm i Vlerësimit, sipas këtij ligji,</w:t>
      </w:r>
      <w:r w:rsidR="003F0A72">
        <w:rPr>
          <w:rFonts w:ascii="Garamond" w:hAnsi="Garamond" w:cs="Times New Roman"/>
          <w:color w:val="000000"/>
          <w:sz w:val="24"/>
          <w:szCs w:val="24"/>
        </w:rPr>
        <w:t xml:space="preserve"> </w:t>
      </w:r>
      <w:r w:rsidRPr="003F0A72">
        <w:rPr>
          <w:rFonts w:ascii="Garamond" w:hAnsi="Garamond" w:cs="Times New Roman"/>
          <w:color w:val="000000"/>
          <w:sz w:val="24"/>
          <w:szCs w:val="24"/>
        </w:rPr>
        <w:t>nuk janë subjekte të vlerësimit kalimtar, por vetëm të atij periodik.</w:t>
      </w:r>
    </w:p>
    <w:p w14:paraId="75B404E8"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4. Formularët e deklarimeve të plotësuara më parë, si dhe dokumentacioni i administruar në Komisionin e Jashtëm të Vlerësimit për subjektet që nuk kanë një vendim përfundimtar, do të dorëzohen dhe do të arkivohen në strukturat përgjegjëse të burimeve njerëzore të çdo institucioni dhe do të tërhiqen nga çdo subjekt respektiv.”. </w:t>
      </w:r>
    </w:p>
    <w:p w14:paraId="75B404E9"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EA"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color w:val="000000"/>
          <w:sz w:val="24"/>
          <w:szCs w:val="24"/>
        </w:rPr>
      </w:pPr>
      <w:r w:rsidRPr="003F0A72">
        <w:rPr>
          <w:rFonts w:ascii="Garamond" w:hAnsi="Garamond" w:cs="Times New Roman"/>
          <w:color w:val="000000"/>
          <w:sz w:val="24"/>
          <w:szCs w:val="24"/>
        </w:rPr>
        <w:t>Neni 52</w:t>
      </w:r>
    </w:p>
    <w:p w14:paraId="75B404EB" w14:textId="77777777" w:rsidR="00831F1F" w:rsidRPr="003F0A72" w:rsidRDefault="00831F1F" w:rsidP="00CD755C">
      <w:pPr>
        <w:autoSpaceDE w:val="0"/>
        <w:autoSpaceDN w:val="0"/>
        <w:adjustRightInd w:val="0"/>
        <w:spacing w:after="0" w:line="240" w:lineRule="auto"/>
        <w:ind w:firstLine="284"/>
        <w:jc w:val="center"/>
        <w:rPr>
          <w:rFonts w:ascii="Garamond" w:hAnsi="Garamond" w:cs="Times New Roman"/>
          <w:b/>
          <w:bCs/>
          <w:color w:val="000000"/>
          <w:sz w:val="24"/>
          <w:szCs w:val="24"/>
        </w:rPr>
      </w:pPr>
      <w:r w:rsidRPr="003F0A72">
        <w:rPr>
          <w:rFonts w:ascii="Garamond" w:hAnsi="Garamond" w:cs="Times New Roman"/>
          <w:b/>
          <w:bCs/>
          <w:color w:val="000000"/>
          <w:sz w:val="24"/>
          <w:szCs w:val="24"/>
        </w:rPr>
        <w:t>Hyrja në fuqi</w:t>
      </w:r>
    </w:p>
    <w:p w14:paraId="75B404EC"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ED"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Ky ligj hyn në fuqi 15 ditë pas botimit në Fletoren Zyrtare.</w:t>
      </w:r>
    </w:p>
    <w:p w14:paraId="75B404EE"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EF" w14:textId="77777777" w:rsidR="00831F1F" w:rsidRPr="003F0A72" w:rsidRDefault="00BE5EE2" w:rsidP="00CD755C">
      <w:pPr>
        <w:autoSpaceDE w:val="0"/>
        <w:autoSpaceDN w:val="0"/>
        <w:adjustRightInd w:val="0"/>
        <w:spacing w:after="0" w:line="240" w:lineRule="auto"/>
        <w:ind w:firstLine="284"/>
        <w:jc w:val="right"/>
        <w:rPr>
          <w:rFonts w:ascii="Garamond" w:hAnsi="Garamond" w:cs="Times New Roman"/>
          <w:color w:val="000000"/>
          <w:sz w:val="24"/>
          <w:szCs w:val="24"/>
        </w:rPr>
      </w:pPr>
      <w:r w:rsidRPr="003F0A72">
        <w:rPr>
          <w:rFonts w:ascii="Garamond" w:hAnsi="Garamond" w:cs="Times New Roman"/>
          <w:color w:val="000000"/>
          <w:sz w:val="24"/>
          <w:szCs w:val="24"/>
        </w:rPr>
        <w:t>KRYETAR</w:t>
      </w:r>
      <w:r w:rsidR="00831F1F" w:rsidRPr="003F0A72">
        <w:rPr>
          <w:rFonts w:ascii="Garamond" w:hAnsi="Garamond" w:cs="Times New Roman"/>
          <w:color w:val="000000"/>
          <w:sz w:val="24"/>
          <w:szCs w:val="24"/>
        </w:rPr>
        <w:t>E</w:t>
      </w:r>
    </w:p>
    <w:p w14:paraId="75B404F0" w14:textId="77777777" w:rsidR="00831F1F" w:rsidRPr="003F0A72" w:rsidRDefault="00BE5EE2" w:rsidP="00CD755C">
      <w:pPr>
        <w:autoSpaceDE w:val="0"/>
        <w:autoSpaceDN w:val="0"/>
        <w:adjustRightInd w:val="0"/>
        <w:spacing w:after="0" w:line="240" w:lineRule="auto"/>
        <w:ind w:firstLine="284"/>
        <w:jc w:val="right"/>
        <w:rPr>
          <w:rFonts w:ascii="Garamond" w:hAnsi="Garamond" w:cs="Times New Roman"/>
          <w:b/>
          <w:bCs/>
          <w:color w:val="000000"/>
          <w:sz w:val="24"/>
          <w:szCs w:val="24"/>
        </w:rPr>
      </w:pPr>
      <w:r w:rsidRPr="003F0A72">
        <w:rPr>
          <w:rFonts w:ascii="Garamond" w:hAnsi="Garamond" w:cs="Times New Roman"/>
          <w:b/>
          <w:bCs/>
          <w:color w:val="000000"/>
          <w:sz w:val="24"/>
          <w:szCs w:val="24"/>
        </w:rPr>
        <w:t>Lindita Nikolla</w:t>
      </w:r>
    </w:p>
    <w:p w14:paraId="75B404F1" w14:textId="77777777" w:rsidR="00831F1F" w:rsidRPr="003F0A72" w:rsidRDefault="00831F1F" w:rsidP="00CD755C">
      <w:pPr>
        <w:autoSpaceDE w:val="0"/>
        <w:autoSpaceDN w:val="0"/>
        <w:adjustRightInd w:val="0"/>
        <w:spacing w:after="0" w:line="240" w:lineRule="auto"/>
        <w:ind w:firstLine="284"/>
        <w:jc w:val="right"/>
        <w:rPr>
          <w:rFonts w:ascii="Garamond" w:hAnsi="Garamond" w:cs="Times New Roman"/>
          <w:b/>
          <w:bCs/>
          <w:color w:val="000000"/>
          <w:sz w:val="24"/>
          <w:szCs w:val="24"/>
        </w:rPr>
      </w:pPr>
    </w:p>
    <w:p w14:paraId="75B404F2" w14:textId="77777777"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p>
    <w:p w14:paraId="75B404F3" w14:textId="5021EDA0" w:rsidR="00831F1F" w:rsidRPr="003F0A72" w:rsidRDefault="00831F1F" w:rsidP="00CD755C">
      <w:pPr>
        <w:autoSpaceDE w:val="0"/>
        <w:autoSpaceDN w:val="0"/>
        <w:adjustRightInd w:val="0"/>
        <w:spacing w:after="0" w:line="240" w:lineRule="auto"/>
        <w:ind w:firstLine="284"/>
        <w:jc w:val="both"/>
        <w:rPr>
          <w:rFonts w:ascii="Garamond" w:hAnsi="Garamond" w:cs="Times New Roman"/>
          <w:color w:val="000000"/>
          <w:sz w:val="24"/>
          <w:szCs w:val="24"/>
        </w:rPr>
      </w:pPr>
      <w:r w:rsidRPr="003F0A72">
        <w:rPr>
          <w:rFonts w:ascii="Garamond" w:hAnsi="Garamond" w:cs="Times New Roman"/>
          <w:color w:val="000000"/>
          <w:sz w:val="24"/>
          <w:szCs w:val="24"/>
        </w:rPr>
        <w:t xml:space="preserve">Miratuar </w:t>
      </w:r>
      <w:r w:rsidR="00185717">
        <w:rPr>
          <w:rFonts w:ascii="Garamond" w:hAnsi="Garamond" w:cs="Times New Roman"/>
          <w:color w:val="000000"/>
          <w:sz w:val="24"/>
          <w:szCs w:val="24"/>
        </w:rPr>
        <w:t>m</w:t>
      </w:r>
      <w:r w:rsidRPr="003F0A72">
        <w:rPr>
          <w:rFonts w:ascii="Garamond" w:hAnsi="Garamond" w:cs="Times New Roman"/>
          <w:color w:val="000000"/>
          <w:sz w:val="24"/>
          <w:szCs w:val="24"/>
        </w:rPr>
        <w:t>ë datë 17.11.2022</w:t>
      </w:r>
      <w:r w:rsidR="00185717">
        <w:rPr>
          <w:rFonts w:ascii="Garamond" w:hAnsi="Garamond" w:cs="Times New Roman"/>
          <w:color w:val="000000"/>
          <w:sz w:val="24"/>
          <w:szCs w:val="24"/>
        </w:rPr>
        <w:t>.</w:t>
      </w:r>
    </w:p>
    <w:sectPr w:rsidR="00831F1F" w:rsidRPr="003F0A72" w:rsidSect="0017223F">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05BC26" w14:textId="77777777" w:rsidR="003F0A72" w:rsidRDefault="003F0A72" w:rsidP="00420682">
      <w:pPr>
        <w:spacing w:after="0" w:line="240" w:lineRule="auto"/>
      </w:pPr>
      <w:r>
        <w:separator/>
      </w:r>
    </w:p>
  </w:endnote>
  <w:endnote w:type="continuationSeparator" w:id="0">
    <w:p w14:paraId="425200CB" w14:textId="77777777" w:rsidR="003F0A72" w:rsidRDefault="003F0A72" w:rsidP="00420682">
      <w:pPr>
        <w:spacing w:after="0" w:line="240" w:lineRule="auto"/>
      </w:pPr>
      <w:r>
        <w:continuationSeparator/>
      </w:r>
    </w:p>
  </w:endnote>
  <w:endnote w:type="continuationNotice" w:id="1">
    <w:p w14:paraId="67707163" w14:textId="77777777" w:rsidR="006D41FC" w:rsidRDefault="006D41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64D37D" w14:textId="77777777" w:rsidR="003F0A72" w:rsidRDefault="003F0A72" w:rsidP="00420682">
      <w:pPr>
        <w:spacing w:after="0" w:line="240" w:lineRule="auto"/>
      </w:pPr>
      <w:r>
        <w:separator/>
      </w:r>
    </w:p>
  </w:footnote>
  <w:footnote w:type="continuationSeparator" w:id="0">
    <w:p w14:paraId="59B66475" w14:textId="77777777" w:rsidR="003F0A72" w:rsidRDefault="003F0A72" w:rsidP="00420682">
      <w:pPr>
        <w:spacing w:after="0" w:line="240" w:lineRule="auto"/>
      </w:pPr>
      <w:r>
        <w:continuationSeparator/>
      </w:r>
    </w:p>
  </w:footnote>
  <w:footnote w:type="continuationNotice" w:id="1">
    <w:p w14:paraId="036152D2" w14:textId="77777777" w:rsidR="006D41FC" w:rsidRDefault="006D41F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6E441F"/>
    <w:multiLevelType w:val="hybridMultilevel"/>
    <w:tmpl w:val="7E2493F4"/>
    <w:lvl w:ilvl="0" w:tplc="05CE21B4">
      <w:start w:val="1"/>
      <w:numFmt w:val="decimal"/>
      <w:lvlText w:val="%1."/>
      <w:lvlJc w:val="left"/>
      <w:pPr>
        <w:ind w:left="700" w:hanging="360"/>
      </w:pPr>
      <w:rPr>
        <w:rFonts w:hint="default"/>
      </w:rPr>
    </w:lvl>
    <w:lvl w:ilvl="1" w:tplc="041C0019">
      <w:start w:val="1"/>
      <w:numFmt w:val="lowerLetter"/>
      <w:lvlText w:val="%2."/>
      <w:lvlJc w:val="left"/>
      <w:pPr>
        <w:ind w:left="1420" w:hanging="360"/>
      </w:pPr>
    </w:lvl>
    <w:lvl w:ilvl="2" w:tplc="041C001B" w:tentative="1">
      <w:start w:val="1"/>
      <w:numFmt w:val="lowerRoman"/>
      <w:lvlText w:val="%3."/>
      <w:lvlJc w:val="right"/>
      <w:pPr>
        <w:ind w:left="2140" w:hanging="180"/>
      </w:pPr>
    </w:lvl>
    <w:lvl w:ilvl="3" w:tplc="041C000F" w:tentative="1">
      <w:start w:val="1"/>
      <w:numFmt w:val="decimal"/>
      <w:lvlText w:val="%4."/>
      <w:lvlJc w:val="left"/>
      <w:pPr>
        <w:ind w:left="2860" w:hanging="360"/>
      </w:pPr>
    </w:lvl>
    <w:lvl w:ilvl="4" w:tplc="041C0019" w:tentative="1">
      <w:start w:val="1"/>
      <w:numFmt w:val="lowerLetter"/>
      <w:lvlText w:val="%5."/>
      <w:lvlJc w:val="left"/>
      <w:pPr>
        <w:ind w:left="3580" w:hanging="360"/>
      </w:pPr>
    </w:lvl>
    <w:lvl w:ilvl="5" w:tplc="041C001B" w:tentative="1">
      <w:start w:val="1"/>
      <w:numFmt w:val="lowerRoman"/>
      <w:lvlText w:val="%6."/>
      <w:lvlJc w:val="right"/>
      <w:pPr>
        <w:ind w:left="4300" w:hanging="180"/>
      </w:pPr>
    </w:lvl>
    <w:lvl w:ilvl="6" w:tplc="041C000F" w:tentative="1">
      <w:start w:val="1"/>
      <w:numFmt w:val="decimal"/>
      <w:lvlText w:val="%7."/>
      <w:lvlJc w:val="left"/>
      <w:pPr>
        <w:ind w:left="5020" w:hanging="360"/>
      </w:pPr>
    </w:lvl>
    <w:lvl w:ilvl="7" w:tplc="041C0019" w:tentative="1">
      <w:start w:val="1"/>
      <w:numFmt w:val="lowerLetter"/>
      <w:lvlText w:val="%8."/>
      <w:lvlJc w:val="left"/>
      <w:pPr>
        <w:ind w:left="5740" w:hanging="360"/>
      </w:pPr>
    </w:lvl>
    <w:lvl w:ilvl="8" w:tplc="041C001B" w:tentative="1">
      <w:start w:val="1"/>
      <w:numFmt w:val="lowerRoman"/>
      <w:lvlText w:val="%9."/>
      <w:lvlJc w:val="right"/>
      <w:pPr>
        <w:ind w:left="6460" w:hanging="180"/>
      </w:pPr>
    </w:lvl>
  </w:abstractNum>
  <w:abstractNum w:abstractNumId="1">
    <w:nsid w:val="1F082D16"/>
    <w:multiLevelType w:val="hybridMultilevel"/>
    <w:tmpl w:val="2CEA724E"/>
    <w:lvl w:ilvl="0" w:tplc="0136F776">
      <w:start w:val="1"/>
      <w:numFmt w:val="decimal"/>
      <w:lvlText w:val="%1."/>
      <w:lvlJc w:val="left"/>
      <w:pPr>
        <w:ind w:left="700" w:hanging="360"/>
      </w:pPr>
      <w:rPr>
        <w:rFonts w:hint="default"/>
      </w:rPr>
    </w:lvl>
    <w:lvl w:ilvl="1" w:tplc="041C0019" w:tentative="1">
      <w:start w:val="1"/>
      <w:numFmt w:val="lowerLetter"/>
      <w:lvlText w:val="%2."/>
      <w:lvlJc w:val="left"/>
      <w:pPr>
        <w:ind w:left="1420" w:hanging="360"/>
      </w:pPr>
    </w:lvl>
    <w:lvl w:ilvl="2" w:tplc="041C001B" w:tentative="1">
      <w:start w:val="1"/>
      <w:numFmt w:val="lowerRoman"/>
      <w:lvlText w:val="%3."/>
      <w:lvlJc w:val="right"/>
      <w:pPr>
        <w:ind w:left="2140" w:hanging="180"/>
      </w:pPr>
    </w:lvl>
    <w:lvl w:ilvl="3" w:tplc="041C000F" w:tentative="1">
      <w:start w:val="1"/>
      <w:numFmt w:val="decimal"/>
      <w:lvlText w:val="%4."/>
      <w:lvlJc w:val="left"/>
      <w:pPr>
        <w:ind w:left="2860" w:hanging="360"/>
      </w:pPr>
    </w:lvl>
    <w:lvl w:ilvl="4" w:tplc="041C0019" w:tentative="1">
      <w:start w:val="1"/>
      <w:numFmt w:val="lowerLetter"/>
      <w:lvlText w:val="%5."/>
      <w:lvlJc w:val="left"/>
      <w:pPr>
        <w:ind w:left="3580" w:hanging="360"/>
      </w:pPr>
    </w:lvl>
    <w:lvl w:ilvl="5" w:tplc="041C001B" w:tentative="1">
      <w:start w:val="1"/>
      <w:numFmt w:val="lowerRoman"/>
      <w:lvlText w:val="%6."/>
      <w:lvlJc w:val="right"/>
      <w:pPr>
        <w:ind w:left="4300" w:hanging="180"/>
      </w:pPr>
    </w:lvl>
    <w:lvl w:ilvl="6" w:tplc="041C000F" w:tentative="1">
      <w:start w:val="1"/>
      <w:numFmt w:val="decimal"/>
      <w:lvlText w:val="%7."/>
      <w:lvlJc w:val="left"/>
      <w:pPr>
        <w:ind w:left="5020" w:hanging="360"/>
      </w:pPr>
    </w:lvl>
    <w:lvl w:ilvl="7" w:tplc="041C0019" w:tentative="1">
      <w:start w:val="1"/>
      <w:numFmt w:val="lowerLetter"/>
      <w:lvlText w:val="%8."/>
      <w:lvlJc w:val="left"/>
      <w:pPr>
        <w:ind w:left="5740" w:hanging="360"/>
      </w:pPr>
    </w:lvl>
    <w:lvl w:ilvl="8" w:tplc="041C001B" w:tentative="1">
      <w:start w:val="1"/>
      <w:numFmt w:val="lowerRoman"/>
      <w:lvlText w:val="%9."/>
      <w:lvlJc w:val="right"/>
      <w:pPr>
        <w:ind w:left="64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56B"/>
    <w:rsid w:val="00002637"/>
    <w:rsid w:val="00002A7D"/>
    <w:rsid w:val="00043C57"/>
    <w:rsid w:val="00055AB5"/>
    <w:rsid w:val="00060376"/>
    <w:rsid w:val="000765C2"/>
    <w:rsid w:val="00080322"/>
    <w:rsid w:val="00096985"/>
    <w:rsid w:val="000A3B4D"/>
    <w:rsid w:val="000A63DB"/>
    <w:rsid w:val="000B3704"/>
    <w:rsid w:val="000D199E"/>
    <w:rsid w:val="000E27E6"/>
    <w:rsid w:val="000E5BA6"/>
    <w:rsid w:val="000F2634"/>
    <w:rsid w:val="000F4AEC"/>
    <w:rsid w:val="00106F6D"/>
    <w:rsid w:val="00115B57"/>
    <w:rsid w:val="0012550D"/>
    <w:rsid w:val="00135A36"/>
    <w:rsid w:val="00146D52"/>
    <w:rsid w:val="00153CC5"/>
    <w:rsid w:val="00155BCF"/>
    <w:rsid w:val="0015706A"/>
    <w:rsid w:val="00161351"/>
    <w:rsid w:val="00164322"/>
    <w:rsid w:val="00166898"/>
    <w:rsid w:val="00167D1D"/>
    <w:rsid w:val="0017115E"/>
    <w:rsid w:val="0017223F"/>
    <w:rsid w:val="001816AF"/>
    <w:rsid w:val="00185717"/>
    <w:rsid w:val="001942D4"/>
    <w:rsid w:val="001B22E5"/>
    <w:rsid w:val="001B796E"/>
    <w:rsid w:val="001C0806"/>
    <w:rsid w:val="001C445C"/>
    <w:rsid w:val="001C5CDE"/>
    <w:rsid w:val="001C6A0A"/>
    <w:rsid w:val="001C7EC0"/>
    <w:rsid w:val="001D245D"/>
    <w:rsid w:val="001D2895"/>
    <w:rsid w:val="001F194A"/>
    <w:rsid w:val="001F78C3"/>
    <w:rsid w:val="002009A1"/>
    <w:rsid w:val="0020160E"/>
    <w:rsid w:val="0020170B"/>
    <w:rsid w:val="0020507F"/>
    <w:rsid w:val="002103CB"/>
    <w:rsid w:val="00213234"/>
    <w:rsid w:val="00214854"/>
    <w:rsid w:val="0021715D"/>
    <w:rsid w:val="00224329"/>
    <w:rsid w:val="00225B95"/>
    <w:rsid w:val="00233280"/>
    <w:rsid w:val="00234BD8"/>
    <w:rsid w:val="0024206A"/>
    <w:rsid w:val="00243B60"/>
    <w:rsid w:val="00266C06"/>
    <w:rsid w:val="002753F6"/>
    <w:rsid w:val="002845E4"/>
    <w:rsid w:val="002A47D7"/>
    <w:rsid w:val="002A7742"/>
    <w:rsid w:val="002C6627"/>
    <w:rsid w:val="002D733C"/>
    <w:rsid w:val="002E039F"/>
    <w:rsid w:val="002E354F"/>
    <w:rsid w:val="002F4C2E"/>
    <w:rsid w:val="002F5953"/>
    <w:rsid w:val="002F5F81"/>
    <w:rsid w:val="0031242A"/>
    <w:rsid w:val="00314FEC"/>
    <w:rsid w:val="003168B3"/>
    <w:rsid w:val="00323609"/>
    <w:rsid w:val="00323AAB"/>
    <w:rsid w:val="00353757"/>
    <w:rsid w:val="0035391F"/>
    <w:rsid w:val="00364A3B"/>
    <w:rsid w:val="0038331D"/>
    <w:rsid w:val="003854F1"/>
    <w:rsid w:val="00386BF1"/>
    <w:rsid w:val="00394AF1"/>
    <w:rsid w:val="003967B2"/>
    <w:rsid w:val="00397541"/>
    <w:rsid w:val="003A38DC"/>
    <w:rsid w:val="003A5900"/>
    <w:rsid w:val="003A63A5"/>
    <w:rsid w:val="003A74FE"/>
    <w:rsid w:val="003C48FF"/>
    <w:rsid w:val="003C6318"/>
    <w:rsid w:val="003E7309"/>
    <w:rsid w:val="003F0A72"/>
    <w:rsid w:val="003F23A7"/>
    <w:rsid w:val="003F29A8"/>
    <w:rsid w:val="003F3AA4"/>
    <w:rsid w:val="003F5372"/>
    <w:rsid w:val="00406DD3"/>
    <w:rsid w:val="0041300C"/>
    <w:rsid w:val="00420682"/>
    <w:rsid w:val="00422977"/>
    <w:rsid w:val="00433836"/>
    <w:rsid w:val="00433BCD"/>
    <w:rsid w:val="00445610"/>
    <w:rsid w:val="00455BBA"/>
    <w:rsid w:val="00460BC4"/>
    <w:rsid w:val="0046292F"/>
    <w:rsid w:val="00462E18"/>
    <w:rsid w:val="004647DB"/>
    <w:rsid w:val="004745CD"/>
    <w:rsid w:val="00477804"/>
    <w:rsid w:val="00482590"/>
    <w:rsid w:val="00491678"/>
    <w:rsid w:val="004A5884"/>
    <w:rsid w:val="004A5EC9"/>
    <w:rsid w:val="004B12D2"/>
    <w:rsid w:val="004B6ED9"/>
    <w:rsid w:val="004C2DFD"/>
    <w:rsid w:val="004E7290"/>
    <w:rsid w:val="004E7E53"/>
    <w:rsid w:val="004F447A"/>
    <w:rsid w:val="004F7030"/>
    <w:rsid w:val="00503A15"/>
    <w:rsid w:val="005058B0"/>
    <w:rsid w:val="00513920"/>
    <w:rsid w:val="00513C63"/>
    <w:rsid w:val="00517D9B"/>
    <w:rsid w:val="005201B5"/>
    <w:rsid w:val="00520AD1"/>
    <w:rsid w:val="00522FFB"/>
    <w:rsid w:val="005259F3"/>
    <w:rsid w:val="00531970"/>
    <w:rsid w:val="00531A97"/>
    <w:rsid w:val="00542102"/>
    <w:rsid w:val="0054721E"/>
    <w:rsid w:val="00550FA3"/>
    <w:rsid w:val="0055575B"/>
    <w:rsid w:val="00571DBE"/>
    <w:rsid w:val="005726F2"/>
    <w:rsid w:val="00572CEA"/>
    <w:rsid w:val="00573EE3"/>
    <w:rsid w:val="005767F6"/>
    <w:rsid w:val="00591503"/>
    <w:rsid w:val="0059248B"/>
    <w:rsid w:val="00592EB5"/>
    <w:rsid w:val="0059342C"/>
    <w:rsid w:val="00597C71"/>
    <w:rsid w:val="005A7379"/>
    <w:rsid w:val="005B6E3F"/>
    <w:rsid w:val="005C0263"/>
    <w:rsid w:val="005D58DF"/>
    <w:rsid w:val="005E00F0"/>
    <w:rsid w:val="005F7BF7"/>
    <w:rsid w:val="005F7DD6"/>
    <w:rsid w:val="0060535D"/>
    <w:rsid w:val="0062077A"/>
    <w:rsid w:val="00621A17"/>
    <w:rsid w:val="0063125F"/>
    <w:rsid w:val="006465EF"/>
    <w:rsid w:val="00646924"/>
    <w:rsid w:val="00647C4D"/>
    <w:rsid w:val="00663243"/>
    <w:rsid w:val="006645EE"/>
    <w:rsid w:val="0067406E"/>
    <w:rsid w:val="00677E6C"/>
    <w:rsid w:val="0068181F"/>
    <w:rsid w:val="0068193F"/>
    <w:rsid w:val="006946DD"/>
    <w:rsid w:val="006A5869"/>
    <w:rsid w:val="006C29B4"/>
    <w:rsid w:val="006C6CB5"/>
    <w:rsid w:val="006D41FC"/>
    <w:rsid w:val="006D49A7"/>
    <w:rsid w:val="006D7D9D"/>
    <w:rsid w:val="006E3634"/>
    <w:rsid w:val="006F4D55"/>
    <w:rsid w:val="007012EE"/>
    <w:rsid w:val="007053E3"/>
    <w:rsid w:val="00710522"/>
    <w:rsid w:val="0071134A"/>
    <w:rsid w:val="00720F87"/>
    <w:rsid w:val="00726525"/>
    <w:rsid w:val="00736DC8"/>
    <w:rsid w:val="007403CF"/>
    <w:rsid w:val="00742442"/>
    <w:rsid w:val="00746E32"/>
    <w:rsid w:val="007478D9"/>
    <w:rsid w:val="007654B3"/>
    <w:rsid w:val="00770FAD"/>
    <w:rsid w:val="00774741"/>
    <w:rsid w:val="00787AA7"/>
    <w:rsid w:val="0079676B"/>
    <w:rsid w:val="007A2E0E"/>
    <w:rsid w:val="007B5563"/>
    <w:rsid w:val="007C083E"/>
    <w:rsid w:val="007D742E"/>
    <w:rsid w:val="007E2515"/>
    <w:rsid w:val="00811138"/>
    <w:rsid w:val="00817A40"/>
    <w:rsid w:val="00831F1F"/>
    <w:rsid w:val="00840462"/>
    <w:rsid w:val="008420C3"/>
    <w:rsid w:val="008442F3"/>
    <w:rsid w:val="00845D3E"/>
    <w:rsid w:val="0085472C"/>
    <w:rsid w:val="00861391"/>
    <w:rsid w:val="008620E4"/>
    <w:rsid w:val="0086360A"/>
    <w:rsid w:val="00865B3D"/>
    <w:rsid w:val="00865C2F"/>
    <w:rsid w:val="008720AB"/>
    <w:rsid w:val="0087264B"/>
    <w:rsid w:val="008763D8"/>
    <w:rsid w:val="008914C1"/>
    <w:rsid w:val="00892C77"/>
    <w:rsid w:val="008A1646"/>
    <w:rsid w:val="008A1C0C"/>
    <w:rsid w:val="008A4813"/>
    <w:rsid w:val="008B4A38"/>
    <w:rsid w:val="008C15C7"/>
    <w:rsid w:val="008C5F8E"/>
    <w:rsid w:val="008C7812"/>
    <w:rsid w:val="008D12D7"/>
    <w:rsid w:val="008D3C88"/>
    <w:rsid w:val="008E4ACB"/>
    <w:rsid w:val="008F4E47"/>
    <w:rsid w:val="00900D7B"/>
    <w:rsid w:val="009100F6"/>
    <w:rsid w:val="0091014E"/>
    <w:rsid w:val="009104DF"/>
    <w:rsid w:val="00911AA1"/>
    <w:rsid w:val="00921C58"/>
    <w:rsid w:val="00924325"/>
    <w:rsid w:val="0094293A"/>
    <w:rsid w:val="0095323C"/>
    <w:rsid w:val="00957A39"/>
    <w:rsid w:val="00970D95"/>
    <w:rsid w:val="00974717"/>
    <w:rsid w:val="00976A3C"/>
    <w:rsid w:val="00991D86"/>
    <w:rsid w:val="00995B2E"/>
    <w:rsid w:val="0099741A"/>
    <w:rsid w:val="009A6F98"/>
    <w:rsid w:val="009C6EA7"/>
    <w:rsid w:val="009F0294"/>
    <w:rsid w:val="009F2844"/>
    <w:rsid w:val="00A06D12"/>
    <w:rsid w:val="00A15DE9"/>
    <w:rsid w:val="00A17A0D"/>
    <w:rsid w:val="00A27C1F"/>
    <w:rsid w:val="00A27C84"/>
    <w:rsid w:val="00A34D9D"/>
    <w:rsid w:val="00A354E1"/>
    <w:rsid w:val="00A37E6A"/>
    <w:rsid w:val="00A431DD"/>
    <w:rsid w:val="00A645A6"/>
    <w:rsid w:val="00A83EB5"/>
    <w:rsid w:val="00A87FCB"/>
    <w:rsid w:val="00A92C92"/>
    <w:rsid w:val="00A97B73"/>
    <w:rsid w:val="00AA32E0"/>
    <w:rsid w:val="00AC2686"/>
    <w:rsid w:val="00AD265E"/>
    <w:rsid w:val="00AF0CE9"/>
    <w:rsid w:val="00B03A16"/>
    <w:rsid w:val="00B204A0"/>
    <w:rsid w:val="00B22500"/>
    <w:rsid w:val="00B46B49"/>
    <w:rsid w:val="00B51F9D"/>
    <w:rsid w:val="00B5249D"/>
    <w:rsid w:val="00B54D96"/>
    <w:rsid w:val="00B6427E"/>
    <w:rsid w:val="00B64BF5"/>
    <w:rsid w:val="00B67778"/>
    <w:rsid w:val="00B7157D"/>
    <w:rsid w:val="00B77C91"/>
    <w:rsid w:val="00B8668D"/>
    <w:rsid w:val="00B866C9"/>
    <w:rsid w:val="00BA015C"/>
    <w:rsid w:val="00BA1706"/>
    <w:rsid w:val="00BA5571"/>
    <w:rsid w:val="00BB15C8"/>
    <w:rsid w:val="00BB16C7"/>
    <w:rsid w:val="00BB46FB"/>
    <w:rsid w:val="00BD4611"/>
    <w:rsid w:val="00BE5EE2"/>
    <w:rsid w:val="00BF3E6E"/>
    <w:rsid w:val="00C0196C"/>
    <w:rsid w:val="00C10624"/>
    <w:rsid w:val="00C128CC"/>
    <w:rsid w:val="00C36080"/>
    <w:rsid w:val="00C3772C"/>
    <w:rsid w:val="00C4191B"/>
    <w:rsid w:val="00C446ED"/>
    <w:rsid w:val="00C5239D"/>
    <w:rsid w:val="00C60BE8"/>
    <w:rsid w:val="00C60CAD"/>
    <w:rsid w:val="00C61820"/>
    <w:rsid w:val="00C65458"/>
    <w:rsid w:val="00C6573D"/>
    <w:rsid w:val="00C70225"/>
    <w:rsid w:val="00C751AA"/>
    <w:rsid w:val="00C838DA"/>
    <w:rsid w:val="00C90FD7"/>
    <w:rsid w:val="00C9297D"/>
    <w:rsid w:val="00C92C5B"/>
    <w:rsid w:val="00CA0828"/>
    <w:rsid w:val="00CC7CA2"/>
    <w:rsid w:val="00CD015F"/>
    <w:rsid w:val="00CD0CDD"/>
    <w:rsid w:val="00CD755C"/>
    <w:rsid w:val="00CE20CC"/>
    <w:rsid w:val="00CE7D19"/>
    <w:rsid w:val="00CF530D"/>
    <w:rsid w:val="00CF5B26"/>
    <w:rsid w:val="00D02FB0"/>
    <w:rsid w:val="00D16E34"/>
    <w:rsid w:val="00D23C4B"/>
    <w:rsid w:val="00D45AC2"/>
    <w:rsid w:val="00D60C6B"/>
    <w:rsid w:val="00D70F08"/>
    <w:rsid w:val="00D81416"/>
    <w:rsid w:val="00D9057C"/>
    <w:rsid w:val="00D9137F"/>
    <w:rsid w:val="00D91D6A"/>
    <w:rsid w:val="00DA56D4"/>
    <w:rsid w:val="00DB2C4D"/>
    <w:rsid w:val="00DC03DB"/>
    <w:rsid w:val="00DC0BDC"/>
    <w:rsid w:val="00DD2B3B"/>
    <w:rsid w:val="00DE0F00"/>
    <w:rsid w:val="00DF50DF"/>
    <w:rsid w:val="00E11FC3"/>
    <w:rsid w:val="00E15BC0"/>
    <w:rsid w:val="00E2024F"/>
    <w:rsid w:val="00E32B8C"/>
    <w:rsid w:val="00E35C1D"/>
    <w:rsid w:val="00E370B3"/>
    <w:rsid w:val="00E452DA"/>
    <w:rsid w:val="00E548CD"/>
    <w:rsid w:val="00E56364"/>
    <w:rsid w:val="00E61C98"/>
    <w:rsid w:val="00E6234F"/>
    <w:rsid w:val="00E62761"/>
    <w:rsid w:val="00E70A27"/>
    <w:rsid w:val="00E72BC5"/>
    <w:rsid w:val="00E76B9D"/>
    <w:rsid w:val="00E8424D"/>
    <w:rsid w:val="00EA6FA1"/>
    <w:rsid w:val="00EC55E7"/>
    <w:rsid w:val="00EC57E8"/>
    <w:rsid w:val="00ED1B55"/>
    <w:rsid w:val="00ED406C"/>
    <w:rsid w:val="00EE34F2"/>
    <w:rsid w:val="00EE7E5D"/>
    <w:rsid w:val="00F0486A"/>
    <w:rsid w:val="00F057D5"/>
    <w:rsid w:val="00F07F7F"/>
    <w:rsid w:val="00F10725"/>
    <w:rsid w:val="00F234B6"/>
    <w:rsid w:val="00F26560"/>
    <w:rsid w:val="00F36704"/>
    <w:rsid w:val="00F52125"/>
    <w:rsid w:val="00F537D2"/>
    <w:rsid w:val="00F5592E"/>
    <w:rsid w:val="00F630AC"/>
    <w:rsid w:val="00F81371"/>
    <w:rsid w:val="00F814BA"/>
    <w:rsid w:val="00F84F9C"/>
    <w:rsid w:val="00FA0571"/>
    <w:rsid w:val="00FB563C"/>
    <w:rsid w:val="00FB5CED"/>
    <w:rsid w:val="00FC484A"/>
    <w:rsid w:val="00FC631E"/>
    <w:rsid w:val="00FD160E"/>
    <w:rsid w:val="00FD248F"/>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402EC"/>
  <w15:docId w15:val="{4A586215-D218-481C-A711-A17F4EE58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1722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23F"/>
  </w:style>
  <w:style w:type="paragraph" w:styleId="Footer">
    <w:name w:val="footer"/>
    <w:basedOn w:val="Normal"/>
    <w:link w:val="FooterChar"/>
    <w:uiPriority w:val="99"/>
    <w:unhideWhenUsed/>
    <w:rsid w:val="001722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23F"/>
  </w:style>
  <w:style w:type="paragraph" w:styleId="ListParagraph">
    <w:name w:val="List Paragraph"/>
    <w:basedOn w:val="Normal"/>
    <w:uiPriority w:val="34"/>
    <w:qFormat/>
    <w:rsid w:val="00720F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Nr_x002e__x0020_akti>
    <Data_x0020_e_x0020_Krijimit xmlns="0e656187-b300-4fb0-8bf4-3a50f872073c">2022-12-13T11:14:23Z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2022-12-12T23:00:00Z</Date_x0020_protokolli>
    <Titulli xmlns="0e656187-b300-4fb0-8bf4-3a50f872073c">Për disa shtesa dhe ndryshime në ligjin nr. 12/2018" Për vlerësimin kalimtar dhe periodik të punonjësve të Policisë së Shtetit, Gardës së  Republikës dhe Shërbimit për Çështjet e Brendshme dhe Ankesat në Ministrinë e  Brendshme" të ndryshuar</Titulli>
    <Modifikuesi xmlns="0e656187-b300-4fb0-8bf4-3a50f872073c">Suada.Daci</Modifikuesi>
    <Nr_x002e__x0020_prot_x0020_QBZ xmlns="0e656187-b300-4fb0-8bf4-3a50f872073c">1786/3</Nr_x002e__x0020_prot_x0020_QBZ>
    <Data_x0020_e_x0020_Modifikimit xmlns="0e656187-b300-4fb0-8bf4-3a50f872073c">2022-12-13T11:22:40Z</Data_x0020_e_x0020_Modifikimit>
    <Dekretuar xmlns="0e656187-b300-4fb0-8bf4-3a50f872073c">false</Dekretuar>
    <Data xmlns="0e656187-b300-4fb0-8bf4-3a50f872073c">2022-11-16T23:00:00Z</Data>
    <Nr_x002e__x0020_protokolli_x0020_i_x0020_aktit xmlns="0e656187-b300-4fb0-8bf4-3a50f872073c">4172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2C33BDD29854222B733CFB2594837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2C33BDD29854222B733CFB2594837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D64ED-6351-4D63-A4B9-05F363FAD336}">
  <ds:schemaRefs>
    <ds:schemaRef ds:uri="http://purl.org/dc/dcmitype/"/>
    <ds:schemaRef ds:uri="http://schemas.openxmlformats.org/package/2006/metadata/core-properties"/>
    <ds:schemaRef ds:uri="http://www.w3.org/XML/1998/namespace"/>
    <ds:schemaRef ds:uri="http://schemas.microsoft.com/office/2006/metadata/properties"/>
    <ds:schemaRef ds:uri="http://schemas.microsoft.com/office/2006/documentManagement/types"/>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0BE2CE26-8EA2-430C-B53D-A5EA856F6D0F}">
  <ds:schemaRefs>
    <ds:schemaRef ds:uri="http://schemas.microsoft.com/sharepoint/v3/contenttype/forms"/>
  </ds:schemaRefs>
</ds:datastoreItem>
</file>

<file path=customXml/itemProps3.xml><?xml version="1.0" encoding="utf-8"?>
<ds:datastoreItem xmlns:ds="http://schemas.openxmlformats.org/officeDocument/2006/customXml" ds:itemID="{CB9C738A-41D6-497B-80AD-2A69BD31D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29FDE20-2F3E-40F7-ACC6-75E5679A8170}">
  <ds:schemaRefs>
    <ds:schemaRef ds:uri="http://schemas.microsoft.com/sharepoint/v3/contenttype/forms"/>
  </ds:schemaRefs>
</ds:datastoreItem>
</file>

<file path=customXml/itemProps5.xml><?xml version="1.0" encoding="utf-8"?>
<ds:datastoreItem xmlns:ds="http://schemas.openxmlformats.org/officeDocument/2006/customXml" ds:itemID="{BDA362A4-2E62-45BA-B11D-78E4A81DF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0C59313-79D3-49B0-BAD7-0A6428FE0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5222</Words>
  <Characters>29767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Jorina Kryeziu</cp:lastModifiedBy>
  <cp:revision>27</cp:revision>
  <cp:lastPrinted>2022-11-18T10:00:00Z</cp:lastPrinted>
  <dcterms:created xsi:type="dcterms:W3CDTF">2022-12-13T11:06:00Z</dcterms:created>
  <dcterms:modified xsi:type="dcterms:W3CDTF">2022-12-13T11:48:00Z</dcterms:modified>
</cp:coreProperties>
</file>