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F2660" w14:textId="77777777" w:rsidR="00420682" w:rsidRPr="007311E2" w:rsidRDefault="00420682" w:rsidP="007311E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311E2">
        <w:rPr>
          <w:rFonts w:ascii="Garamond" w:hAnsi="Garamond" w:cs="Times New Roman"/>
          <w:b/>
          <w:sz w:val="24"/>
          <w:szCs w:val="24"/>
        </w:rPr>
        <w:t>LIGJ</w:t>
      </w:r>
    </w:p>
    <w:p w14:paraId="455F2661" w14:textId="77777777" w:rsidR="003D59B2" w:rsidRPr="007311E2" w:rsidRDefault="002009A1" w:rsidP="007311E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311E2">
        <w:rPr>
          <w:rFonts w:ascii="Garamond" w:hAnsi="Garamond" w:cs="Times New Roman"/>
          <w:b/>
          <w:sz w:val="24"/>
          <w:szCs w:val="24"/>
        </w:rPr>
        <w:t xml:space="preserve">Nr. </w:t>
      </w:r>
      <w:r w:rsidR="00EE7DE0" w:rsidRPr="007311E2">
        <w:rPr>
          <w:rFonts w:ascii="Garamond" w:hAnsi="Garamond" w:cs="Times New Roman"/>
          <w:b/>
          <w:sz w:val="24"/>
          <w:szCs w:val="24"/>
        </w:rPr>
        <w:t>82</w:t>
      </w:r>
      <w:r w:rsidR="00FA0571" w:rsidRPr="007311E2">
        <w:rPr>
          <w:rFonts w:ascii="Garamond" w:hAnsi="Garamond" w:cs="Times New Roman"/>
          <w:b/>
          <w:sz w:val="24"/>
          <w:szCs w:val="24"/>
        </w:rPr>
        <w:t>/2022</w:t>
      </w:r>
    </w:p>
    <w:p w14:paraId="455F2662" w14:textId="77777777" w:rsidR="008C264C" w:rsidRPr="007311E2" w:rsidRDefault="008C264C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63" w14:textId="39A4E9B8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311E2">
        <w:rPr>
          <w:rFonts w:ascii="Garamond" w:hAnsi="Garamond" w:cs="Times New Roman"/>
          <w:b/>
          <w:bCs/>
          <w:sz w:val="24"/>
          <w:szCs w:val="24"/>
        </w:rPr>
        <w:t>PËR DISA SHTESA DHE</w:t>
      </w:r>
      <w:r w:rsidR="001C2A36" w:rsidRPr="007311E2">
        <w:rPr>
          <w:rFonts w:ascii="Garamond" w:hAnsi="Garamond" w:cs="Times New Roman"/>
          <w:b/>
          <w:bCs/>
          <w:sz w:val="24"/>
          <w:szCs w:val="24"/>
        </w:rPr>
        <w:t xml:space="preserve"> NDRYSHIME NË LIGJIN NR. 92/2014</w:t>
      </w:r>
      <w:r w:rsidR="009770FF">
        <w:rPr>
          <w:rFonts w:ascii="Garamond" w:hAnsi="Garamond" w:cs="Times New Roman"/>
          <w:b/>
          <w:bCs/>
          <w:sz w:val="24"/>
          <w:szCs w:val="24"/>
        </w:rPr>
        <w:t>,</w:t>
      </w:r>
      <w:r w:rsidRPr="007311E2">
        <w:rPr>
          <w:rFonts w:ascii="Garamond" w:hAnsi="Garamond" w:cs="Times New Roman"/>
          <w:b/>
          <w:bCs/>
          <w:sz w:val="24"/>
          <w:szCs w:val="24"/>
        </w:rPr>
        <w:t xml:space="preserve"> “PËR TATIMIN MBI VLERËN E SHTUAR NË REPUBLIKËN E SHQIPËRISË”, TË NDRYSHUAR</w:t>
      </w:r>
      <w:r w:rsidRPr="007311E2">
        <w:rPr>
          <w:rStyle w:val="FootnoteReference"/>
          <w:rFonts w:ascii="Garamond" w:hAnsi="Garamond"/>
          <w:b/>
          <w:bCs/>
          <w:sz w:val="24"/>
          <w:szCs w:val="24"/>
        </w:rPr>
        <w:footnoteReference w:id="2"/>
      </w:r>
    </w:p>
    <w:p w14:paraId="455F2664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65" w14:textId="77777777" w:rsidR="00A52F13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Në mbështetje të</w:t>
      </w:r>
      <w:r w:rsidR="00A52F13" w:rsidRPr="007311E2">
        <w:rPr>
          <w:rFonts w:ascii="Garamond" w:hAnsi="Garamond" w:cs="Times New Roman"/>
          <w:bCs/>
          <w:sz w:val="24"/>
          <w:szCs w:val="24"/>
        </w:rPr>
        <w:t xml:space="preserve"> neneve 78, 83, pika 1, dhe 155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 të Kushtetutës, me propozimin e Këshillit të Ministrave, </w:t>
      </w:r>
    </w:p>
    <w:p w14:paraId="455F2666" w14:textId="77777777" w:rsidR="00A52F13" w:rsidRPr="007311E2" w:rsidRDefault="00A52F13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67" w14:textId="77777777" w:rsidR="00A52F13" w:rsidRPr="007311E2" w:rsidRDefault="00A52F13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KUVENDI</w:t>
      </w:r>
    </w:p>
    <w:p w14:paraId="455F2668" w14:textId="77777777" w:rsidR="00EE7DE0" w:rsidRPr="007311E2" w:rsidRDefault="00A52F13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455F2669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55F266A" w14:textId="77777777" w:rsidR="00EE7DE0" w:rsidRPr="007311E2" w:rsidRDefault="007311E2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VENDOS</w:t>
      </w:r>
      <w:r w:rsidR="00A52F13" w:rsidRPr="007311E2">
        <w:rPr>
          <w:rFonts w:ascii="Garamond" w:hAnsi="Garamond" w:cs="Times New Roman"/>
          <w:bCs/>
          <w:sz w:val="24"/>
          <w:szCs w:val="24"/>
        </w:rPr>
        <w:t>I:</w:t>
      </w:r>
    </w:p>
    <w:p w14:paraId="455F266B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6C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Në ligjin nr.</w:t>
      </w:r>
      <w:r w:rsidR="00A52F13" w:rsidRPr="007311E2">
        <w:rPr>
          <w:rFonts w:ascii="Garamond" w:hAnsi="Garamond" w:cs="Times New Roman"/>
          <w:bCs/>
          <w:sz w:val="24"/>
          <w:szCs w:val="24"/>
        </w:rPr>
        <w:t xml:space="preserve"> 92/2014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 “Për tatimin mbi vlerën e shtuar në Republikën e Shqipërisë”, të ndryshuar, bëhen këto shtesa dhe ndryshime: </w:t>
      </w:r>
    </w:p>
    <w:p w14:paraId="455F266D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6E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Neni 1</w:t>
      </w:r>
    </w:p>
    <w:p w14:paraId="455F266F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70" w14:textId="77777777" w:rsidR="00EE7DE0" w:rsidRPr="007311E2" w:rsidRDefault="00A52F13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Pas shkronjës “p” të nenit 51,</w:t>
      </w:r>
      <w:r w:rsidR="00EE7DE0" w:rsidRPr="007311E2">
        <w:rPr>
          <w:rFonts w:ascii="Garamond" w:hAnsi="Garamond" w:cs="Times New Roman"/>
          <w:bCs/>
          <w:sz w:val="24"/>
          <w:szCs w:val="24"/>
        </w:rPr>
        <w:t xml:space="preserve"> “Përjashtimi i disa veprimtar</w:t>
      </w:r>
      <w:r w:rsidRPr="007311E2">
        <w:rPr>
          <w:rFonts w:ascii="Garamond" w:hAnsi="Garamond" w:cs="Times New Roman"/>
          <w:bCs/>
          <w:sz w:val="24"/>
          <w:szCs w:val="24"/>
        </w:rPr>
        <w:t>ive me interes të përgjithshëm”, shtohet shkronja “q”</w:t>
      </w:r>
      <w:r w:rsidR="00EE7DE0" w:rsidRPr="007311E2">
        <w:rPr>
          <w:rFonts w:ascii="Garamond" w:hAnsi="Garamond" w:cs="Times New Roman"/>
          <w:bCs/>
          <w:sz w:val="24"/>
          <w:szCs w:val="24"/>
        </w:rPr>
        <w:t xml:space="preserve"> me këtë përmbajtje:</w:t>
      </w:r>
    </w:p>
    <w:p w14:paraId="455F2671" w14:textId="43B41D9C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 xml:space="preserve">“q) Furnizimi i artikujve të përfshirë në kreun 4401 të Nomenklaturës së Kombinuar të Mallrave, me efekt deri </w:t>
      </w:r>
      <w:r w:rsidR="00F65120">
        <w:rPr>
          <w:rFonts w:ascii="Garamond" w:hAnsi="Garamond" w:cs="Times New Roman"/>
          <w:bCs/>
          <w:sz w:val="24"/>
          <w:szCs w:val="24"/>
        </w:rPr>
        <w:t>m</w:t>
      </w:r>
      <w:r w:rsidRPr="007311E2">
        <w:rPr>
          <w:rFonts w:ascii="Garamond" w:hAnsi="Garamond" w:cs="Times New Roman"/>
          <w:bCs/>
          <w:sz w:val="24"/>
          <w:szCs w:val="24"/>
        </w:rPr>
        <w:t>ë 31 dhjetor 2023.”.</w:t>
      </w:r>
    </w:p>
    <w:p w14:paraId="455F2672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73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Neni 2</w:t>
      </w:r>
    </w:p>
    <w:p w14:paraId="455F2674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75" w14:textId="77777777" w:rsidR="00EE7DE0" w:rsidRPr="007311E2" w:rsidRDefault="00A52F13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 xml:space="preserve">Pas pikës 44 </w:t>
      </w:r>
      <w:r w:rsidR="00EE7DE0" w:rsidRPr="007311E2">
        <w:rPr>
          <w:rFonts w:ascii="Garamond" w:hAnsi="Garamond" w:cs="Times New Roman"/>
          <w:bCs/>
          <w:sz w:val="24"/>
          <w:szCs w:val="24"/>
        </w:rPr>
        <w:t>të nenit 56, “Përjashtime të veçanta në import”, shtohen pikat 45 dhe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 46 me këtë përmbajtje:</w:t>
      </w:r>
    </w:p>
    <w:p w14:paraId="455F2676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“45. Mallrat e destinuara për realizimin e projekteve të financuara me fonde të m</w:t>
      </w:r>
      <w:r w:rsidR="00A52F13" w:rsidRPr="007311E2">
        <w:rPr>
          <w:rFonts w:ascii="Garamond" w:hAnsi="Garamond" w:cs="Times New Roman"/>
          <w:bCs/>
          <w:sz w:val="24"/>
          <w:szCs w:val="24"/>
        </w:rPr>
        <w:t>arra në bazë të një marrëveshje donacioni/granti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 të lidhur ndërmjet Këshillit të Ministra</w:t>
      </w:r>
      <w:r w:rsidR="00A52F13" w:rsidRPr="007311E2">
        <w:rPr>
          <w:rFonts w:ascii="Garamond" w:hAnsi="Garamond" w:cs="Times New Roman"/>
          <w:bCs/>
          <w:sz w:val="24"/>
          <w:szCs w:val="24"/>
        </w:rPr>
        <w:t>ve të Republikës së Shqipërisë/</w:t>
      </w:r>
      <w:r w:rsidRPr="007311E2">
        <w:rPr>
          <w:rFonts w:ascii="Garamond" w:hAnsi="Garamond" w:cs="Times New Roman"/>
          <w:bCs/>
          <w:sz w:val="24"/>
          <w:szCs w:val="24"/>
        </w:rPr>
        <w:t>Republikës së Shqipërisë dhe donatorëve të huaj, nëse në marrëveshje është parashikuar se fondet e marra nuk do të përdoren për të paguar tatime.</w:t>
      </w:r>
    </w:p>
    <w:p w14:paraId="455F2677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Kriteret dhe procedurat për zbatimin e kësaj pike përcaktohen me udhëzim të ministrit të financave.</w:t>
      </w:r>
    </w:p>
    <w:p w14:paraId="455F2678" w14:textId="2A056C3D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 xml:space="preserve"> 46. Importimi i artikujve të përfshirë në kreun 4401 të Nomenklaturës së Kombinuar të Mallrave, me efekt deri </w:t>
      </w:r>
      <w:r w:rsidR="00F65120">
        <w:rPr>
          <w:rFonts w:ascii="Garamond" w:hAnsi="Garamond" w:cs="Times New Roman"/>
          <w:bCs/>
          <w:sz w:val="24"/>
          <w:szCs w:val="24"/>
        </w:rPr>
        <w:t>m</w:t>
      </w:r>
      <w:r w:rsidRPr="007311E2">
        <w:rPr>
          <w:rFonts w:ascii="Garamond" w:hAnsi="Garamond" w:cs="Times New Roman"/>
          <w:bCs/>
          <w:sz w:val="24"/>
          <w:szCs w:val="24"/>
        </w:rPr>
        <w:t>ë 31 dhjetor 2023.”.</w:t>
      </w:r>
    </w:p>
    <w:p w14:paraId="455F2679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7A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Neni 3</w:t>
      </w:r>
    </w:p>
    <w:p w14:paraId="455F267B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7C" w14:textId="77777777" w:rsidR="00EE7DE0" w:rsidRPr="007311E2" w:rsidRDefault="00CD4618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Pas shkronjës “b” të pikës 1</w:t>
      </w:r>
      <w:r w:rsidR="00EE7DE0" w:rsidRPr="007311E2">
        <w:rPr>
          <w:rFonts w:ascii="Garamond" w:hAnsi="Garamond" w:cs="Times New Roman"/>
          <w:bCs/>
          <w:sz w:val="24"/>
          <w:szCs w:val="24"/>
        </w:rPr>
        <w:t xml:space="preserve"> të nenit 60, “Furnizime të përngjashme me e</w:t>
      </w:r>
      <w:r w:rsidRPr="007311E2">
        <w:rPr>
          <w:rFonts w:ascii="Garamond" w:hAnsi="Garamond" w:cs="Times New Roman"/>
          <w:bCs/>
          <w:sz w:val="24"/>
          <w:szCs w:val="24"/>
        </w:rPr>
        <w:t>ksportet”, shtohet shkronja “c” me këtë përmbajtje:</w:t>
      </w:r>
    </w:p>
    <w:p w14:paraId="455F267D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“c) Furnizimi i mallra</w:t>
      </w:r>
      <w:r w:rsidR="00CD4618" w:rsidRPr="007311E2">
        <w:rPr>
          <w:rFonts w:ascii="Garamond" w:hAnsi="Garamond" w:cs="Times New Roman"/>
          <w:bCs/>
          <w:sz w:val="24"/>
          <w:szCs w:val="24"/>
        </w:rPr>
        <w:t>ve/</w:t>
      </w:r>
      <w:r w:rsidRPr="007311E2">
        <w:rPr>
          <w:rFonts w:ascii="Garamond" w:hAnsi="Garamond" w:cs="Times New Roman"/>
          <w:bCs/>
          <w:sz w:val="24"/>
          <w:szCs w:val="24"/>
        </w:rPr>
        <w:t>shërbimeve, të destinuara për realizimin e projekteve të financuara me fonde të marra në bazë të një</w:t>
      </w:r>
      <w:r w:rsidR="003A25BF" w:rsidRPr="007311E2">
        <w:rPr>
          <w:rFonts w:ascii="Garamond" w:hAnsi="Garamond" w:cs="Times New Roman"/>
          <w:bCs/>
          <w:sz w:val="24"/>
          <w:szCs w:val="24"/>
        </w:rPr>
        <w:t xml:space="preserve"> marrëveshjeje donacioni/granti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 të lidhur ndërmjet Këshillit të Ministr</w:t>
      </w:r>
      <w:r w:rsidR="003A25BF" w:rsidRPr="007311E2">
        <w:rPr>
          <w:rFonts w:ascii="Garamond" w:hAnsi="Garamond" w:cs="Times New Roman"/>
          <w:bCs/>
          <w:sz w:val="24"/>
          <w:szCs w:val="24"/>
        </w:rPr>
        <w:t>ave të Republikës së Shqipërisë/</w:t>
      </w:r>
      <w:r w:rsidRPr="007311E2">
        <w:rPr>
          <w:rFonts w:ascii="Garamond" w:hAnsi="Garamond" w:cs="Times New Roman"/>
          <w:bCs/>
          <w:sz w:val="24"/>
          <w:szCs w:val="24"/>
        </w:rPr>
        <w:t>Republikës së Shqipërisë dhe donatorëve të huaj, nëse në marrëveshje është parashikuar se fondet e marra nuk do të përdoren për të paguar tatime.”.</w:t>
      </w:r>
    </w:p>
    <w:p w14:paraId="455F267E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DFB8714" w14:textId="77777777" w:rsidR="005C1A75" w:rsidRDefault="005C1A75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2579CDB4" w14:textId="77777777" w:rsidR="005C1A75" w:rsidRDefault="005C1A75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CD53826" w14:textId="77777777" w:rsidR="005C1A75" w:rsidRDefault="005C1A75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55F267F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bookmarkStart w:id="0" w:name="_GoBack"/>
      <w:bookmarkEnd w:id="0"/>
      <w:r w:rsidRPr="007311E2">
        <w:rPr>
          <w:rFonts w:ascii="Garamond" w:hAnsi="Garamond" w:cs="Times New Roman"/>
          <w:bCs/>
          <w:sz w:val="24"/>
          <w:szCs w:val="24"/>
        </w:rPr>
        <w:t>Neni 4</w:t>
      </w:r>
    </w:p>
    <w:p w14:paraId="455F2680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81" w14:textId="1F99BF46" w:rsidR="00EE7DE0" w:rsidRPr="007311E2" w:rsidRDefault="003A25BF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lastRenderedPageBreak/>
        <w:t>Në fund të pikës 2</w:t>
      </w:r>
      <w:r w:rsidR="00A224B6">
        <w:rPr>
          <w:rFonts w:ascii="Garamond" w:hAnsi="Garamond" w:cs="Times New Roman"/>
          <w:bCs/>
          <w:sz w:val="24"/>
          <w:szCs w:val="24"/>
        </w:rPr>
        <w:t>,</w:t>
      </w:r>
      <w:r w:rsidR="00EE7DE0" w:rsidRPr="007311E2">
        <w:rPr>
          <w:rFonts w:ascii="Garamond" w:hAnsi="Garamond" w:cs="Times New Roman"/>
          <w:bCs/>
          <w:sz w:val="24"/>
          <w:szCs w:val="24"/>
        </w:rPr>
        <w:t xml:space="preserve"> të nenit 77, “Rimbursi</w:t>
      </w:r>
      <w:r w:rsidRPr="007311E2">
        <w:rPr>
          <w:rFonts w:ascii="Garamond" w:hAnsi="Garamond" w:cs="Times New Roman"/>
          <w:bCs/>
          <w:sz w:val="24"/>
          <w:szCs w:val="24"/>
        </w:rPr>
        <w:t>mi i TVSH-së”, shtohen fjalët “</w:t>
      </w:r>
      <w:r w:rsidR="00EE7DE0" w:rsidRPr="007311E2">
        <w:rPr>
          <w:rFonts w:ascii="Garamond" w:hAnsi="Garamond" w:cs="Times New Roman"/>
          <w:bCs/>
          <w:sz w:val="24"/>
          <w:szCs w:val="24"/>
        </w:rPr>
        <w:t xml:space="preserve">me përjashtim </w:t>
      </w:r>
      <w:r w:rsidR="00EE7DE0" w:rsidRPr="007311E2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të rasteve të parashikuara në pikën 45 të nenit 56 dhe </w:t>
      </w:r>
      <w:r w:rsidRPr="007311E2">
        <w:rPr>
          <w:rFonts w:ascii="Garamond" w:hAnsi="Garamond" w:cs="Times New Roman"/>
          <w:bCs/>
          <w:color w:val="000000" w:themeColor="text1"/>
          <w:sz w:val="24"/>
          <w:szCs w:val="24"/>
        </w:rPr>
        <w:t>germës</w:t>
      </w:r>
      <w:r w:rsidR="00EE7DE0" w:rsidRPr="007311E2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“c” të pikës 1 të nenit 60 të këtij ligji”.</w:t>
      </w:r>
    </w:p>
    <w:p w14:paraId="455F2682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83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Nen 5</w:t>
      </w:r>
    </w:p>
    <w:p w14:paraId="455F2684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85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Pas nenit 155, “Mbajtja e llogarive”, shtohet seksioni 6, “Regjimi i veçantë për Bursën Shqiptare të Energjisë”, përfshi</w:t>
      </w:r>
      <w:r w:rsidR="003A25BF" w:rsidRPr="007311E2">
        <w:rPr>
          <w:rFonts w:ascii="Garamond" w:hAnsi="Garamond" w:cs="Times New Roman"/>
          <w:bCs/>
          <w:sz w:val="24"/>
          <w:szCs w:val="24"/>
        </w:rPr>
        <w:t>rë nenet 155/1, 155/2 dhe 155/3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 me këtë përmbajtje:</w:t>
      </w:r>
    </w:p>
    <w:p w14:paraId="455F2686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87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“SEKSIONI 6</w:t>
      </w:r>
    </w:p>
    <w:p w14:paraId="455F2688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REGJIMI I VEÇANTË PËR BURSËN SHQIPTARE TË ENERGJISË</w:t>
      </w:r>
    </w:p>
    <w:p w14:paraId="455F2689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55F268A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Neni 155/1</w:t>
      </w:r>
    </w:p>
    <w:p w14:paraId="455F268B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311E2">
        <w:rPr>
          <w:rFonts w:ascii="Garamond" w:hAnsi="Garamond" w:cs="Times New Roman"/>
          <w:b/>
          <w:bCs/>
          <w:sz w:val="24"/>
          <w:szCs w:val="24"/>
        </w:rPr>
        <w:t>Përkufizime</w:t>
      </w:r>
    </w:p>
    <w:p w14:paraId="455F268C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8D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 xml:space="preserve">Për qëllime të këtij seksioni, </w:t>
      </w:r>
      <w:r w:rsidR="003A25BF" w:rsidRPr="007311E2">
        <w:rPr>
          <w:rFonts w:ascii="Garamond" w:hAnsi="Garamond" w:cs="Times New Roman"/>
          <w:bCs/>
          <w:sz w:val="24"/>
          <w:szCs w:val="24"/>
        </w:rPr>
        <w:t>me termat e mëposhtëm kuptohet:</w:t>
      </w:r>
    </w:p>
    <w:p w14:paraId="455F268E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a)</w:t>
      </w:r>
      <w:r w:rsidR="007311E2">
        <w:rPr>
          <w:rFonts w:ascii="Garamond" w:hAnsi="Garamond" w:cs="Times New Roman"/>
          <w:bCs/>
          <w:sz w:val="24"/>
          <w:szCs w:val="24"/>
        </w:rPr>
        <w:t xml:space="preserve"> </w:t>
      </w:r>
      <w:r w:rsidRPr="007311E2">
        <w:rPr>
          <w:rFonts w:ascii="Garamond" w:hAnsi="Garamond" w:cs="Times New Roman"/>
          <w:bCs/>
          <w:sz w:val="24"/>
          <w:szCs w:val="24"/>
        </w:rPr>
        <w:t>“Bursa Shqiptare e Energjisë Elektrike” është struktura përgjegjëse për menaxhimin dhe administrimin e tregut të organizuar ndërmjet platformës së tregut për shitjen dhe blerjen e energjisë elektrike, në bazë të ditës në avancë dhe/ose brenda së njëjtës ditë, si dhe për të gjitha aktivitetet e lidhura me të, duke përfshirë edhe aktivitetin e kompensimit financiar (</w:t>
      </w:r>
      <w:r w:rsidRPr="007311E2">
        <w:rPr>
          <w:rFonts w:ascii="Garamond" w:hAnsi="Garamond" w:cs="Times New Roman"/>
          <w:bCs/>
          <w:i/>
          <w:sz w:val="24"/>
          <w:szCs w:val="24"/>
        </w:rPr>
        <w:t>clearing</w:t>
      </w:r>
      <w:r w:rsidRPr="007311E2">
        <w:rPr>
          <w:rFonts w:ascii="Garamond" w:hAnsi="Garamond" w:cs="Times New Roman"/>
          <w:bCs/>
          <w:sz w:val="24"/>
          <w:szCs w:val="24"/>
        </w:rPr>
        <w:t>) mes pjesëmarrësve të tregut, në përputhje me r</w:t>
      </w:r>
      <w:r w:rsidR="003A25BF" w:rsidRPr="007311E2">
        <w:rPr>
          <w:rFonts w:ascii="Garamond" w:hAnsi="Garamond" w:cs="Times New Roman"/>
          <w:bCs/>
          <w:sz w:val="24"/>
          <w:szCs w:val="24"/>
        </w:rPr>
        <w:t xml:space="preserve">regullat dhe modelin e tregut. </w:t>
      </w:r>
    </w:p>
    <w:p w14:paraId="455F268F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b)</w:t>
      </w:r>
      <w:r w:rsidR="007311E2">
        <w:rPr>
          <w:rFonts w:ascii="Garamond" w:hAnsi="Garamond" w:cs="Times New Roman"/>
          <w:bCs/>
          <w:sz w:val="24"/>
          <w:szCs w:val="24"/>
        </w:rPr>
        <w:t xml:space="preserve"> 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“Treg energjie elektrike” </w:t>
      </w:r>
      <w:r w:rsidR="003A25BF" w:rsidRPr="007311E2">
        <w:rPr>
          <w:rFonts w:ascii="Garamond" w:hAnsi="Garamond" w:cs="Times New Roman"/>
          <w:bCs/>
          <w:sz w:val="24"/>
          <w:szCs w:val="24"/>
        </w:rPr>
        <w:t xml:space="preserve">është </w:t>
      </w:r>
      <w:r w:rsidRPr="007311E2">
        <w:rPr>
          <w:rFonts w:ascii="Garamond" w:hAnsi="Garamond" w:cs="Times New Roman"/>
          <w:bCs/>
          <w:sz w:val="24"/>
          <w:szCs w:val="24"/>
        </w:rPr>
        <w:t>një sistem ku kryhen shitje dhe blerje efektive, përfshirë edhe derivativët e energjisë elektrike, nëpërmjet kërkesave dhe ofertave, të paraqitura në periu</w:t>
      </w:r>
      <w:r w:rsidR="003A25BF" w:rsidRPr="007311E2">
        <w:rPr>
          <w:rFonts w:ascii="Garamond" w:hAnsi="Garamond" w:cs="Times New Roman"/>
          <w:bCs/>
          <w:sz w:val="24"/>
          <w:szCs w:val="24"/>
        </w:rPr>
        <w:t>dha afatgjata dhe afatshkurtra.</w:t>
      </w:r>
    </w:p>
    <w:p w14:paraId="455F2690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c)</w:t>
      </w:r>
      <w:r w:rsidR="007311E2">
        <w:rPr>
          <w:rFonts w:ascii="Garamond" w:hAnsi="Garamond" w:cs="Times New Roman"/>
          <w:bCs/>
          <w:sz w:val="24"/>
          <w:szCs w:val="24"/>
        </w:rPr>
        <w:t xml:space="preserve"> </w:t>
      </w:r>
      <w:r w:rsidRPr="007311E2">
        <w:rPr>
          <w:rFonts w:ascii="Garamond" w:hAnsi="Garamond" w:cs="Times New Roman"/>
          <w:bCs/>
          <w:sz w:val="24"/>
          <w:szCs w:val="24"/>
        </w:rPr>
        <w:t>“Derivativ elektrik” është një instrument financiar që mund të përdoret nga pjesëmarrësit e tregut të energjisë elektrike si mjet sigurie ndaj luhatjeve të mundshme të çmimit të energjisë elektrike në tre</w:t>
      </w:r>
      <w:r w:rsidR="003A25BF" w:rsidRPr="007311E2">
        <w:rPr>
          <w:rFonts w:ascii="Garamond" w:hAnsi="Garamond" w:cs="Times New Roman"/>
          <w:bCs/>
          <w:sz w:val="24"/>
          <w:szCs w:val="24"/>
        </w:rPr>
        <w:t>g.</w:t>
      </w:r>
    </w:p>
    <w:p w14:paraId="455F2691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d)</w:t>
      </w:r>
      <w:r w:rsidR="007311E2">
        <w:rPr>
          <w:rFonts w:ascii="Garamond" w:hAnsi="Garamond" w:cs="Times New Roman"/>
          <w:bCs/>
          <w:sz w:val="24"/>
          <w:szCs w:val="24"/>
        </w:rPr>
        <w:t xml:space="preserve"> </w:t>
      </w:r>
      <w:r w:rsidRPr="007311E2">
        <w:rPr>
          <w:rFonts w:ascii="Garamond" w:hAnsi="Garamond" w:cs="Times New Roman"/>
          <w:bCs/>
          <w:sz w:val="24"/>
          <w:szCs w:val="24"/>
        </w:rPr>
        <w:t>“Pjesëmarrës i tregut të energjisë elektrike” është një person juridik, i regjistruar si pjesëtar i tregut të energjisë elektrike, që përfshin prodhuesit, tregtarët, furnizuesit, klientët, Operatori</w:t>
      </w:r>
      <w:r w:rsidR="003A25BF" w:rsidRPr="007311E2">
        <w:rPr>
          <w:rFonts w:ascii="Garamond" w:hAnsi="Garamond" w:cs="Times New Roman"/>
          <w:bCs/>
          <w:sz w:val="24"/>
          <w:szCs w:val="24"/>
        </w:rPr>
        <w:t>n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 </w:t>
      </w:r>
      <w:r w:rsidR="003A25BF" w:rsidRPr="007311E2">
        <w:rPr>
          <w:rFonts w:ascii="Garamond" w:hAnsi="Garamond" w:cs="Times New Roman"/>
          <w:bCs/>
          <w:sz w:val="24"/>
          <w:szCs w:val="24"/>
        </w:rPr>
        <w:t>e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 Sistemit të Transmetimit, Operatori</w:t>
      </w:r>
      <w:r w:rsidR="003A25BF" w:rsidRPr="007311E2">
        <w:rPr>
          <w:rFonts w:ascii="Garamond" w:hAnsi="Garamond" w:cs="Times New Roman"/>
          <w:bCs/>
          <w:sz w:val="24"/>
          <w:szCs w:val="24"/>
        </w:rPr>
        <w:t>n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 </w:t>
      </w:r>
      <w:r w:rsidR="003A25BF" w:rsidRPr="007311E2">
        <w:rPr>
          <w:rFonts w:ascii="Garamond" w:hAnsi="Garamond" w:cs="Times New Roman"/>
          <w:bCs/>
          <w:sz w:val="24"/>
          <w:szCs w:val="24"/>
        </w:rPr>
        <w:t>e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 Sistemit të Shpërndarjes, sistemet e mbyllura të shpërndarjes dhe operatori</w:t>
      </w:r>
      <w:r w:rsidR="003A25BF" w:rsidRPr="007311E2">
        <w:rPr>
          <w:rFonts w:ascii="Garamond" w:hAnsi="Garamond" w:cs="Times New Roman"/>
          <w:bCs/>
          <w:sz w:val="24"/>
          <w:szCs w:val="24"/>
        </w:rPr>
        <w:t>n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 </w:t>
      </w:r>
      <w:r w:rsidR="003A25BF" w:rsidRPr="007311E2">
        <w:rPr>
          <w:rFonts w:ascii="Garamond" w:hAnsi="Garamond" w:cs="Times New Roman"/>
          <w:bCs/>
          <w:sz w:val="24"/>
          <w:szCs w:val="24"/>
        </w:rPr>
        <w:t>e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 tregut. Operatori i Sistemit të Transmetimit dhe Operatori i Sistemit të Shpërndarjes janë pjesëmarrës të tregut të energjisë elektrike vetëm për qëllim të sigurimit të energjisë elektrike të nevojshme për mbulimin e humbjeve në rrjet, bal</w:t>
      </w:r>
      <w:r w:rsidR="00E2382E" w:rsidRPr="007311E2">
        <w:rPr>
          <w:rFonts w:ascii="Garamond" w:hAnsi="Garamond" w:cs="Times New Roman"/>
          <w:bCs/>
          <w:sz w:val="24"/>
          <w:szCs w:val="24"/>
        </w:rPr>
        <w:t>ancimin dhe shërbimet ndihmëse</w:t>
      </w:r>
      <w:r w:rsidRPr="007311E2">
        <w:rPr>
          <w:rFonts w:ascii="Garamond" w:hAnsi="Garamond" w:cs="Times New Roman"/>
          <w:bCs/>
          <w:sz w:val="24"/>
          <w:szCs w:val="24"/>
        </w:rPr>
        <w:t>.</w:t>
      </w:r>
    </w:p>
    <w:p w14:paraId="455F2692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93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Neni 155/2</w:t>
      </w:r>
    </w:p>
    <w:p w14:paraId="455F2694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311E2">
        <w:rPr>
          <w:rFonts w:ascii="Garamond" w:hAnsi="Garamond" w:cs="Times New Roman"/>
          <w:b/>
          <w:bCs/>
          <w:sz w:val="24"/>
          <w:szCs w:val="24"/>
        </w:rPr>
        <w:t>Përjashtimi nga tatimi</w:t>
      </w:r>
    </w:p>
    <w:p w14:paraId="455F2695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96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Përjashtohen nga tatimi mbi vlerën e shtuar importimi dhe furnizimi brenda vendit i energjisë elektrike të destinuar për t’u shitur nëpërmjet Bursës Shqiptare të Energjisë Elektrike.</w:t>
      </w:r>
    </w:p>
    <w:p w14:paraId="455F2697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98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Neni 155/3</w:t>
      </w:r>
    </w:p>
    <w:p w14:paraId="455F2699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311E2">
        <w:rPr>
          <w:rFonts w:ascii="Garamond" w:hAnsi="Garamond" w:cs="Times New Roman"/>
          <w:b/>
          <w:bCs/>
          <w:sz w:val="24"/>
          <w:szCs w:val="24"/>
        </w:rPr>
        <w:t>Pagesa e TVSH-së</w:t>
      </w:r>
    </w:p>
    <w:p w14:paraId="455F269A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9B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1.</w:t>
      </w:r>
      <w:r w:rsidR="007311E2">
        <w:rPr>
          <w:rFonts w:ascii="Garamond" w:hAnsi="Garamond" w:cs="Times New Roman"/>
          <w:bCs/>
          <w:sz w:val="24"/>
          <w:szCs w:val="24"/>
        </w:rPr>
        <w:t xml:space="preserve"> </w:t>
      </w:r>
      <w:r w:rsidRPr="007311E2">
        <w:rPr>
          <w:rFonts w:ascii="Garamond" w:hAnsi="Garamond" w:cs="Times New Roman"/>
          <w:bCs/>
          <w:sz w:val="24"/>
          <w:szCs w:val="24"/>
        </w:rPr>
        <w:t>Në rastin e furnizimit të energjisë elektrike të tregtuar nëpërmjet Bursës Shqiptare të Energjisë Elektrike, TVSH-ja bëhet e kërkueshme në momentin kur shpallen rezultatet në tregjet e ankandeve të ditës në avancë ose brenda së njëjtës ditë ose në momentin kur urdhër porositë përputhen në rastin e tregut të vazh</w:t>
      </w:r>
      <w:r w:rsidR="003A25BF" w:rsidRPr="007311E2">
        <w:rPr>
          <w:rFonts w:ascii="Garamond" w:hAnsi="Garamond" w:cs="Times New Roman"/>
          <w:bCs/>
          <w:sz w:val="24"/>
          <w:szCs w:val="24"/>
        </w:rPr>
        <w:t>dueshëm brenda së njëjtës ditë.</w:t>
      </w:r>
    </w:p>
    <w:p w14:paraId="455F269C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2.</w:t>
      </w:r>
      <w:r w:rsidR="007311E2">
        <w:rPr>
          <w:rFonts w:ascii="Garamond" w:hAnsi="Garamond" w:cs="Times New Roman"/>
          <w:bCs/>
          <w:sz w:val="24"/>
          <w:szCs w:val="24"/>
        </w:rPr>
        <w:t xml:space="preserve"> </w:t>
      </w:r>
      <w:r w:rsidRPr="007311E2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Deri më 31 dhjetor 2026 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TVSH-ja është e pagueshme nga personi i tatueshëm për të cilin kryhet furnizimi me energji elektrike nga Bursa Shqiptare e Energjisë Elektrike në përputhje me parashikimet e këtij seksioni dhe përcaktimet e nenit 21. Për efekt të përllogaritjes së TVSH-së blerësi i energjisë elektrike nga Bursa </w:t>
      </w:r>
      <w:r w:rsidR="00E2382E" w:rsidRPr="007311E2">
        <w:rPr>
          <w:rFonts w:ascii="Garamond" w:hAnsi="Garamond" w:cs="Times New Roman"/>
          <w:bCs/>
          <w:sz w:val="24"/>
          <w:szCs w:val="24"/>
        </w:rPr>
        <w:t>Shqiptare e Energjisë Elektrike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 kryen autongarkesën (</w:t>
      </w:r>
      <w:r w:rsidRPr="007311E2">
        <w:rPr>
          <w:rFonts w:ascii="Garamond" w:hAnsi="Garamond" w:cs="Times New Roman"/>
          <w:bCs/>
          <w:i/>
          <w:sz w:val="24"/>
          <w:szCs w:val="24"/>
        </w:rPr>
        <w:t>reverse-charge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) e TVSH-së në cilësinë e personit përgjegjës për pagesën e TVSH-së. </w:t>
      </w:r>
    </w:p>
    <w:p w14:paraId="455F269D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>Procedurat për zbatimin e kësaj pike dhe fillimi i aplikimit të kësaj skeme të veçantë përcaktohen me vendim të Këshillit të Ministrave.”.</w:t>
      </w:r>
    </w:p>
    <w:p w14:paraId="455F269E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9F" w14:textId="77777777" w:rsidR="00EE7DE0" w:rsidRPr="007311E2" w:rsidRDefault="00EE7DE0" w:rsidP="007311E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lastRenderedPageBreak/>
        <w:t>Neni 6</w:t>
      </w:r>
    </w:p>
    <w:p w14:paraId="455F26A0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A1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 xml:space="preserve">Ky ligj hyn </w:t>
      </w:r>
      <w:r w:rsidR="00E2382E" w:rsidRPr="007311E2">
        <w:rPr>
          <w:rFonts w:ascii="Garamond" w:hAnsi="Garamond" w:cs="Times New Roman"/>
          <w:bCs/>
          <w:sz w:val="24"/>
          <w:szCs w:val="24"/>
        </w:rPr>
        <w:t>në fuqi 15 ditë pas botimit në Fletoren Zyrtare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 dhe i shtrin efektet nga 1 janari 2023.</w:t>
      </w:r>
    </w:p>
    <w:p w14:paraId="455F26A2" w14:textId="77777777" w:rsidR="00EE7DE0" w:rsidRPr="007311E2" w:rsidRDefault="00EE7DE0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5F26A3" w14:textId="31624C36" w:rsidR="00976A3C" w:rsidRPr="007311E2" w:rsidRDefault="00976A3C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11E2">
        <w:rPr>
          <w:rFonts w:ascii="Garamond" w:hAnsi="Garamond" w:cs="Times New Roman"/>
          <w:bCs/>
          <w:sz w:val="24"/>
          <w:szCs w:val="24"/>
        </w:rPr>
        <w:t xml:space="preserve">Miratuar </w:t>
      </w:r>
      <w:r w:rsidR="00842107">
        <w:rPr>
          <w:rFonts w:ascii="Garamond" w:hAnsi="Garamond" w:cs="Times New Roman"/>
          <w:bCs/>
          <w:sz w:val="24"/>
          <w:szCs w:val="24"/>
        </w:rPr>
        <w:t>m</w:t>
      </w:r>
      <w:r w:rsidRPr="007311E2">
        <w:rPr>
          <w:rFonts w:ascii="Garamond" w:hAnsi="Garamond" w:cs="Times New Roman"/>
          <w:bCs/>
          <w:sz w:val="24"/>
          <w:szCs w:val="24"/>
        </w:rPr>
        <w:t xml:space="preserve">ë datë </w:t>
      </w:r>
      <w:r w:rsidR="008C264C" w:rsidRPr="007311E2">
        <w:rPr>
          <w:rFonts w:ascii="Garamond" w:hAnsi="Garamond" w:cs="Times New Roman"/>
          <w:bCs/>
          <w:sz w:val="24"/>
          <w:szCs w:val="24"/>
        </w:rPr>
        <w:t>24</w:t>
      </w:r>
      <w:r w:rsidR="00ED7107" w:rsidRPr="007311E2">
        <w:rPr>
          <w:rFonts w:ascii="Garamond" w:hAnsi="Garamond" w:cs="Times New Roman"/>
          <w:bCs/>
          <w:sz w:val="24"/>
          <w:szCs w:val="24"/>
        </w:rPr>
        <w:t>.1</w:t>
      </w:r>
      <w:r w:rsidR="004866A8" w:rsidRPr="007311E2">
        <w:rPr>
          <w:rFonts w:ascii="Garamond" w:hAnsi="Garamond" w:cs="Times New Roman"/>
          <w:bCs/>
          <w:sz w:val="24"/>
          <w:szCs w:val="24"/>
        </w:rPr>
        <w:t>1</w:t>
      </w:r>
      <w:r w:rsidR="00146D52" w:rsidRPr="007311E2">
        <w:rPr>
          <w:rFonts w:ascii="Garamond" w:hAnsi="Garamond" w:cs="Times New Roman"/>
          <w:bCs/>
          <w:sz w:val="24"/>
          <w:szCs w:val="24"/>
        </w:rPr>
        <w:t>.</w:t>
      </w:r>
      <w:r w:rsidR="00FA0571" w:rsidRPr="007311E2">
        <w:rPr>
          <w:rFonts w:ascii="Garamond" w:hAnsi="Garamond" w:cs="Times New Roman"/>
          <w:bCs/>
          <w:sz w:val="24"/>
          <w:szCs w:val="24"/>
        </w:rPr>
        <w:t>2022</w:t>
      </w:r>
      <w:r w:rsidR="00842107">
        <w:rPr>
          <w:rFonts w:ascii="Garamond" w:hAnsi="Garamond" w:cs="Times New Roman"/>
          <w:bCs/>
          <w:sz w:val="24"/>
          <w:szCs w:val="24"/>
        </w:rPr>
        <w:t>.</w:t>
      </w:r>
    </w:p>
    <w:p w14:paraId="455F26A4" w14:textId="77777777" w:rsidR="003D59B2" w:rsidRPr="007311E2" w:rsidRDefault="003D59B2" w:rsidP="007311E2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455F26A5" w14:textId="65CC0E8A" w:rsidR="002243D6" w:rsidRDefault="00776743" w:rsidP="002243D6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Shpallur me dekretin nr.13881, datë</w:t>
      </w:r>
      <w:r w:rsidR="002243D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>
        <w:rPr>
          <w:rFonts w:ascii="Garamond" w:hAnsi="Garamond" w:cs="Times New Roman"/>
          <w:b/>
          <w:bCs/>
          <w:sz w:val="24"/>
          <w:szCs w:val="24"/>
        </w:rPr>
        <w:t>19.12.2022</w:t>
      </w:r>
      <w:r w:rsidR="002243D6">
        <w:rPr>
          <w:rFonts w:ascii="Garamond" w:hAnsi="Garamond" w:cs="Times New Roman"/>
          <w:b/>
          <w:bCs/>
          <w:sz w:val="24"/>
          <w:szCs w:val="24"/>
        </w:rPr>
        <w:t xml:space="preserve"> të Presidentit të Republikës së Shqipërisë, Bajram Begaj</w:t>
      </w:r>
    </w:p>
    <w:p w14:paraId="455F26A6" w14:textId="77777777" w:rsidR="00213234" w:rsidRPr="007311E2" w:rsidRDefault="00213234" w:rsidP="007311E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7311E2" w:rsidSect="004D3CF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02D6A1" w14:textId="77777777" w:rsidR="00776743" w:rsidRDefault="00776743" w:rsidP="00420682">
      <w:pPr>
        <w:spacing w:after="0" w:line="240" w:lineRule="auto"/>
      </w:pPr>
      <w:r>
        <w:separator/>
      </w:r>
    </w:p>
  </w:endnote>
  <w:endnote w:type="continuationSeparator" w:id="0">
    <w:p w14:paraId="7572107B" w14:textId="77777777" w:rsidR="00776743" w:rsidRDefault="00776743" w:rsidP="00420682">
      <w:pPr>
        <w:spacing w:after="0" w:line="240" w:lineRule="auto"/>
      </w:pPr>
      <w:r>
        <w:continuationSeparator/>
      </w:r>
    </w:p>
  </w:endnote>
  <w:endnote w:type="continuationNotice" w:id="1">
    <w:p w14:paraId="798EFBC4" w14:textId="77777777" w:rsidR="00776743" w:rsidRDefault="007767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5F26AD" w14:textId="77777777" w:rsidR="00776743" w:rsidRDefault="007767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5F26AE" w14:textId="77777777" w:rsidR="00776743" w:rsidRDefault="0077674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5F26B0" w14:textId="77777777" w:rsidR="00776743" w:rsidRDefault="007767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87ACBA" w14:textId="77777777" w:rsidR="00776743" w:rsidRDefault="00776743" w:rsidP="00420682">
      <w:pPr>
        <w:spacing w:after="0" w:line="240" w:lineRule="auto"/>
      </w:pPr>
      <w:r>
        <w:separator/>
      </w:r>
    </w:p>
  </w:footnote>
  <w:footnote w:type="continuationSeparator" w:id="0">
    <w:p w14:paraId="60B6B73A" w14:textId="77777777" w:rsidR="00776743" w:rsidRDefault="00776743" w:rsidP="00420682">
      <w:pPr>
        <w:spacing w:after="0" w:line="240" w:lineRule="auto"/>
      </w:pPr>
      <w:r>
        <w:continuationSeparator/>
      </w:r>
    </w:p>
  </w:footnote>
  <w:footnote w:type="continuationNotice" w:id="1">
    <w:p w14:paraId="025D29D4" w14:textId="77777777" w:rsidR="00776743" w:rsidRDefault="00776743">
      <w:pPr>
        <w:spacing w:after="0" w:line="240" w:lineRule="auto"/>
      </w:pPr>
    </w:p>
  </w:footnote>
  <w:footnote w:id="2">
    <w:p w14:paraId="455F26B1" w14:textId="77777777" w:rsidR="00776743" w:rsidRPr="007311E2" w:rsidRDefault="00776743" w:rsidP="00EE7DE0">
      <w:pPr>
        <w:pStyle w:val="FootnoteText"/>
        <w:rPr>
          <w:rFonts w:ascii="Garamond" w:hAnsi="Garamond"/>
          <w:color w:val="000000" w:themeColor="text1"/>
          <w:lang w:val="sq-AL"/>
        </w:rPr>
      </w:pPr>
      <w:r w:rsidRPr="007311E2">
        <w:rPr>
          <w:rStyle w:val="FootnoteReference"/>
          <w:rFonts w:ascii="Garamond" w:hAnsi="Garamond"/>
          <w:color w:val="000000" w:themeColor="text1"/>
        </w:rPr>
        <w:footnoteRef/>
      </w:r>
      <w:r w:rsidRPr="007311E2">
        <w:rPr>
          <w:rFonts w:ascii="Garamond" w:hAnsi="Garamond"/>
          <w:color w:val="000000" w:themeColor="text1"/>
        </w:rPr>
        <w:t xml:space="preserve"> </w:t>
      </w:r>
      <w:r w:rsidRPr="007311E2">
        <w:rPr>
          <w:rFonts w:ascii="Garamond" w:hAnsi="Garamond"/>
          <w:color w:val="000000" w:themeColor="text1"/>
          <w:lang w:val="sq-AL"/>
        </w:rPr>
        <w:t>Ky ligj është përafruar pjesërisht me:</w:t>
      </w:r>
    </w:p>
    <w:p w14:paraId="455F26B2" w14:textId="10F86B52" w:rsidR="00776743" w:rsidRPr="004C2AEE" w:rsidRDefault="00776743" w:rsidP="00EE7DE0">
      <w:pPr>
        <w:pStyle w:val="FootnoteText"/>
        <w:rPr>
          <w:color w:val="000000" w:themeColor="text1"/>
          <w:lang w:val="sq-AL"/>
        </w:rPr>
      </w:pPr>
      <w:r>
        <w:rPr>
          <w:rFonts w:ascii="Garamond" w:hAnsi="Garamond"/>
          <w:color w:val="000000" w:themeColor="text1"/>
          <w:lang w:val="sq-AL"/>
        </w:rPr>
        <w:t>- d</w:t>
      </w:r>
      <w:r w:rsidRPr="007311E2">
        <w:rPr>
          <w:rFonts w:ascii="Garamond" w:hAnsi="Garamond"/>
          <w:color w:val="000000" w:themeColor="text1"/>
          <w:lang w:val="sq-AL"/>
        </w:rPr>
        <w:t xml:space="preserve">irektivën e Këshillit 2006/112/KE, datë 28 nëntor 2006 “Mbi sistemin e përbashkët të tatimit mbi vlerën e shtuar”, e ndryshuar”, </w:t>
      </w:r>
      <w:r>
        <w:rPr>
          <w:rFonts w:ascii="Garamond" w:hAnsi="Garamond"/>
          <w:color w:val="000000" w:themeColor="text1"/>
          <w:lang w:val="sq-AL"/>
        </w:rPr>
        <w:t>n</w:t>
      </w:r>
      <w:r w:rsidRPr="007311E2">
        <w:rPr>
          <w:rFonts w:ascii="Garamond" w:hAnsi="Garamond"/>
          <w:color w:val="000000" w:themeColor="text1"/>
          <w:lang w:val="sq-AL"/>
        </w:rPr>
        <w:t>umri CELEX 32006L0112, Fletorja Zyrtare e Bashkimit E</w:t>
      </w:r>
      <w:r>
        <w:rPr>
          <w:rFonts w:ascii="Garamond" w:hAnsi="Garamond"/>
          <w:color w:val="000000" w:themeColor="text1"/>
          <w:lang w:val="sq-AL"/>
        </w:rPr>
        <w:t>v</w:t>
      </w:r>
      <w:r w:rsidRPr="007311E2">
        <w:rPr>
          <w:rFonts w:ascii="Garamond" w:hAnsi="Garamond"/>
          <w:color w:val="000000" w:themeColor="text1"/>
          <w:lang w:val="sq-AL"/>
        </w:rPr>
        <w:t xml:space="preserve">ropian, </w:t>
      </w:r>
      <w:r>
        <w:rPr>
          <w:rFonts w:ascii="Garamond" w:hAnsi="Garamond"/>
          <w:color w:val="000000" w:themeColor="text1"/>
          <w:lang w:val="sq-AL"/>
        </w:rPr>
        <w:t>s</w:t>
      </w:r>
      <w:r w:rsidRPr="007311E2">
        <w:rPr>
          <w:rFonts w:ascii="Garamond" w:hAnsi="Garamond"/>
          <w:color w:val="000000" w:themeColor="text1"/>
          <w:lang w:val="sq-AL"/>
        </w:rPr>
        <w:t xml:space="preserve">eria L, </w:t>
      </w:r>
      <w:r>
        <w:rPr>
          <w:rFonts w:ascii="Garamond" w:hAnsi="Garamond"/>
          <w:color w:val="000000" w:themeColor="text1"/>
          <w:lang w:val="sq-AL"/>
        </w:rPr>
        <w:t>n</w:t>
      </w:r>
      <w:r w:rsidRPr="007311E2">
        <w:rPr>
          <w:rFonts w:ascii="Garamond" w:hAnsi="Garamond"/>
          <w:color w:val="000000" w:themeColor="text1"/>
          <w:lang w:val="sq-AL"/>
        </w:rPr>
        <w:t>r. 347, datë, 11.12.2006, faqe 1-118”.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5F26AB" w14:textId="77777777" w:rsidR="00776743" w:rsidRDefault="0077674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5F26AC" w14:textId="77777777" w:rsidR="00776743" w:rsidRDefault="0077674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5F26AF" w14:textId="77777777" w:rsidR="00776743" w:rsidRDefault="007767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30376"/>
    <w:rsid w:val="00043C57"/>
    <w:rsid w:val="00055AB5"/>
    <w:rsid w:val="00060376"/>
    <w:rsid w:val="00072080"/>
    <w:rsid w:val="000765C2"/>
    <w:rsid w:val="00096985"/>
    <w:rsid w:val="000A3B4D"/>
    <w:rsid w:val="000D199E"/>
    <w:rsid w:val="000E5BA6"/>
    <w:rsid w:val="00106F6D"/>
    <w:rsid w:val="0012550D"/>
    <w:rsid w:val="00130958"/>
    <w:rsid w:val="00135A36"/>
    <w:rsid w:val="00136EC9"/>
    <w:rsid w:val="00146D52"/>
    <w:rsid w:val="00153CC5"/>
    <w:rsid w:val="00155BCF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2A36"/>
    <w:rsid w:val="001C445C"/>
    <w:rsid w:val="001C5CDE"/>
    <w:rsid w:val="001C6A0A"/>
    <w:rsid w:val="001C7EC0"/>
    <w:rsid w:val="001D2895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243D6"/>
    <w:rsid w:val="00233280"/>
    <w:rsid w:val="00234BD8"/>
    <w:rsid w:val="0024206A"/>
    <w:rsid w:val="00243B60"/>
    <w:rsid w:val="00266C06"/>
    <w:rsid w:val="00267F0F"/>
    <w:rsid w:val="002753F6"/>
    <w:rsid w:val="002A47D7"/>
    <w:rsid w:val="002D5F14"/>
    <w:rsid w:val="002F5953"/>
    <w:rsid w:val="002F5F81"/>
    <w:rsid w:val="00300CDA"/>
    <w:rsid w:val="003168B3"/>
    <w:rsid w:val="003547D6"/>
    <w:rsid w:val="0038331D"/>
    <w:rsid w:val="00397541"/>
    <w:rsid w:val="003A25BF"/>
    <w:rsid w:val="003A38DC"/>
    <w:rsid w:val="003A63A5"/>
    <w:rsid w:val="003C48FF"/>
    <w:rsid w:val="003D59B2"/>
    <w:rsid w:val="003F29A8"/>
    <w:rsid w:val="00403A89"/>
    <w:rsid w:val="0041300C"/>
    <w:rsid w:val="00420682"/>
    <w:rsid w:val="00433BCD"/>
    <w:rsid w:val="00436717"/>
    <w:rsid w:val="00445610"/>
    <w:rsid w:val="0045421F"/>
    <w:rsid w:val="00455BBA"/>
    <w:rsid w:val="00460BC4"/>
    <w:rsid w:val="004647DB"/>
    <w:rsid w:val="00477804"/>
    <w:rsid w:val="004866A8"/>
    <w:rsid w:val="00492821"/>
    <w:rsid w:val="004A5884"/>
    <w:rsid w:val="004A5DE6"/>
    <w:rsid w:val="004B12D2"/>
    <w:rsid w:val="004B6ED9"/>
    <w:rsid w:val="004C2AEE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201B5"/>
    <w:rsid w:val="0052203F"/>
    <w:rsid w:val="00522FFB"/>
    <w:rsid w:val="00531970"/>
    <w:rsid w:val="00531A97"/>
    <w:rsid w:val="00533AC7"/>
    <w:rsid w:val="005404E9"/>
    <w:rsid w:val="00542102"/>
    <w:rsid w:val="00550FA3"/>
    <w:rsid w:val="0055575B"/>
    <w:rsid w:val="005726F2"/>
    <w:rsid w:val="0057369C"/>
    <w:rsid w:val="00573EE3"/>
    <w:rsid w:val="005767F6"/>
    <w:rsid w:val="00591503"/>
    <w:rsid w:val="0059248B"/>
    <w:rsid w:val="0059342C"/>
    <w:rsid w:val="005A7379"/>
    <w:rsid w:val="005B2117"/>
    <w:rsid w:val="005B6E3F"/>
    <w:rsid w:val="005C1A75"/>
    <w:rsid w:val="005F00A8"/>
    <w:rsid w:val="0060535D"/>
    <w:rsid w:val="0062077A"/>
    <w:rsid w:val="00621A17"/>
    <w:rsid w:val="00646167"/>
    <w:rsid w:val="006465EF"/>
    <w:rsid w:val="00646924"/>
    <w:rsid w:val="00663243"/>
    <w:rsid w:val="0067406E"/>
    <w:rsid w:val="00677E6C"/>
    <w:rsid w:val="006F4D55"/>
    <w:rsid w:val="00726356"/>
    <w:rsid w:val="00726525"/>
    <w:rsid w:val="007311E2"/>
    <w:rsid w:val="00736DC8"/>
    <w:rsid w:val="007403CF"/>
    <w:rsid w:val="00742442"/>
    <w:rsid w:val="00750246"/>
    <w:rsid w:val="007654B3"/>
    <w:rsid w:val="00770FAD"/>
    <w:rsid w:val="00774741"/>
    <w:rsid w:val="00776743"/>
    <w:rsid w:val="007A2E0E"/>
    <w:rsid w:val="007C083E"/>
    <w:rsid w:val="007D6440"/>
    <w:rsid w:val="007D742E"/>
    <w:rsid w:val="007E2515"/>
    <w:rsid w:val="008030D2"/>
    <w:rsid w:val="00811138"/>
    <w:rsid w:val="00820E26"/>
    <w:rsid w:val="00822D31"/>
    <w:rsid w:val="00840462"/>
    <w:rsid w:val="008420C3"/>
    <w:rsid w:val="00842107"/>
    <w:rsid w:val="0085472C"/>
    <w:rsid w:val="008613A9"/>
    <w:rsid w:val="008620E4"/>
    <w:rsid w:val="0086360A"/>
    <w:rsid w:val="008720AB"/>
    <w:rsid w:val="0087264B"/>
    <w:rsid w:val="00882025"/>
    <w:rsid w:val="0088796B"/>
    <w:rsid w:val="008914C1"/>
    <w:rsid w:val="00892C77"/>
    <w:rsid w:val="0089762F"/>
    <w:rsid w:val="008A1646"/>
    <w:rsid w:val="008B0406"/>
    <w:rsid w:val="008C15C7"/>
    <w:rsid w:val="008C264C"/>
    <w:rsid w:val="008D12D7"/>
    <w:rsid w:val="00900D7B"/>
    <w:rsid w:val="0091014E"/>
    <w:rsid w:val="009104DF"/>
    <w:rsid w:val="00912DAA"/>
    <w:rsid w:val="00917DF9"/>
    <w:rsid w:val="00954FD3"/>
    <w:rsid w:val="00957A39"/>
    <w:rsid w:val="00970D95"/>
    <w:rsid w:val="00974717"/>
    <w:rsid w:val="00976A3C"/>
    <w:rsid w:val="009770FF"/>
    <w:rsid w:val="00991D86"/>
    <w:rsid w:val="0099741A"/>
    <w:rsid w:val="009A501D"/>
    <w:rsid w:val="009A6F98"/>
    <w:rsid w:val="009C12D6"/>
    <w:rsid w:val="009C52A4"/>
    <w:rsid w:val="00A06D12"/>
    <w:rsid w:val="00A10B5D"/>
    <w:rsid w:val="00A15DE9"/>
    <w:rsid w:val="00A224B6"/>
    <w:rsid w:val="00A27C1F"/>
    <w:rsid w:val="00A34D9D"/>
    <w:rsid w:val="00A431DD"/>
    <w:rsid w:val="00A52F13"/>
    <w:rsid w:val="00A645A6"/>
    <w:rsid w:val="00A97B73"/>
    <w:rsid w:val="00AA32E0"/>
    <w:rsid w:val="00AA545E"/>
    <w:rsid w:val="00AC2686"/>
    <w:rsid w:val="00AF0CE9"/>
    <w:rsid w:val="00AF5D8E"/>
    <w:rsid w:val="00B03A16"/>
    <w:rsid w:val="00B46B49"/>
    <w:rsid w:val="00B51F9D"/>
    <w:rsid w:val="00B53E29"/>
    <w:rsid w:val="00B54D96"/>
    <w:rsid w:val="00B6099E"/>
    <w:rsid w:val="00B6427E"/>
    <w:rsid w:val="00B67778"/>
    <w:rsid w:val="00B707D8"/>
    <w:rsid w:val="00B8668D"/>
    <w:rsid w:val="00BA1706"/>
    <w:rsid w:val="00BA5571"/>
    <w:rsid w:val="00BB15C8"/>
    <w:rsid w:val="00BD4611"/>
    <w:rsid w:val="00BE072E"/>
    <w:rsid w:val="00C037E0"/>
    <w:rsid w:val="00C10624"/>
    <w:rsid w:val="00C4191B"/>
    <w:rsid w:val="00C446ED"/>
    <w:rsid w:val="00C5239D"/>
    <w:rsid w:val="00C60CAD"/>
    <w:rsid w:val="00C6573D"/>
    <w:rsid w:val="00C751AA"/>
    <w:rsid w:val="00C90FD7"/>
    <w:rsid w:val="00C92C5B"/>
    <w:rsid w:val="00CA0828"/>
    <w:rsid w:val="00CC7CA2"/>
    <w:rsid w:val="00CD4618"/>
    <w:rsid w:val="00CE2478"/>
    <w:rsid w:val="00CF5B26"/>
    <w:rsid w:val="00D23C4B"/>
    <w:rsid w:val="00D24B56"/>
    <w:rsid w:val="00D45AC2"/>
    <w:rsid w:val="00D51772"/>
    <w:rsid w:val="00D60C6B"/>
    <w:rsid w:val="00D74C21"/>
    <w:rsid w:val="00DA56D4"/>
    <w:rsid w:val="00DC03DB"/>
    <w:rsid w:val="00DC0BDC"/>
    <w:rsid w:val="00DF295D"/>
    <w:rsid w:val="00E22894"/>
    <w:rsid w:val="00E2382E"/>
    <w:rsid w:val="00E32B8C"/>
    <w:rsid w:val="00E370B3"/>
    <w:rsid w:val="00E452DA"/>
    <w:rsid w:val="00E6234F"/>
    <w:rsid w:val="00E72BC5"/>
    <w:rsid w:val="00E76B9D"/>
    <w:rsid w:val="00EC55E7"/>
    <w:rsid w:val="00EC57E8"/>
    <w:rsid w:val="00ED7107"/>
    <w:rsid w:val="00EE7DE0"/>
    <w:rsid w:val="00EE7E5D"/>
    <w:rsid w:val="00F07F7F"/>
    <w:rsid w:val="00F234B6"/>
    <w:rsid w:val="00F32C43"/>
    <w:rsid w:val="00F52125"/>
    <w:rsid w:val="00F537D2"/>
    <w:rsid w:val="00F630AC"/>
    <w:rsid w:val="00F65120"/>
    <w:rsid w:val="00F814BA"/>
    <w:rsid w:val="00F84F9C"/>
    <w:rsid w:val="00FA0571"/>
    <w:rsid w:val="00FB5CED"/>
    <w:rsid w:val="00FC484A"/>
    <w:rsid w:val="00FC631E"/>
    <w:rsid w:val="00FE32E6"/>
    <w:rsid w:val="00FF2798"/>
    <w:rsid w:val="00FF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F2660"/>
  <w15:docId w15:val="{1ED391E6-DDF9-4DBA-8DAA-F1AA8958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E0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72E"/>
  </w:style>
  <w:style w:type="paragraph" w:styleId="Footer">
    <w:name w:val="footer"/>
    <w:basedOn w:val="Normal"/>
    <w:link w:val="FooterChar"/>
    <w:uiPriority w:val="99"/>
    <w:unhideWhenUsed/>
    <w:rsid w:val="00BE0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2022-12-20T10:47:12Z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Për disa shtesa dhe ndryshime në ligjin nr. 92/2014 "Për tatimin mbi vlerën e shtuar në Republikën e Shqipërisë"', të ndryshuar</Titulli>
    <Modifikuesi xmlns="0e656187-b300-4fb0-8bf4-3a50f872073c">jorina.kryeziu</Modifikuesi>
    <Nr_x002e__x0020_prot_x0020_QBZ xmlns="0e656187-b300-4fb0-8bf4-3a50f872073c">1872/5</Nr_x002e__x0020_prot_x0020_QBZ>
    <Data_x0020_e_x0020_Modifikimit xmlns="0e656187-b300-4fb0-8bf4-3a50f872073c">2022-12-20T11:21:13Z</Data_x0020_e_x0020_Modifikimit>
    <Dekretuar xmlns="0e656187-b300-4fb0-8bf4-3a50f872073c">false</Dekretuar>
    <Data xmlns="0e656187-b300-4fb0-8bf4-3a50f872073c">2022-11-23T23:00:00Z</Data>
    <Nr_x002e__x0020_protokolli_x0020_i_x0020_aktit xmlns="0e656187-b300-4fb0-8bf4-3a50f872073c">4294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6A4F50E56349E2822A3588D393A0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6A4F50E56349E2822A3588D393A0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EE0AE-256D-44D4-A39A-B3CB2F8DD692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8D36F9D-7161-498B-AB56-B0F5F6D6F2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5D159A-FC5A-4C34-A72C-4E28168DF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E68C06-46AB-4836-9F3E-AA44C2E86C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ECB2E2-5A73-4FF3-B118-686996E54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5EF5188-94BE-4891-945A-DEE50188F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92/2014 "Për tatimin mbi vlerën e shtuar në Republikën e Shqipërisë"', të ndryshuar</vt:lpstr>
    </vt:vector>
  </TitlesOfParts>
  <Company/>
  <LinksUpToDate>false</LinksUpToDate>
  <CharactersWithSpaces>5365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92/2014 "Për tatimin mbi vlerën e shtuar në Republikën e Shqipërisë"', të ndryshuar</dc:title>
  <dc:creator>gazmend.hanku</dc:creator>
  <cp:lastModifiedBy>Entela Suli</cp:lastModifiedBy>
  <cp:revision>160</cp:revision>
  <cp:lastPrinted>2022-11-30T08:49:00Z</cp:lastPrinted>
  <dcterms:created xsi:type="dcterms:W3CDTF">2016-01-20T08:16:00Z</dcterms:created>
  <dcterms:modified xsi:type="dcterms:W3CDTF">2022-12-20T11:41:00Z</dcterms:modified>
</cp:coreProperties>
</file>