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9DAA14"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LIGJ</w:t>
      </w:r>
    </w:p>
    <w:p w14:paraId="359DAA15"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Nr. 83/2022</w:t>
      </w:r>
    </w:p>
    <w:p w14:paraId="359DAA1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17"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 xml:space="preserve">PËR DISA NDRYSHIME DHE SHTESA NË LIGJIN NR. 9920, DATË 19.5.2008, </w:t>
      </w:r>
    </w:p>
    <w:p w14:paraId="359DAA18"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 xml:space="preserve">“PËR PROCEDURAT TATIMORE NË REPUBLIKËN E SHQIPËRISË”, </w:t>
      </w:r>
    </w:p>
    <w:p w14:paraId="359DAA19"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TË NDRYSHUAR</w:t>
      </w:r>
    </w:p>
    <w:p w14:paraId="359DAA1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1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Në mbështetje të neneve 78, 83, pika 1, dhe 155 të Kushtetutës, me propozimin e Këshillit të Ministrave, </w:t>
      </w:r>
    </w:p>
    <w:p w14:paraId="359DAA1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1D"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KUVENDI</w:t>
      </w:r>
    </w:p>
    <w:p w14:paraId="359DAA1E"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I REPUBLIKËS SË SHQIPËRISË</w:t>
      </w:r>
    </w:p>
    <w:p w14:paraId="359DAA1F"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p>
    <w:p w14:paraId="359DAA20"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VENDOSI:</w:t>
      </w:r>
    </w:p>
    <w:p w14:paraId="359DAA2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2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ligjin nr. 9920, datë 19.5.2008, “Për procedurat tatimore në Republikën e Shqipërisë”, të ndryshuar, bëhen këto ndryshime dhe shtesa:</w:t>
      </w:r>
    </w:p>
    <w:p w14:paraId="359DAA2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24"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w:t>
      </w:r>
    </w:p>
    <w:p w14:paraId="359DAA2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2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5 bëhen ndryshimet dhe shtesat e mëposhtme:</w:t>
      </w:r>
    </w:p>
    <w:p w14:paraId="359DAA2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1.</w:t>
      </w:r>
      <w:r w:rsidR="00A516AC" w:rsidRPr="00C74873">
        <w:rPr>
          <w:rFonts w:ascii="Garamond" w:hAnsi="Garamond" w:cs="Times New Roman"/>
          <w:sz w:val="24"/>
          <w:szCs w:val="24"/>
        </w:rPr>
        <w:t xml:space="preserve"> </w:t>
      </w:r>
      <w:r w:rsidRPr="00C74873">
        <w:rPr>
          <w:rFonts w:ascii="Garamond" w:hAnsi="Garamond" w:cs="Times New Roman"/>
          <w:sz w:val="24"/>
          <w:szCs w:val="24"/>
        </w:rPr>
        <w:t>Shkronjat “g”, “h” dhe “j” ndryshohen si më poshtë:</w:t>
      </w:r>
    </w:p>
    <w:p w14:paraId="359DAA2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“g) “Tatimpagues” nënkupton çdo person që është:</w:t>
      </w:r>
    </w:p>
    <w:p w14:paraId="359DAA2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 subjekt i tatimeve sipas parashikimeve të shkronjave “a” deri në “dh” të pikës 2 të nenit 4 të këtij ligji;</w:t>
      </w:r>
    </w:p>
    <w:p w14:paraId="359DAA2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ii. subjekt i tatimeve, taksave dhe tarifave vendore sipas pikës 3 të nenit 4 të këtij ligji;</w:t>
      </w:r>
    </w:p>
    <w:p w14:paraId="359DAA2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iii. subjekt i pagesës së kontributeve të sigurimeve shoqërore dhe shëndetësore sipas legjislacionit përkatës në fuqi për kontributet e sigurimeve shoqërore dhe shëndetësore;</w:t>
      </w:r>
    </w:p>
    <w:p w14:paraId="359DAA2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iv. agjent i mbajtjes së tatimit në burim në rastet kur parashikohet nga ky ligj apo ligjet e tjera tatimore.</w:t>
      </w:r>
    </w:p>
    <w:p w14:paraId="359DAA2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 h) “Person i lidhur” nënkupton çdo person që është i lidhur me një person tjetër në një marrëdhënie që ndikon drejtpërdrejt ose tërthorazi në përcaktimin e bazës tatimore nëpërmjet menaxhimit, kontrollit apo pronësisë. Dy persona janë të lidhur nëse njëri ose të dy personat do të vepronin sipas udhëzimeve, kërkesave, sugjerimeve ose vullnetit të personit tjetër ose të një personi të tretë.</w:t>
      </w:r>
    </w:p>
    <w:p w14:paraId="359DAA2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Personat e mëposhtëm do të trajtohen si persona të lidhur:</w:t>
      </w:r>
    </w:p>
    <w:p w14:paraId="359DAA2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 bashkëshorti, bashkëshortja, paraardhës dhe pasardhës, ndërmjet tyre ose ndërmjet njëri-tjetrit;</w:t>
      </w:r>
    </w:p>
    <w:p w14:paraId="359DAA3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ii. një njësi ekonomike në të cilën çdo person zotëron drejtpërdrejt ose tërthorazi të paktën 50 për qind të të drejtave të votimit ose të menaxhimit, të drejtave të shpërndarjes së dividentit ose të drejtave të kapitalit;</w:t>
      </w:r>
    </w:p>
    <w:p w14:paraId="359DAA3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iii.</w:t>
      </w:r>
      <w:r w:rsidR="00A516AC" w:rsidRPr="00C74873">
        <w:rPr>
          <w:rFonts w:ascii="Garamond" w:hAnsi="Garamond" w:cs="Times New Roman"/>
          <w:sz w:val="24"/>
          <w:szCs w:val="24"/>
        </w:rPr>
        <w:t xml:space="preserve"> </w:t>
      </w:r>
      <w:r w:rsidRPr="00C74873">
        <w:rPr>
          <w:rFonts w:ascii="Garamond" w:hAnsi="Garamond" w:cs="Times New Roman"/>
          <w:sz w:val="24"/>
          <w:szCs w:val="24"/>
        </w:rPr>
        <w:t>çdo dy ose më shumë njësi ekonomike në të cilën një person tjetër zotëron ose mbart të paktën 50 për qind të të drejtave të votimit ose menaxhimit, të drejtave të shpërndarjes së dividentit ose të drejtave të kapitalit në të dy njësitë ekonomike.</w:t>
      </w:r>
    </w:p>
    <w:p w14:paraId="359DAA3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Kur zbatohen nënndarjet “ii” ose “iii” më sipër, zotërimi që i atribuohet një personi nga një person i lidhur nuk mund t’i atribuohet një personi tjetër të lidhur. Dy persona nuk do të konsiderohen të lidhur vetëm sepse njëri prej tyre konsiderohet i punësuar ose klient i personit tjetër, ose të dy konsiderohen të punësuar ose klientë të një personi të tretë, përveç rastit kur një marrëdhënie e tillë ndikon në përcaktimin e bazës tatimore, drejtpërdrejt ose në mënyrë indirekte.</w:t>
      </w:r>
    </w:p>
    <w:p w14:paraId="359DAA3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j) “Ambulant” nënkupton një person tatimpagues, i cili tregton mallra ose shërbime për publikun pa pasur një vend biznesi fiks, por ushtron aktivitet në njësi të vetme tregtimi të lëvizshme, apo lejohet të tregtojë në ambiente publike të autorizuara nga strukturat e pushtetit vendor që administrojnë territorin dhe që për qëllime të pagesës së tatimeve dhe kontributeve regjistrohen si tatimpagues ambulant në administratën tatimore.”. </w:t>
      </w:r>
    </w:p>
    <w:p w14:paraId="359DAA3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lastRenderedPageBreak/>
        <w:t xml:space="preserve">2. </w:t>
      </w:r>
      <w:r w:rsidR="00A516AC" w:rsidRPr="00C74873">
        <w:rPr>
          <w:rFonts w:ascii="Garamond" w:hAnsi="Garamond" w:cs="Times New Roman"/>
          <w:sz w:val="24"/>
          <w:szCs w:val="24"/>
        </w:rPr>
        <w:t xml:space="preserve"> </w:t>
      </w:r>
      <w:r w:rsidRPr="00C74873">
        <w:rPr>
          <w:rFonts w:ascii="Garamond" w:hAnsi="Garamond" w:cs="Times New Roman"/>
          <w:sz w:val="24"/>
          <w:szCs w:val="24"/>
        </w:rPr>
        <w:t>Pas shkronjës “j” shtohen shkronjat “k”, “l”, “m”, “n” dhe “nj” me këtë përmbajtje:</w:t>
      </w:r>
    </w:p>
    <w:p w14:paraId="359DAA3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“k) “person” nënkupton çdo person fizik dhe entitet;</w:t>
      </w:r>
    </w:p>
    <w:p w14:paraId="359DAA3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l) “person fizik” nënkupton çdo individ, individ të vetëpunësuar apo individ tregtar. Ai përfshin të punësuarit, të vetëpunësuarit, tregtarët individualë, si dhe çdo person tjetër fizik, i cili ka të ardhura nga çdo burim, të ardhura të marra nga trashëgimitë apo dhurimet, apo fitime nga lojërat e fatit;</w:t>
      </w:r>
    </w:p>
    <w:p w14:paraId="359DAA3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m) “entitet” nënkupton: </w:t>
      </w:r>
    </w:p>
    <w:p w14:paraId="359DAA3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i. </w:t>
      </w:r>
      <w:r w:rsidR="00A516AC" w:rsidRPr="00C74873">
        <w:rPr>
          <w:rFonts w:ascii="Garamond" w:hAnsi="Garamond" w:cs="Times New Roman"/>
          <w:sz w:val="24"/>
          <w:szCs w:val="24"/>
        </w:rPr>
        <w:t xml:space="preserve"> </w:t>
      </w:r>
      <w:r w:rsidRPr="00C74873">
        <w:rPr>
          <w:rFonts w:ascii="Garamond" w:hAnsi="Garamond" w:cs="Times New Roman"/>
          <w:sz w:val="24"/>
          <w:szCs w:val="24"/>
        </w:rPr>
        <w:t xml:space="preserve">çdo shoqëri apo çdo strukturë të organizimeve të korporuara apo jokorporuara (pavarësisht formës) të natyrës fitimprurëse ose jofitimprurëse; </w:t>
      </w:r>
    </w:p>
    <w:p w14:paraId="359DAA3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ii. organizatat fitimprurëse dhe jofitimprurëse; </w:t>
      </w:r>
    </w:p>
    <w:p w14:paraId="359DAA3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iii. ndonjë formë “trusti” të huaj, apo strukture të ngjashme; </w:t>
      </w:r>
    </w:p>
    <w:p w14:paraId="359DAA3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iv. ndonjë formë </w:t>
      </w:r>
      <w:r w:rsidRPr="00C74873">
        <w:rPr>
          <w:rFonts w:ascii="Garamond" w:hAnsi="Garamond" w:cs="Times New Roman"/>
          <w:i/>
          <w:iCs/>
          <w:sz w:val="24"/>
          <w:szCs w:val="24"/>
        </w:rPr>
        <w:t>partnership</w:t>
      </w:r>
      <w:r w:rsidRPr="00C74873">
        <w:rPr>
          <w:rFonts w:ascii="Garamond" w:hAnsi="Garamond" w:cs="Times New Roman"/>
          <w:sz w:val="24"/>
          <w:szCs w:val="24"/>
        </w:rPr>
        <w:t xml:space="preserve">-i apo ndonjë entitet të natyrës personale; </w:t>
      </w:r>
    </w:p>
    <w:p w14:paraId="359DAA3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v. çdo formë të </w:t>
      </w:r>
      <w:r w:rsidRPr="00C74873">
        <w:rPr>
          <w:rFonts w:ascii="Garamond" w:hAnsi="Garamond" w:cs="Times New Roman"/>
          <w:i/>
          <w:iCs/>
          <w:sz w:val="24"/>
          <w:szCs w:val="24"/>
        </w:rPr>
        <w:t>joint-venture</w:t>
      </w:r>
      <w:r w:rsidRPr="00C74873">
        <w:rPr>
          <w:rFonts w:ascii="Garamond" w:hAnsi="Garamond" w:cs="Times New Roman"/>
          <w:sz w:val="24"/>
          <w:szCs w:val="24"/>
        </w:rPr>
        <w:t xml:space="preserve">; </w:t>
      </w:r>
    </w:p>
    <w:p w14:paraId="359DAA3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vi. çdo formë kompanie menaxhimi kapitalesh apo asetesh;</w:t>
      </w:r>
    </w:p>
    <w:p w14:paraId="359DAA3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vii. çdo formë e shoqërive sipas Kodit Civil apo ligjit të shoqërive tregtare;</w:t>
      </w:r>
    </w:p>
    <w:p w14:paraId="359DAA3F" w14:textId="00C2343A" w:rsidR="00C94476" w:rsidRPr="00C74873" w:rsidRDefault="00C94476" w:rsidP="006E4AB2">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viii. </w:t>
      </w:r>
      <w:r w:rsidRPr="00C74873">
        <w:rPr>
          <w:rFonts w:ascii="Garamond" w:hAnsi="Garamond" w:cs="Times New Roman"/>
          <w:i/>
          <w:iCs/>
          <w:sz w:val="24"/>
          <w:szCs w:val="24"/>
        </w:rPr>
        <w:t>partnership</w:t>
      </w:r>
      <w:r w:rsidRPr="00C74873">
        <w:rPr>
          <w:rFonts w:ascii="Garamond" w:hAnsi="Garamond" w:cs="Times New Roman"/>
          <w:sz w:val="24"/>
          <w:szCs w:val="24"/>
        </w:rPr>
        <w:t>-et pasive apo në “fjetje”</w:t>
      </w:r>
      <w:r w:rsidR="006E4AB2">
        <w:rPr>
          <w:rFonts w:ascii="Garamond" w:hAnsi="Garamond" w:cs="Times New Roman"/>
          <w:sz w:val="24"/>
          <w:szCs w:val="24"/>
        </w:rPr>
        <w:t>;</w:t>
      </w:r>
      <w:r w:rsidRPr="00C74873">
        <w:rPr>
          <w:rFonts w:ascii="Garamond" w:hAnsi="Garamond" w:cs="Times New Roman"/>
          <w:sz w:val="24"/>
          <w:szCs w:val="24"/>
        </w:rPr>
        <w:t xml:space="preserve">   </w:t>
      </w:r>
    </w:p>
    <w:p w14:paraId="359DAA4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 “individ i vetëpunësuar” nënkupton çdo person fizik i angazhuar në furnizimin e çdo lloj shërbimi, apo i angazhuar në veprimtari të tjera profesionale, të ndryshme nga veprimtaria tregtare;</w:t>
      </w:r>
    </w:p>
    <w:p w14:paraId="359DAA4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nj) “individ tregtar” nënkupton çdo person fizik të angazhuar në veprimtari tregtare.”.</w:t>
      </w:r>
    </w:p>
    <w:p w14:paraId="359DAA4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43"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w:t>
      </w:r>
    </w:p>
    <w:p w14:paraId="359DAA4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4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Neni 8 ndryshohet si më poshtë:</w:t>
      </w:r>
    </w:p>
    <w:p w14:paraId="359DAA4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47"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8</w:t>
      </w:r>
    </w:p>
    <w:p w14:paraId="359DAA49"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Tatimpaguesi rezident dhe jorezident</w:t>
      </w:r>
    </w:p>
    <w:p w14:paraId="359DAA4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4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Personat rezidentë dhe jorezidentë kanë kuptimin si në ligjin për tatimin mbi të ardhurat.”.</w:t>
      </w:r>
    </w:p>
    <w:p w14:paraId="359DAA4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4D"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3</w:t>
      </w:r>
    </w:p>
    <w:p w14:paraId="359DAA4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4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Neni 15 ndryshohet si më poshtë:</w:t>
      </w:r>
    </w:p>
    <w:p w14:paraId="359DAA5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51"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15</w:t>
      </w:r>
    </w:p>
    <w:p w14:paraId="359DAA53"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Zyrat tatimore të qeverisjes vendore</w:t>
      </w:r>
    </w:p>
    <w:p w14:paraId="359DAA5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5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Zyrat tatimore të qeverisjes vendore funksionojnë dhe administrojnë taksat, tarifat dhe pagesat publike vendore në përputhje me legjislacionin në fuqi për sistemin e taksave vendore.”.</w:t>
      </w:r>
    </w:p>
    <w:p w14:paraId="359DAA5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57"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4</w:t>
      </w:r>
    </w:p>
    <w:p w14:paraId="359DAA5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5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Në nenin 16, pika 3 ndryshohet si më poshtë: </w:t>
      </w:r>
    </w:p>
    <w:p w14:paraId="359DAA5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Administrata tatimore qendrore është e organizuar në drejtori dhe njësi të tjera sipas funksioneve të mëposhtme:</w:t>
      </w:r>
    </w:p>
    <w:p w14:paraId="359DAA5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a) funksionet bazë dhe operacionale, ku bëjnë pjesë: </w:t>
      </w:r>
    </w:p>
    <w:p w14:paraId="359DAA5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 shërbimi, regjistrimi dhe edukimi i tatimpaguesit;</w:t>
      </w:r>
    </w:p>
    <w:p w14:paraId="359DAA5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ii. menaxhimi i riskut, kontrolli i tatimpaguesve, kontabiliteti dhe statistika;</w:t>
      </w:r>
    </w:p>
    <w:p w14:paraId="359DAA5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iii. mbledhja e detyrimeve tatimore të papaguara/zbatimi i masave shtrënguese; </w:t>
      </w:r>
    </w:p>
    <w:p w14:paraId="359DAA5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iv. hetimi tatimor, verifikimi në terren;</w:t>
      </w:r>
    </w:p>
    <w:p w14:paraId="359DAA6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v. investigimi i brendshëm antikorrupsion, auditi i brendshëm.</w:t>
      </w:r>
    </w:p>
    <w:p w14:paraId="359DAA6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b) funksionet mbështetëse, ku bëjnë pjesë: </w:t>
      </w:r>
    </w:p>
    <w:p w14:paraId="359DAA6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 financa dhe buxheti;</w:t>
      </w:r>
    </w:p>
    <w:p w14:paraId="359DAA6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lastRenderedPageBreak/>
        <w:t xml:space="preserve">ii. rimbursimi i tatimeve; </w:t>
      </w:r>
    </w:p>
    <w:p w14:paraId="359DAA6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iii. shërbimi teknik dhe ligjor; </w:t>
      </w:r>
    </w:p>
    <w:p w14:paraId="359DAA6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iv. shërbimet mbështetëse;</w:t>
      </w:r>
    </w:p>
    <w:p w14:paraId="359DAA6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v. burimet njerëzore;</w:t>
      </w:r>
    </w:p>
    <w:p w14:paraId="359DAA6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vi. marrëdhëniet me jashtë dhe menaxhimi i projekteve; </w:t>
      </w:r>
    </w:p>
    <w:p w14:paraId="359DAA6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vii. proceset e biznesit.”.</w:t>
      </w:r>
    </w:p>
    <w:p w14:paraId="359DAA6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6A"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5</w:t>
      </w:r>
    </w:p>
    <w:p w14:paraId="359DAA6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6C" w14:textId="31C9DB1B"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Neni 39 ndryshohet</w:t>
      </w:r>
      <w:r w:rsidR="00C74873">
        <w:rPr>
          <w:rFonts w:ascii="Garamond" w:hAnsi="Garamond" w:cs="Times New Roman"/>
          <w:sz w:val="24"/>
          <w:szCs w:val="24"/>
        </w:rPr>
        <w:t>,</w:t>
      </w:r>
      <w:r w:rsidRPr="00C74873">
        <w:rPr>
          <w:rFonts w:ascii="Garamond" w:hAnsi="Garamond" w:cs="Times New Roman"/>
          <w:sz w:val="24"/>
          <w:szCs w:val="24"/>
        </w:rPr>
        <w:t xml:space="preserve"> si më poshtë: </w:t>
      </w:r>
    </w:p>
    <w:p w14:paraId="359DAA6D" w14:textId="77777777" w:rsidR="00A516AC" w:rsidRPr="00C74873" w:rsidRDefault="00A516AC" w:rsidP="00C94476">
      <w:pPr>
        <w:autoSpaceDE w:val="0"/>
        <w:autoSpaceDN w:val="0"/>
        <w:adjustRightInd w:val="0"/>
        <w:spacing w:after="0" w:line="240" w:lineRule="auto"/>
        <w:ind w:firstLine="284"/>
        <w:jc w:val="both"/>
        <w:rPr>
          <w:rFonts w:ascii="Garamond" w:hAnsi="Garamond" w:cs="Times New Roman"/>
          <w:sz w:val="24"/>
          <w:szCs w:val="24"/>
        </w:rPr>
      </w:pPr>
    </w:p>
    <w:p w14:paraId="359DAA6E"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39</w:t>
      </w:r>
    </w:p>
    <w:p w14:paraId="359DAA70"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Regjistri i individëve</w:t>
      </w:r>
    </w:p>
    <w:p w14:paraId="359DAA7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7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1. Administrata tatimore mban regjistër të veçantë të individëve sipas të dhënave të gjendjes civile, të cilët kanë fituar zotësi të plotë për të vepruar, për efekt të deklarimit nga ana e tyre të të ardhurave individuale të realizuara. </w:t>
      </w:r>
    </w:p>
    <w:p w14:paraId="359DAA7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2. E dhëna bazë e identifikimit të tatimpaguesit individ, për qëllime tatimore, është numri personal sipas Regjistrit Kombëtar të Gjendjes Civile. </w:t>
      </w:r>
    </w:p>
    <w:p w14:paraId="359DAA7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3. Përbërësit e gjendjes civile të tatimpaguesit dhe çdo përditësim i tyre shkëmbehen nëpërmjet platformës qeveritare të ndërveprimit në përputhje me legjislacionin në fuqi. </w:t>
      </w:r>
    </w:p>
    <w:p w14:paraId="359DAA7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4. Individët që mbartin detyrimin ligjor të dorëzimit të deklaratës individuale të të ardhurave vjetore, të cilët nuk e përmbushin këtë detyrim, njoftohen nga administrata tatimore me qëllim vetëpërmbushjen.  </w:t>
      </w:r>
    </w:p>
    <w:p w14:paraId="359DAA7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5. Nëse individi nuk përmbush detyrimin sipas pikës 4 të këtij neni, drejtorisë rajonale të juridiksionit i lind e drejta të kryejë vlerësimin e detyrimeve tatimore përkatëse.”.</w:t>
      </w:r>
    </w:p>
    <w:p w14:paraId="359DAA7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78"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6</w:t>
      </w:r>
    </w:p>
    <w:p w14:paraId="359DAA7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7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Në nenin 57, pika 1 ndryshohet si më poshtë: </w:t>
      </w:r>
    </w:p>
    <w:p w14:paraId="359DAA7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“1. Tatimpaguesi është përgjegjës për mbajtjen e kontabilitetit në përputhje me legjislacionin në fuqi për kontabilitetin dhe pasqyrat financiare.”.</w:t>
      </w:r>
    </w:p>
    <w:p w14:paraId="359DAA7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7D"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7</w:t>
      </w:r>
    </w:p>
    <w:p w14:paraId="359DAA7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7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Pas nenit 59 shtohen nenet 59/1 dhe 59/2 me këtë përmbajtje:</w:t>
      </w:r>
    </w:p>
    <w:p w14:paraId="359DAA80"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p>
    <w:p w14:paraId="359DAA81"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59/1</w:t>
      </w:r>
    </w:p>
    <w:p w14:paraId="359DAA82"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Detyrimi për të depozituar paratë (kartëmonedhat dhe monedhat)</w:t>
      </w:r>
    </w:p>
    <w:p w14:paraId="359DAA83"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në llogarinë bankare</w:t>
      </w:r>
    </w:p>
    <w:p w14:paraId="359DAA8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8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1. Tatimpaguesi, që lëshon faturë, detyrohet që t’i depozitojë në llogarinë e vet bankare ose në llogarinë e tij të hapur në institucione të tjera financiare jobankare, që mund të mbajnë depozita në përputhje me ligjin përkatës, paratë (kartëmonedha dhe monedha) që ka grumbulluar gjatë ditës për furnizimin e mallrave apo të shërbimeve, të cilat tejkalojnë nivelin maksimal të arkës, në përputhje me nenin 59/2 të këtij ligji, ditën e nesërme  të punës, pas ditës që maksimumi i arkës është tejkaluar.</w:t>
      </w:r>
    </w:p>
    <w:p w14:paraId="359DAA8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2. Tatimpaguesi, që lëshon faturë, të cilit i janë bllokuar llogaritë bankare të biznesit për mospagim të detyrimeve, nuk mund të paguajë me para në dorë ose të mbajë para në arkë, por duhet që këto para t’i depozitojë në llogarinë bankare për veprimtarinë e rregullt të biznesit menjëherë ose në ditën e ardhshme të punës.</w:t>
      </w:r>
    </w:p>
    <w:p w14:paraId="359DAA8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88"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59/2</w:t>
      </w:r>
    </w:p>
    <w:p w14:paraId="359DAA8A"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lastRenderedPageBreak/>
        <w:t>Limiti i arkës</w:t>
      </w:r>
    </w:p>
    <w:p w14:paraId="359DAA8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8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1. Tatimpaguesi, që lëshon faturë, përveç në rastet e përcaktuara në pikën 2 të nenit 59/1 të këtij ligji, mund të mbajë para </w:t>
      </w:r>
      <w:r w:rsidRPr="00C74873">
        <w:rPr>
          <w:rFonts w:ascii="Garamond" w:hAnsi="Garamond" w:cs="Times New Roman"/>
          <w:i/>
          <w:iCs/>
          <w:sz w:val="24"/>
          <w:szCs w:val="24"/>
        </w:rPr>
        <w:t>cash</w:t>
      </w:r>
      <w:r w:rsidRPr="00C74873">
        <w:rPr>
          <w:rFonts w:ascii="Garamond" w:hAnsi="Garamond" w:cs="Times New Roman"/>
          <w:sz w:val="24"/>
          <w:szCs w:val="24"/>
        </w:rPr>
        <w:t xml:space="preserve"> (kartëmonedha dhe monedha) në arkën e vet në fillim të çdo dite pune deri në shumën maksimale të arkës. Shuma e parave </w:t>
      </w:r>
      <w:r w:rsidRPr="00C74873">
        <w:rPr>
          <w:rFonts w:ascii="Garamond" w:hAnsi="Garamond" w:cs="Times New Roman"/>
          <w:i/>
          <w:iCs/>
          <w:sz w:val="24"/>
          <w:szCs w:val="24"/>
        </w:rPr>
        <w:t>cash</w:t>
      </w:r>
      <w:r w:rsidRPr="00C74873">
        <w:rPr>
          <w:rFonts w:ascii="Garamond" w:hAnsi="Garamond" w:cs="Times New Roman"/>
          <w:sz w:val="24"/>
          <w:szCs w:val="24"/>
        </w:rPr>
        <w:t xml:space="preserve"> është shuma fillestare e parave (kartëmonedha dhe monedha) që tatimpaguesi mund të ketë në arkën e tij në fillim të ditës së punës ose të ndërrimit të çdo operatori. Shumën maksimale të parave </w:t>
      </w:r>
      <w:r w:rsidRPr="00C74873">
        <w:rPr>
          <w:rFonts w:ascii="Garamond" w:hAnsi="Garamond" w:cs="Times New Roman"/>
          <w:i/>
          <w:iCs/>
          <w:sz w:val="24"/>
          <w:szCs w:val="24"/>
        </w:rPr>
        <w:t>cash</w:t>
      </w:r>
      <w:r w:rsidRPr="00C74873">
        <w:rPr>
          <w:rFonts w:ascii="Garamond" w:hAnsi="Garamond" w:cs="Times New Roman"/>
          <w:sz w:val="24"/>
          <w:szCs w:val="24"/>
        </w:rPr>
        <w:t xml:space="preserve"> e përcakton tatimpaguesi që lëshon faturë, në mënyrë të pavarur, duke nxjerrë një akt të brendshëm, në përputhje me nevojat dhe kushtet e sigurisë, por kjo nuk mund të jetë më shumë se maksimumi i përcaktuar në pikën 2 të këtij neni.</w:t>
      </w:r>
    </w:p>
    <w:p w14:paraId="359DAA8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2. Kriteri për përcaktimin e shumës maksimale të arkës së tatimpaguesit, që lëshon faturë, është niveli i qarkullimit vjetor të tatimpaguesit që lëshon faturë. Shuma maksimale e lejuar e parave </w:t>
      </w:r>
      <w:r w:rsidRPr="00C74873">
        <w:rPr>
          <w:rFonts w:ascii="Garamond" w:hAnsi="Garamond" w:cs="Times New Roman"/>
          <w:i/>
          <w:iCs/>
          <w:sz w:val="24"/>
          <w:szCs w:val="24"/>
        </w:rPr>
        <w:t>cash</w:t>
      </w:r>
      <w:r w:rsidRPr="00C74873">
        <w:rPr>
          <w:rFonts w:ascii="Garamond" w:hAnsi="Garamond" w:cs="Times New Roman"/>
          <w:sz w:val="24"/>
          <w:szCs w:val="24"/>
        </w:rPr>
        <w:t xml:space="preserve"> në arkë për tatimpaguesit skedulohet si më poshtë:</w:t>
      </w:r>
    </w:p>
    <w:p w14:paraId="359DAA8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a) për tatimpaguesit me qarkullim vjetor, gjatë vitit të mëparshëm tatimor, deri në 2 milionë lekë, shuma maksimale e lejuar e parave </w:t>
      </w:r>
      <w:r w:rsidRPr="00C74873">
        <w:rPr>
          <w:rFonts w:ascii="Garamond" w:hAnsi="Garamond" w:cs="Times New Roman"/>
          <w:i/>
          <w:iCs/>
          <w:sz w:val="24"/>
          <w:szCs w:val="24"/>
        </w:rPr>
        <w:t>cash</w:t>
      </w:r>
      <w:r w:rsidRPr="00C74873">
        <w:rPr>
          <w:rFonts w:ascii="Garamond" w:hAnsi="Garamond" w:cs="Times New Roman"/>
          <w:sz w:val="24"/>
          <w:szCs w:val="24"/>
        </w:rPr>
        <w:t xml:space="preserve"> në arkë është deri në 150 000 lekë;</w:t>
      </w:r>
    </w:p>
    <w:p w14:paraId="359DAA8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b) për tatimpaguesit me qarkullim vjetor, gjatë vitit të mëparshëm tatimor, mbi 2 milionë lekë deri në 10 milionë lekë, shuma maksimale e lejuar e parave </w:t>
      </w:r>
      <w:r w:rsidRPr="00C74873">
        <w:rPr>
          <w:rFonts w:ascii="Garamond" w:hAnsi="Garamond" w:cs="Times New Roman"/>
          <w:i/>
          <w:iCs/>
          <w:sz w:val="24"/>
          <w:szCs w:val="24"/>
        </w:rPr>
        <w:t>cash</w:t>
      </w:r>
      <w:r w:rsidRPr="00C74873">
        <w:rPr>
          <w:rFonts w:ascii="Garamond" w:hAnsi="Garamond" w:cs="Times New Roman"/>
          <w:sz w:val="24"/>
          <w:szCs w:val="24"/>
        </w:rPr>
        <w:t xml:space="preserve"> në arkë është deri në 500 000 lekë;</w:t>
      </w:r>
    </w:p>
    <w:p w14:paraId="359DAA9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c) për tatimpaguesit me qarkullim vjetor, gjatë vitit të mëparshëm tatimor, mbi 10 milionë lekë, shuma maksimale e lejuar e parave </w:t>
      </w:r>
      <w:r w:rsidRPr="00C74873">
        <w:rPr>
          <w:rFonts w:ascii="Garamond" w:hAnsi="Garamond" w:cs="Times New Roman"/>
          <w:i/>
          <w:iCs/>
          <w:sz w:val="24"/>
          <w:szCs w:val="24"/>
        </w:rPr>
        <w:t>cash</w:t>
      </w:r>
      <w:r w:rsidRPr="00C74873">
        <w:rPr>
          <w:rFonts w:ascii="Garamond" w:hAnsi="Garamond" w:cs="Times New Roman"/>
          <w:sz w:val="24"/>
          <w:szCs w:val="24"/>
        </w:rPr>
        <w:t xml:space="preserve"> në arkë është deri në 500 000 lekë ose 5% të qarkullimit vjetor të vitit të kaluar, cilado qoftë vlera më e lartë.</w:t>
      </w:r>
    </w:p>
    <w:p w14:paraId="359DAA9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Në rastet kur një tatimpagues fillon veprimtarinë gjatë vitit kalendarik, limiti maksimal i lejuar i parave </w:t>
      </w:r>
      <w:r w:rsidRPr="00C74873">
        <w:rPr>
          <w:rFonts w:ascii="Garamond" w:hAnsi="Garamond" w:cs="Times New Roman"/>
          <w:i/>
          <w:iCs/>
          <w:sz w:val="24"/>
          <w:szCs w:val="24"/>
        </w:rPr>
        <w:t>cash</w:t>
      </w:r>
      <w:r w:rsidRPr="00C74873">
        <w:rPr>
          <w:rFonts w:ascii="Garamond" w:hAnsi="Garamond" w:cs="Times New Roman"/>
          <w:sz w:val="24"/>
          <w:szCs w:val="24"/>
        </w:rPr>
        <w:t xml:space="preserve"> në arkë përcaktohet në përputhje me shkronjat “a”, “b” dhe “c” të kësaj pike, referuar shumës së qarkullimit të parashikuar deri në fund të vitit.</w:t>
      </w:r>
    </w:p>
    <w:p w14:paraId="359DAA9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3. Shuma maksimale e arkës përcaktohet për tatimpaguesin, që lëshon faturë, në tërësi dhe brenda kësaj shume tatimpaguesi që lëshon faturë mund të përcaktojë maksimumin e parave </w:t>
      </w:r>
      <w:r w:rsidRPr="00C74873">
        <w:rPr>
          <w:rFonts w:ascii="Garamond" w:hAnsi="Garamond" w:cs="Times New Roman"/>
          <w:i/>
          <w:iCs/>
          <w:sz w:val="24"/>
          <w:szCs w:val="24"/>
        </w:rPr>
        <w:t>cash</w:t>
      </w:r>
      <w:r w:rsidRPr="00C74873">
        <w:rPr>
          <w:rFonts w:ascii="Garamond" w:hAnsi="Garamond" w:cs="Times New Roman"/>
          <w:sz w:val="24"/>
          <w:szCs w:val="24"/>
        </w:rPr>
        <w:t xml:space="preserve"> në arkë për çdo njësi të organizimit ose vendit të ushtrimit të aktivitetit të biznesit.</w:t>
      </w:r>
    </w:p>
    <w:p w14:paraId="359DAA9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4. Shuma maksimale </w:t>
      </w:r>
      <w:r w:rsidRPr="00C74873">
        <w:rPr>
          <w:rFonts w:ascii="Garamond" w:hAnsi="Garamond" w:cs="Times New Roman"/>
          <w:i/>
          <w:iCs/>
          <w:sz w:val="24"/>
          <w:szCs w:val="24"/>
        </w:rPr>
        <w:t>cash</w:t>
      </w:r>
      <w:r w:rsidRPr="00C74873">
        <w:rPr>
          <w:rFonts w:ascii="Garamond" w:hAnsi="Garamond" w:cs="Times New Roman"/>
          <w:sz w:val="24"/>
          <w:szCs w:val="24"/>
        </w:rPr>
        <w:t xml:space="preserve"> e arkës, sipas pikës 2 të këtij neni, nuk zbatohet për bankat dhe institucionet e tjera financiare jobankare.</w:t>
      </w:r>
    </w:p>
    <w:p w14:paraId="359DAA9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5. Tatimpaguesi që lëshon faturë, i cili kryen transaksione këmbimi monedhe, pavarësisht nga dispozitat e pikave 2 e 3 të këtij neni, mund të përcaktojë maksimumin e arkës deri në shumën 5 000 000 lekë ose 5% të qarkullimit vjetor të vitit të kaluar, cilado qoftë vlera më e lartë.</w:t>
      </w:r>
    </w:p>
    <w:p w14:paraId="359DAA9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6. Tatimpaguesi, që lëshon faturë, detyrohet në fillim të çdo dite pune dhe para lëshimit të faturës së parë, nëpërmjet lidhjes elektronike (internetit) të vendosur me administratën tatimore qendrore, që e përdor për zbatimin e procedurës së fiskalizimit, të paraqesë informacionin mbi shumën fillestare të parave </w:t>
      </w:r>
      <w:r w:rsidRPr="00C74873">
        <w:rPr>
          <w:rFonts w:ascii="Garamond" w:hAnsi="Garamond" w:cs="Times New Roman"/>
          <w:i/>
          <w:iCs/>
          <w:sz w:val="24"/>
          <w:szCs w:val="24"/>
        </w:rPr>
        <w:t>cash</w:t>
      </w:r>
      <w:r w:rsidRPr="00C74873">
        <w:rPr>
          <w:rFonts w:ascii="Garamond" w:hAnsi="Garamond" w:cs="Times New Roman"/>
          <w:sz w:val="24"/>
          <w:szCs w:val="24"/>
        </w:rPr>
        <w:t xml:space="preserve"> në arkë për çdo pajisje elektronike të faturimit. </w:t>
      </w:r>
    </w:p>
    <w:p w14:paraId="359DAA9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97"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8</w:t>
      </w:r>
    </w:p>
    <w:p w14:paraId="359DAA9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9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61, pika 3 ndryshohet si më poshtë:</w:t>
      </w:r>
    </w:p>
    <w:p w14:paraId="359DAA9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Ministri përgjegjës për financat përcakton me udhëzim:</w:t>
      </w:r>
    </w:p>
    <w:p w14:paraId="359DAA9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a) mënyrën, kohën dhe formën në të cilën palëve të treta u kërkohet të paraqesin informacion në administratën tatimore, si dhe përmbajtjen e këtij informacioni;</w:t>
      </w:r>
    </w:p>
    <w:p w14:paraId="359DAA9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b) natyrën dhe/ose llojin e informacionit që kërkohet të dorëzohet në rrugë elektronike nga palët e treta, në baza periodike, sipas një formati të standardizuar dhe me përdorimin e teknologjisë së përshtatshme;</w:t>
      </w:r>
    </w:p>
    <w:p w14:paraId="359DAA9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c) kategoritë e caktuara të personave, të cilëve u kërkohet të japin automatikisht informacion  në lidhje me transaksionet e tyre financiare me tatimpaguesit apo edhe  të dhënat që ata mbajnë në lidhje me tatimpaguesit, si dhe termat dhe kushtet për dhënien e këtij informacioni.”.</w:t>
      </w:r>
    </w:p>
    <w:p w14:paraId="359DAA9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9F"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9</w:t>
      </w:r>
    </w:p>
    <w:p w14:paraId="359DAAA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A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Neni 62 ndryshohet si më poshtë:</w:t>
      </w:r>
    </w:p>
    <w:p w14:paraId="359DAAA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A3"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62</w:t>
      </w:r>
    </w:p>
    <w:p w14:paraId="359DAAA5"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Personat të cilëve u adresohet kërkesa për të dhënë informacion</w:t>
      </w:r>
    </w:p>
    <w:p w14:paraId="359DAAA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A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Administrata tatimore kërkon çdo lloj informacioni që e konsideron të nevojshëm për zbatimin e legjislacionit tatimor në fuqi  nga çdo person, duke përfshirë, por pa u kufizuar në sa vijon:</w:t>
      </w:r>
    </w:p>
    <w:p w14:paraId="359DAAA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a) nga çdo entitet, duke përfshirë informacionin për:</w:t>
      </w:r>
    </w:p>
    <w:p w14:paraId="359DAAA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 dividentët e paguar aksionarëve ose ortakëve;</w:t>
      </w:r>
    </w:p>
    <w:p w14:paraId="359DAAA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ii. personat me të cilët personi juridik ka kryer transaksione financiare ose biznesi;</w:t>
      </w:r>
    </w:p>
    <w:p w14:paraId="359DAAA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iii. pagesat e bëra për nënkontraktorët; </w:t>
      </w:r>
    </w:p>
    <w:p w14:paraId="359DAAA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iv. debitorët dhe kreditorët.</w:t>
      </w:r>
    </w:p>
    <w:p w14:paraId="359DAAA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b) nga bankat dhe institucionet financiare, duke përfshirë informacion mbi:</w:t>
      </w:r>
    </w:p>
    <w:p w14:paraId="359DAAA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 të dhënat e llogarisë bankare dhe gjendjet e hapjes dhe mbylljes së këtyre llogarive brenda një viti tatimor;</w:t>
      </w:r>
    </w:p>
    <w:p w14:paraId="359DAAA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ii. pagesat e interesit;</w:t>
      </w:r>
    </w:p>
    <w:p w14:paraId="359DAAB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iii. aktive të tjera që ata mbajnë në emër të një personi;</w:t>
      </w:r>
    </w:p>
    <w:p w14:paraId="359DAAB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iv. çdo transaksion tjetër financiar të nevojshëm për nevoja kontrolli dhe përcaktimi të detyrimit tatimor.</w:t>
      </w:r>
    </w:p>
    <w:p w14:paraId="359DAAB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c) nga kompanitë e ndërmjetësimit ose menaxherët e fondeve të investimeve, përfshirë transaksionet e letrave me vlerë ose llogaritë e menaxhimit të aktivit/portofolit;</w:t>
      </w:r>
    </w:p>
    <w:p w14:paraId="359DAAB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ç) nga fondet e pensioneve në lidhje me planet e pensioneve private;</w:t>
      </w:r>
    </w:p>
    <w:p w14:paraId="359DAAB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d) nga agjentët e pasurive të paluajtshme në lidhje me transaksionet e klientëve të tyre;</w:t>
      </w:r>
    </w:p>
    <w:p w14:paraId="359DAAB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dh) nga noterët për noterizimin e transaksioneve të shitblerjes së pasurive të paluajtshme ose të luajtshme, ose kontratat e shërbimit;</w:t>
      </w:r>
    </w:p>
    <w:p w14:paraId="359DAAB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e) nga entitetet rezidente dhe jorezidente për pagesat e bëra ndaj personave jorezidentë;</w:t>
      </w:r>
    </w:p>
    <w:p w14:paraId="359DAAB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ë)  nga institucionet shtetërore dhe punonjësit e administratës shtetërore;</w:t>
      </w:r>
    </w:p>
    <w:p w14:paraId="359DAAB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f) nga çdo person në transaksione financiare ose biznesi me një tatimpagues;</w:t>
      </w:r>
    </w:p>
    <w:p w14:paraId="359DAAB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g) nga donatorë, organizata ndërkombëtare, organizata jofitimprurëse, vendase ose të huaja, në lidhje me pagesat e bëra ndaj tatimpaguesve për furnizimin e mallrave dhe shërbimeve;</w:t>
      </w:r>
    </w:p>
    <w:p w14:paraId="359DAAB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gj) nga tregjet elektronike, ndërfaqet elektronike dhe platformat digjitale në lidhje me furnitorët, përdoruesit dhe transaksionet e tyre;</w:t>
      </w:r>
    </w:p>
    <w:p w14:paraId="359DAAB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h) nga bazat e të dhënave dhe regjistrat e të dhënave publike dhe private, përfshirë kadastrën, regjistrin e pronarëve përfitues, regjistrin elektronik të llogarive bankare dhe Qendrën Kombëtare të Regjistrimit, në lidhje me të dhënat e tatimpaguesve që mbahen në to.”.</w:t>
      </w:r>
    </w:p>
    <w:p w14:paraId="359DAAB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BD"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10</w:t>
      </w:r>
    </w:p>
    <w:p w14:paraId="359DAAB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B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70, pikat 1 dhe 3 ndryshohen si më poshtë:</w:t>
      </w:r>
    </w:p>
    <w:p w14:paraId="359DAAC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“1.</w:t>
      </w:r>
      <w:r w:rsidR="00A516AC" w:rsidRPr="00C74873">
        <w:rPr>
          <w:rFonts w:ascii="Garamond" w:hAnsi="Garamond" w:cs="Times New Roman"/>
          <w:sz w:val="24"/>
          <w:szCs w:val="24"/>
        </w:rPr>
        <w:t xml:space="preserve"> </w:t>
      </w:r>
      <w:r w:rsidRPr="00C74873">
        <w:rPr>
          <w:rFonts w:ascii="Garamond" w:hAnsi="Garamond" w:cs="Times New Roman"/>
          <w:sz w:val="24"/>
          <w:szCs w:val="24"/>
        </w:rPr>
        <w:t>Drejtoritë rajonale tatimore apo strukturat e tjera të autorizuara në Drejtorinë e Përgjithshme të Tatimeve, që mund të kryejnë të njëjtat funksione me to, autorizohen të nxjerrin njoftim vlerësimi tatimor për tatimpaguesit e regjistruar në administratën tatimore qendrore, përfshirë entitetet, personat fizikë tregtarë, të vetëpunësuarit, individët që kanë detyrimin për deklarimin e të ardhurave individuale në rastet kur ndaj tyre është ushtruar kontroll nga strukturat përgjegjëse sipas procedurave të përcaktuara në kreun X të këtij ligji, si dhe ndaj çdo personi tjetër që ka detyrimin për të deklaruar dhe/ose paguar tatime apo taksa sipas legjislacionit në Republikën e Shqipërisë.”.</w:t>
      </w:r>
    </w:p>
    <w:p w14:paraId="359DAAC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Strukturat e menaxhimit të taksave dhe tarifave të njësive të vetëqeverisjes vendore, nxjerrin njoftim vlerësimi për kategoritë e detyrimeve dhe tatimpaguesve sipas legjislacionit në fuqi për taksat dhe tarifat vendore.”.</w:t>
      </w:r>
    </w:p>
    <w:p w14:paraId="359DAAC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C3"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11</w:t>
      </w:r>
    </w:p>
    <w:p w14:paraId="359DAAC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C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Neni 71/2 ndryshohet si më poshtë:</w:t>
      </w:r>
    </w:p>
    <w:p w14:paraId="359DAAC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C7"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71/2</w:t>
      </w:r>
    </w:p>
    <w:p w14:paraId="359DAAC9"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Përdorimi i metodave alternative të vlerësimit në rastet e veprimeve për shmangien e tatimit dhe abuzimit me parimet e ligjit tatimor</w:t>
      </w:r>
    </w:p>
    <w:p w14:paraId="359DAAC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C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1. Në përllogaritjen e të ardhurave dhe fitimit të tatueshëm, administrata tatimore mund të mos marrë në konsideratë marrëveshje ose seri marrëveshjesh të lidhura ndërmjet tatimpaguesve, të cilat kanë si qëllim kryesor apo një ndër qëllimet kryesore sigurimin e përfitimeve tatimore. Marrëveshje të tilla për qëllime tatimore trajtohen duke iu referuar substancës së tyre ekonomike.</w:t>
      </w:r>
    </w:p>
    <w:p w14:paraId="359DAAC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2. Për qëllime të pikës 1 të këtij neni, “marrëveshje apo seri marrëveshjesh” nënkupton çdo transaksion, veprim, operacion, marrëveshje, grant, mirëkuptim, premtim, ndërveprim ose ngjarje. Një marrëveshje mund të përbëhet nga më shumë se një veprim ose pjesë veprimi.</w:t>
      </w:r>
    </w:p>
    <w:p w14:paraId="359DAAC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Për të përcaktuar nëse një marrëveshjeje ose një sërë marrëveshjeve iu mungon thelbi ekonomik, administrata tatimore shqyrton nëse ekziston një ose më shumë nga situatat e mëposhtme:</w:t>
      </w:r>
    </w:p>
    <w:p w14:paraId="359DAAC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a) thelbi ligjor i hapave individualë nga e cila përbëhet një marrëveshje, nuk është në përputhje me substancën ligjore të marrëveshjes në tërësi;</w:t>
      </w:r>
    </w:p>
    <w:p w14:paraId="359DAAC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b) marrëveshja ose seria e marrëveshjeve zbatohet në një mënyrë e cila nuk është në pajtim me një sjellje të rregullt biznesi;</w:t>
      </w:r>
    </w:p>
    <w:p w14:paraId="359DAAD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c) marrëveshja ose seria e marrëveshjeve përfshin elemente që kanë efektin e kompensimit ose anulimit të njëra-tjetrës;</w:t>
      </w:r>
    </w:p>
    <w:p w14:paraId="359DAAD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ç) transaksionet e lidhura janë të natyrës qarkulluese;</w:t>
      </w:r>
    </w:p>
    <w:p w14:paraId="359DAAD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d) marrëveshja ose seria e marrëveshjeve çon në një përfitim të konsiderueshëm tatimor, por kjo nuk reflektohet në risqet e biznesit të tatimpaguesit ose në fluksin e tij monetar;</w:t>
      </w:r>
    </w:p>
    <w:p w14:paraId="359DAAD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dh) marzhi i parashikuar para tatimit është i rëndësishëm në krahasim me shumën e përfitimit tatimor të parashikuar.</w:t>
      </w:r>
    </w:p>
    <w:p w14:paraId="359DAAD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4. Për qëllim të pikës 1 të këtij neni, qëllimi i këtyre marrëveshjeve ose seri marrëveshjesh konsiston në shmangien e tatimit edhe nëse, pavarësisht mungesës së këtij qëllimi nga tatimpaguesit, por nëse ky qëllim vjen në kundërshtim me objektin, arsyetimin dhe qëllimin e dispozitave tatimore që do të duhej të zbatoheshin.</w:t>
      </w:r>
    </w:p>
    <w:p w14:paraId="359DAAD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5.</w:t>
      </w:r>
      <w:r w:rsidR="00A516AC" w:rsidRPr="00C74873">
        <w:rPr>
          <w:rFonts w:ascii="Garamond" w:hAnsi="Garamond" w:cs="Times New Roman"/>
          <w:sz w:val="24"/>
          <w:szCs w:val="24"/>
        </w:rPr>
        <w:t xml:space="preserve"> </w:t>
      </w:r>
      <w:r w:rsidRPr="00C74873">
        <w:rPr>
          <w:rFonts w:ascii="Garamond" w:hAnsi="Garamond" w:cs="Times New Roman"/>
          <w:sz w:val="24"/>
          <w:szCs w:val="24"/>
        </w:rPr>
        <w:t>Për qëllim të pikës 1 të këtij neni, një qëllim i caktuar duhet të konsiderohet kritik kur çdo qëllim tjetër që i atribuohet ose mund t’i atribuohet marrëveshjes ose serisë së marrëveshjeve duket i papërfillshëm, duke pasur parasysh të gjitha rrethanat e rastit.</w:t>
      </w:r>
    </w:p>
    <w:p w14:paraId="359DAAD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6. Për të përcaktuar nëse një marrëveshje ose një seri marrëveshjesh ka sjellë një përfitim tatimor në kuptim të pikës 1 të këtij neni, administrata tatimore krahason shumën e tatimit që detyrohet të paguajë një tatimpagues, duke marrë parasysh marrëveshjen, me shumën që i njëjti tatimpagues do të detyrohej të paguante në të njëjtat rrethana në mungesën e një marrëveshjeje të tillë.</w:t>
      </w:r>
    </w:p>
    <w:p w14:paraId="359DAAD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7. Për qëllime të këtij neni, barra e provës i takon administratës tatimore.”.</w:t>
      </w:r>
    </w:p>
    <w:p w14:paraId="359DAAD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D9"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12</w:t>
      </w:r>
    </w:p>
    <w:p w14:paraId="359DAAD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D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80, pika 5 ndryshohet si më poshtë:</w:t>
      </w:r>
    </w:p>
    <w:p w14:paraId="359DAAD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“5. Për kontrollet e kryera nga administrata tatimore qendrore, autoritetin për të iniciuar kontrollin tatimor e ka Drejtoria Rajonale Tatimore ose njësitë e tjera në Drejtorinë e Përgjithshme të Tatimeve me funksione të njëjta me të. Për kontrolle që kryhen nga struktura të kontrollit në Drejtorinë e Përgjithshme, kompetencën për të iniciuar kontrollin tatimor e ka titullari i institucionit ose i deleguari i tij. Për kontrollet e kryera nga administrata tatimore vendore, njësia tatimore e qeverisjes vendore ka autoritetin për të iniciuar kontroll tatimor.”.</w:t>
      </w:r>
    </w:p>
    <w:p w14:paraId="359DAAD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DE"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13</w:t>
      </w:r>
    </w:p>
    <w:p w14:paraId="359DAAD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E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83, pika 3 ndryshohet si më poshtë:</w:t>
      </w:r>
    </w:p>
    <w:p w14:paraId="359DAAE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Një kopje e raportit të kontrollit i jepet për miratim drejtorit të drejtorisë rajonale tatimore dhe një kopje e raportit i njoftohet tatimpaguesit. Për kontrollet e kryera nga strukturat e Drejtorisë së Përgjithshme, raporti i kontrollit miratohet nga titullari i institucionit ose i deleguari i tij.”.</w:t>
      </w:r>
    </w:p>
    <w:p w14:paraId="359DAAE2" w14:textId="77777777" w:rsidR="00C94476" w:rsidRPr="00C74873" w:rsidRDefault="00A516AC"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     </w:t>
      </w:r>
    </w:p>
    <w:p w14:paraId="359DAAE3"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14</w:t>
      </w:r>
    </w:p>
    <w:p w14:paraId="359DAAE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E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84, pika 3 ndryshohet si më poshtë:</w:t>
      </w:r>
    </w:p>
    <w:p w14:paraId="359DAAE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Një kopje e raportit përfundimtar të kontrollit tatimor dhe shumës së llogaritur, nëse ka, i  dërgohet me postë tatimpaguesit dhe një kopje i dorëzohet Drejtorisë së Kontrollit Tatimor që ka kryer kontrollin.”.</w:t>
      </w:r>
    </w:p>
    <w:p w14:paraId="359DAAE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E8"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15</w:t>
      </w:r>
    </w:p>
    <w:p w14:paraId="359DAAE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E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fund të pikës 2 të nenit 89 shtohet fjalia me këtë përmbajtje:</w:t>
      </w:r>
    </w:p>
    <w:p w14:paraId="359DAAE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 “Transferimi i shumave të parave nga llogaria e tatimpaguesit, shitja/transferimi i aktiveve ose kapitaleve të shoqërisë në këtë rast kryhet vetëm në bashkëpunim me administratën tatimore.”.</w:t>
      </w:r>
    </w:p>
    <w:p w14:paraId="359DAAE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ED"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16</w:t>
      </w:r>
    </w:p>
    <w:p w14:paraId="359DAAE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E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101, pika 3 ndryshohet si më poshtë:</w:t>
      </w:r>
    </w:p>
    <w:p w14:paraId="359DAAF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Administrata tatimore duhet të lëshojë një kërkesë thirrjeje me shkrim të autorizuar nga titullari i strukturës përgjegjëse të administratës tatimore, për kontrollet e kryera nga strukturat e kontrollit tatimor në administratën tatimore qendrore, ose nga titullari i njësisë tatimore të qeverisjes vendore, kërkesë që përfshin informacionin e mëposhtëm:</w:t>
      </w:r>
    </w:p>
    <w:p w14:paraId="359DAAF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a) identifikimin e strukturës tatimore qendrore ose vendore që nxjerr kërkesën për thirrje;</w:t>
      </w:r>
    </w:p>
    <w:p w14:paraId="359DAAF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b) emrin dhe identifikimin tatimor të personit të thirrur;</w:t>
      </w:r>
    </w:p>
    <w:p w14:paraId="359DAAF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c) vendin, datën dhe orën e procedurës së thirrjes;</w:t>
      </w:r>
    </w:p>
    <w:p w14:paraId="359DAAF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ç) lëndën e thirrjes dhe pozicionin e personit të thirrur (tatimpagues, personi i tretë ose ekspert); dhe</w:t>
      </w:r>
    </w:p>
    <w:p w14:paraId="359DAAF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d) një listë të librave dhe të dhënave specifike, si dhe dokumentacion tjetër që personi duhet të dorëzojë.”.</w:t>
      </w:r>
    </w:p>
    <w:p w14:paraId="359DAAF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F7"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p>
    <w:p w14:paraId="359DAAF8"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17</w:t>
      </w:r>
    </w:p>
    <w:p w14:paraId="359DAAF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F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Pika 5 e nenit 103 shfuqizohet.</w:t>
      </w:r>
    </w:p>
    <w:p w14:paraId="359DAAF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FC"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18</w:t>
      </w:r>
    </w:p>
    <w:p w14:paraId="359DAAF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AF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105 bëhen ndryshimet si më poshtë:</w:t>
      </w:r>
    </w:p>
    <w:p w14:paraId="359DAAF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1. Në pikën 1 fjalët “dhe zbatimi” hiqen.</w:t>
      </w:r>
    </w:p>
    <w:p w14:paraId="359DAB0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2. Pika 2 ndryshohet si më poshtë:  </w:t>
      </w:r>
    </w:p>
    <w:p w14:paraId="359DAB0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“2. Strukturat e hetimit tatimor kanë si funksion:</w:t>
      </w:r>
    </w:p>
    <w:p w14:paraId="359DAB0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a) mbledhjen dhe analizën  e informacionit tatimor; </w:t>
      </w:r>
    </w:p>
    <w:p w14:paraId="359DAB0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b) hetimin tatimor;”.</w:t>
      </w:r>
    </w:p>
    <w:p w14:paraId="359DAB0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3. Në pikën 6 fjalët “dhe drejtorët e hetimit tatimor në drejtoritë rajonale tatimore.” hiqen. </w:t>
      </w:r>
    </w:p>
    <w:p w14:paraId="359DAB0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06"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19</w:t>
      </w:r>
    </w:p>
    <w:p w14:paraId="359DAB0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0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Pas nenit 105/2 shtohet neni 105/3 me këtë përmbajtje:</w:t>
      </w:r>
    </w:p>
    <w:p w14:paraId="359DAB0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0A"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105/3</w:t>
      </w:r>
    </w:p>
    <w:p w14:paraId="359DAB0C"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Struktura dhe funksionet e Drejtorisë së Verifikimit dhe Koordinimit në Terren</w:t>
      </w:r>
    </w:p>
    <w:p w14:paraId="359DAB0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0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1. Strukturat e verifikimit dhe koordinimit në terren janë njësi të specializuara zbatimi në administratën tatimore qendrore.</w:t>
      </w:r>
    </w:p>
    <w:p w14:paraId="359DAB0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2. Strukturat e verifikimit dhe koordinimit në terren kanë si funksion parësor:</w:t>
      </w:r>
    </w:p>
    <w:p w14:paraId="359DAB1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a) marrjen e masave administrative për kundërvajtjet administrative tatimore;</w:t>
      </w:r>
    </w:p>
    <w:p w14:paraId="359DAB1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b) zbatimin e masave shtrënguese.</w:t>
      </w:r>
    </w:p>
    <w:p w14:paraId="359DAB1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Drejtoria e Verifikimit dhe Koordinimit në Terren është e organizuar në nivel qendror dhe rajonal.”.</w:t>
      </w:r>
    </w:p>
    <w:p w14:paraId="359DAB1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14"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20</w:t>
      </w:r>
    </w:p>
    <w:p w14:paraId="359DAB1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1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Neni 112 ndryshohet si më poshtë:</w:t>
      </w:r>
    </w:p>
    <w:p w14:paraId="359DAB1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18"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112</w:t>
      </w:r>
    </w:p>
    <w:p w14:paraId="359DAB1A"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Mungesa e ekzekutimit të detyrimit për regjistrim</w:t>
      </w:r>
    </w:p>
    <w:p w14:paraId="359DAB1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1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Përveç sanksioneve administrative të parashikuara në legjislacionin në fuqi për këtë qëllim, mosrespektimi i detyrimit për regjistrim apo detyrimit për përditësimin e të dhënave dënohet për çdo shkelje me gjobë prej 10 000 lekësh për personat fizikë dhe 15 000 lekësh për personat juridikë.”.</w:t>
      </w:r>
    </w:p>
    <w:p w14:paraId="359DAB1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1E"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21</w:t>
      </w:r>
    </w:p>
    <w:p w14:paraId="359DAB1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2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113 të ligjit bëhen ndryshimi dhe shtesa e mëposhtme:</w:t>
      </w:r>
    </w:p>
    <w:p w14:paraId="359DAB2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1.</w:t>
      </w:r>
      <w:r w:rsidR="00A516AC" w:rsidRPr="00C74873">
        <w:rPr>
          <w:rFonts w:ascii="Garamond" w:hAnsi="Garamond" w:cs="Times New Roman"/>
          <w:sz w:val="24"/>
          <w:szCs w:val="24"/>
        </w:rPr>
        <w:t xml:space="preserve"> </w:t>
      </w:r>
      <w:r w:rsidRPr="00C74873">
        <w:rPr>
          <w:rFonts w:ascii="Garamond" w:hAnsi="Garamond" w:cs="Times New Roman"/>
          <w:sz w:val="24"/>
          <w:szCs w:val="24"/>
        </w:rPr>
        <w:t>Shkronja “b” ndryshohet si më poshtë:</w:t>
      </w:r>
    </w:p>
    <w:p w14:paraId="359DAB22" w14:textId="69EB39E7" w:rsidR="00C94476" w:rsidRPr="00C74873" w:rsidRDefault="006F2389" w:rsidP="00C94476">
      <w:pPr>
        <w:autoSpaceDE w:val="0"/>
        <w:autoSpaceDN w:val="0"/>
        <w:adjustRightInd w:val="0"/>
        <w:spacing w:after="0" w:line="240" w:lineRule="auto"/>
        <w:ind w:firstLine="284"/>
        <w:jc w:val="both"/>
        <w:rPr>
          <w:rFonts w:ascii="Garamond" w:hAnsi="Garamond" w:cs="Times New Roman"/>
          <w:sz w:val="24"/>
          <w:szCs w:val="24"/>
        </w:rPr>
      </w:pPr>
      <w:r>
        <w:rPr>
          <w:rFonts w:ascii="Garamond" w:hAnsi="Garamond" w:cs="Times New Roman"/>
          <w:sz w:val="24"/>
          <w:szCs w:val="24"/>
        </w:rPr>
        <w:t>“</w:t>
      </w:r>
      <w:r w:rsidR="00C94476" w:rsidRPr="00C74873">
        <w:rPr>
          <w:rFonts w:ascii="Garamond" w:hAnsi="Garamond" w:cs="Times New Roman"/>
          <w:sz w:val="24"/>
          <w:szCs w:val="24"/>
        </w:rPr>
        <w:t>b) 5 000 lekë për tatimpaguesit e tjerë me përjashtim të tatimpaguesit individë.</w:t>
      </w:r>
    </w:p>
    <w:p w14:paraId="359DAB2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2.</w:t>
      </w:r>
      <w:r w:rsidR="00A516AC" w:rsidRPr="00C74873">
        <w:rPr>
          <w:rFonts w:ascii="Garamond" w:hAnsi="Garamond" w:cs="Times New Roman"/>
          <w:sz w:val="24"/>
          <w:szCs w:val="24"/>
        </w:rPr>
        <w:t xml:space="preserve"> </w:t>
      </w:r>
      <w:r w:rsidRPr="00C74873">
        <w:rPr>
          <w:rFonts w:ascii="Garamond" w:hAnsi="Garamond" w:cs="Times New Roman"/>
          <w:sz w:val="24"/>
          <w:szCs w:val="24"/>
        </w:rPr>
        <w:t xml:space="preserve">Pas shkronjës “b” shtohet shkronja “c” me këtë përmbajtje: </w:t>
      </w:r>
    </w:p>
    <w:p w14:paraId="359DAB2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“c) 3 000 lekë për tatimpaguesit individë.”.</w:t>
      </w:r>
    </w:p>
    <w:p w14:paraId="359DAB2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26"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22</w:t>
      </w:r>
    </w:p>
    <w:p w14:paraId="359DAB2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2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Neni 114/1 ndryshohet si më poshtë:</w:t>
      </w:r>
    </w:p>
    <w:p w14:paraId="359DAB2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2A"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114/1</w:t>
      </w:r>
    </w:p>
    <w:p w14:paraId="359DAB2C"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bookmarkStart w:id="0" w:name="_GoBack"/>
      <w:bookmarkEnd w:id="0"/>
      <w:r w:rsidRPr="00C74873">
        <w:rPr>
          <w:rFonts w:ascii="Garamond" w:hAnsi="Garamond" w:cs="Times New Roman"/>
          <w:b/>
          <w:bCs/>
          <w:sz w:val="24"/>
          <w:szCs w:val="24"/>
        </w:rPr>
        <w:t>Mospagimi i kësteve të tatimit mbi fitimin korporativ dhe mbi të ardhurat personale</w:t>
      </w:r>
    </w:p>
    <w:p w14:paraId="359DAB2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2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Mospagimi në afat i kësteve paraprake të tatimit mbi fitimin korporativ dhe tatimit mbi të ardhurat personale nga biznesi dhe vetëpunësimi, sipas legjislacionit në fuqi për tatimin mbi të ardhurat, dënohet me gjobë në masën 10 për qind të shumës së këstit për t’u paguar plus kamatëvonesën e llogaritur për ditët e vonuara, por jo më shumë se 365 ditë.”.</w:t>
      </w:r>
    </w:p>
    <w:p w14:paraId="359DAB2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30"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23</w:t>
      </w:r>
    </w:p>
    <w:p w14:paraId="359DAB3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3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Neni 118 ndryshohet si më poshtë:</w:t>
      </w:r>
    </w:p>
    <w:p w14:paraId="359DAB3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34"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118</w:t>
      </w:r>
    </w:p>
    <w:p w14:paraId="359DAB35"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Mosmbajtja e saktë e librave, regjistrave dhe dokumentacionit</w:t>
      </w:r>
    </w:p>
    <w:p w14:paraId="359DAB3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3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Tatimpaguesi që nuk arrin të mbajë regjistrat dhe dokumentacionin tatimor, të kërkuar sipas këtij ligji, detyrohet të paguajë një gjobë me 10 000 lekë për çdo shkelje, në rastet kur është person fizik që ushtron veprimtari ekonomike tregtare apo si i vetëpunësuar dhe 50 000 lekë kur është person juridik.”.</w:t>
      </w:r>
    </w:p>
    <w:p w14:paraId="359DAB3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39"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24</w:t>
      </w:r>
    </w:p>
    <w:p w14:paraId="359DAB3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3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119, pika 3 ndryshohet si më poshtë:</w:t>
      </w:r>
    </w:p>
    <w:p w14:paraId="359DAB3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Nëse nga verifikimi dhe kontrolli rezulton se tatimpaguesi ka fshehur dhe nuk ka deklaruar pagën e saktë të përfituar nga punëmarrësi, si rezultat i marrëdhënieve të punësimit, punëdhënësi përveç detyrimit për pagimin e shumës së duhur të detyrimit tatimor dhe kontributet për këtë punonjës, të llogaritur për gjithë periudhën e provuar se është kryer shkelja, dënohet me gjobë në masën:</w:t>
      </w:r>
    </w:p>
    <w:p w14:paraId="359DAB3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a) 200% të detyrimit dhe kontributit të llogaritur për tatimpaguesit entitete juridike;</w:t>
      </w:r>
    </w:p>
    <w:p w14:paraId="359DAB3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b) 100% të detyrimit dhe kontributit për të gjithë tatimpaguesit e tjerë.”.   </w:t>
      </w:r>
    </w:p>
    <w:p w14:paraId="359DAB3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40"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25</w:t>
      </w:r>
    </w:p>
    <w:p w14:paraId="359DAB4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4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Neni 121 ndryshohet si më poshtë:</w:t>
      </w:r>
    </w:p>
    <w:p w14:paraId="359DAB4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44"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121</w:t>
      </w:r>
    </w:p>
    <w:p w14:paraId="359DAB45"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b/>
          <w:bCs/>
          <w:sz w:val="24"/>
          <w:szCs w:val="24"/>
        </w:rPr>
      </w:pPr>
      <w:r w:rsidRPr="00C74873">
        <w:rPr>
          <w:rFonts w:ascii="Garamond" w:hAnsi="Garamond" w:cs="Times New Roman"/>
          <w:b/>
          <w:bCs/>
          <w:sz w:val="24"/>
          <w:szCs w:val="24"/>
        </w:rPr>
        <w:t>Mallrat e pashoqëruara me dokumente tatimore</w:t>
      </w:r>
    </w:p>
    <w:p w14:paraId="359DAB4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 </w:t>
      </w:r>
    </w:p>
    <w:p w14:paraId="359DAB4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1. Tatimpaguesit që mbajnë në ruajtje, përdorin ose transportojnë mallra të pashoqëruara me dokumente tatimore, në përputhje me dispozitat e këtij ligji dhe të legjislacionit në fuqi për faturën dhe sistemin e monitorimit të qarkullimit, penalizohen si më poshtë: </w:t>
      </w:r>
    </w:p>
    <w:p w14:paraId="359DAB4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a) tatimpaguesit e regjistruar me përgjegjësinë tatimore të tatimit mbi të ardhurat personale nga biznesi apo vetëpunësimi, të cilët nuk janë të regjistruar për TVSH-në, dhe tatimpagues të tjerë dënohen me gjobë prej 25 000 lekësh; </w:t>
      </w:r>
    </w:p>
    <w:p w14:paraId="359DAB4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b) tatimpaguesit e regjistruar me përgjegjësinë tatimore të tatimit mbi të ardhurat personale nga biznesi apo vetëpunësimi dhe për TVSH-në dënohen me gjobë prej 50 000 lekësh, por jo më pak se vlera e  TVSH-së së munguar;</w:t>
      </w:r>
    </w:p>
    <w:p w14:paraId="359DAB4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c) tatimpaguesit e regjistruar me përgjegjësinë tatimore të tatimit mbi fitimin korporativ dënohen me gjobë prej 750 000 lekësh, por jo më pak se vlera e TVSH-së së munguar;</w:t>
      </w:r>
    </w:p>
    <w:p w14:paraId="359DAB4B"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ç) personi, i cili ushtron veprimtari ekonomike tregtare i paregjistruar, sipas përcaktimeve të nenit 41 të këtij ligji, dënohet me gjobë prej 50 000 lekësh.</w:t>
      </w:r>
    </w:p>
    <w:p w14:paraId="359DAB4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2. Përcaktimi i vlerës së TVSH-së së munguar bëhet nga administrata tatimore në momentin e konstatimit të shkeljes duke vlerësuar mallin e gjetur pa faturë me çmimin e tregut. </w:t>
      </w:r>
    </w:p>
    <w:p w14:paraId="359DAB4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3. Për shkeljet e parashikuara në pikën 1 të këtij neni, në rast përsëritjeje, administrata tatimore, përveç penaliteteve të përcaktuara në pikën 1, kallëzon penalisht tatimpaguesin në përputhje me përcaktimet e neneve 116 dhe 131 të këtij ligji.”.</w:t>
      </w:r>
    </w:p>
    <w:p w14:paraId="359DAB4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4F"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26</w:t>
      </w:r>
    </w:p>
    <w:p w14:paraId="359DAB50"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51"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123, pika 3, shkronja “a” ndryshohet si më poshtë:</w:t>
      </w:r>
    </w:p>
    <w:p w14:paraId="359DAB5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“a) gjobë prej 50 000 lekësh për tatimpaguesit e tatimit mbi të ardhurat personale nga biznesi apo vetëpunësimi, gjobë 100 000 lekë për tatimpaguesit e tatimit mbi të ardhurat personale nga biznesi apo vetëpunësimi me TVSH-në, gjobë 500 000 lekë për tatimpaguesit e tatimit mbi fitimin korporativ;”. </w:t>
      </w:r>
    </w:p>
    <w:p w14:paraId="359DAB5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54"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27</w:t>
      </w:r>
    </w:p>
    <w:p w14:paraId="359DAB55"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56"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124, pika 1, shkronjat “a” “b” dhe “c” ndryshohen si më poshtë:</w:t>
      </w:r>
    </w:p>
    <w:p w14:paraId="359DAB5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“a) tatimpaguesit e regjistruar me përgjegjësinë tatimore të tatimit mbi të ardhurat personale nga biznesi apo vetëpunësimi, por që nuk janë të regjistruar për TVSH-në, dhe tatimpagues të tjerë dënohen me gjobë  25 000 lekë.</w:t>
      </w:r>
    </w:p>
    <w:p w14:paraId="359DAB58"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b) tatimpaguesit e regjistruar me përgjegjësinë tatimore të tatimit mbi të ardhurat personale nga biznesi apo vetëpunësimi dhe për TVSH-në, dënohen me gjobë prej 50 000 lekësh;</w:t>
      </w:r>
    </w:p>
    <w:p w14:paraId="359DAB59"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c) tatimpaguesit e regjistruar me përgjegjësinë tatimore të tatimit mbi fitimin korporativ dënohen me gjobë 75 000 lekë.”.</w:t>
      </w:r>
    </w:p>
    <w:p w14:paraId="359DAB5A"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5B"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28</w:t>
      </w:r>
    </w:p>
    <w:p w14:paraId="359DAB5C"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5D"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Në nenin 127, pikat 1 dhe 2 ndryshohen si më poshtë:</w:t>
      </w:r>
    </w:p>
    <w:p w14:paraId="359DAB5E"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“1. Tatimpaguesi që pengon direkt ose indirekt një kontroll tatimor ose hetim nga administrata tatimore, i nënshtrohet një gjobe prej 100 000 lekësh për tatimpaguesit e klasifikuar si persona fizikë tregtarë apo të vetëpunësuar, dhe 1 000 000 lekë për tatimpaguesit e klasifikuar si entitete ose individë me pasuri të lartë.</w:t>
      </w:r>
    </w:p>
    <w:p w14:paraId="359DAB5F"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 xml:space="preserve">2. </w:t>
      </w:r>
      <w:r w:rsidR="00A516AC" w:rsidRPr="00C74873">
        <w:rPr>
          <w:rFonts w:ascii="Garamond" w:hAnsi="Garamond" w:cs="Times New Roman"/>
          <w:sz w:val="24"/>
          <w:szCs w:val="24"/>
        </w:rPr>
        <w:t xml:space="preserve"> </w:t>
      </w:r>
      <w:r w:rsidRPr="00C74873">
        <w:rPr>
          <w:rFonts w:ascii="Garamond" w:hAnsi="Garamond" w:cs="Times New Roman"/>
          <w:sz w:val="24"/>
          <w:szCs w:val="24"/>
        </w:rPr>
        <w:t>Masa e gjobës, e parashikuar në pikën 1 të këtij neni, miratohet nga drejtori i Drejtorisë Rajonale Tatimore ose njësitë e ngjashme me të, ose nga titullari i institucionit apo i deleguari prej tij për kontrollet e kryera nga strukturat e Drejtorisë së Përgjithshme të Tatimeve, dhe nga titullari i njësisë tatimore të qeverisjes vendore për tatimpaguesit që paguajnë taksa dhe tarifa vendore.”.</w:t>
      </w:r>
    </w:p>
    <w:p w14:paraId="359DAB60" w14:textId="77777777" w:rsidR="006454B1" w:rsidRPr="00C74873" w:rsidRDefault="006454B1" w:rsidP="00C94476">
      <w:pPr>
        <w:autoSpaceDE w:val="0"/>
        <w:autoSpaceDN w:val="0"/>
        <w:adjustRightInd w:val="0"/>
        <w:spacing w:after="0" w:line="240" w:lineRule="auto"/>
        <w:ind w:firstLine="284"/>
        <w:jc w:val="center"/>
        <w:rPr>
          <w:rFonts w:ascii="Garamond" w:hAnsi="Garamond" w:cs="Times New Roman"/>
          <w:sz w:val="24"/>
          <w:szCs w:val="24"/>
        </w:rPr>
      </w:pPr>
    </w:p>
    <w:p w14:paraId="359DAB61" w14:textId="77777777" w:rsidR="00C94476" w:rsidRPr="00C74873" w:rsidRDefault="00C94476" w:rsidP="00C94476">
      <w:pPr>
        <w:autoSpaceDE w:val="0"/>
        <w:autoSpaceDN w:val="0"/>
        <w:adjustRightInd w:val="0"/>
        <w:spacing w:after="0" w:line="240" w:lineRule="auto"/>
        <w:ind w:firstLine="284"/>
        <w:jc w:val="center"/>
        <w:rPr>
          <w:rFonts w:ascii="Garamond" w:hAnsi="Garamond" w:cs="Times New Roman"/>
          <w:sz w:val="24"/>
          <w:szCs w:val="24"/>
        </w:rPr>
      </w:pPr>
      <w:r w:rsidRPr="00C74873">
        <w:rPr>
          <w:rFonts w:ascii="Garamond" w:hAnsi="Garamond" w:cs="Times New Roman"/>
          <w:sz w:val="24"/>
          <w:szCs w:val="24"/>
        </w:rPr>
        <w:t>Neni 29</w:t>
      </w:r>
    </w:p>
    <w:p w14:paraId="359DAB62"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63"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Ky ligj hyn në fuqi 15 ditë pas botimit në Fletoren Zyrtare dhe i shtrin efektet nga data 1 janar 2023.</w:t>
      </w:r>
    </w:p>
    <w:p w14:paraId="359DAB64"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65" w14:textId="77777777" w:rsidR="00C94476" w:rsidRPr="00C74873" w:rsidRDefault="006454B1" w:rsidP="006454B1">
      <w:pPr>
        <w:autoSpaceDE w:val="0"/>
        <w:autoSpaceDN w:val="0"/>
        <w:adjustRightInd w:val="0"/>
        <w:spacing w:after="0" w:line="240" w:lineRule="auto"/>
        <w:ind w:firstLine="284"/>
        <w:jc w:val="right"/>
        <w:rPr>
          <w:rFonts w:ascii="Garamond" w:hAnsi="Garamond" w:cs="Times New Roman"/>
          <w:sz w:val="24"/>
          <w:szCs w:val="24"/>
        </w:rPr>
      </w:pPr>
      <w:r w:rsidRPr="00C74873">
        <w:rPr>
          <w:rFonts w:ascii="Garamond" w:hAnsi="Garamond" w:cs="Times New Roman"/>
          <w:sz w:val="24"/>
          <w:szCs w:val="24"/>
        </w:rPr>
        <w:t>KRYETARE</w:t>
      </w:r>
    </w:p>
    <w:p w14:paraId="359DAB66" w14:textId="77777777" w:rsidR="00C94476" w:rsidRPr="00C74873" w:rsidRDefault="006454B1" w:rsidP="006454B1">
      <w:pPr>
        <w:autoSpaceDE w:val="0"/>
        <w:autoSpaceDN w:val="0"/>
        <w:adjustRightInd w:val="0"/>
        <w:spacing w:after="0" w:line="240" w:lineRule="auto"/>
        <w:ind w:firstLine="284"/>
        <w:jc w:val="right"/>
        <w:rPr>
          <w:rFonts w:ascii="Garamond" w:hAnsi="Garamond" w:cs="Times New Roman"/>
          <w:sz w:val="24"/>
          <w:szCs w:val="24"/>
        </w:rPr>
      </w:pPr>
      <w:r w:rsidRPr="00C74873">
        <w:rPr>
          <w:rFonts w:ascii="Garamond" w:hAnsi="Garamond" w:cs="Times New Roman"/>
          <w:b/>
          <w:bCs/>
          <w:sz w:val="24"/>
          <w:szCs w:val="24"/>
        </w:rPr>
        <w:t xml:space="preserve"> </w:t>
      </w:r>
      <w:r w:rsidR="00C94476" w:rsidRPr="00C74873">
        <w:rPr>
          <w:rFonts w:ascii="Garamond" w:hAnsi="Garamond" w:cs="Times New Roman"/>
          <w:b/>
          <w:bCs/>
          <w:sz w:val="24"/>
          <w:szCs w:val="24"/>
        </w:rPr>
        <w:t xml:space="preserve">Lindita </w:t>
      </w:r>
      <w:r w:rsidRPr="00C74873">
        <w:rPr>
          <w:rFonts w:ascii="Garamond" w:hAnsi="Garamond" w:cs="Times New Roman"/>
          <w:b/>
          <w:bCs/>
          <w:sz w:val="24"/>
          <w:szCs w:val="24"/>
        </w:rPr>
        <w:t>Nikolla</w:t>
      </w:r>
    </w:p>
    <w:p w14:paraId="359DAB67" w14:textId="77777777" w:rsidR="00C94476" w:rsidRPr="00C74873" w:rsidRDefault="00C94476" w:rsidP="00C94476">
      <w:pPr>
        <w:autoSpaceDE w:val="0"/>
        <w:autoSpaceDN w:val="0"/>
        <w:adjustRightInd w:val="0"/>
        <w:spacing w:after="0" w:line="240" w:lineRule="auto"/>
        <w:ind w:firstLine="284"/>
        <w:jc w:val="both"/>
        <w:rPr>
          <w:rFonts w:ascii="Garamond" w:hAnsi="Garamond" w:cs="Times New Roman"/>
          <w:sz w:val="24"/>
          <w:szCs w:val="24"/>
        </w:rPr>
      </w:pPr>
    </w:p>
    <w:p w14:paraId="359DAB68" w14:textId="27E766DD" w:rsidR="00213234" w:rsidRDefault="00C94476" w:rsidP="006454B1">
      <w:pPr>
        <w:autoSpaceDE w:val="0"/>
        <w:autoSpaceDN w:val="0"/>
        <w:adjustRightInd w:val="0"/>
        <w:spacing w:after="0" w:line="240" w:lineRule="auto"/>
        <w:ind w:firstLine="284"/>
        <w:jc w:val="both"/>
        <w:rPr>
          <w:rFonts w:ascii="Garamond" w:hAnsi="Garamond" w:cs="Times New Roman"/>
          <w:sz w:val="24"/>
          <w:szCs w:val="24"/>
        </w:rPr>
      </w:pPr>
      <w:r w:rsidRPr="00C74873">
        <w:rPr>
          <w:rFonts w:ascii="Garamond" w:hAnsi="Garamond" w:cs="Times New Roman"/>
          <w:sz w:val="24"/>
          <w:szCs w:val="24"/>
        </w:rPr>
        <w:t>Miratuar në datën 24.11.2022</w:t>
      </w:r>
      <w:r w:rsidR="00C74873">
        <w:rPr>
          <w:rFonts w:ascii="Garamond" w:hAnsi="Garamond" w:cs="Times New Roman"/>
          <w:sz w:val="24"/>
          <w:szCs w:val="24"/>
        </w:rPr>
        <w:t>.</w:t>
      </w:r>
    </w:p>
    <w:p w14:paraId="1BE72DCB" w14:textId="77777777" w:rsidR="00CB0861" w:rsidRDefault="00CB0861" w:rsidP="006454B1">
      <w:pPr>
        <w:autoSpaceDE w:val="0"/>
        <w:autoSpaceDN w:val="0"/>
        <w:adjustRightInd w:val="0"/>
        <w:spacing w:after="0" w:line="240" w:lineRule="auto"/>
        <w:ind w:firstLine="284"/>
        <w:jc w:val="both"/>
        <w:rPr>
          <w:rFonts w:ascii="Garamond" w:hAnsi="Garamond" w:cs="Times New Roman"/>
          <w:sz w:val="24"/>
          <w:szCs w:val="24"/>
        </w:rPr>
      </w:pPr>
    </w:p>
    <w:p w14:paraId="0ED4803E" w14:textId="77777777" w:rsidR="00CB0861" w:rsidRPr="00C74873" w:rsidRDefault="00CB0861" w:rsidP="006454B1">
      <w:pPr>
        <w:autoSpaceDE w:val="0"/>
        <w:autoSpaceDN w:val="0"/>
        <w:adjustRightInd w:val="0"/>
        <w:spacing w:after="0" w:line="240" w:lineRule="auto"/>
        <w:ind w:firstLine="284"/>
        <w:jc w:val="both"/>
        <w:rPr>
          <w:rFonts w:ascii="Garamond" w:hAnsi="Garamond"/>
          <w:sz w:val="24"/>
          <w:szCs w:val="24"/>
        </w:rPr>
      </w:pPr>
    </w:p>
    <w:sectPr w:rsidR="00CB0861" w:rsidRPr="00C74873" w:rsidSect="00D50415">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E1A36" w14:textId="77777777" w:rsidR="00544E31" w:rsidRDefault="00544E31" w:rsidP="00420682">
      <w:pPr>
        <w:spacing w:after="0" w:line="240" w:lineRule="auto"/>
      </w:pPr>
      <w:r>
        <w:separator/>
      </w:r>
    </w:p>
  </w:endnote>
  <w:endnote w:type="continuationSeparator" w:id="0">
    <w:p w14:paraId="040FCC69" w14:textId="77777777" w:rsidR="00544E31" w:rsidRDefault="00544E31" w:rsidP="00420682">
      <w:pPr>
        <w:spacing w:after="0" w:line="240" w:lineRule="auto"/>
      </w:pPr>
      <w:r>
        <w:continuationSeparator/>
      </w:r>
    </w:p>
  </w:endnote>
  <w:endnote w:type="continuationNotice" w:id="1">
    <w:p w14:paraId="79F6B2B3" w14:textId="77777777" w:rsidR="00606A1D" w:rsidRDefault="00606A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32248" w14:textId="77777777" w:rsidR="00544E31" w:rsidRDefault="00544E31" w:rsidP="00420682">
      <w:pPr>
        <w:spacing w:after="0" w:line="240" w:lineRule="auto"/>
      </w:pPr>
      <w:r>
        <w:separator/>
      </w:r>
    </w:p>
  </w:footnote>
  <w:footnote w:type="continuationSeparator" w:id="0">
    <w:p w14:paraId="30D6A6B5" w14:textId="77777777" w:rsidR="00544E31" w:rsidRDefault="00544E31" w:rsidP="00420682">
      <w:pPr>
        <w:spacing w:after="0" w:line="240" w:lineRule="auto"/>
      </w:pPr>
      <w:r>
        <w:continuationSeparator/>
      </w:r>
    </w:p>
  </w:footnote>
  <w:footnote w:type="continuationNotice" w:id="1">
    <w:p w14:paraId="3C0A1805" w14:textId="77777777" w:rsidR="00606A1D" w:rsidRDefault="00606A1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F74203"/>
    <w:multiLevelType w:val="hybridMultilevel"/>
    <w:tmpl w:val="17324DC6"/>
    <w:lvl w:ilvl="0" w:tplc="35C2B43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nsid w:val="25776C89"/>
    <w:multiLevelType w:val="hybridMultilevel"/>
    <w:tmpl w:val="41A4875A"/>
    <w:lvl w:ilvl="0" w:tplc="0409001B">
      <w:start w:val="1"/>
      <w:numFmt w:val="lowerRoman"/>
      <w:lvlText w:val="%1."/>
      <w:lvlJc w:val="righ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nsid w:val="556B3731"/>
    <w:multiLevelType w:val="hybridMultilevel"/>
    <w:tmpl w:val="8BFA76CE"/>
    <w:lvl w:ilvl="0" w:tplc="8996CF2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nsid w:val="777B0376"/>
    <w:multiLevelType w:val="hybridMultilevel"/>
    <w:tmpl w:val="C1D0F32E"/>
    <w:lvl w:ilvl="0" w:tplc="8FA6465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352D6"/>
    <w:rsid w:val="00043C57"/>
    <w:rsid w:val="00055AB5"/>
    <w:rsid w:val="00060376"/>
    <w:rsid w:val="00072080"/>
    <w:rsid w:val="000765C2"/>
    <w:rsid w:val="00080E17"/>
    <w:rsid w:val="0008200D"/>
    <w:rsid w:val="00084FC8"/>
    <w:rsid w:val="0009210A"/>
    <w:rsid w:val="00096985"/>
    <w:rsid w:val="000A3B4D"/>
    <w:rsid w:val="000D199E"/>
    <w:rsid w:val="000E12FF"/>
    <w:rsid w:val="000E5BA6"/>
    <w:rsid w:val="00106F6D"/>
    <w:rsid w:val="0010789D"/>
    <w:rsid w:val="001164DC"/>
    <w:rsid w:val="0012550D"/>
    <w:rsid w:val="00130958"/>
    <w:rsid w:val="001328A0"/>
    <w:rsid w:val="00135A36"/>
    <w:rsid w:val="00136CB0"/>
    <w:rsid w:val="00136EC9"/>
    <w:rsid w:val="00146D52"/>
    <w:rsid w:val="00153CC5"/>
    <w:rsid w:val="00155BCF"/>
    <w:rsid w:val="00166898"/>
    <w:rsid w:val="00167D1D"/>
    <w:rsid w:val="00176471"/>
    <w:rsid w:val="001816AF"/>
    <w:rsid w:val="00191A00"/>
    <w:rsid w:val="001942D4"/>
    <w:rsid w:val="001A1919"/>
    <w:rsid w:val="001A2945"/>
    <w:rsid w:val="001B796E"/>
    <w:rsid w:val="001C0806"/>
    <w:rsid w:val="001C210B"/>
    <w:rsid w:val="001C445C"/>
    <w:rsid w:val="001C5033"/>
    <w:rsid w:val="001C5CDE"/>
    <w:rsid w:val="001C6A0A"/>
    <w:rsid w:val="001C7EC0"/>
    <w:rsid w:val="001D200B"/>
    <w:rsid w:val="001D2895"/>
    <w:rsid w:val="001F194A"/>
    <w:rsid w:val="001F78C3"/>
    <w:rsid w:val="002009A1"/>
    <w:rsid w:val="0020160E"/>
    <w:rsid w:val="0020170B"/>
    <w:rsid w:val="0020507F"/>
    <w:rsid w:val="00205D53"/>
    <w:rsid w:val="00207902"/>
    <w:rsid w:val="00213234"/>
    <w:rsid w:val="00214854"/>
    <w:rsid w:val="0021715D"/>
    <w:rsid w:val="00224329"/>
    <w:rsid w:val="00233280"/>
    <w:rsid w:val="00234BD8"/>
    <w:rsid w:val="0024206A"/>
    <w:rsid w:val="00243B60"/>
    <w:rsid w:val="0024538F"/>
    <w:rsid w:val="00254490"/>
    <w:rsid w:val="00266C06"/>
    <w:rsid w:val="00267F0F"/>
    <w:rsid w:val="002753F6"/>
    <w:rsid w:val="002A47D7"/>
    <w:rsid w:val="002C4899"/>
    <w:rsid w:val="002D5F14"/>
    <w:rsid w:val="002F5953"/>
    <w:rsid w:val="002F5F81"/>
    <w:rsid w:val="00300CDA"/>
    <w:rsid w:val="00304729"/>
    <w:rsid w:val="003168B3"/>
    <w:rsid w:val="003547D6"/>
    <w:rsid w:val="00376C08"/>
    <w:rsid w:val="0038331D"/>
    <w:rsid w:val="00397541"/>
    <w:rsid w:val="003A38DC"/>
    <w:rsid w:val="003A63A5"/>
    <w:rsid w:val="003C48FF"/>
    <w:rsid w:val="003D59B2"/>
    <w:rsid w:val="003F29A8"/>
    <w:rsid w:val="00403A89"/>
    <w:rsid w:val="0041300C"/>
    <w:rsid w:val="00420682"/>
    <w:rsid w:val="004309A7"/>
    <w:rsid w:val="00433BCD"/>
    <w:rsid w:val="00436717"/>
    <w:rsid w:val="00445610"/>
    <w:rsid w:val="0045421F"/>
    <w:rsid w:val="00455BBA"/>
    <w:rsid w:val="00460BC4"/>
    <w:rsid w:val="004647DB"/>
    <w:rsid w:val="00477804"/>
    <w:rsid w:val="004866A8"/>
    <w:rsid w:val="00492821"/>
    <w:rsid w:val="004A4058"/>
    <w:rsid w:val="004A53A4"/>
    <w:rsid w:val="004A5884"/>
    <w:rsid w:val="004A5DE6"/>
    <w:rsid w:val="004B12D2"/>
    <w:rsid w:val="004B6ED9"/>
    <w:rsid w:val="004C2DFD"/>
    <w:rsid w:val="004D31C6"/>
    <w:rsid w:val="004D3CFC"/>
    <w:rsid w:val="004D5462"/>
    <w:rsid w:val="004E48D1"/>
    <w:rsid w:val="004E62D6"/>
    <w:rsid w:val="004E7290"/>
    <w:rsid w:val="004E7E53"/>
    <w:rsid w:val="004F4442"/>
    <w:rsid w:val="004F446C"/>
    <w:rsid w:val="004F447A"/>
    <w:rsid w:val="004F7030"/>
    <w:rsid w:val="005201B5"/>
    <w:rsid w:val="0052203F"/>
    <w:rsid w:val="00522FFB"/>
    <w:rsid w:val="00525D32"/>
    <w:rsid w:val="00531970"/>
    <w:rsid w:val="00531A97"/>
    <w:rsid w:val="00533AC7"/>
    <w:rsid w:val="00542102"/>
    <w:rsid w:val="00544E31"/>
    <w:rsid w:val="00544FB5"/>
    <w:rsid w:val="00550FA3"/>
    <w:rsid w:val="0055575B"/>
    <w:rsid w:val="00561714"/>
    <w:rsid w:val="005726F2"/>
    <w:rsid w:val="00573EE3"/>
    <w:rsid w:val="005767F6"/>
    <w:rsid w:val="00591503"/>
    <w:rsid w:val="0059248B"/>
    <w:rsid w:val="0059342C"/>
    <w:rsid w:val="005A7379"/>
    <w:rsid w:val="005B2117"/>
    <w:rsid w:val="005B6E3F"/>
    <w:rsid w:val="005E44EA"/>
    <w:rsid w:val="005F00A8"/>
    <w:rsid w:val="0060535D"/>
    <w:rsid w:val="00606A1D"/>
    <w:rsid w:val="0062077A"/>
    <w:rsid w:val="00621A17"/>
    <w:rsid w:val="00622B82"/>
    <w:rsid w:val="006439BF"/>
    <w:rsid w:val="006454B1"/>
    <w:rsid w:val="006465EF"/>
    <w:rsid w:val="00646924"/>
    <w:rsid w:val="00663243"/>
    <w:rsid w:val="0067406E"/>
    <w:rsid w:val="00677E6C"/>
    <w:rsid w:val="00685898"/>
    <w:rsid w:val="006A7367"/>
    <w:rsid w:val="006E4AB2"/>
    <w:rsid w:val="006F2389"/>
    <w:rsid w:val="006F4D55"/>
    <w:rsid w:val="00726525"/>
    <w:rsid w:val="00736DC8"/>
    <w:rsid w:val="007403CF"/>
    <w:rsid w:val="00742442"/>
    <w:rsid w:val="00750246"/>
    <w:rsid w:val="007654B3"/>
    <w:rsid w:val="00770FAD"/>
    <w:rsid w:val="00774741"/>
    <w:rsid w:val="00791136"/>
    <w:rsid w:val="007A2E0E"/>
    <w:rsid w:val="007A6387"/>
    <w:rsid w:val="007C083E"/>
    <w:rsid w:val="007D6440"/>
    <w:rsid w:val="007D742E"/>
    <w:rsid w:val="007E2515"/>
    <w:rsid w:val="008030D2"/>
    <w:rsid w:val="00811138"/>
    <w:rsid w:val="00820E26"/>
    <w:rsid w:val="0083506B"/>
    <w:rsid w:val="00840462"/>
    <w:rsid w:val="008420C3"/>
    <w:rsid w:val="0085472C"/>
    <w:rsid w:val="00856BC1"/>
    <w:rsid w:val="008613A9"/>
    <w:rsid w:val="008620E4"/>
    <w:rsid w:val="0086360A"/>
    <w:rsid w:val="008720AB"/>
    <w:rsid w:val="0087264B"/>
    <w:rsid w:val="00880C40"/>
    <w:rsid w:val="00884724"/>
    <w:rsid w:val="0088796B"/>
    <w:rsid w:val="00890309"/>
    <w:rsid w:val="008914C1"/>
    <w:rsid w:val="00892C77"/>
    <w:rsid w:val="0089762F"/>
    <w:rsid w:val="008A1646"/>
    <w:rsid w:val="008C15C7"/>
    <w:rsid w:val="008C264C"/>
    <w:rsid w:val="008C76E1"/>
    <w:rsid w:val="008D12D7"/>
    <w:rsid w:val="008E6588"/>
    <w:rsid w:val="00900D7B"/>
    <w:rsid w:val="0091014E"/>
    <w:rsid w:val="009104DF"/>
    <w:rsid w:val="00912DAA"/>
    <w:rsid w:val="00917DF9"/>
    <w:rsid w:val="00927F73"/>
    <w:rsid w:val="00951233"/>
    <w:rsid w:val="00954FD3"/>
    <w:rsid w:val="00957A39"/>
    <w:rsid w:val="00970D95"/>
    <w:rsid w:val="00974717"/>
    <w:rsid w:val="00976A3C"/>
    <w:rsid w:val="009868B1"/>
    <w:rsid w:val="00991D86"/>
    <w:rsid w:val="0099741A"/>
    <w:rsid w:val="009A392A"/>
    <w:rsid w:val="009A6F98"/>
    <w:rsid w:val="009C12D6"/>
    <w:rsid w:val="009C52A4"/>
    <w:rsid w:val="009F4592"/>
    <w:rsid w:val="00A06D12"/>
    <w:rsid w:val="00A10B5D"/>
    <w:rsid w:val="00A15DE9"/>
    <w:rsid w:val="00A230A7"/>
    <w:rsid w:val="00A27C1F"/>
    <w:rsid w:val="00A34D9D"/>
    <w:rsid w:val="00A431DD"/>
    <w:rsid w:val="00A43A58"/>
    <w:rsid w:val="00A516AC"/>
    <w:rsid w:val="00A645A6"/>
    <w:rsid w:val="00A97B73"/>
    <w:rsid w:val="00AA32E0"/>
    <w:rsid w:val="00AA545E"/>
    <w:rsid w:val="00AC2686"/>
    <w:rsid w:val="00AD2B20"/>
    <w:rsid w:val="00AF0CE9"/>
    <w:rsid w:val="00AF20F3"/>
    <w:rsid w:val="00AF5D8E"/>
    <w:rsid w:val="00B026F0"/>
    <w:rsid w:val="00B03A16"/>
    <w:rsid w:val="00B46B49"/>
    <w:rsid w:val="00B51F9D"/>
    <w:rsid w:val="00B54D96"/>
    <w:rsid w:val="00B6099E"/>
    <w:rsid w:val="00B6427E"/>
    <w:rsid w:val="00B64B0C"/>
    <w:rsid w:val="00B67778"/>
    <w:rsid w:val="00B707D8"/>
    <w:rsid w:val="00B8668D"/>
    <w:rsid w:val="00BA1706"/>
    <w:rsid w:val="00BA5571"/>
    <w:rsid w:val="00BB15C8"/>
    <w:rsid w:val="00BD4611"/>
    <w:rsid w:val="00BF2B2C"/>
    <w:rsid w:val="00C10624"/>
    <w:rsid w:val="00C4191B"/>
    <w:rsid w:val="00C446ED"/>
    <w:rsid w:val="00C5239D"/>
    <w:rsid w:val="00C60CAD"/>
    <w:rsid w:val="00C6573D"/>
    <w:rsid w:val="00C74873"/>
    <w:rsid w:val="00C751AA"/>
    <w:rsid w:val="00C90FD7"/>
    <w:rsid w:val="00C92C5B"/>
    <w:rsid w:val="00C94476"/>
    <w:rsid w:val="00CA0828"/>
    <w:rsid w:val="00CB0861"/>
    <w:rsid w:val="00CC7CA2"/>
    <w:rsid w:val="00CE2478"/>
    <w:rsid w:val="00CF5B26"/>
    <w:rsid w:val="00D151D5"/>
    <w:rsid w:val="00D23C4B"/>
    <w:rsid w:val="00D24B56"/>
    <w:rsid w:val="00D4138A"/>
    <w:rsid w:val="00D45AC2"/>
    <w:rsid w:val="00D50415"/>
    <w:rsid w:val="00D51772"/>
    <w:rsid w:val="00D60C6B"/>
    <w:rsid w:val="00D915B8"/>
    <w:rsid w:val="00DA56D4"/>
    <w:rsid w:val="00DB586F"/>
    <w:rsid w:val="00DC03DB"/>
    <w:rsid w:val="00DC0BDC"/>
    <w:rsid w:val="00DF295D"/>
    <w:rsid w:val="00E12E3A"/>
    <w:rsid w:val="00E321E0"/>
    <w:rsid w:val="00E32B8C"/>
    <w:rsid w:val="00E370B3"/>
    <w:rsid w:val="00E41D35"/>
    <w:rsid w:val="00E452DA"/>
    <w:rsid w:val="00E6234F"/>
    <w:rsid w:val="00E72BC5"/>
    <w:rsid w:val="00E76B9D"/>
    <w:rsid w:val="00EC55E7"/>
    <w:rsid w:val="00EC57E8"/>
    <w:rsid w:val="00ED7107"/>
    <w:rsid w:val="00EE7E5D"/>
    <w:rsid w:val="00EF2D05"/>
    <w:rsid w:val="00F07F7F"/>
    <w:rsid w:val="00F234B6"/>
    <w:rsid w:val="00F32C43"/>
    <w:rsid w:val="00F52125"/>
    <w:rsid w:val="00F537D2"/>
    <w:rsid w:val="00F630AC"/>
    <w:rsid w:val="00F72C89"/>
    <w:rsid w:val="00F814BA"/>
    <w:rsid w:val="00F84F9C"/>
    <w:rsid w:val="00FA0571"/>
    <w:rsid w:val="00FB5CED"/>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AA14"/>
  <w15:docId w15:val="{0842EF95-282D-4D93-8749-12E8989D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8C76E1"/>
    <w:pPr>
      <w:ind w:left="720"/>
      <w:contextualSpacing/>
    </w:pPr>
  </w:style>
  <w:style w:type="paragraph" w:styleId="Header">
    <w:name w:val="header"/>
    <w:basedOn w:val="Normal"/>
    <w:link w:val="HeaderChar"/>
    <w:uiPriority w:val="99"/>
    <w:unhideWhenUsed/>
    <w:rsid w:val="00D50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415"/>
  </w:style>
  <w:style w:type="paragraph" w:styleId="Footer">
    <w:name w:val="footer"/>
    <w:basedOn w:val="Normal"/>
    <w:link w:val="FooterChar"/>
    <w:uiPriority w:val="99"/>
    <w:unhideWhenUsed/>
    <w:rsid w:val="00D50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9A1988184D54E78A64ECCDD8C96712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83</Nr_x002e__x0020_akti>
    <Data_x0020_e_x0020_Krijimit xmlns="0e656187-b300-4fb0-8bf4-3a50f872073c">2022-12-22T15:12:13Z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2022-12-21T23:00:00Z</Date_x0020_protokolli>
    <Titulli xmlns="0e656187-b300-4fb0-8bf4-3a50f872073c">Për disa ndryshime dhe shtesa në ligjin nr. 9920, datë 19.5.2008, "Për procedurat tatimore në Republikën e Shqipërisë", të ndryshuar</Titulli>
    <Modifikuesi xmlns="0e656187-b300-4fb0-8bf4-3a50f872073c">nevila.samarxhi</Modifikuesi>
    <Nr_x002e__x0020_prot_x0020_QBZ xmlns="0e656187-b300-4fb0-8bf4-3a50f872073c">1902/1</Nr_x002e__x0020_prot_x0020_QBZ>
    <Data_x0020_e_x0020_Modifikimit xmlns="0e656187-b300-4fb0-8bf4-3a50f872073c">2022-12-22T15:15:37Z</Data_x0020_e_x0020_Modifikimit>
    <Dekretuar xmlns="0e656187-b300-4fb0-8bf4-3a50f872073c">false</Dekretuar>
    <Data xmlns="0e656187-b300-4fb0-8bf4-3a50f872073c">2022-11-23T23:00:00Z</Data>
    <Nr_x002e__x0020_protokolli_x0020_i_x0020_aktit xmlns="0e656187-b300-4fb0-8bf4-3a50f872073c">4347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9A1988184D54E78A64ECCDD8C96712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84EF6-51C3-4C3C-A4CA-5E1F80777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E358EE6-3A3C-47EE-8AFA-4B0BCBDDA237}">
  <ds:schemaRefs>
    <ds:schemaRef ds:uri="http://www.w3.org/XML/1998/namespace"/>
    <ds:schemaRef ds:uri="http://schemas.microsoft.com/office/2006/documentManagement/types"/>
    <ds:schemaRef ds:uri="0e656187-b300-4fb0-8bf4-3a50f872073c"/>
    <ds:schemaRef ds:uri="http://purl.org/dc/term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27A3113-AA25-48DC-9E0F-47BA696B522A}">
  <ds:schemaRefs>
    <ds:schemaRef ds:uri="http://schemas.microsoft.com/sharepoint/v3/contenttype/forms"/>
  </ds:schemaRefs>
</ds:datastoreItem>
</file>

<file path=customXml/itemProps4.xml><?xml version="1.0" encoding="utf-8"?>
<ds:datastoreItem xmlns:ds="http://schemas.openxmlformats.org/officeDocument/2006/customXml" ds:itemID="{229C5DDD-A3C3-4FA7-9808-FFD7C6E63021}">
  <ds:schemaRefs>
    <ds:schemaRef ds:uri="http://schemas.microsoft.com/sharepoint/v3/contenttype/forms"/>
  </ds:schemaRefs>
</ds:datastoreItem>
</file>

<file path=customXml/itemProps5.xml><?xml version="1.0" encoding="utf-8"?>
<ds:datastoreItem xmlns:ds="http://schemas.openxmlformats.org/officeDocument/2006/customXml" ds:itemID="{FC1AA851-8971-49FA-B4EB-94423DF8C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9F17087-84A9-4B91-AD57-CA1892D08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3981</Words>
  <Characters>22695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Alma Lisaku</cp:lastModifiedBy>
  <cp:revision>17</cp:revision>
  <cp:lastPrinted>2022-11-30T12:23:00Z</cp:lastPrinted>
  <dcterms:created xsi:type="dcterms:W3CDTF">2022-12-22T15:18:00Z</dcterms:created>
  <dcterms:modified xsi:type="dcterms:W3CDTF">2022-12-22T15:31:00Z</dcterms:modified>
</cp:coreProperties>
</file>