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653321" w14:textId="77777777" w:rsidR="00420682" w:rsidRPr="001D2BFB" w:rsidRDefault="00420682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2BFB">
        <w:rPr>
          <w:rFonts w:ascii="Garamond" w:hAnsi="Garamond" w:cs="Times New Roman"/>
          <w:b/>
          <w:sz w:val="24"/>
          <w:szCs w:val="24"/>
        </w:rPr>
        <w:t>LIGJ</w:t>
      </w:r>
    </w:p>
    <w:p w14:paraId="7A653322" w14:textId="77777777" w:rsidR="00420682" w:rsidRPr="001D2BFB" w:rsidRDefault="002009A1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2BFB">
        <w:rPr>
          <w:rFonts w:ascii="Garamond" w:hAnsi="Garamond" w:cs="Times New Roman"/>
          <w:b/>
          <w:sz w:val="24"/>
          <w:szCs w:val="24"/>
        </w:rPr>
        <w:t>Nr.</w:t>
      </w:r>
      <w:r w:rsidR="00F62A46" w:rsidRPr="001D2BFB">
        <w:rPr>
          <w:rFonts w:ascii="Garamond" w:hAnsi="Garamond" w:cs="Times New Roman"/>
          <w:b/>
          <w:sz w:val="24"/>
          <w:szCs w:val="24"/>
        </w:rPr>
        <w:t xml:space="preserve"> </w:t>
      </w:r>
      <w:r w:rsidR="00860148" w:rsidRPr="001D2BFB">
        <w:rPr>
          <w:rFonts w:ascii="Garamond" w:hAnsi="Garamond" w:cs="Times New Roman"/>
          <w:b/>
          <w:sz w:val="24"/>
          <w:szCs w:val="24"/>
        </w:rPr>
        <w:t>94</w:t>
      </w:r>
      <w:r w:rsidR="003D5ED0" w:rsidRPr="001D2BFB">
        <w:rPr>
          <w:rFonts w:ascii="Garamond" w:hAnsi="Garamond" w:cs="Times New Roman"/>
          <w:b/>
          <w:sz w:val="24"/>
          <w:szCs w:val="24"/>
        </w:rPr>
        <w:t>/2022</w:t>
      </w:r>
      <w:r w:rsidRPr="001D2BF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A653323" w14:textId="77777777" w:rsidR="003D59B2" w:rsidRPr="001D2BFB" w:rsidRDefault="003D59B2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24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 xml:space="preserve">PËR TITUJT E NDERIT DHE TITUJT VENDORË TË NDERIT </w:t>
      </w:r>
    </w:p>
    <w:p w14:paraId="7A653325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NË REPUBLIKËN E SHQIPËRISË</w:t>
      </w:r>
    </w:p>
    <w:p w14:paraId="7A653326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27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7A653328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29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KUVENDI</w:t>
      </w:r>
    </w:p>
    <w:p w14:paraId="7A65332A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A65332B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2C" w14:textId="77777777" w:rsidR="00DD377E" w:rsidRPr="001D2BFB" w:rsidRDefault="001D2BFB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VENDOS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I:</w:t>
      </w:r>
    </w:p>
    <w:p w14:paraId="7A65332D" w14:textId="77777777" w:rsidR="00DD377E" w:rsidRPr="001D2BFB" w:rsidRDefault="00DD377E" w:rsidP="001D2BFB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A65332E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KREU I</w:t>
      </w:r>
    </w:p>
    <w:p w14:paraId="7A65332F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7A653330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31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</w:t>
      </w:r>
    </w:p>
    <w:p w14:paraId="7A653332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Objekti</w:t>
      </w:r>
    </w:p>
    <w:p w14:paraId="7A653333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3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Objekt</w:t>
      </w:r>
      <w:r w:rsidR="00860148" w:rsidRPr="001D2BFB">
        <w:rPr>
          <w:rFonts w:ascii="Garamond" w:hAnsi="Garamond" w:cs="Times New Roman"/>
          <w:bCs/>
          <w:sz w:val="24"/>
          <w:szCs w:val="24"/>
        </w:rPr>
        <w:t>i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i këtij ligji është përcaktimi i llojeve të titujve të nderit dhe titujve vendorë të nderit, që jepen në Republikën e Shqipërisë, si dhe rregullave, procedurave dhe kritereve për propozimin, shqyrtimin dhe dhënien e titujve nga institucionet përgjegjëse. </w:t>
      </w:r>
    </w:p>
    <w:p w14:paraId="7A65333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36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2</w:t>
      </w:r>
    </w:p>
    <w:p w14:paraId="7A65333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Qëllimi</w:t>
      </w:r>
    </w:p>
    <w:p w14:paraId="7A653338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3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Ky ligj ka për qëllim krijimin dhe organizimin e titujve të nderit dhe titujve vendorë të nderit në Republikën e Shqipërisë, që jepen si shenjë nderimi ndaj shtetasve shqiptarë apo të huaj, për veprimtari dhe kontribut të dalluar në fusha të ndryshme, për mbrojtjen dhe promovimin e interesave të shtetit, kombit shqiptar apo komuniteteve të njësive të vetëqeverisjes vendore.</w:t>
      </w:r>
    </w:p>
    <w:p w14:paraId="7A65333A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3B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3</w:t>
      </w:r>
    </w:p>
    <w:p w14:paraId="7A65333C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Parime të përgjithshme</w:t>
      </w:r>
    </w:p>
    <w:p w14:paraId="7A65333D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3E" w14:textId="77777777" w:rsidR="00DD377E" w:rsidRPr="001D2BFB" w:rsidRDefault="00860148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Dhënia e titullit të nderit ose titullit vendor të nderit në Republikën e Shqipërisë udhëhiqet nga parimi i nderimit publik dhe i vlerësimit të kontributit.</w:t>
      </w:r>
    </w:p>
    <w:p w14:paraId="7A65333F" w14:textId="77777777" w:rsidR="00DD377E" w:rsidRPr="001D2BFB" w:rsidRDefault="00860148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Përfitimi i një titulli nderi ose titulli vendor nderi nuk është një e drejtë dhe </w:t>
      </w:r>
      <w:r w:rsidRPr="001D2BFB">
        <w:rPr>
          <w:rFonts w:ascii="Garamond" w:hAnsi="Garamond" w:cs="Times New Roman"/>
          <w:bCs/>
          <w:sz w:val="24"/>
          <w:szCs w:val="24"/>
        </w:rPr>
        <w:t>nuk mund të kërkohet si e tillë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në rrugë individuale ose institucionale.</w:t>
      </w:r>
    </w:p>
    <w:p w14:paraId="7A65334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3. Dhënia e titullit të nderit ose titullit vendor të nderit nuk shoqërohet me shpërblim financiar.</w:t>
      </w:r>
    </w:p>
    <w:p w14:paraId="7A653342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43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4</w:t>
      </w:r>
    </w:p>
    <w:p w14:paraId="7A653344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Subjektet përfituese</w:t>
      </w:r>
    </w:p>
    <w:p w14:paraId="7A65334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46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Titujt e nderit dhe titujt vendorë të nderit që parashikohen në këtë ligj mund t’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u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jepen shtetasve shqiptarë ose të huaj, të cilët janë dalluar në kryerjen e veprimtarive të fushave të ndryshme, brenda ose jashtë vendit, për mbrojtjen dhe promovimin e interesave të shtetit, kombit shqiptar apo komunitetit të njësive të vetëqeverisjes vendore. Nuk u jepen tituj nderi apo tituj vendorë nderi personave që kanë qenë bashkëpunëtorë të ish-Sigurimit të Shtetit.</w:t>
      </w:r>
    </w:p>
    <w:p w14:paraId="7A653347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48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KREU II</w:t>
      </w:r>
    </w:p>
    <w:p w14:paraId="7A653349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TITUJT E NDERIT</w:t>
      </w:r>
    </w:p>
    <w:p w14:paraId="7A65334A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4B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5</w:t>
      </w:r>
    </w:p>
    <w:p w14:paraId="7A65334C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lastRenderedPageBreak/>
        <w:t>Llojet e titujve të nderit</w:t>
      </w:r>
    </w:p>
    <w:p w14:paraId="7A65334D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4E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Titujt e nderit në Republikën e Shqipërisë jepen nga Presidenti i Republikës dhe janë: </w:t>
      </w:r>
    </w:p>
    <w:p w14:paraId="7A65334F" w14:textId="3751831D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</w:t>
      </w:r>
      <w:r w:rsidR="008A7110">
        <w:rPr>
          <w:rFonts w:ascii="Garamond" w:hAnsi="Garamond" w:cs="Times New Roman"/>
          <w:bCs/>
          <w:sz w:val="24"/>
          <w:szCs w:val="24"/>
        </w:rPr>
        <w:t>t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itulli “Ambasador i kombit”; </w:t>
      </w:r>
    </w:p>
    <w:p w14:paraId="7A653350" w14:textId="4D1FCDA5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8A7110">
        <w:rPr>
          <w:rFonts w:ascii="Garamond" w:hAnsi="Garamond" w:cs="Times New Roman"/>
          <w:bCs/>
          <w:sz w:val="24"/>
          <w:szCs w:val="24"/>
        </w:rPr>
        <w:t>t</w:t>
      </w:r>
      <w:r w:rsidRPr="001D2BFB">
        <w:rPr>
          <w:rFonts w:ascii="Garamond" w:hAnsi="Garamond" w:cs="Times New Roman"/>
          <w:bCs/>
          <w:sz w:val="24"/>
          <w:szCs w:val="24"/>
        </w:rPr>
        <w:t>itulli “Qytetar nderi i Republikës së Shqipërisë”.</w:t>
      </w:r>
    </w:p>
    <w:p w14:paraId="7A65335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52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6</w:t>
      </w:r>
    </w:p>
    <w:p w14:paraId="7A653353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Titulli “Ambasador i kombit”</w:t>
      </w:r>
    </w:p>
    <w:p w14:paraId="7A65335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5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Titulli “Ambasador i kombit” 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u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jepet shtetasve shqipta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rë ose pjesëtarëve të diasporës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në shenjë mirënjohjeje për veprimtari, kontribute dhe merita të spikatura e të qëndrueshme, që lartësojnë vlerën dhe figurën e kombit shqiptar.</w:t>
      </w:r>
    </w:p>
    <w:p w14:paraId="7A653356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5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7</w:t>
      </w:r>
    </w:p>
    <w:p w14:paraId="7A653358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Titulli “Qytetar nderi i Republikës së Shqipërisë”</w:t>
      </w:r>
    </w:p>
    <w:p w14:paraId="7A65335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5A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Titulli “Qytetar nderi i Republikës së Shqipërisë” 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u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jepet shtetasve të huaj në shenjë mirënjohjeje për veprimtari, kontribute dhe merita të spikatura në shërbim të kombit e shtetit shqiptar dhe të fo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rcimit të shoqërisë demokratike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brenda dhe jashtë vendit.</w:t>
      </w:r>
    </w:p>
    <w:p w14:paraId="7A65335B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5C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KREU III</w:t>
      </w:r>
    </w:p>
    <w:p w14:paraId="7A65335D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TITUJT VENDORË TË NDERIT</w:t>
      </w:r>
    </w:p>
    <w:p w14:paraId="7A65335E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5F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8</w:t>
      </w:r>
    </w:p>
    <w:p w14:paraId="7A653360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Llojet e titujve vendorë të nderit</w:t>
      </w:r>
    </w:p>
    <w:p w14:paraId="7A65336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62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Titujt vendorë të nderit në Republikën e Shqipërisë janë titulli “Qytetar nderi” dhe tituj të veçantë vendorë nderi që jepen sipas përcaktimeve të këtij ligji.</w:t>
      </w:r>
    </w:p>
    <w:p w14:paraId="7A653363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64" w14:textId="77777777" w:rsidR="00406EFE" w:rsidRPr="001D2BFB" w:rsidRDefault="00406EF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65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9</w:t>
      </w:r>
    </w:p>
    <w:p w14:paraId="7A653366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Titulli “Qytetar nderi”</w:t>
      </w:r>
    </w:p>
    <w:p w14:paraId="7A653367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68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Titulli “Qytetar nderi” jepet nga këshilli bashkiak për veprimtari të shquar, kontribute dhe merita të veçanta në shërbim dhe në dobi të bashkisë ose për veprimtari për mbrojtjen dhe promovimin e interesave të komunitetit brenda territorit të bashkisë.</w:t>
      </w:r>
    </w:p>
    <w:p w14:paraId="7A653369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Titulli “Qytetar nderi” </w:t>
      </w:r>
      <w:r w:rsidRPr="001D2BFB">
        <w:rPr>
          <w:rFonts w:ascii="Garamond" w:hAnsi="Garamond" w:cs="Times New Roman"/>
          <w:bCs/>
          <w:sz w:val="24"/>
          <w:szCs w:val="24"/>
        </w:rPr>
        <w:t>u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jepet edhe personaliteteve të huaja të nivelit të lartë</w:t>
      </w:r>
      <w:r w:rsidRPr="001D2BFB">
        <w:rPr>
          <w:rFonts w:ascii="Garamond" w:hAnsi="Garamond" w:cs="Times New Roman"/>
          <w:bCs/>
          <w:sz w:val="24"/>
          <w:szCs w:val="24"/>
        </w:rPr>
        <w:t>,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që vizitojnë një ba</w:t>
      </w:r>
      <w:r w:rsidRPr="001D2BFB">
        <w:rPr>
          <w:rFonts w:ascii="Garamond" w:hAnsi="Garamond" w:cs="Times New Roman"/>
          <w:bCs/>
          <w:sz w:val="24"/>
          <w:szCs w:val="24"/>
        </w:rPr>
        <w:t>shki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në kuadër të një vizite zyrtare ose shtetërore.</w:t>
      </w:r>
    </w:p>
    <w:p w14:paraId="7A65336A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6B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10</w:t>
      </w:r>
    </w:p>
    <w:p w14:paraId="7A65336C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Titujt e veçantë vendorë të nderit</w:t>
      </w:r>
    </w:p>
    <w:p w14:paraId="7A65336D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6E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Njësia e vetëqeverisjes vendore ka të drejtë të krijojë dhe të japë jo më shumë se 2 (dy) tituj të veçantë vend</w:t>
      </w:r>
      <w:r w:rsidRPr="001D2BFB">
        <w:rPr>
          <w:rFonts w:ascii="Garamond" w:hAnsi="Garamond" w:cs="Times New Roman"/>
          <w:bCs/>
          <w:sz w:val="24"/>
          <w:szCs w:val="24"/>
        </w:rPr>
        <w:t>orë nderi në një vit kalendarik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për të shprehur mirënjohjen e posaçme për veprimtarinë e shquar në dobi të komunitetit të saj.</w:t>
      </w:r>
    </w:p>
    <w:p w14:paraId="7A65336F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Titujt e veçantë vendorë të nderit krijohen me vendim të njësisë së vetëqeverisjes vendore, i cili përmban: </w:t>
      </w:r>
    </w:p>
    <w:p w14:paraId="7A653370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a) nevojën për nderimin e veçantë;</w:t>
      </w:r>
    </w:p>
    <w:p w14:paraId="7A653371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arsyen përse nderimi me titullin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“Qytetar nderi”, sipas nenit 9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ligji, nuk është i përshtatshëm dhe i mjaftueshëm dhe shtetasi i propozuar për nderim duhet dalluar nga shtetasit e tjerë; </w:t>
      </w:r>
    </w:p>
    <w:p w14:paraId="7A653372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c)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emërtesën e titullit të veçantë vendor të nderit, i cili përkon me një datë ose ngjarje të shënuar në territorin e njësisë së vetëqeverisjes vendore.</w:t>
      </w:r>
    </w:p>
    <w:p w14:paraId="7A653373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74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lastRenderedPageBreak/>
        <w:t>KREU IV</w:t>
      </w:r>
    </w:p>
    <w:p w14:paraId="7A653375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PROCEDURA E NDERIMIT</w:t>
      </w:r>
    </w:p>
    <w:p w14:paraId="7A653376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7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11</w:t>
      </w:r>
    </w:p>
    <w:p w14:paraId="7A653378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E drejta e nismës dhe e propozimit</w:t>
      </w:r>
    </w:p>
    <w:p w14:paraId="7A65337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7A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1.</w:t>
      </w:r>
      <w:r w:rsidR="00845CCA" w:rsidRPr="001D2BFB">
        <w:rPr>
          <w:rFonts w:ascii="Garamond" w:hAnsi="Garamond" w:cs="Times New Roman"/>
          <w:bCs/>
          <w:sz w:val="24"/>
          <w:szCs w:val="24"/>
        </w:rPr>
        <w:t xml:space="preserve"> </w:t>
      </w:r>
      <w:r w:rsidRPr="001D2BFB">
        <w:rPr>
          <w:rFonts w:ascii="Garamond" w:hAnsi="Garamond" w:cs="Times New Roman"/>
          <w:bCs/>
          <w:sz w:val="24"/>
          <w:szCs w:val="24"/>
        </w:rPr>
        <w:t>Nisma për dhënien e titullit të nderit ndërmerret nga Presidenti, kryesisht ose me propozimin e:</w:t>
      </w:r>
    </w:p>
    <w:p w14:paraId="7A65337B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a) Kryetarit të Kuvendit;</w:t>
      </w:r>
    </w:p>
    <w:p w14:paraId="7A65337C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b) Kryeministrit.</w:t>
      </w:r>
    </w:p>
    <w:p w14:paraId="7A65337D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2.</w:t>
      </w:r>
      <w:r w:rsidR="001D2BFB">
        <w:rPr>
          <w:rFonts w:ascii="Garamond" w:hAnsi="Garamond" w:cs="Times New Roman"/>
          <w:bCs/>
          <w:sz w:val="24"/>
          <w:szCs w:val="24"/>
        </w:rPr>
        <w:t xml:space="preserve"> </w:t>
      </w:r>
      <w:r w:rsidRPr="001D2BFB">
        <w:rPr>
          <w:rFonts w:ascii="Garamond" w:hAnsi="Garamond" w:cs="Times New Roman"/>
          <w:bCs/>
          <w:sz w:val="24"/>
          <w:szCs w:val="24"/>
        </w:rPr>
        <w:t>Propozimi për dhënien e titullit vendor të nderit paraqitet nga:</w:t>
      </w:r>
    </w:p>
    <w:p w14:paraId="7A65337E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a) kryetari i bashkisë;</w:t>
      </w:r>
    </w:p>
    <w:p w14:paraId="7A65337F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çdo anëtar i këshillit bashkiak; </w:t>
      </w:r>
    </w:p>
    <w:p w14:paraId="7A653380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c) prefekti i qarkut.</w:t>
      </w:r>
    </w:p>
    <w:p w14:paraId="7A65338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82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12</w:t>
      </w:r>
    </w:p>
    <w:p w14:paraId="7A653383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Kërkesa për ushtrimin e nismës ose propozimit</w:t>
      </w:r>
    </w:p>
    <w:p w14:paraId="7A65338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85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Organet e përcaktuara në nenin 11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të këtij ligji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mund t’i ushtrojnë të drejtat </w:t>
      </w:r>
      <w:r w:rsidRPr="001D2BFB">
        <w:rPr>
          <w:rFonts w:ascii="Garamond" w:hAnsi="Garamond" w:cs="Times New Roman"/>
          <w:bCs/>
          <w:sz w:val="24"/>
          <w:szCs w:val="24"/>
        </w:rPr>
        <w:t>e tyre të nismës dhe propozimit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edhe duke u mbështetur në kërkesat e paraqitura nga personat fizikë e juridikë, privatë ose publikë, për këtë qëllim, sipas parimeve dhe kritereve të këtij ligji.</w:t>
      </w:r>
    </w:p>
    <w:p w14:paraId="7A653386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Çdo person fizik e juridik, privat ose publik, ka të drejtë të paraqesë kërkesën për ushtrimin e së d</w:t>
      </w:r>
      <w:r w:rsidRPr="001D2BFB">
        <w:rPr>
          <w:rFonts w:ascii="Garamond" w:hAnsi="Garamond" w:cs="Times New Roman"/>
          <w:bCs/>
          <w:sz w:val="24"/>
          <w:szCs w:val="24"/>
        </w:rPr>
        <w:t>rejtës së nismës ose propozimit për një shtetas të caktuar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në një nga institucionet që e ka këtë të dr</w:t>
      </w:r>
      <w:r w:rsidRPr="001D2BFB">
        <w:rPr>
          <w:rFonts w:ascii="Garamond" w:hAnsi="Garamond" w:cs="Times New Roman"/>
          <w:bCs/>
          <w:sz w:val="24"/>
          <w:szCs w:val="24"/>
        </w:rPr>
        <w:t>ejtë, sipas nenit 11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ligji. </w:t>
      </w:r>
      <w:r w:rsidR="003F211C" w:rsidRPr="001D2BFB">
        <w:rPr>
          <w:rFonts w:ascii="Garamond" w:hAnsi="Garamond" w:cs="Times New Roman"/>
          <w:bCs/>
          <w:sz w:val="24"/>
          <w:szCs w:val="24"/>
        </w:rPr>
        <w:t>Në këtë rast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kërkesa duhet të arsyetojë edhe shkaqet për të cilat kërkohet ushtrimi i së drejtës së nismës ose propozimit. Kërkesa nuk mund të paraqitet për nderimin e vetvetes. </w:t>
      </w:r>
    </w:p>
    <w:p w14:paraId="7A653387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3. </w:t>
      </w:r>
      <w:r w:rsidRPr="001D2BFB">
        <w:rPr>
          <w:rFonts w:ascii="Garamond" w:hAnsi="Garamond" w:cs="Times New Roman"/>
          <w:bCs/>
          <w:sz w:val="24"/>
          <w:szCs w:val="24"/>
        </w:rPr>
        <w:tab/>
        <w:t>Institucioni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pranë të cilit është paraqitur kërkesa për ushtrimin e së drejtës së nismës ose propozimit, pas shqyrtimit të saj</w:t>
      </w:r>
      <w:r w:rsidRPr="001D2BFB">
        <w:rPr>
          <w:rFonts w:ascii="Garamond" w:hAnsi="Garamond" w:cs="Times New Roman"/>
          <w:bCs/>
          <w:sz w:val="24"/>
          <w:szCs w:val="24"/>
        </w:rPr>
        <w:t>,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vendos për pranimin ose refuzimin e kërkesës.</w:t>
      </w:r>
    </w:p>
    <w:p w14:paraId="7A653388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89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13</w:t>
      </w:r>
    </w:p>
    <w:p w14:paraId="7A65338A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Propozimi për nderim</w:t>
      </w:r>
    </w:p>
    <w:p w14:paraId="7A65338B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8C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Institucionet, që kanë të drejtën e propozimit, paraqesin propozimin për nderim pranë institucionit përgjegjës për dhënien e titullit përkatës jo më vonë se 90 (nëntëdhjetë) ditë kalendarike përpara datës së propozuar për dhënien e titullit, me përjashtim të rasteve kur, sipas rrethanave të çështjes, nuk është i mundur zbatimi i këtij afati.</w:t>
      </w:r>
    </w:p>
    <w:p w14:paraId="7A65338D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2</w:t>
      </w:r>
      <w:r w:rsidR="00845CCA" w:rsidRPr="001D2BFB">
        <w:rPr>
          <w:rFonts w:ascii="Garamond" w:hAnsi="Garamond" w:cs="Times New Roman"/>
          <w:bCs/>
          <w:sz w:val="24"/>
          <w:szCs w:val="24"/>
        </w:rPr>
        <w:t xml:space="preserve">. </w:t>
      </w:r>
      <w:r w:rsidRPr="001D2BFB">
        <w:rPr>
          <w:rFonts w:ascii="Garamond" w:hAnsi="Garamond" w:cs="Times New Roman"/>
          <w:bCs/>
          <w:sz w:val="24"/>
          <w:szCs w:val="24"/>
        </w:rPr>
        <w:t>Propozimi për nderim përmban:</w:t>
      </w:r>
    </w:p>
    <w:p w14:paraId="7A65338E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a) institucionin propozues;</w:t>
      </w:r>
    </w:p>
    <w:p w14:paraId="7A65338F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bazën ligjore për propozimin; </w:t>
      </w:r>
    </w:p>
    <w:p w14:paraId="7A653390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c) të dhëna identifikuese të shtetasit të propozuar për nderim;</w:t>
      </w:r>
    </w:p>
    <w:p w14:paraId="7A65339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ç) lidhjen ndërmjet institucionit dhe shtetasit të propozuar për nderim;</w:t>
      </w:r>
    </w:p>
    <w:p w14:paraId="7A653392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d) veprimtarinë e kryer nga shtetasi i propozuar </w:t>
      </w:r>
      <w:r w:rsidR="00845CCA" w:rsidRPr="001D2BFB">
        <w:rPr>
          <w:rFonts w:ascii="Garamond" w:hAnsi="Garamond" w:cs="Times New Roman"/>
          <w:bCs/>
          <w:sz w:val="24"/>
          <w:szCs w:val="24"/>
        </w:rPr>
        <w:t xml:space="preserve">për nderim, si dhe arsyet e </w:t>
      </w:r>
      <w:r w:rsidRPr="001D2BFB">
        <w:rPr>
          <w:rFonts w:ascii="Garamond" w:hAnsi="Garamond" w:cs="Times New Roman"/>
          <w:bCs/>
          <w:sz w:val="24"/>
          <w:szCs w:val="24"/>
        </w:rPr>
        <w:t>hollësishme për nderimin e tij;</w:t>
      </w:r>
    </w:p>
    <w:p w14:paraId="7A653393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dh) llojin e titullit të propozuar;</w:t>
      </w:r>
    </w:p>
    <w:p w14:paraId="7A65339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e) informacione, shoqëruar me dokumentacionin provues, që vërtetojnë përmbushjen e kritereve përkatëse për nderim, sipas përcaktimeve të këtij ligji;</w:t>
      </w:r>
    </w:p>
    <w:p w14:paraId="7A65339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ë) informacionin se shtetasi i propozuar për nderim nuk është dënuar me vendim gjyqësor të formës së prerë për kryerjen e një vepre p</w:t>
      </w:r>
      <w:r w:rsidR="00845CCA" w:rsidRPr="001D2BFB">
        <w:rPr>
          <w:rFonts w:ascii="Garamond" w:hAnsi="Garamond" w:cs="Times New Roman"/>
          <w:bCs/>
          <w:sz w:val="24"/>
          <w:szCs w:val="24"/>
        </w:rPr>
        <w:t>enale, si dhe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nuk është nën hetim ose gjykim për një vepër penale nga organet përgjegjëse;</w:t>
      </w:r>
    </w:p>
    <w:p w14:paraId="7A653396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f) të dhënat për dekorime ose nderime të mëparshme të shtetasit të propozuar;</w:t>
      </w:r>
    </w:p>
    <w:p w14:paraId="7A653397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g) çdo element tjetër të nevojshëm për verifikimin dhe plotësimin e kritereve përkatëse për nderim.</w:t>
      </w:r>
    </w:p>
    <w:p w14:paraId="7A653398" w14:textId="53BDB0AF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3.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Kur nisma ndërmerret kryesisht nga Presidenti, përmban informacionin dhe dokumentacionin provues të përca</w:t>
      </w:r>
      <w:r w:rsidRPr="001D2BFB">
        <w:rPr>
          <w:rFonts w:ascii="Garamond" w:hAnsi="Garamond" w:cs="Times New Roman"/>
          <w:bCs/>
          <w:sz w:val="24"/>
          <w:szCs w:val="24"/>
        </w:rPr>
        <w:t>ktuar në shkronjat “b” deri “g”</w:t>
      </w:r>
      <w:r w:rsidR="00BA4BE2">
        <w:rPr>
          <w:rFonts w:ascii="Garamond" w:hAnsi="Garamond" w:cs="Times New Roman"/>
          <w:bCs/>
          <w:sz w:val="24"/>
          <w:szCs w:val="24"/>
        </w:rPr>
        <w:t>,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të pikës 2</w:t>
      </w:r>
      <w:r w:rsidR="00003560">
        <w:rPr>
          <w:rFonts w:ascii="Garamond" w:hAnsi="Garamond" w:cs="Times New Roman"/>
          <w:bCs/>
          <w:sz w:val="24"/>
          <w:szCs w:val="24"/>
        </w:rPr>
        <w:t>,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neni. </w:t>
      </w:r>
    </w:p>
    <w:p w14:paraId="7A65339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9A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14</w:t>
      </w:r>
    </w:p>
    <w:p w14:paraId="7A65339B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Komisioni këshillimor</w:t>
      </w:r>
    </w:p>
    <w:p w14:paraId="7A65339C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9D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Presidenti dhe njësitë e vetëqeverisjes vendore, me qëllim shqyrtimin e nismave dhe propozimeve për nderim, jo më vonë se 60 (gjashtëdhjetë) ditë përpara datë</w:t>
      </w:r>
      <w:r w:rsidRPr="001D2BFB">
        <w:rPr>
          <w:rFonts w:ascii="Garamond" w:hAnsi="Garamond" w:cs="Times New Roman"/>
          <w:bCs/>
          <w:sz w:val="24"/>
          <w:szCs w:val="24"/>
        </w:rPr>
        <w:t>s së caktuar për nderim, ngrenë përkatësisht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komisionin këshillimor.</w:t>
      </w:r>
    </w:p>
    <w:p w14:paraId="7A65339E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Komisioni këshillimor përbëhet nga 5 (pesë) anëtarë, ku 3 (tre) anëtarë janë punonjës nën varësinë e institucionit përgjegjës për dhënien e titullit dhe 2 (dy) anëtarë janë personalitete të jashtme. </w:t>
      </w:r>
    </w:p>
    <w:p w14:paraId="7A65339F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3.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Institucioni përgjegjës për dhënien e titullit i dërgon komisionit këshillimor për shqyrtim të gjitha nismat për nderim, të bëra kryesisht ose nga institucionet që kanë të drejtë të ushtrojnë të drejtën e propozimit.</w:t>
      </w:r>
    </w:p>
    <w:p w14:paraId="7A6533A0" w14:textId="77777777" w:rsidR="00DD377E" w:rsidRPr="001D2BFB" w:rsidRDefault="00845CCA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4.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Rregullat e hollësishme për kriteret, procedurat për përzgjedhjen e anëtarëve, funksionimin, si dhe mënyrën e ushtrimit të përgjegjësive të komi</w:t>
      </w:r>
      <w:r w:rsidR="00100A7E" w:rsidRPr="001D2BFB">
        <w:rPr>
          <w:rFonts w:ascii="Garamond" w:hAnsi="Garamond" w:cs="Times New Roman"/>
          <w:bCs/>
          <w:sz w:val="24"/>
          <w:szCs w:val="24"/>
        </w:rPr>
        <w:t>sioneve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përcaktohen me vendim të Këshillit të Ministrave. </w:t>
      </w:r>
    </w:p>
    <w:p w14:paraId="7A6533A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A2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15</w:t>
      </w:r>
    </w:p>
    <w:p w14:paraId="7A6533A3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Shqyrtimi paraprak i propozimit</w:t>
      </w:r>
    </w:p>
    <w:p w14:paraId="7A6533A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A5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1. Komisioni këshillimor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brenda 5 </w:t>
      </w:r>
      <w:r w:rsidRPr="001D2BFB">
        <w:rPr>
          <w:rFonts w:ascii="Garamond" w:hAnsi="Garamond" w:cs="Times New Roman"/>
          <w:bCs/>
          <w:sz w:val="24"/>
          <w:szCs w:val="24"/>
        </w:rPr>
        <w:t>(pesë) ditëve nga ngritja e tij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verifikon paraprakisht nëse nisma ose propozimi për nderim është paraqitur:</w:t>
      </w:r>
    </w:p>
    <w:p w14:paraId="7A6533A6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nga insti</w:t>
      </w:r>
      <w:r w:rsidRPr="001D2BFB">
        <w:rPr>
          <w:rFonts w:ascii="Garamond" w:hAnsi="Garamond" w:cs="Times New Roman"/>
          <w:bCs/>
          <w:sz w:val="24"/>
          <w:szCs w:val="24"/>
        </w:rPr>
        <w:t>tucionet e caktuara në nenin 11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7A6533A7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brenda afatit dhe përmban të gjitha elementet e përcaktua</w:t>
      </w:r>
      <w:r w:rsidRPr="001D2BFB">
        <w:rPr>
          <w:rFonts w:ascii="Garamond" w:hAnsi="Garamond" w:cs="Times New Roman"/>
          <w:bCs/>
          <w:sz w:val="24"/>
          <w:szCs w:val="24"/>
        </w:rPr>
        <w:t>ra në nenin 13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7A6533A8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Në përfundim të verifikimit paraprak, komisioni këshillimor:</w:t>
      </w:r>
    </w:p>
    <w:p w14:paraId="7A6533A9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vendos për vijimin e shqyrtimit të nismës ose të propozimit;</w:t>
      </w:r>
    </w:p>
    <w:p w14:paraId="7A6533AA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i kërkon institucionit që ka ndërmarrë nismën kryesisht ose institucionit propozues plotësimin e të metave të propozimit për nderim brenda 10 (dhjetë) ditëve; </w:t>
      </w:r>
    </w:p>
    <w:p w14:paraId="7A6533AB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c)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dërgon pranë institucionit përgjegjës për dhënien e titullit mendimin për mospranimin e propozimit kur ai është paraqitur jashtë a</w:t>
      </w:r>
      <w:r w:rsidRPr="001D2BFB">
        <w:rPr>
          <w:rFonts w:ascii="Garamond" w:hAnsi="Garamond" w:cs="Times New Roman"/>
          <w:bCs/>
          <w:sz w:val="24"/>
          <w:szCs w:val="24"/>
        </w:rPr>
        <w:t>fatit të përcaktuar në nenin 13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7A6533AC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AD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16</w:t>
      </w:r>
    </w:p>
    <w:p w14:paraId="7A6533AE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Shqyrtimi i propozimit</w:t>
      </w:r>
    </w:p>
    <w:p w14:paraId="7A6533AF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B0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1. Komisioni këshillimor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brenda 30 (tridhjetë) ditëve nga marrja e vendimit për vijimin e shqyrtimit të propozimit ose nga plotësimi i të metave të tij, shqyrton dhe dërgon mendimin për përmbushjen ose jo të kritereve për nderim.</w:t>
      </w:r>
    </w:p>
    <w:p w14:paraId="7A6533B1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Krahas informacionit dhe dokumentacionit të paraqitur në nismën ose propozimin për nderim, komisioni kërkon informacione ose dokumentacion shtesë nga shtetasi i propozuar për nderim, si dhe nga çdo person fizik ose juridik apo organ publik, vendas ose i huaj, që disponon të dhëna të vlefshme për shqyrtimin e plotë të nismës ose të propozimit.</w:t>
      </w:r>
    </w:p>
    <w:p w14:paraId="7A6533B2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3.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Çdo 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subjekt i përmendur në pikën 2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1D2BFB">
        <w:rPr>
          <w:rFonts w:ascii="Garamond" w:hAnsi="Garamond" w:cs="Times New Roman"/>
          <w:bCs/>
          <w:sz w:val="24"/>
          <w:szCs w:val="24"/>
        </w:rPr>
        <w:t>këtij neni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përmbush kërkesat e komisionit për informacione dhe dokumentacion, me përjashtim të rasteve të kufizuara me ligj, brenda një afati ligjor të arsyeshëm të përcaktuar nga komisioni në kërkesën e tij. </w:t>
      </w:r>
    </w:p>
    <w:p w14:paraId="7A6533B3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4.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Në çdo rast, komisioni çmon, sipas bindjes së tij, se cilat fakte konsiderohen të provuara bazuar në p</w:t>
      </w:r>
      <w:r w:rsidRPr="001D2BFB">
        <w:rPr>
          <w:rFonts w:ascii="Garamond" w:hAnsi="Garamond" w:cs="Times New Roman"/>
          <w:bCs/>
          <w:sz w:val="24"/>
          <w:szCs w:val="24"/>
        </w:rPr>
        <w:t>arimet e përcaktuara në nenin 3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të këtij ligji, në vlerësimin e hollësishëm të informacioneve dhe dokumentacioneve në dispozicion, si dhe në rezultatin tërësor të shqyrtimit, duke hartuar për këtë qëllim raportin përkatës.</w:t>
      </w:r>
    </w:p>
    <w:p w14:paraId="7A6533B4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5.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Procesi i shqyrtimit të nismës ose propozimit mund të shtyhet për shkak të rrethanave të paparashikuara</w:t>
      </w:r>
      <w:r w:rsidRPr="001D2BFB">
        <w:rPr>
          <w:rFonts w:ascii="Garamond" w:hAnsi="Garamond" w:cs="Times New Roman"/>
          <w:bCs/>
          <w:sz w:val="24"/>
          <w:szCs w:val="24"/>
        </w:rPr>
        <w:t>,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që dëmtojnë reputacionin dhe vlerën e aktit </w:t>
      </w:r>
      <w:r w:rsidRPr="001D2BFB">
        <w:rPr>
          <w:rFonts w:ascii="Garamond" w:hAnsi="Garamond" w:cs="Times New Roman"/>
          <w:bCs/>
          <w:sz w:val="24"/>
          <w:szCs w:val="24"/>
        </w:rPr>
        <w:t>të nderimit në opinionin publik,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deri në sqarimin e këtyre rrethanave.</w:t>
      </w:r>
    </w:p>
    <w:p w14:paraId="7A6533B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B6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17</w:t>
      </w:r>
    </w:p>
    <w:p w14:paraId="7A6533B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Mendimi i komisionit</w:t>
      </w:r>
    </w:p>
    <w:p w14:paraId="7A6533B8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B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Në përfundim të shqyrtimit, komisioni i dërgon institucionit përgjegjës për dhënien </w:t>
      </w:r>
      <w:r w:rsidR="00100A7E" w:rsidRPr="001D2BFB">
        <w:rPr>
          <w:rFonts w:ascii="Garamond" w:hAnsi="Garamond" w:cs="Times New Roman"/>
          <w:bCs/>
          <w:sz w:val="24"/>
          <w:szCs w:val="24"/>
        </w:rPr>
        <w:t>e titullit mendimin e arsyetuar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për:</w:t>
      </w:r>
    </w:p>
    <w:p w14:paraId="7A6533BA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miratimin e nismë</w:t>
      </w:r>
      <w:r w:rsidRPr="001D2BFB">
        <w:rPr>
          <w:rFonts w:ascii="Garamond" w:hAnsi="Garamond" w:cs="Times New Roman"/>
          <w:bCs/>
          <w:sz w:val="24"/>
          <w:szCs w:val="24"/>
        </w:rPr>
        <w:t>s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ose propozimit;</w:t>
      </w:r>
    </w:p>
    <w:p w14:paraId="7A6533BB" w14:textId="1849408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refuzimin e nismës ose propozimit për shkak të mosplotësimit të të metave brenda afatit 10</w:t>
      </w:r>
      <w:r w:rsidR="009C4E9A" w:rsidRPr="001D2BFB">
        <w:rPr>
          <w:rFonts w:ascii="Garamond" w:hAnsi="Garamond" w:cs="Times New Roman"/>
          <w:bCs/>
          <w:sz w:val="24"/>
          <w:szCs w:val="24"/>
        </w:rPr>
        <w:t>-ditor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(dhjetëditor</w:t>
      </w:r>
      <w:r w:rsidR="009C4E9A" w:rsidRPr="001D2BFB">
        <w:rPr>
          <w:rFonts w:ascii="Garamond" w:hAnsi="Garamond" w:cs="Times New Roman"/>
          <w:bCs/>
          <w:sz w:val="24"/>
          <w:szCs w:val="24"/>
        </w:rPr>
        <w:t>)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ose për shkak të mospërmbushjes së kritereve sipas këtij ligji.</w:t>
      </w:r>
    </w:p>
    <w:p w14:paraId="7A6533BC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BD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18</w:t>
      </w:r>
    </w:p>
    <w:p w14:paraId="7A6533BE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Vendimmarrja për propozimin</w:t>
      </w:r>
    </w:p>
    <w:p w14:paraId="7A6533BF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C0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Miratimi ose refuzimi i propozimit bëhet me: </w:t>
      </w:r>
    </w:p>
    <w:p w14:paraId="7A6533C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dekret, në rastin titujve të nderit; </w:t>
      </w:r>
    </w:p>
    <w:p w14:paraId="7A6533C2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vendim, në rastin e titujve vendorë të nderit. </w:t>
      </w:r>
    </w:p>
    <w:p w14:paraId="7A6533C3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Në çdo rast vendimmarrja për propozimin u njoftohet institucionit propozues dhe komisionit këshillimor. </w:t>
      </w:r>
    </w:p>
    <w:p w14:paraId="7A6533C4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3.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I njëjti propozim nuk mun</w:t>
      </w:r>
      <w:r w:rsidRPr="001D2BFB">
        <w:rPr>
          <w:rFonts w:ascii="Garamond" w:hAnsi="Garamond" w:cs="Times New Roman"/>
          <w:bCs/>
          <w:sz w:val="24"/>
          <w:szCs w:val="24"/>
        </w:rPr>
        <w:t>d të bëhet pa kaluar 2 (dy) vjet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nga njoftimi për refuzimin e tij.</w:t>
      </w:r>
    </w:p>
    <w:p w14:paraId="7A6533C5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C6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19</w:t>
      </w:r>
    </w:p>
    <w:p w14:paraId="7A6533C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Heqja e titujve</w:t>
      </w:r>
    </w:p>
    <w:p w14:paraId="7A6533C8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C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Heqja e titujve dhe titujve vendorë të nderit bëhet: </w:t>
      </w:r>
    </w:p>
    <w:p w14:paraId="7A6533CA" w14:textId="77777777" w:rsidR="00DD377E" w:rsidRPr="001D2BFB" w:rsidRDefault="00100A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a)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me vendim të formës së prerë të dhënë nga gjykatat shqiptare, kur është dhënë si dënim plotësues sipas përcaktimeve në Kodin Penal; </w:t>
      </w:r>
    </w:p>
    <w:p w14:paraId="0ED74BA5" w14:textId="77777777" w:rsidR="001D7C7C" w:rsidRDefault="00100A7E" w:rsidP="001D7C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b)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me vendim të institucionit përgjegjës për dhënien e titullit ose titullit vendor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të nderit</w:t>
      </w:r>
      <w:r w:rsidR="001D7C7C">
        <w:rPr>
          <w:rFonts w:ascii="Garamond" w:hAnsi="Garamond" w:cs="Times New Roman"/>
          <w:bCs/>
          <w:sz w:val="24"/>
          <w:szCs w:val="24"/>
        </w:rPr>
        <w:t xml:space="preserve"> kur mbajtësi i tij:</w:t>
      </w:r>
    </w:p>
    <w:p w14:paraId="044CCE91" w14:textId="77777777" w:rsidR="001D7C7C" w:rsidRDefault="00100A7E" w:rsidP="001D7C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i.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është dënuar me vendim gjyqësor të formës së prerë për k</w:t>
      </w:r>
      <w:r w:rsidR="001D7C7C">
        <w:rPr>
          <w:rFonts w:ascii="Garamond" w:hAnsi="Garamond" w:cs="Times New Roman"/>
          <w:bCs/>
          <w:sz w:val="24"/>
          <w:szCs w:val="24"/>
        </w:rPr>
        <w:t>ryerjen e një vepre penale; ose</w:t>
      </w:r>
    </w:p>
    <w:p w14:paraId="7A6533CD" w14:textId="119D4AE6" w:rsidR="00DD377E" w:rsidRPr="001D2BFB" w:rsidRDefault="00100A7E" w:rsidP="001D7C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ii.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është </w:t>
      </w:r>
      <w:r w:rsidRPr="001D2BFB">
        <w:rPr>
          <w:rFonts w:ascii="Garamond" w:hAnsi="Garamond" w:cs="Times New Roman"/>
          <w:bCs/>
          <w:sz w:val="24"/>
          <w:szCs w:val="24"/>
        </w:rPr>
        <w:t>shpallur “person i padëshiruar”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 sipas përcaktimeve të legjislacionit që rregullon regjimin e hyrjes e të qëndrimit të të huajve në Republikën e Shqipërisë.</w:t>
      </w:r>
    </w:p>
    <w:p w14:paraId="7A6533CE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A6533CF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KREU V</w:t>
      </w:r>
    </w:p>
    <w:p w14:paraId="7A6533D0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DISPOZITA KALIMTARE DHE TË FUNDIT</w:t>
      </w:r>
    </w:p>
    <w:p w14:paraId="7A6533D1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A6533D2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20</w:t>
      </w:r>
    </w:p>
    <w:p w14:paraId="7A6533D3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Aktet nënligjore</w:t>
      </w:r>
    </w:p>
    <w:p w14:paraId="7A6533D4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D5" w14:textId="6D1CEDF4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Nga</w:t>
      </w:r>
      <w:r w:rsidR="0063376B" w:rsidRPr="001D2BFB">
        <w:rPr>
          <w:rFonts w:ascii="Garamond" w:hAnsi="Garamond" w:cs="Times New Roman"/>
          <w:bCs/>
          <w:sz w:val="24"/>
          <w:szCs w:val="24"/>
        </w:rPr>
        <w:t>rkohet Këshilli i Ministrave që brenda 6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muajve </w:t>
      </w:r>
      <w:r w:rsidR="0063376B" w:rsidRPr="001D2BFB">
        <w:rPr>
          <w:rFonts w:ascii="Garamond" w:hAnsi="Garamond" w:cs="Times New Roman"/>
          <w:bCs/>
          <w:sz w:val="24"/>
          <w:szCs w:val="24"/>
        </w:rPr>
        <w:t>nga hyrja në fuqi e këtij ligji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të miratojë aktin</w:t>
      </w:r>
      <w:r w:rsidR="0063376B" w:rsidRPr="001D2BFB">
        <w:rPr>
          <w:rFonts w:ascii="Garamond" w:hAnsi="Garamond" w:cs="Times New Roman"/>
          <w:bCs/>
          <w:sz w:val="24"/>
          <w:szCs w:val="24"/>
        </w:rPr>
        <w:t xml:space="preserve"> nënligjor në zbatim të pikës 4</w:t>
      </w:r>
      <w:r w:rsidR="00765D0F">
        <w:rPr>
          <w:rFonts w:ascii="Garamond" w:hAnsi="Garamond" w:cs="Times New Roman"/>
          <w:bCs/>
          <w:sz w:val="24"/>
          <w:szCs w:val="24"/>
        </w:rPr>
        <w:t>,</w:t>
      </w:r>
      <w:r w:rsidR="0063376B" w:rsidRPr="001D2BFB">
        <w:rPr>
          <w:rFonts w:ascii="Garamond" w:hAnsi="Garamond" w:cs="Times New Roman"/>
          <w:bCs/>
          <w:sz w:val="24"/>
          <w:szCs w:val="24"/>
        </w:rPr>
        <w:t xml:space="preserve"> të nenit 14</w:t>
      </w:r>
      <w:r w:rsidR="00765D0F">
        <w:rPr>
          <w:rFonts w:ascii="Garamond" w:hAnsi="Garamond" w:cs="Times New Roman"/>
          <w:bCs/>
          <w:sz w:val="24"/>
          <w:szCs w:val="24"/>
        </w:rPr>
        <w:t>,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të këtij ligji. </w:t>
      </w:r>
    </w:p>
    <w:p w14:paraId="7A6533D6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D7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21</w:t>
      </w:r>
    </w:p>
    <w:p w14:paraId="7A6533D8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Dispozitë kalimtare</w:t>
      </w:r>
    </w:p>
    <w:p w14:paraId="7A6533D9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DA" w14:textId="77777777" w:rsidR="00DD377E" w:rsidRPr="001D2BFB" w:rsidRDefault="00E26210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1.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>Të gjithë titujt e dhënë përpara hyrjes në fuqi të këtij ligji njihen dhe mbahen sipas motivacionit dhe kushteve me të cilat janë dhënë.</w:t>
      </w:r>
    </w:p>
    <w:p w14:paraId="7A6533DB" w14:textId="77777777" w:rsidR="00DD377E" w:rsidRPr="001D2BFB" w:rsidRDefault="00E26210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 xml:space="preserve">2. </w:t>
      </w:r>
      <w:r w:rsidR="00DD377E" w:rsidRPr="001D2BFB">
        <w:rPr>
          <w:rFonts w:ascii="Garamond" w:hAnsi="Garamond" w:cs="Times New Roman"/>
          <w:bCs/>
          <w:sz w:val="24"/>
          <w:szCs w:val="24"/>
        </w:rPr>
        <w:t xml:space="preserve">Heqja e tyre bëhet sipas përcaktimeve të këtij ligji. </w:t>
      </w:r>
    </w:p>
    <w:p w14:paraId="7A6533DC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DD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Neni 22</w:t>
      </w:r>
    </w:p>
    <w:p w14:paraId="7A6533DE" w14:textId="77777777" w:rsidR="00DD377E" w:rsidRPr="001D2BFB" w:rsidRDefault="00DD377E" w:rsidP="001D2B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2BFB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7A6533DF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E0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7A6533E1" w14:textId="77777777" w:rsidR="00DD377E" w:rsidRPr="001D2BFB" w:rsidRDefault="00DD377E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A6533E4" w14:textId="77777777" w:rsidR="001D2BFB" w:rsidRPr="001D2BFB" w:rsidRDefault="001D2BFB" w:rsidP="001D2BF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7A6533E5" w14:textId="77C04328" w:rsidR="00976A3C" w:rsidRDefault="00976A3C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D2BFB">
        <w:rPr>
          <w:rFonts w:ascii="Garamond" w:hAnsi="Garamond" w:cs="Times New Roman"/>
          <w:bCs/>
          <w:sz w:val="24"/>
          <w:szCs w:val="24"/>
        </w:rPr>
        <w:t>Miratuar</w:t>
      </w:r>
      <w:r w:rsidR="00AF136E">
        <w:rPr>
          <w:rFonts w:ascii="Garamond" w:hAnsi="Garamond" w:cs="Times New Roman"/>
          <w:bCs/>
          <w:sz w:val="24"/>
          <w:szCs w:val="24"/>
        </w:rPr>
        <w:t>,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 </w:t>
      </w:r>
      <w:r w:rsidR="00AF136E">
        <w:rPr>
          <w:rFonts w:ascii="Garamond" w:hAnsi="Garamond" w:cs="Times New Roman"/>
          <w:bCs/>
          <w:sz w:val="24"/>
          <w:szCs w:val="24"/>
        </w:rPr>
        <w:t>m</w:t>
      </w:r>
      <w:r w:rsidRPr="001D2BFB">
        <w:rPr>
          <w:rFonts w:ascii="Garamond" w:hAnsi="Garamond" w:cs="Times New Roman"/>
          <w:bCs/>
          <w:sz w:val="24"/>
          <w:szCs w:val="24"/>
        </w:rPr>
        <w:t xml:space="preserve">ë datën </w:t>
      </w:r>
      <w:r w:rsidR="001B49B2" w:rsidRPr="001D2BFB">
        <w:rPr>
          <w:rFonts w:ascii="Garamond" w:hAnsi="Garamond" w:cs="Times New Roman"/>
          <w:bCs/>
          <w:sz w:val="24"/>
          <w:szCs w:val="24"/>
        </w:rPr>
        <w:t>22</w:t>
      </w:r>
      <w:r w:rsidR="00ED7107" w:rsidRPr="001D2BFB">
        <w:rPr>
          <w:rFonts w:ascii="Garamond" w:hAnsi="Garamond" w:cs="Times New Roman"/>
          <w:bCs/>
          <w:sz w:val="24"/>
          <w:szCs w:val="24"/>
        </w:rPr>
        <w:t>.1</w:t>
      </w:r>
      <w:r w:rsidR="00683C22" w:rsidRPr="001D2BFB">
        <w:rPr>
          <w:rFonts w:ascii="Garamond" w:hAnsi="Garamond" w:cs="Times New Roman"/>
          <w:bCs/>
          <w:sz w:val="24"/>
          <w:szCs w:val="24"/>
        </w:rPr>
        <w:t>2</w:t>
      </w:r>
      <w:r w:rsidR="00146D52" w:rsidRPr="001D2BFB">
        <w:rPr>
          <w:rFonts w:ascii="Garamond" w:hAnsi="Garamond" w:cs="Times New Roman"/>
          <w:bCs/>
          <w:sz w:val="24"/>
          <w:szCs w:val="24"/>
        </w:rPr>
        <w:t>.</w:t>
      </w:r>
      <w:r w:rsidR="00FA0571" w:rsidRPr="001D2BFB">
        <w:rPr>
          <w:rFonts w:ascii="Garamond" w:hAnsi="Garamond" w:cs="Times New Roman"/>
          <w:bCs/>
          <w:sz w:val="24"/>
          <w:szCs w:val="24"/>
        </w:rPr>
        <w:t>2022</w:t>
      </w:r>
      <w:r w:rsidR="00AF136E">
        <w:rPr>
          <w:rFonts w:ascii="Garamond" w:hAnsi="Garamond" w:cs="Times New Roman"/>
          <w:bCs/>
          <w:sz w:val="24"/>
          <w:szCs w:val="24"/>
        </w:rPr>
        <w:t>.</w:t>
      </w:r>
    </w:p>
    <w:p w14:paraId="04C38876" w14:textId="6C015A35" w:rsidR="00367E20" w:rsidRPr="00367E20" w:rsidRDefault="00367E20" w:rsidP="00367E2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Shpallur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me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dekretin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nr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. 1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2, </w:t>
      </w:r>
      <w:proofErr w:type="spellStart"/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16</w:t>
      </w:r>
      <w:bookmarkStart w:id="0" w:name="_GoBack"/>
      <w:bookmarkEnd w:id="0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.1.2023,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të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Presidentit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të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Republikës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së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Shqipërisë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Bajram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Begaj</w:t>
      </w:r>
      <w:proofErr w:type="spellEnd"/>
      <w:r w:rsidRPr="00367E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en-US"/>
        </w:rPr>
        <w:t>.</w:t>
      </w:r>
    </w:p>
    <w:p w14:paraId="431D9DDF" w14:textId="77777777" w:rsidR="00367E20" w:rsidRPr="001D2BFB" w:rsidRDefault="00367E20" w:rsidP="001D2BF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367E20" w:rsidRPr="001D2BFB" w:rsidSect="00845CCA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4CC45" w14:textId="77777777" w:rsidR="00367E20" w:rsidRDefault="00367E20" w:rsidP="00420682">
      <w:pPr>
        <w:spacing w:after="0" w:line="240" w:lineRule="auto"/>
      </w:pPr>
      <w:r>
        <w:separator/>
      </w:r>
    </w:p>
  </w:endnote>
  <w:endnote w:type="continuationSeparator" w:id="0">
    <w:p w14:paraId="4836E870" w14:textId="77777777" w:rsidR="00367E20" w:rsidRDefault="00367E20" w:rsidP="00420682">
      <w:pPr>
        <w:spacing w:after="0" w:line="240" w:lineRule="auto"/>
      </w:pPr>
      <w:r>
        <w:continuationSeparator/>
      </w:r>
    </w:p>
  </w:endnote>
  <w:endnote w:type="continuationNotice" w:id="1">
    <w:p w14:paraId="323D8D38" w14:textId="77777777" w:rsidR="00367E20" w:rsidRDefault="00367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533EA" w14:textId="77777777" w:rsidR="00367E20" w:rsidRPr="00845CCA" w:rsidRDefault="00367E20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7A6533EB" w14:textId="77777777" w:rsidR="00367E20" w:rsidRDefault="00367E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CA846" w14:textId="77777777" w:rsidR="00367E20" w:rsidRDefault="00367E20" w:rsidP="00420682">
      <w:pPr>
        <w:spacing w:after="0" w:line="240" w:lineRule="auto"/>
      </w:pPr>
      <w:r>
        <w:separator/>
      </w:r>
    </w:p>
  </w:footnote>
  <w:footnote w:type="continuationSeparator" w:id="0">
    <w:p w14:paraId="0BB98230" w14:textId="77777777" w:rsidR="00367E20" w:rsidRDefault="00367E20" w:rsidP="00420682">
      <w:pPr>
        <w:spacing w:after="0" w:line="240" w:lineRule="auto"/>
      </w:pPr>
      <w:r>
        <w:continuationSeparator/>
      </w:r>
    </w:p>
  </w:footnote>
  <w:footnote w:type="continuationNotice" w:id="1">
    <w:p w14:paraId="0E1C1A96" w14:textId="77777777" w:rsidR="00367E20" w:rsidRDefault="00367E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3560"/>
    <w:rsid w:val="00043C57"/>
    <w:rsid w:val="00055AB5"/>
    <w:rsid w:val="00060376"/>
    <w:rsid w:val="00072080"/>
    <w:rsid w:val="000765C2"/>
    <w:rsid w:val="00082913"/>
    <w:rsid w:val="00096985"/>
    <w:rsid w:val="000A3B4D"/>
    <w:rsid w:val="000D199E"/>
    <w:rsid w:val="000E5BA6"/>
    <w:rsid w:val="00100A7E"/>
    <w:rsid w:val="00106F6D"/>
    <w:rsid w:val="001148FE"/>
    <w:rsid w:val="0012446A"/>
    <w:rsid w:val="0012550D"/>
    <w:rsid w:val="00130958"/>
    <w:rsid w:val="00132CEC"/>
    <w:rsid w:val="00135A36"/>
    <w:rsid w:val="00136EC9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49B2"/>
    <w:rsid w:val="001B796E"/>
    <w:rsid w:val="001C0806"/>
    <w:rsid w:val="001C445C"/>
    <w:rsid w:val="001C5CDE"/>
    <w:rsid w:val="001C6A0A"/>
    <w:rsid w:val="001C7EC0"/>
    <w:rsid w:val="001D2895"/>
    <w:rsid w:val="001D2BFB"/>
    <w:rsid w:val="001D7C7C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53F6"/>
    <w:rsid w:val="002A47D7"/>
    <w:rsid w:val="002D5F14"/>
    <w:rsid w:val="002F22F1"/>
    <w:rsid w:val="002F5953"/>
    <w:rsid w:val="002F5F81"/>
    <w:rsid w:val="00300CDA"/>
    <w:rsid w:val="003168B3"/>
    <w:rsid w:val="003547D6"/>
    <w:rsid w:val="00367E20"/>
    <w:rsid w:val="0038331D"/>
    <w:rsid w:val="00397541"/>
    <w:rsid w:val="003A38DC"/>
    <w:rsid w:val="003A63A5"/>
    <w:rsid w:val="003C48FF"/>
    <w:rsid w:val="003D59B2"/>
    <w:rsid w:val="003D5ED0"/>
    <w:rsid w:val="003F211C"/>
    <w:rsid w:val="003F29A8"/>
    <w:rsid w:val="003F2AB9"/>
    <w:rsid w:val="00403A89"/>
    <w:rsid w:val="00406EFE"/>
    <w:rsid w:val="0041300C"/>
    <w:rsid w:val="00420682"/>
    <w:rsid w:val="00433BCD"/>
    <w:rsid w:val="00436717"/>
    <w:rsid w:val="00445610"/>
    <w:rsid w:val="00455BBA"/>
    <w:rsid w:val="00456418"/>
    <w:rsid w:val="00460BC4"/>
    <w:rsid w:val="004647DB"/>
    <w:rsid w:val="00475BB2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726F2"/>
    <w:rsid w:val="00573EE3"/>
    <w:rsid w:val="005767F6"/>
    <w:rsid w:val="00591503"/>
    <w:rsid w:val="00591A3B"/>
    <w:rsid w:val="0059248B"/>
    <w:rsid w:val="0059342C"/>
    <w:rsid w:val="005A5D75"/>
    <w:rsid w:val="005A7379"/>
    <w:rsid w:val="005B6E3F"/>
    <w:rsid w:val="005F00A8"/>
    <w:rsid w:val="0060535D"/>
    <w:rsid w:val="0062077A"/>
    <w:rsid w:val="00621A17"/>
    <w:rsid w:val="0063376B"/>
    <w:rsid w:val="006465EF"/>
    <w:rsid w:val="00646924"/>
    <w:rsid w:val="00663243"/>
    <w:rsid w:val="0067406E"/>
    <w:rsid w:val="00677E6C"/>
    <w:rsid w:val="00683C22"/>
    <w:rsid w:val="006F4D55"/>
    <w:rsid w:val="00726525"/>
    <w:rsid w:val="00736DC8"/>
    <w:rsid w:val="007403CF"/>
    <w:rsid w:val="00742442"/>
    <w:rsid w:val="00750246"/>
    <w:rsid w:val="007654B3"/>
    <w:rsid w:val="00765D0F"/>
    <w:rsid w:val="00770FAD"/>
    <w:rsid w:val="00774741"/>
    <w:rsid w:val="007A2E0E"/>
    <w:rsid w:val="007C083E"/>
    <w:rsid w:val="007C14EE"/>
    <w:rsid w:val="007D6440"/>
    <w:rsid w:val="007D742E"/>
    <w:rsid w:val="007E2515"/>
    <w:rsid w:val="007F0F03"/>
    <w:rsid w:val="008030D2"/>
    <w:rsid w:val="00811138"/>
    <w:rsid w:val="00820E26"/>
    <w:rsid w:val="00840462"/>
    <w:rsid w:val="008420C3"/>
    <w:rsid w:val="00845CCA"/>
    <w:rsid w:val="0085472C"/>
    <w:rsid w:val="00860148"/>
    <w:rsid w:val="008620E4"/>
    <w:rsid w:val="0086360A"/>
    <w:rsid w:val="008654A0"/>
    <w:rsid w:val="008720AB"/>
    <w:rsid w:val="0087264B"/>
    <w:rsid w:val="0088796B"/>
    <w:rsid w:val="008914C1"/>
    <w:rsid w:val="00892C77"/>
    <w:rsid w:val="0089762F"/>
    <w:rsid w:val="008A1646"/>
    <w:rsid w:val="008A7110"/>
    <w:rsid w:val="008C15C7"/>
    <w:rsid w:val="008D12D7"/>
    <w:rsid w:val="00900D7B"/>
    <w:rsid w:val="0091014E"/>
    <w:rsid w:val="009104DF"/>
    <w:rsid w:val="00945D37"/>
    <w:rsid w:val="00954FD3"/>
    <w:rsid w:val="00957A39"/>
    <w:rsid w:val="00970D95"/>
    <w:rsid w:val="00974717"/>
    <w:rsid w:val="00975A96"/>
    <w:rsid w:val="00976A3C"/>
    <w:rsid w:val="00991D86"/>
    <w:rsid w:val="0099741A"/>
    <w:rsid w:val="009A6F98"/>
    <w:rsid w:val="009C12D6"/>
    <w:rsid w:val="009C4E9A"/>
    <w:rsid w:val="009C52A4"/>
    <w:rsid w:val="009E3DA1"/>
    <w:rsid w:val="00A06D12"/>
    <w:rsid w:val="00A10B5D"/>
    <w:rsid w:val="00A15DE9"/>
    <w:rsid w:val="00A27C1F"/>
    <w:rsid w:val="00A34D9D"/>
    <w:rsid w:val="00A36786"/>
    <w:rsid w:val="00A431DD"/>
    <w:rsid w:val="00A645A6"/>
    <w:rsid w:val="00A97B73"/>
    <w:rsid w:val="00AA32E0"/>
    <w:rsid w:val="00AA545E"/>
    <w:rsid w:val="00AC2686"/>
    <w:rsid w:val="00AF0CE9"/>
    <w:rsid w:val="00AF136E"/>
    <w:rsid w:val="00AF5D8E"/>
    <w:rsid w:val="00B03A16"/>
    <w:rsid w:val="00B14BBE"/>
    <w:rsid w:val="00B15877"/>
    <w:rsid w:val="00B46B49"/>
    <w:rsid w:val="00B51F9D"/>
    <w:rsid w:val="00B54D96"/>
    <w:rsid w:val="00B6099E"/>
    <w:rsid w:val="00B6427E"/>
    <w:rsid w:val="00B67778"/>
    <w:rsid w:val="00B8668D"/>
    <w:rsid w:val="00BA1706"/>
    <w:rsid w:val="00BA4BE2"/>
    <w:rsid w:val="00BA5571"/>
    <w:rsid w:val="00BB15C8"/>
    <w:rsid w:val="00BD4611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A0828"/>
    <w:rsid w:val="00CC7CA2"/>
    <w:rsid w:val="00CE2478"/>
    <w:rsid w:val="00CF5B26"/>
    <w:rsid w:val="00D169E6"/>
    <w:rsid w:val="00D23C4B"/>
    <w:rsid w:val="00D24B56"/>
    <w:rsid w:val="00D45AC2"/>
    <w:rsid w:val="00D51772"/>
    <w:rsid w:val="00D60C6B"/>
    <w:rsid w:val="00DA56D4"/>
    <w:rsid w:val="00DC03DB"/>
    <w:rsid w:val="00DC0BDC"/>
    <w:rsid w:val="00DD377E"/>
    <w:rsid w:val="00DF295D"/>
    <w:rsid w:val="00E26210"/>
    <w:rsid w:val="00E32B8C"/>
    <w:rsid w:val="00E370B3"/>
    <w:rsid w:val="00E43166"/>
    <w:rsid w:val="00E452DA"/>
    <w:rsid w:val="00E6234F"/>
    <w:rsid w:val="00E72BC5"/>
    <w:rsid w:val="00E76B9D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3321"/>
  <w15:docId w15:val="{DEA21970-A5EB-4123-89A2-64DFEAFE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CCA"/>
  </w:style>
  <w:style w:type="paragraph" w:styleId="Footer">
    <w:name w:val="footer"/>
    <w:basedOn w:val="Normal"/>
    <w:link w:val="FooterChar"/>
    <w:uiPriority w:val="99"/>
    <w:unhideWhenUsed/>
    <w:rsid w:val="0084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BF397F460459FB89F6D00D92B7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2023-01-17T14:19:26Z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titujt e nderit dhe titujt vendorë të nderit në Republikën e Shqipërisë</Titulli>
    <Modifikuesi xmlns="0e656187-b300-4fb0-8bf4-3a50f872073c">jorina.kryeziu</Modifikuesi>
    <Nr_x002e__x0020_prot_x0020_QBZ xmlns="0e656187-b300-4fb0-8bf4-3a50f872073c">74/2</Nr_x002e__x0020_prot_x0020_QBZ>
    <Data_x0020_e_x0020_Modifikimit xmlns="0e656187-b300-4fb0-8bf4-3a50f872073c">2023-01-18T10:13:08Z</Data_x0020_e_x0020_Modifikimit>
    <Dekretuar xmlns="0e656187-b300-4fb0-8bf4-3a50f872073c">false</Dekretuar>
    <Data xmlns="0e656187-b300-4fb0-8bf4-3a50f872073c">2022-12-21T23:00:00Z</Data>
    <Nr_x002e__x0020_protokolli_x0020_i_x0020_aktit xmlns="0e656187-b300-4fb0-8bf4-3a50f872073c">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BF397F460459FB89F6D00D92B7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B4562-2E4A-4DF8-9B9B-C9B471DCB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ADA82F-C6A9-4ED4-B8C8-A54BCE73CEEA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E0619AA-6256-4839-98F4-88648AB95F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2376C4-F14C-4F22-B38E-11B781BBB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1958A1-6B4A-4B51-AB3D-A2FB762B95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7F06CF-FF2C-426C-A953-5C1C5712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titujt e nderit dhe titujt vendorë të nderit në Republikën e Shqipërisë</vt:lpstr>
    </vt:vector>
  </TitlesOfParts>
  <Company/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titujt e nderit dhe titujt vendorë të nderit në Republikën e Shqipërisë</dc:title>
  <dc:creator>gazmend.hanku</dc:creator>
  <cp:lastModifiedBy>Sara Mborja</cp:lastModifiedBy>
  <cp:revision>34</cp:revision>
  <cp:lastPrinted>2022-12-28T09:23:00Z</cp:lastPrinted>
  <dcterms:created xsi:type="dcterms:W3CDTF">2022-12-27T11:08:00Z</dcterms:created>
  <dcterms:modified xsi:type="dcterms:W3CDTF">2023-01-18T11:24:00Z</dcterms:modified>
</cp:coreProperties>
</file>