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B57DB" w14:textId="77777777" w:rsidR="001C7C90" w:rsidRPr="0032067A" w:rsidRDefault="001C7C90" w:rsidP="0032067A">
      <w:pPr>
        <w:spacing w:after="0"/>
        <w:jc w:val="center"/>
      </w:pPr>
      <w:r w:rsidRPr="0032067A">
        <w:rPr>
          <w:rFonts w:ascii="Garamond" w:hAnsi="Garamond"/>
          <w:b/>
          <w:sz w:val="24"/>
          <w:szCs w:val="24"/>
        </w:rPr>
        <w:t>LIGJ</w:t>
      </w:r>
    </w:p>
    <w:p w14:paraId="210B57DC" w14:textId="77777777" w:rsidR="001C7C90" w:rsidRPr="0032067A" w:rsidRDefault="001C7C90" w:rsidP="0032067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067A">
        <w:rPr>
          <w:rFonts w:ascii="Garamond" w:hAnsi="Garamond" w:cs="Times New Roman"/>
          <w:b/>
          <w:bCs/>
          <w:sz w:val="24"/>
          <w:szCs w:val="24"/>
        </w:rPr>
        <w:t>Nr. 36/2023</w:t>
      </w:r>
    </w:p>
    <w:p w14:paraId="210B57DD" w14:textId="77777777" w:rsidR="001C7C90" w:rsidRPr="0032067A" w:rsidRDefault="001C7C90" w:rsidP="0032067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0B57DE" w14:textId="0ACCF9EA" w:rsidR="001C7C90" w:rsidRPr="0032067A" w:rsidRDefault="001C7C90" w:rsidP="0032067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067A">
        <w:rPr>
          <w:rFonts w:ascii="Garamond" w:hAnsi="Garamond" w:cs="Times New Roman"/>
          <w:b/>
          <w:bCs/>
          <w:sz w:val="24"/>
          <w:szCs w:val="24"/>
        </w:rPr>
        <w:t>PËR DISA NDRYSHIME DHE SHTESA NË LIGJIN NR. 25/2022</w:t>
      </w:r>
      <w:r w:rsidR="0032067A" w:rsidRPr="0032067A">
        <w:rPr>
          <w:rFonts w:ascii="Garamond" w:hAnsi="Garamond" w:cs="Times New Roman"/>
          <w:b/>
          <w:bCs/>
          <w:sz w:val="24"/>
          <w:szCs w:val="24"/>
        </w:rPr>
        <w:t>,</w:t>
      </w:r>
      <w:r w:rsidRPr="0032067A">
        <w:rPr>
          <w:rFonts w:ascii="Garamond" w:hAnsi="Garamond" w:cs="Times New Roman"/>
          <w:b/>
          <w:bCs/>
          <w:sz w:val="24"/>
          <w:szCs w:val="24"/>
        </w:rPr>
        <w:t xml:space="preserve"> “PËR MBËSHTETJEN DHE ZHVILLIMIN E </w:t>
      </w:r>
      <w:proofErr w:type="spellStart"/>
      <w:r w:rsidRPr="0032067A">
        <w:rPr>
          <w:rFonts w:ascii="Garamond" w:hAnsi="Garamond" w:cs="Times New Roman"/>
          <w:b/>
          <w:bCs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b/>
          <w:bCs/>
          <w:sz w:val="24"/>
          <w:szCs w:val="24"/>
        </w:rPr>
        <w:t>-EVE”</w:t>
      </w:r>
    </w:p>
    <w:p w14:paraId="210B57DF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E0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Në mbështetje të neneve 78, 81, pika 1, 83, pika 1, dhe 155 të Kushtetutës, me propozimin e Këshillit të Ministrave, </w:t>
      </w:r>
    </w:p>
    <w:p w14:paraId="210B57E1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E2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KUVENDI</w:t>
      </w:r>
    </w:p>
    <w:p w14:paraId="210B57E3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I REPUBLIKËS SË SHQIPËRISË</w:t>
      </w:r>
    </w:p>
    <w:p w14:paraId="210B57E4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0B57E5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VENDOSI:</w:t>
      </w:r>
    </w:p>
    <w:p w14:paraId="210B57E6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E7" w14:textId="603D0C3B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Në ligjin nr. 25/2022</w:t>
      </w:r>
      <w:r w:rsidR="0032067A">
        <w:rPr>
          <w:rFonts w:ascii="Garamond" w:hAnsi="Garamond" w:cs="Times New Roman"/>
          <w:sz w:val="24"/>
          <w:szCs w:val="24"/>
        </w:rPr>
        <w:t>,</w:t>
      </w:r>
      <w:r w:rsidRPr="0032067A">
        <w:rPr>
          <w:rFonts w:ascii="Garamond" w:hAnsi="Garamond" w:cs="Times New Roman"/>
          <w:sz w:val="24"/>
          <w:szCs w:val="24"/>
        </w:rPr>
        <w:t xml:space="preserve"> “Për mbështetjen dhe zhvillimin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-eve” bëhen këto ndryshime dhe shtesa: </w:t>
      </w:r>
    </w:p>
    <w:p w14:paraId="210B57E8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E9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1</w:t>
      </w:r>
    </w:p>
    <w:p w14:paraId="210B57EA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EB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1 ndryshohet si më poshtë:</w:t>
      </w:r>
    </w:p>
    <w:p w14:paraId="210B57EC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ED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“Neni 1</w:t>
      </w:r>
    </w:p>
    <w:p w14:paraId="210B57EE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067A">
        <w:rPr>
          <w:rFonts w:ascii="Garamond" w:hAnsi="Garamond" w:cs="Times New Roman"/>
          <w:b/>
          <w:bCs/>
          <w:sz w:val="24"/>
          <w:szCs w:val="24"/>
        </w:rPr>
        <w:t>Qëllimi</w:t>
      </w:r>
    </w:p>
    <w:p w14:paraId="210B57EF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F0" w14:textId="6A602B55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Qëllimi i këtij ligji është hartimi i një kuadri rregullator dhe institucional të favorshëm</w:t>
      </w:r>
      <w:r w:rsidR="0032067A">
        <w:rPr>
          <w:rFonts w:ascii="Garamond" w:hAnsi="Garamond" w:cs="Times New Roman"/>
          <w:sz w:val="24"/>
          <w:szCs w:val="24"/>
        </w:rPr>
        <w:t>,</w:t>
      </w:r>
      <w:r w:rsidRPr="0032067A">
        <w:rPr>
          <w:rFonts w:ascii="Garamond" w:hAnsi="Garamond" w:cs="Times New Roman"/>
          <w:sz w:val="24"/>
          <w:szCs w:val="24"/>
        </w:rPr>
        <w:t xml:space="preserve"> për:</w:t>
      </w:r>
    </w:p>
    <w:p w14:paraId="210B57F1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1. krijimin e zhvillimin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 dhe të veprimtarisë së punonjësve lëvizës digjitalë në territorin e Republikës së Shqipërisë;</w:t>
      </w:r>
    </w:p>
    <w:p w14:paraId="210B57F2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2. mbështetjen e ekosistemit vendas të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 dhe integrimit me ekosistemin ndërkombëtar për nxitjen e kërkimit, realizimit dhe përdorimit të ideve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inovative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, si dhe modeleve, produkteve e proceseve të reja, të cilat sjellin risi në çdo fushë për zhvillimin ekonomik.”.</w:t>
      </w:r>
    </w:p>
    <w:p w14:paraId="210B57F3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F4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2</w:t>
      </w:r>
    </w:p>
    <w:p w14:paraId="210B57F5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F6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2 ndryshohet si më poshtë:</w:t>
      </w:r>
    </w:p>
    <w:p w14:paraId="210B57F7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F8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“Neni 2</w:t>
      </w:r>
    </w:p>
    <w:p w14:paraId="210B57F9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067A">
        <w:rPr>
          <w:rFonts w:ascii="Garamond" w:hAnsi="Garamond" w:cs="Times New Roman"/>
          <w:b/>
          <w:bCs/>
          <w:sz w:val="24"/>
          <w:szCs w:val="24"/>
        </w:rPr>
        <w:t>Objekti</w:t>
      </w:r>
    </w:p>
    <w:p w14:paraId="210B57FA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FB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Ky ligj përcakton rregullat bazë, procedurat dhe organet shtetërore, që rregullojnë, mbështesin, zhvillojnë dhe integrojnë ekosistemin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 të Republikës së Shqipërisë, si dhe format e mbështetjes së punonjësve lëvizës digjitalë.”.</w:t>
      </w:r>
    </w:p>
    <w:p w14:paraId="210B57FC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7FD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0B57FE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3</w:t>
      </w:r>
    </w:p>
    <w:p w14:paraId="210B57FF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00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Shkronja “ç” e nenit 3 ndryshohet si më poshtë:</w:t>
      </w:r>
    </w:p>
    <w:p w14:paraId="210B5801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“ç) “punonjësit lëvizës digjitalë” janë shtetasit e huaj, që përdorin teknologjinë e komunikimit për të ofruar shërbimet e tyre profesionale dhe/ose kryejnë këto shërbime për llogari të entiteteve jashtë territorit të Republikës së Shqipërisë, pa pasur një zyrë apo seli të regjistruar, të cilët marrin statusin dhe përfitimet e “punonjësit lëvizës digjital” në përputhje me përcaktimet e legjislacionit në fuqi për të huajt;”.</w:t>
      </w:r>
    </w:p>
    <w:p w14:paraId="210B5802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03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4</w:t>
      </w:r>
    </w:p>
    <w:p w14:paraId="210B5804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05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Pas nenit 5 shtohet neni 5/1 me këtë përmbajtje:</w:t>
      </w:r>
    </w:p>
    <w:p w14:paraId="210B5806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07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“Neni 5/1</w:t>
      </w:r>
    </w:p>
    <w:p w14:paraId="210B5808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067A">
        <w:rPr>
          <w:rFonts w:ascii="Garamond" w:hAnsi="Garamond" w:cs="Times New Roman"/>
          <w:b/>
          <w:bCs/>
          <w:sz w:val="24"/>
          <w:szCs w:val="24"/>
        </w:rPr>
        <w:t>Format e mbështetjes së punonjësve lëvizës digjitalë</w:t>
      </w:r>
    </w:p>
    <w:p w14:paraId="210B5809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0A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1. Përjashtimisht nga përkufizimi i rezidencës tatimore, siç përcaktohet në legjislacionin tatimor, punonjësit lëvizës digjitalë nuk do të konsiderohen rezidentë tatimorë në Republikën e Shqipërisë për një periudhë prej 12 muajsh.</w:t>
      </w:r>
    </w:p>
    <w:p w14:paraId="210B580B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2. Pavarësisht ndonjë dispozite të ligjit për tatimin mbi të ardhurat, një entitet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jorezident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nuk do të konsiderohet që krijon seli të përhershme në Republikën e Shqipërisë vetëm se merr shërbime nga një punonjës lëvizës digjital ose vetëm sepse ka punësuar një punonjës lëvizës digjital.</w:t>
      </w:r>
    </w:p>
    <w:p w14:paraId="210B580C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3. Veprimtaria e punonjësit lëvizës digjital nuk konsiderohet se krijon një vend fiks biznesi dhe nuk konsiderohet se vepron si një agjent i pavarur i një entiteti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jorezident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në Republikën e Shqipërisë për sa kohë punonjësi lëvizës digjital nuk ka autoritetin të përfundojë kontrata në emër të entitetit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jorezident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apo nuk angazhohet në ndonjë veprimtari që nuk është e lidhur me rolin e tij si punonjës lëvizës digjital.</w:t>
      </w:r>
    </w:p>
    <w:p w14:paraId="210B580D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4. Punonjësit lëvizës digjitalë pajisen me leje unike bazuar në ligjin “Për të huajt” dhe aktet nënligjore në zbatim të tij.”.</w:t>
      </w:r>
    </w:p>
    <w:p w14:paraId="210B580E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0F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5</w:t>
      </w:r>
    </w:p>
    <w:p w14:paraId="210B5810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11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Pas shkronjës “c” të nenit 6 shtohet shkronja “ç” me këtë përmbajtje:</w:t>
      </w:r>
    </w:p>
    <w:p w14:paraId="210B5812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“ç) agjencia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-eve”.</w:t>
      </w:r>
    </w:p>
    <w:p w14:paraId="210B5813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14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6</w:t>
      </w:r>
    </w:p>
    <w:p w14:paraId="210B5815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16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Në nenin 7 në pikën 1 bëhen këto ndryshime:</w:t>
      </w:r>
    </w:p>
    <w:p w14:paraId="210B5817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a) shkronja “d” ndryshohet si më poshtë:</w:t>
      </w:r>
    </w:p>
    <w:p w14:paraId="210B5818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“d) miraton modelet tip të marrëveshjes së bashkëpunimit që nënshkruhen ndërmjet agjencisë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 dhe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-eve, lehtësuesve dhe palëve të treta;”.</w:t>
      </w:r>
    </w:p>
    <w:p w14:paraId="210B5819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b) shkronja “ë” ndryshohet si më poshtë:</w:t>
      </w:r>
    </w:p>
    <w:p w14:paraId="210B581A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“ë) mbikëqyr administrimin e regjistrit të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 dhe të lehtësuesve në përputhje me parashikimet e këtij ligji;”.</w:t>
      </w:r>
    </w:p>
    <w:p w14:paraId="210B581B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c) shkronja “f” ndryshohet si më poshtë:</w:t>
      </w:r>
    </w:p>
    <w:p w14:paraId="210B581C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“f) administron faqen zyrtare në internet të institucionit, me qëllim informimin dhe ndërgjegjësimin e publikut, si edhe publikon thirrjet për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grante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;”.</w:t>
      </w:r>
    </w:p>
    <w:p w14:paraId="210B581D" w14:textId="1164F186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ç)</w:t>
      </w:r>
      <w:r w:rsidR="0032067A">
        <w:rPr>
          <w:rFonts w:ascii="Garamond" w:hAnsi="Garamond" w:cs="Times New Roman"/>
          <w:sz w:val="24"/>
          <w:szCs w:val="24"/>
        </w:rPr>
        <w:t xml:space="preserve"> </w:t>
      </w:r>
      <w:r w:rsidRPr="0032067A">
        <w:rPr>
          <w:rFonts w:ascii="Garamond" w:hAnsi="Garamond" w:cs="Times New Roman"/>
          <w:sz w:val="24"/>
          <w:szCs w:val="24"/>
        </w:rPr>
        <w:t>shkronjat “gj” dhe “h” shfuqizohen.</w:t>
      </w:r>
    </w:p>
    <w:p w14:paraId="210B581E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1F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0B5820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7</w:t>
      </w:r>
    </w:p>
    <w:p w14:paraId="210B5821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22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Pika 3 e nenit 8 ndryshohet si më poshtë:</w:t>
      </w:r>
    </w:p>
    <w:p w14:paraId="210B5823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“3. Agjencia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 vepron si sekretariat teknik i Këshillit dhe e mbështet atë për përmbushjen e detyrave të parashikuara nga ky ligj.”.</w:t>
      </w:r>
    </w:p>
    <w:p w14:paraId="210B5824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25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8</w:t>
      </w:r>
    </w:p>
    <w:p w14:paraId="210B5826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27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Pas nenit 9 shtohet neni 9/1 me këtë përmbajtje:</w:t>
      </w:r>
    </w:p>
    <w:p w14:paraId="210B5828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29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“Neni 9/1</w:t>
      </w:r>
    </w:p>
    <w:p w14:paraId="210B582A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067A">
        <w:rPr>
          <w:rFonts w:ascii="Garamond" w:hAnsi="Garamond" w:cs="Times New Roman"/>
          <w:b/>
          <w:bCs/>
          <w:sz w:val="24"/>
          <w:szCs w:val="24"/>
        </w:rPr>
        <w:t xml:space="preserve">Agjencia përgjegjëse për zhvillimin dhe mbështetjen e </w:t>
      </w:r>
      <w:proofErr w:type="spellStart"/>
      <w:r w:rsidRPr="0032067A">
        <w:rPr>
          <w:rFonts w:ascii="Garamond" w:hAnsi="Garamond" w:cs="Times New Roman"/>
          <w:b/>
          <w:bCs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b/>
          <w:bCs/>
          <w:sz w:val="24"/>
          <w:szCs w:val="24"/>
        </w:rPr>
        <w:t>-eve</w:t>
      </w:r>
    </w:p>
    <w:p w14:paraId="210B582B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2C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1. Agjencia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 është njësia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menaxhuese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dhe monitoruese e realizimit të masave mbështetëse financiare nëpërmjet fondeve publike ose me të tretë për nismat në ekosistemin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-eve.</w:t>
      </w:r>
    </w:p>
    <w:p w14:paraId="210B582D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2. Rregullat për funksionimin dhe organizimin e agjencisë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 dhe lehtësuesve përcaktohen me vendim të Këshillit të Ministrave.”.</w:t>
      </w:r>
    </w:p>
    <w:p w14:paraId="210B582E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2F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9</w:t>
      </w:r>
    </w:p>
    <w:p w14:paraId="210B5830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31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Pika 2 e nenit 10 ndryshohet si më poshtë:</w:t>
      </w:r>
    </w:p>
    <w:p w14:paraId="210B5832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“2. Kohëzgjatja e periudhës së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inkubimit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dhe e statusit si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është 24 (njëzet e katër) muaj nga momenti i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vetëdeklarimit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në regjistrin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-eve, me të drejtë rinovimi.”.</w:t>
      </w:r>
    </w:p>
    <w:p w14:paraId="210B5833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34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10</w:t>
      </w:r>
    </w:p>
    <w:p w14:paraId="210B5835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36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Pika 1 e nenit 11 ndryshohet si më poshtë:</w:t>
      </w:r>
    </w:p>
    <w:p w14:paraId="210B5837" w14:textId="183D365D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“1. Regjistri i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 dhe lehtësuesve (në vijim </w:t>
      </w:r>
      <w:r w:rsidR="0032067A">
        <w:rPr>
          <w:rFonts w:ascii="Garamond" w:hAnsi="Garamond" w:cs="Times New Roman"/>
          <w:sz w:val="24"/>
          <w:szCs w:val="24"/>
        </w:rPr>
        <w:t>“</w:t>
      </w:r>
      <w:r w:rsidRPr="0032067A">
        <w:rPr>
          <w:rFonts w:ascii="Garamond" w:hAnsi="Garamond" w:cs="Times New Roman"/>
          <w:sz w:val="24"/>
          <w:szCs w:val="24"/>
        </w:rPr>
        <w:t>Regjistri</w:t>
      </w:r>
      <w:r w:rsidR="0032067A">
        <w:rPr>
          <w:rFonts w:ascii="Garamond" w:hAnsi="Garamond" w:cs="Times New Roman"/>
          <w:sz w:val="24"/>
          <w:szCs w:val="24"/>
        </w:rPr>
        <w:t>”</w:t>
      </w:r>
      <w:r w:rsidRPr="0032067A">
        <w:rPr>
          <w:rFonts w:ascii="Garamond" w:hAnsi="Garamond" w:cs="Times New Roman"/>
          <w:sz w:val="24"/>
          <w:szCs w:val="24"/>
        </w:rPr>
        <w:t xml:space="preserve">) administrohet nga agjencia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-eve, si bazë shtetërore të dhënash, në funksion të këtij ligji dhe të legjislacionit në fuqi për bazat e të dhënave shtetërore.”.</w:t>
      </w:r>
    </w:p>
    <w:p w14:paraId="210B5838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39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11</w:t>
      </w:r>
    </w:p>
    <w:p w14:paraId="210B583A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3B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Pika 1 e nenit 12 ndryshohet si më poshtë:</w:t>
      </w:r>
    </w:p>
    <w:p w14:paraId="210B583C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“1. Me qëllim mbështetjen e zhvillimit dhe rritjes së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-eve, ofrohet shërbimi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one</w:t>
      </w:r>
      <w:proofErr w:type="spellEnd"/>
      <w:r w:rsidRPr="0032067A">
        <w:rPr>
          <w:rFonts w:ascii="Garamond" w:hAnsi="Garamond" w:cs="Times New Roman"/>
          <w:i/>
          <w:iCs/>
          <w:sz w:val="24"/>
          <w:szCs w:val="24"/>
        </w:rPr>
        <w:t xml:space="preserve">-stop-shop </w:t>
      </w:r>
      <w:r w:rsidRPr="0032067A">
        <w:rPr>
          <w:rFonts w:ascii="Garamond" w:hAnsi="Garamond" w:cs="Times New Roman"/>
          <w:sz w:val="24"/>
          <w:szCs w:val="24"/>
        </w:rPr>
        <w:t xml:space="preserve">pranë agjencisë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-eve.”.</w:t>
      </w:r>
    </w:p>
    <w:p w14:paraId="210B583D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3E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12</w:t>
      </w:r>
    </w:p>
    <w:p w14:paraId="210B583F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40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Në nenin 14 bëhen këto ndryshime:</w:t>
      </w:r>
    </w:p>
    <w:p w14:paraId="210B5841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1. Pika 2 ndryshohet si më poshtë:</w:t>
      </w:r>
    </w:p>
    <w:p w14:paraId="210B5842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“2. Agjencia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 i propozon ministrit përgjegjës për sipërmarrjen shpalljen e thirrjes për aplikime nga ana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 dhe lehtësuesve të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 dhe kryen publikimin në shërbimin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one</w:t>
      </w:r>
      <w:proofErr w:type="spellEnd"/>
      <w:r w:rsidRPr="0032067A">
        <w:rPr>
          <w:rFonts w:ascii="Garamond" w:hAnsi="Garamond" w:cs="Times New Roman"/>
          <w:i/>
          <w:iCs/>
          <w:sz w:val="24"/>
          <w:szCs w:val="24"/>
        </w:rPr>
        <w:t>-stop-shop</w:t>
      </w:r>
      <w:r w:rsidRPr="0032067A">
        <w:rPr>
          <w:rFonts w:ascii="Garamond" w:hAnsi="Garamond" w:cs="Times New Roman"/>
          <w:sz w:val="24"/>
          <w:szCs w:val="24"/>
        </w:rPr>
        <w:t xml:space="preserve"> në faqen zyrtare.”.</w:t>
      </w:r>
    </w:p>
    <w:p w14:paraId="210B5843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2. Pika 4 ndryshohet si më poshtë:</w:t>
      </w:r>
    </w:p>
    <w:p w14:paraId="210B5844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“4. Me qëllim vlerësimin e kërkesave nga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-et dhe lehtësuesit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 ngrihet komisioni i vlerësimit dhe komisioni i ankimit. Ministri përgjegjës për sipërmarrjen cakton kryetarët e këtyre komisioneve. Rregullat e hollësishme për përbërjen e komisionit të vlerësimit dhe komisionit të ankimit, kriteret, procedura e përzgjedhjes dhe shpërblimit të anëtarëve përcaktohen me vendim të Këshillit të Ministrave.”.</w:t>
      </w:r>
    </w:p>
    <w:p w14:paraId="210B5845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3. Pikat 6 dhe 7 ndryshohen si më poshtë:</w:t>
      </w:r>
    </w:p>
    <w:p w14:paraId="210B5846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“6. Vendimi i komisionit të vlerësimit për përfituesit e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granteve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financiare për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-eve, sipas thirrjes dhe në përfundim të procesit të ankimit, miratohet me urdhër të ministrit përgjegjës për sipërmarrjen. Urdhri botohet në faqen zyrtare të agjencisë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 në faqen zyrtare të ministrit përgjegjës për sipërmarrjen dhe në Buletinin e Njoftimeve Zyrtare.</w:t>
      </w:r>
    </w:p>
    <w:p w14:paraId="210B5847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 xml:space="preserve">7. Urdhri i ministrit përgjegjës për sipërmarrjen zbatohet nga agjencia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-eve.</w:t>
      </w:r>
    </w:p>
    <w:p w14:paraId="210B5848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49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13</w:t>
      </w:r>
    </w:p>
    <w:p w14:paraId="210B584A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4B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Në nenin 15 bëhen këto ndryshime:</w:t>
      </w:r>
    </w:p>
    <w:p w14:paraId="210B584C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1. Pika 1 ndryshohet si më poshtë:</w:t>
      </w:r>
    </w:p>
    <w:p w14:paraId="210B584D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lastRenderedPageBreak/>
        <w:t xml:space="preserve">“1. Agjencia përgjegjëse për zhvillimin dhe mbështetjen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 gjatë periudhës së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inkubimit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dhe deri në përfundimin e zbatimit të projektit të mbështetur financiarisht si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 ose si lehtësues i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-eve, monitoron periodikisht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-et dhe lehtësuesit e </w:t>
      </w:r>
      <w:proofErr w:type="spellStart"/>
      <w:r w:rsidRPr="0032067A">
        <w:rPr>
          <w:rFonts w:ascii="Garamond" w:hAnsi="Garamond" w:cs="Times New Roman"/>
          <w:i/>
          <w:iCs/>
          <w:sz w:val="24"/>
          <w:szCs w:val="24"/>
        </w:rPr>
        <w:t>startup</w:t>
      </w:r>
      <w:proofErr w:type="spellEnd"/>
      <w:r w:rsidRPr="0032067A">
        <w:rPr>
          <w:rFonts w:ascii="Garamond" w:hAnsi="Garamond" w:cs="Times New Roman"/>
          <w:sz w:val="24"/>
          <w:szCs w:val="24"/>
        </w:rPr>
        <w:t xml:space="preserve">-eve, që kanë fituar masë mbështetëse nëpërmjet </w:t>
      </w:r>
      <w:proofErr w:type="spellStart"/>
      <w:r w:rsidRPr="0032067A">
        <w:rPr>
          <w:rFonts w:ascii="Garamond" w:hAnsi="Garamond" w:cs="Times New Roman"/>
          <w:sz w:val="24"/>
          <w:szCs w:val="24"/>
        </w:rPr>
        <w:t>granteve</w:t>
      </w:r>
      <w:proofErr w:type="spellEnd"/>
      <w:r w:rsidRPr="0032067A">
        <w:rPr>
          <w:rFonts w:ascii="Garamond" w:hAnsi="Garamond" w:cs="Times New Roman"/>
          <w:sz w:val="24"/>
          <w:szCs w:val="24"/>
        </w:rPr>
        <w:t>, me qëllim verifikimin e përputhshmërisë gjatë zbatimit të këtij ligji.”.</w:t>
      </w:r>
    </w:p>
    <w:p w14:paraId="210B584E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2. Pika 4 shfuqizohet.</w:t>
      </w:r>
    </w:p>
    <w:p w14:paraId="210B584F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50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Neni 14</w:t>
      </w:r>
    </w:p>
    <w:p w14:paraId="210B5851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0B5852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210B5853" w14:textId="77777777" w:rsidR="001C7C90" w:rsidRPr="0032067A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58225E" w14:textId="77777777" w:rsidR="001C7C90" w:rsidRDefault="001C7C90" w:rsidP="001C7C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067A">
        <w:rPr>
          <w:rFonts w:ascii="Garamond" w:hAnsi="Garamond" w:cs="Times New Roman"/>
          <w:sz w:val="24"/>
          <w:szCs w:val="24"/>
        </w:rPr>
        <w:t>Miratuar në datën 25.5.2023</w:t>
      </w:r>
      <w:r w:rsidR="0032067A">
        <w:rPr>
          <w:rFonts w:ascii="Garamond" w:hAnsi="Garamond" w:cs="Times New Roman"/>
          <w:sz w:val="24"/>
          <w:szCs w:val="24"/>
        </w:rPr>
        <w:t>.</w:t>
      </w:r>
    </w:p>
    <w:p w14:paraId="5B2B1815" w14:textId="77777777" w:rsidR="0032067A" w:rsidRDefault="0032067A" w:rsidP="0032067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210B5857" w14:textId="03A50F80" w:rsidR="0032067A" w:rsidRPr="0032067A" w:rsidRDefault="0032067A" w:rsidP="0032067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2552A3">
        <w:rPr>
          <w:rFonts w:ascii="Garamond" w:hAnsi="Garamond"/>
          <w:b/>
          <w:sz w:val="24"/>
          <w:szCs w:val="24"/>
        </w:rPr>
        <w:t>Shpallur me dekretin nr.</w:t>
      </w:r>
      <w:r w:rsidR="00091E22">
        <w:rPr>
          <w:rFonts w:ascii="Garamond" w:hAnsi="Garamond"/>
          <w:b/>
          <w:sz w:val="24"/>
          <w:szCs w:val="24"/>
        </w:rPr>
        <w:t xml:space="preserve"> 81</w:t>
      </w:r>
      <w:r w:rsidRPr="002552A3">
        <w:rPr>
          <w:rFonts w:ascii="Garamond" w:hAnsi="Garamond"/>
          <w:b/>
          <w:sz w:val="24"/>
          <w:szCs w:val="24"/>
        </w:rPr>
        <w:t xml:space="preserve">, datë </w:t>
      </w:r>
      <w:r w:rsidR="00091E22">
        <w:rPr>
          <w:rFonts w:ascii="Garamond" w:hAnsi="Garamond"/>
          <w:b/>
          <w:sz w:val="24"/>
          <w:szCs w:val="24"/>
        </w:rPr>
        <w:t>8.6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>.</w:t>
      </w:r>
      <w:r w:rsidRPr="002552A3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3</w:t>
      </w:r>
      <w:r w:rsidRPr="002552A3">
        <w:rPr>
          <w:rFonts w:ascii="Garamond" w:hAnsi="Garamond"/>
          <w:b/>
          <w:sz w:val="24"/>
          <w:szCs w:val="24"/>
        </w:rPr>
        <w:t>, të Presidentit të Republikës së Shqipërisë</w:t>
      </w:r>
      <w:r w:rsidRPr="006E114A">
        <w:rPr>
          <w:rFonts w:ascii="Garamond" w:hAnsi="Garamond"/>
          <w:b/>
          <w:sz w:val="24"/>
          <w:szCs w:val="24"/>
        </w:rPr>
        <w:t xml:space="preserve">, Bajram </w:t>
      </w:r>
      <w:proofErr w:type="spellStart"/>
      <w:r w:rsidRPr="006E114A">
        <w:rPr>
          <w:rFonts w:ascii="Garamond" w:hAnsi="Garamond"/>
          <w:b/>
          <w:sz w:val="24"/>
          <w:szCs w:val="24"/>
        </w:rPr>
        <w:t>Begaj</w:t>
      </w:r>
      <w:proofErr w:type="spellEnd"/>
      <w:r>
        <w:rPr>
          <w:rFonts w:ascii="Garamond" w:hAnsi="Garamond"/>
          <w:b/>
          <w:sz w:val="24"/>
          <w:szCs w:val="24"/>
        </w:rPr>
        <w:t>.</w:t>
      </w:r>
    </w:p>
    <w:sectPr w:rsidR="0032067A" w:rsidRPr="0032067A" w:rsidSect="006A1AC3">
      <w:footerReference w:type="default" r:id="rId12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3FC95" w14:textId="77777777" w:rsidR="0032067A" w:rsidRDefault="0032067A" w:rsidP="00420682">
      <w:pPr>
        <w:spacing w:after="0" w:line="240" w:lineRule="auto"/>
      </w:pPr>
      <w:r>
        <w:separator/>
      </w:r>
    </w:p>
  </w:endnote>
  <w:endnote w:type="continuationSeparator" w:id="0">
    <w:p w14:paraId="48A2200B" w14:textId="77777777" w:rsidR="0032067A" w:rsidRDefault="0032067A" w:rsidP="00420682">
      <w:pPr>
        <w:spacing w:after="0" w:line="240" w:lineRule="auto"/>
      </w:pPr>
      <w:r>
        <w:continuationSeparator/>
      </w:r>
    </w:p>
  </w:endnote>
  <w:endnote w:type="continuationNotice" w:id="1">
    <w:p w14:paraId="04F8EEF4" w14:textId="77777777" w:rsidR="00237D4A" w:rsidRDefault="00237D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B585C" w14:textId="77777777" w:rsidR="0032067A" w:rsidRPr="006A1AC3" w:rsidRDefault="0032067A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210B585D" w14:textId="77777777" w:rsidR="0032067A" w:rsidRDefault="00320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20464" w14:textId="77777777" w:rsidR="0032067A" w:rsidRDefault="0032067A" w:rsidP="00420682">
      <w:pPr>
        <w:spacing w:after="0" w:line="240" w:lineRule="auto"/>
      </w:pPr>
      <w:r>
        <w:separator/>
      </w:r>
    </w:p>
  </w:footnote>
  <w:footnote w:type="continuationSeparator" w:id="0">
    <w:p w14:paraId="5D5D9304" w14:textId="77777777" w:rsidR="0032067A" w:rsidRDefault="0032067A" w:rsidP="00420682">
      <w:pPr>
        <w:spacing w:after="0" w:line="240" w:lineRule="auto"/>
      </w:pPr>
      <w:r>
        <w:continuationSeparator/>
      </w:r>
    </w:p>
  </w:footnote>
  <w:footnote w:type="continuationNotice" w:id="1">
    <w:p w14:paraId="31BA0972" w14:textId="77777777" w:rsidR="00237D4A" w:rsidRDefault="00237D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4006F"/>
    <w:multiLevelType w:val="hybridMultilevel"/>
    <w:tmpl w:val="F9328908"/>
    <w:lvl w:ilvl="0" w:tplc="E332856C">
      <w:start w:val="3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4C577D92"/>
    <w:multiLevelType w:val="hybridMultilevel"/>
    <w:tmpl w:val="027EE37E"/>
    <w:lvl w:ilvl="0" w:tplc="9AD430EA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7A3806A8"/>
    <w:multiLevelType w:val="hybridMultilevel"/>
    <w:tmpl w:val="BCA69CB8"/>
    <w:lvl w:ilvl="0" w:tplc="5FF4B198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11558"/>
    <w:rsid w:val="000356F0"/>
    <w:rsid w:val="00043C57"/>
    <w:rsid w:val="00055AB5"/>
    <w:rsid w:val="00060376"/>
    <w:rsid w:val="0007067C"/>
    <w:rsid w:val="00072080"/>
    <w:rsid w:val="000765C2"/>
    <w:rsid w:val="00091E22"/>
    <w:rsid w:val="00096985"/>
    <w:rsid w:val="00097617"/>
    <w:rsid w:val="000A3B4D"/>
    <w:rsid w:val="000D199E"/>
    <w:rsid w:val="000E268C"/>
    <w:rsid w:val="000E5BA6"/>
    <w:rsid w:val="00105749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C90"/>
    <w:rsid w:val="001C7EC0"/>
    <w:rsid w:val="001D2895"/>
    <w:rsid w:val="001D31EB"/>
    <w:rsid w:val="001D7939"/>
    <w:rsid w:val="001F194A"/>
    <w:rsid w:val="001F1E19"/>
    <w:rsid w:val="001F6C95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35656"/>
    <w:rsid w:val="00237D4A"/>
    <w:rsid w:val="0024206A"/>
    <w:rsid w:val="00243B60"/>
    <w:rsid w:val="00247DF1"/>
    <w:rsid w:val="00254F69"/>
    <w:rsid w:val="00266C06"/>
    <w:rsid w:val="0027350F"/>
    <w:rsid w:val="002753F6"/>
    <w:rsid w:val="002A47D7"/>
    <w:rsid w:val="002B2F9C"/>
    <w:rsid w:val="002C7626"/>
    <w:rsid w:val="002D5F14"/>
    <w:rsid w:val="002D6571"/>
    <w:rsid w:val="002F000B"/>
    <w:rsid w:val="002F5953"/>
    <w:rsid w:val="002F5F81"/>
    <w:rsid w:val="00300CDA"/>
    <w:rsid w:val="00303EDD"/>
    <w:rsid w:val="003168B3"/>
    <w:rsid w:val="0032067A"/>
    <w:rsid w:val="003403C8"/>
    <w:rsid w:val="0034264C"/>
    <w:rsid w:val="003547D6"/>
    <w:rsid w:val="003612A7"/>
    <w:rsid w:val="00375597"/>
    <w:rsid w:val="0038331D"/>
    <w:rsid w:val="00395396"/>
    <w:rsid w:val="00397541"/>
    <w:rsid w:val="003A38DC"/>
    <w:rsid w:val="003A63A5"/>
    <w:rsid w:val="003C0A80"/>
    <w:rsid w:val="003C400C"/>
    <w:rsid w:val="003C48FF"/>
    <w:rsid w:val="003C6D8A"/>
    <w:rsid w:val="003C6D93"/>
    <w:rsid w:val="003C7462"/>
    <w:rsid w:val="003D59B2"/>
    <w:rsid w:val="003D5ED0"/>
    <w:rsid w:val="003F29A8"/>
    <w:rsid w:val="003F398D"/>
    <w:rsid w:val="00403A89"/>
    <w:rsid w:val="0041300C"/>
    <w:rsid w:val="00420682"/>
    <w:rsid w:val="004243CE"/>
    <w:rsid w:val="00433BCD"/>
    <w:rsid w:val="004355A4"/>
    <w:rsid w:val="00436717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A74D6"/>
    <w:rsid w:val="004B12D2"/>
    <w:rsid w:val="004B6ED9"/>
    <w:rsid w:val="004C2DFD"/>
    <w:rsid w:val="004D3C02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13AE"/>
    <w:rsid w:val="005726F2"/>
    <w:rsid w:val="00573EE3"/>
    <w:rsid w:val="005767F6"/>
    <w:rsid w:val="00591503"/>
    <w:rsid w:val="00591A3B"/>
    <w:rsid w:val="0059248B"/>
    <w:rsid w:val="0059342C"/>
    <w:rsid w:val="005A7379"/>
    <w:rsid w:val="005B55D9"/>
    <w:rsid w:val="005B6E3F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97320"/>
    <w:rsid w:val="006A1AC3"/>
    <w:rsid w:val="006A3AA9"/>
    <w:rsid w:val="006B04FC"/>
    <w:rsid w:val="006C2950"/>
    <w:rsid w:val="006F4D55"/>
    <w:rsid w:val="007011FD"/>
    <w:rsid w:val="00707B70"/>
    <w:rsid w:val="007243F1"/>
    <w:rsid w:val="00726525"/>
    <w:rsid w:val="00736DC8"/>
    <w:rsid w:val="007403CF"/>
    <w:rsid w:val="00741C2E"/>
    <w:rsid w:val="00742442"/>
    <w:rsid w:val="00750246"/>
    <w:rsid w:val="007654B3"/>
    <w:rsid w:val="00770CEF"/>
    <w:rsid w:val="00770FAD"/>
    <w:rsid w:val="00774741"/>
    <w:rsid w:val="007748A2"/>
    <w:rsid w:val="007749AC"/>
    <w:rsid w:val="007A2E0E"/>
    <w:rsid w:val="007A786E"/>
    <w:rsid w:val="007B047C"/>
    <w:rsid w:val="007C083E"/>
    <w:rsid w:val="007D6440"/>
    <w:rsid w:val="007D742E"/>
    <w:rsid w:val="007E2515"/>
    <w:rsid w:val="007E693B"/>
    <w:rsid w:val="007F3335"/>
    <w:rsid w:val="007F5841"/>
    <w:rsid w:val="008030D2"/>
    <w:rsid w:val="00811138"/>
    <w:rsid w:val="00815893"/>
    <w:rsid w:val="00816A44"/>
    <w:rsid w:val="00820E26"/>
    <w:rsid w:val="0082593E"/>
    <w:rsid w:val="00840462"/>
    <w:rsid w:val="008420C3"/>
    <w:rsid w:val="0084462E"/>
    <w:rsid w:val="00846472"/>
    <w:rsid w:val="00847F9D"/>
    <w:rsid w:val="0085472C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D74B6"/>
    <w:rsid w:val="00A06D12"/>
    <w:rsid w:val="00A10B5D"/>
    <w:rsid w:val="00A15DE9"/>
    <w:rsid w:val="00A27C1F"/>
    <w:rsid w:val="00A34D9D"/>
    <w:rsid w:val="00A36786"/>
    <w:rsid w:val="00A431DD"/>
    <w:rsid w:val="00A645A6"/>
    <w:rsid w:val="00A677DA"/>
    <w:rsid w:val="00A74106"/>
    <w:rsid w:val="00A845BE"/>
    <w:rsid w:val="00A97B73"/>
    <w:rsid w:val="00AA32E0"/>
    <w:rsid w:val="00AA5367"/>
    <w:rsid w:val="00AA545E"/>
    <w:rsid w:val="00AC2686"/>
    <w:rsid w:val="00AD0997"/>
    <w:rsid w:val="00AD0EE2"/>
    <w:rsid w:val="00AD1072"/>
    <w:rsid w:val="00AF0CE9"/>
    <w:rsid w:val="00AF5D8E"/>
    <w:rsid w:val="00B03A16"/>
    <w:rsid w:val="00B13E56"/>
    <w:rsid w:val="00B14BBE"/>
    <w:rsid w:val="00B23482"/>
    <w:rsid w:val="00B25BE1"/>
    <w:rsid w:val="00B46B49"/>
    <w:rsid w:val="00B51F9D"/>
    <w:rsid w:val="00B52486"/>
    <w:rsid w:val="00B54D96"/>
    <w:rsid w:val="00B6099E"/>
    <w:rsid w:val="00B6427E"/>
    <w:rsid w:val="00B67778"/>
    <w:rsid w:val="00B754DF"/>
    <w:rsid w:val="00B8668D"/>
    <w:rsid w:val="00BA1706"/>
    <w:rsid w:val="00BA5571"/>
    <w:rsid w:val="00BB15C8"/>
    <w:rsid w:val="00BB1755"/>
    <w:rsid w:val="00BD4611"/>
    <w:rsid w:val="00BE4BA2"/>
    <w:rsid w:val="00BE5C91"/>
    <w:rsid w:val="00C10624"/>
    <w:rsid w:val="00C33156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B0B77"/>
    <w:rsid w:val="00CB2EAC"/>
    <w:rsid w:val="00CC7CA2"/>
    <w:rsid w:val="00CE2478"/>
    <w:rsid w:val="00CF5B26"/>
    <w:rsid w:val="00D23C4B"/>
    <w:rsid w:val="00D24B56"/>
    <w:rsid w:val="00D32FE3"/>
    <w:rsid w:val="00D375B5"/>
    <w:rsid w:val="00D45AC2"/>
    <w:rsid w:val="00D50CA0"/>
    <w:rsid w:val="00D51772"/>
    <w:rsid w:val="00D60C6B"/>
    <w:rsid w:val="00D87B52"/>
    <w:rsid w:val="00DA56D4"/>
    <w:rsid w:val="00DC03DB"/>
    <w:rsid w:val="00DC0BDC"/>
    <w:rsid w:val="00DC45C1"/>
    <w:rsid w:val="00DE163B"/>
    <w:rsid w:val="00DF295D"/>
    <w:rsid w:val="00E20095"/>
    <w:rsid w:val="00E32B8C"/>
    <w:rsid w:val="00E32EC5"/>
    <w:rsid w:val="00E370B3"/>
    <w:rsid w:val="00E452DA"/>
    <w:rsid w:val="00E55DC6"/>
    <w:rsid w:val="00E6234F"/>
    <w:rsid w:val="00E62350"/>
    <w:rsid w:val="00E72BC5"/>
    <w:rsid w:val="00E76B8F"/>
    <w:rsid w:val="00E76B9D"/>
    <w:rsid w:val="00E7782A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32C43"/>
    <w:rsid w:val="00F52125"/>
    <w:rsid w:val="00F537D2"/>
    <w:rsid w:val="00F62A46"/>
    <w:rsid w:val="00F630AC"/>
    <w:rsid w:val="00F66E4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B57DB"/>
  <w15:docId w15:val="{2EF88DAC-8666-404A-9E46-F6E04E1B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1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AC3"/>
  </w:style>
  <w:style w:type="paragraph" w:styleId="Footer">
    <w:name w:val="footer"/>
    <w:basedOn w:val="Normal"/>
    <w:link w:val="FooterChar"/>
    <w:uiPriority w:val="99"/>
    <w:unhideWhenUsed/>
    <w:rsid w:val="006A1A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AC3"/>
  </w:style>
  <w:style w:type="paragraph" w:styleId="ListParagraph">
    <w:name w:val="List Paragraph"/>
    <w:basedOn w:val="Normal"/>
    <w:uiPriority w:val="34"/>
    <w:qFormat/>
    <w:rsid w:val="00C33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D8626CEAEC42648C31C283759F40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2023-06-09T11:20:27Z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2023-06-08T22:00:00Z</Date_x0020_protokolli>
    <Titulli xmlns="0e656187-b300-4fb0-8bf4-3a50f872073c">Për disa ndryshime dhe shtesa në ligjin nr. 25/2022, “Për mbështetjen dhe zhvillimin e startup-eve</Titulli>
    <Modifikuesi xmlns="0e656187-b300-4fb0-8bf4-3a50f872073c">Suada.Daci</Modifikuesi>
    <Nr_x002e__x0020_prot_x0020_QBZ xmlns="0e656187-b300-4fb0-8bf4-3a50f872073c">848/3</Nr_x002e__x0020_prot_x0020_QBZ>
    <Data_x0020_e_x0020_Modifikimit xmlns="0e656187-b300-4fb0-8bf4-3a50f872073c">2023-06-09T11:29:13Z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1814/1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D8626CEAEC42648C31C283759F40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9118BD2-5749-46B5-B8F0-26453A1F8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613D72-B7F2-407C-8D27-62A2BA012030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437A950-A071-47CA-AFE0-BEA102528A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E2EC57-A7E7-482B-B35F-3E464DFEB7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5B4A28-2E3E-4AEA-A9A7-27A891942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142</cp:revision>
  <cp:lastPrinted>2023-05-30T12:18:00Z</cp:lastPrinted>
  <dcterms:created xsi:type="dcterms:W3CDTF">2022-12-12T12:13:00Z</dcterms:created>
  <dcterms:modified xsi:type="dcterms:W3CDTF">2023-06-12T08:37:00Z</dcterms:modified>
</cp:coreProperties>
</file>