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F62D6" w14:textId="77777777" w:rsidR="00420682" w:rsidRPr="007871C9" w:rsidRDefault="00420682" w:rsidP="005D6022">
      <w:pPr>
        <w:spacing w:after="0" w:line="240" w:lineRule="auto"/>
        <w:ind w:firstLine="284"/>
        <w:jc w:val="center"/>
        <w:rPr>
          <w:rFonts w:ascii="Garamond" w:hAnsi="Garamond" w:cs="Times New Roman"/>
          <w:b/>
          <w:sz w:val="24"/>
          <w:szCs w:val="24"/>
        </w:rPr>
      </w:pPr>
      <w:r w:rsidRPr="007871C9">
        <w:rPr>
          <w:rFonts w:ascii="Garamond" w:hAnsi="Garamond" w:cs="Times New Roman"/>
          <w:b/>
          <w:sz w:val="24"/>
          <w:szCs w:val="24"/>
        </w:rPr>
        <w:t>LIGJ</w:t>
      </w:r>
    </w:p>
    <w:p w14:paraId="4F2F88E1" w14:textId="77777777" w:rsidR="00420682" w:rsidRPr="007871C9" w:rsidRDefault="002009A1" w:rsidP="005D6022">
      <w:pPr>
        <w:spacing w:after="0" w:line="240" w:lineRule="auto"/>
        <w:ind w:firstLine="284"/>
        <w:jc w:val="center"/>
        <w:rPr>
          <w:rFonts w:ascii="Garamond" w:hAnsi="Garamond" w:cs="Times New Roman"/>
          <w:b/>
          <w:sz w:val="24"/>
          <w:szCs w:val="24"/>
        </w:rPr>
      </w:pPr>
      <w:r w:rsidRPr="007871C9">
        <w:rPr>
          <w:rFonts w:ascii="Garamond" w:hAnsi="Garamond" w:cs="Times New Roman"/>
          <w:b/>
          <w:sz w:val="24"/>
          <w:szCs w:val="24"/>
        </w:rPr>
        <w:t>Nr.</w:t>
      </w:r>
      <w:r w:rsidR="00F62A46" w:rsidRPr="007871C9">
        <w:rPr>
          <w:rFonts w:ascii="Garamond" w:hAnsi="Garamond" w:cs="Times New Roman"/>
          <w:b/>
          <w:sz w:val="24"/>
          <w:szCs w:val="24"/>
        </w:rPr>
        <w:t xml:space="preserve"> </w:t>
      </w:r>
      <w:r w:rsidR="005D7037" w:rsidRPr="007871C9">
        <w:rPr>
          <w:rFonts w:ascii="Garamond" w:hAnsi="Garamond" w:cs="Times New Roman"/>
          <w:b/>
          <w:sz w:val="24"/>
          <w:szCs w:val="24"/>
        </w:rPr>
        <w:t>15</w:t>
      </w:r>
      <w:r w:rsidR="007748A2" w:rsidRPr="007871C9">
        <w:rPr>
          <w:rFonts w:ascii="Garamond" w:hAnsi="Garamond" w:cs="Times New Roman"/>
          <w:b/>
          <w:sz w:val="24"/>
          <w:szCs w:val="24"/>
        </w:rPr>
        <w:t>/202</w:t>
      </w:r>
      <w:r w:rsidR="00CF26B1" w:rsidRPr="007871C9">
        <w:rPr>
          <w:rFonts w:ascii="Garamond" w:hAnsi="Garamond" w:cs="Times New Roman"/>
          <w:b/>
          <w:sz w:val="24"/>
          <w:szCs w:val="24"/>
        </w:rPr>
        <w:t>4</w:t>
      </w:r>
    </w:p>
    <w:p w14:paraId="6DA2F11C" w14:textId="77777777" w:rsidR="008814EA" w:rsidRPr="007871C9" w:rsidRDefault="008814EA" w:rsidP="005D6022">
      <w:pPr>
        <w:spacing w:after="0" w:line="240" w:lineRule="auto"/>
        <w:ind w:firstLine="284"/>
        <w:jc w:val="center"/>
        <w:rPr>
          <w:rFonts w:ascii="Garamond" w:hAnsi="Garamond" w:cs="Times New Roman"/>
          <w:bCs/>
          <w:sz w:val="24"/>
          <w:szCs w:val="24"/>
        </w:rPr>
      </w:pPr>
    </w:p>
    <w:p w14:paraId="1F08A30E"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PËR STRATEGJINË E MBROJTJES SË MJEDISIT DETAR</w:t>
      </w:r>
    </w:p>
    <w:p w14:paraId="29640882"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TË REPUBLIKËS SË SHQIPËRISË</w:t>
      </w:r>
      <w:r w:rsidRPr="007871C9">
        <w:rPr>
          <w:rStyle w:val="FootnoteReference"/>
          <w:rFonts w:ascii="Garamond" w:hAnsi="Garamond"/>
          <w:b/>
          <w:bCs/>
          <w:sz w:val="24"/>
          <w:szCs w:val="24"/>
        </w:rPr>
        <w:footnoteReference w:id="2"/>
      </w:r>
    </w:p>
    <w:p w14:paraId="51467ADF"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7E48D7D"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Në mbështetje të neneve 78 dhe 83, pika 1, të Kushtetutës, me propozimin e Këshillit të Ministrave, </w:t>
      </w:r>
    </w:p>
    <w:p w14:paraId="3614AB09"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51F23BB4"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KUVENDI</w:t>
      </w:r>
    </w:p>
    <w:p w14:paraId="54E95483"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I REPUBLIKËS SË SHQIPËRISË</w:t>
      </w:r>
    </w:p>
    <w:p w14:paraId="165C038E"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3010985"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VENDOSI:</w:t>
      </w:r>
    </w:p>
    <w:p w14:paraId="39D7103A" w14:textId="77777777" w:rsidR="00D87D60" w:rsidRPr="007871C9" w:rsidRDefault="00D87D60" w:rsidP="005D6022">
      <w:pPr>
        <w:spacing w:after="0" w:line="240" w:lineRule="auto"/>
        <w:ind w:firstLine="284"/>
        <w:jc w:val="center"/>
        <w:rPr>
          <w:rFonts w:ascii="Garamond" w:hAnsi="Garamond" w:cs="Times New Roman"/>
          <w:bCs/>
          <w:sz w:val="24"/>
          <w:szCs w:val="24"/>
        </w:rPr>
      </w:pPr>
    </w:p>
    <w:p w14:paraId="0A9663E8"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KREU I</w:t>
      </w:r>
    </w:p>
    <w:p w14:paraId="46835ECC"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DISPOZITA TË PËRGJITHSHME</w:t>
      </w:r>
    </w:p>
    <w:p w14:paraId="38D895B2" w14:textId="77777777" w:rsidR="00D87D60" w:rsidRPr="007871C9" w:rsidRDefault="00D87D60" w:rsidP="005D6022">
      <w:pPr>
        <w:spacing w:after="0" w:line="240" w:lineRule="auto"/>
        <w:ind w:firstLine="284"/>
        <w:jc w:val="center"/>
        <w:rPr>
          <w:rFonts w:ascii="Garamond" w:hAnsi="Garamond" w:cs="Times New Roman"/>
          <w:bCs/>
          <w:sz w:val="24"/>
          <w:szCs w:val="24"/>
        </w:rPr>
      </w:pPr>
    </w:p>
    <w:p w14:paraId="67F3A27B"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w:t>
      </w:r>
    </w:p>
    <w:p w14:paraId="08AD3A34"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Qëllimi i ligjit</w:t>
      </w:r>
    </w:p>
    <w:p w14:paraId="789E977B"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77264B88"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Qëllimi i këtij ligji është arritja dhe ruajtja e statusit të mirë mjedisor të ujërave detare të detit Mesdhe, të cilat janë nën sovranitetin e Republikës së Shqipërisë. </w:t>
      </w:r>
    </w:p>
    <w:p w14:paraId="132C985F"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30DE20A5"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2</w:t>
      </w:r>
    </w:p>
    <w:p w14:paraId="54973341"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Objekti i ligjit</w:t>
      </w:r>
    </w:p>
    <w:p w14:paraId="4796323C"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811F7AB"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Objekti i këtij ligji është hartimi dhe zbatimi i Strategjisë së Mbrojtjes së Mjedisit Detar të Republi</w:t>
      </w:r>
      <w:r w:rsidR="00E91D99" w:rsidRPr="007871C9">
        <w:rPr>
          <w:rFonts w:ascii="Garamond" w:hAnsi="Garamond" w:cs="Times New Roman"/>
          <w:bCs/>
          <w:sz w:val="24"/>
          <w:szCs w:val="24"/>
        </w:rPr>
        <w:t>kës së Shqipërisë me synim:</w:t>
      </w:r>
    </w:p>
    <w:p w14:paraId="14574D17"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mbrojtjen dhe ruajtjen e mjedisit detar;</w:t>
      </w:r>
    </w:p>
    <w:p w14:paraId="74352965"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 xml:space="preserve">parandalimin e përkeqësimit të mjedisit detar; </w:t>
      </w:r>
    </w:p>
    <w:p w14:paraId="3681F0D1"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c)</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restaurimin e ekosistemeve detare, që janë prekur negativisht; si dhe</w:t>
      </w:r>
    </w:p>
    <w:p w14:paraId="320055C6"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ç)</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parandalimin dhe uljen e hedhjeve në mjedisin detar, me qëllim eliminimin gradual të ndotjes, siç përcaktohet në pikën 6 të nenit 4 të këtij ligji, për të siguruar që nuk ka ndikime apo rreziqe të rëndësishme ndaj biodiversitetit detar, ekosistemeve detare, shëndetit të njeriut apo përdorimet e ligjshme të detit.</w:t>
      </w:r>
    </w:p>
    <w:p w14:paraId="51E74A38" w14:textId="77777777" w:rsidR="00E91D99" w:rsidRPr="007871C9" w:rsidRDefault="00E91D99" w:rsidP="005D6022">
      <w:pPr>
        <w:spacing w:after="0" w:line="240" w:lineRule="auto"/>
        <w:ind w:firstLine="284"/>
        <w:rPr>
          <w:rFonts w:ascii="Garamond" w:hAnsi="Garamond" w:cs="Times New Roman"/>
          <w:bCs/>
          <w:sz w:val="24"/>
          <w:szCs w:val="24"/>
        </w:rPr>
      </w:pPr>
    </w:p>
    <w:p w14:paraId="31173683"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3</w:t>
      </w:r>
    </w:p>
    <w:p w14:paraId="62931635"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Fusha e zbatimit të ligjit</w:t>
      </w:r>
    </w:p>
    <w:p w14:paraId="3FC7C832"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E57F0F1"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 xml:space="preserve">Dispozitat e këtij ligji zbatohen në të gjitha ujërat detare, siç përcaktohet në </w:t>
      </w:r>
      <w:r w:rsidR="00E91D99" w:rsidRPr="007871C9">
        <w:rPr>
          <w:rFonts w:ascii="Garamond" w:hAnsi="Garamond" w:cs="Times New Roman"/>
          <w:bCs/>
          <w:sz w:val="24"/>
          <w:szCs w:val="24"/>
        </w:rPr>
        <w:t>nenin 4</w:t>
      </w:r>
      <w:r w:rsidRPr="007871C9">
        <w:rPr>
          <w:rFonts w:ascii="Garamond" w:hAnsi="Garamond" w:cs="Times New Roman"/>
          <w:bCs/>
          <w:sz w:val="24"/>
          <w:szCs w:val="24"/>
        </w:rPr>
        <w:t xml:space="preserve"> të këtij ligji, duke marrë parasysh ndikimet ndërkufitare në cilësinë e mjed</w:t>
      </w:r>
      <w:r w:rsidR="00FA2ABC" w:rsidRPr="007871C9">
        <w:rPr>
          <w:rFonts w:ascii="Garamond" w:hAnsi="Garamond" w:cs="Times New Roman"/>
          <w:bCs/>
          <w:sz w:val="24"/>
          <w:szCs w:val="24"/>
        </w:rPr>
        <w:t>isit detar të shteteve të tjera</w:t>
      </w:r>
      <w:r w:rsidRPr="007871C9">
        <w:rPr>
          <w:rFonts w:ascii="Garamond" w:hAnsi="Garamond" w:cs="Times New Roman"/>
          <w:bCs/>
          <w:sz w:val="24"/>
          <w:szCs w:val="24"/>
        </w:rPr>
        <w:t xml:space="preserve"> me të cilat Republika e Shqipërisë ndan sovranitetin e saj mbi ujërat </w:t>
      </w:r>
      <w:r w:rsidR="00E91D99" w:rsidRPr="007871C9">
        <w:rPr>
          <w:rFonts w:ascii="Garamond" w:hAnsi="Garamond" w:cs="Times New Roman"/>
          <w:bCs/>
          <w:sz w:val="24"/>
          <w:szCs w:val="24"/>
        </w:rPr>
        <w:t>detare të nënrajoneve I dhe II.</w:t>
      </w:r>
    </w:p>
    <w:p w14:paraId="3EC33208"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2.</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Dispozitat e këtij ligji zbatohen nga organet përgjegjëse për menaxhimin e burimeve ujore, për hartimin e zbatimin e politikave për turizmin detar, për zonat e mbrojtura detare, për biodiversitetin dh</w:t>
      </w:r>
      <w:r w:rsidR="00E91D99" w:rsidRPr="007871C9">
        <w:rPr>
          <w:rFonts w:ascii="Garamond" w:hAnsi="Garamond" w:cs="Times New Roman"/>
          <w:bCs/>
          <w:sz w:val="24"/>
          <w:szCs w:val="24"/>
        </w:rPr>
        <w:t>e monitorimin e ujërave detare.</w:t>
      </w:r>
    </w:p>
    <w:p w14:paraId="616326B5"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3.</w:t>
      </w:r>
      <w:r w:rsidR="006420D0" w:rsidRPr="007871C9">
        <w:rPr>
          <w:rFonts w:ascii="Garamond" w:hAnsi="Garamond" w:cs="Times New Roman"/>
          <w:bCs/>
          <w:sz w:val="24"/>
          <w:szCs w:val="24"/>
        </w:rPr>
        <w:t xml:space="preserve"> </w:t>
      </w:r>
      <w:r w:rsidRPr="007871C9">
        <w:rPr>
          <w:rFonts w:ascii="Garamond" w:hAnsi="Garamond" w:cs="Times New Roman"/>
          <w:bCs/>
          <w:sz w:val="24"/>
          <w:szCs w:val="24"/>
        </w:rPr>
        <w:t xml:space="preserve">Dispozitat e këtij ligji nuk zbatohen për aktivitetet, qëllimi i vetëm i të cilave është </w:t>
      </w:r>
      <w:r w:rsidR="00514F71" w:rsidRPr="007871C9">
        <w:rPr>
          <w:rFonts w:ascii="Garamond" w:hAnsi="Garamond" w:cs="Times New Roman"/>
          <w:bCs/>
          <w:sz w:val="24"/>
          <w:szCs w:val="24"/>
        </w:rPr>
        <w:t>mbrojtja ose siguria kombëtare.</w:t>
      </w:r>
      <w:r w:rsidR="00FA2ABC" w:rsidRPr="007871C9">
        <w:rPr>
          <w:rFonts w:ascii="Garamond" w:hAnsi="Garamond" w:cs="Times New Roman"/>
          <w:bCs/>
          <w:sz w:val="24"/>
          <w:szCs w:val="24"/>
        </w:rPr>
        <w:t xml:space="preserve"> </w:t>
      </w:r>
      <w:r w:rsidR="00514F71" w:rsidRPr="007871C9">
        <w:rPr>
          <w:rFonts w:ascii="Garamond" w:hAnsi="Garamond" w:cs="Times New Roman"/>
          <w:bCs/>
          <w:sz w:val="24"/>
          <w:szCs w:val="24"/>
        </w:rPr>
        <w:t>A</w:t>
      </w:r>
      <w:r w:rsidRPr="007871C9">
        <w:rPr>
          <w:rFonts w:ascii="Garamond" w:hAnsi="Garamond" w:cs="Times New Roman"/>
          <w:bCs/>
          <w:sz w:val="24"/>
          <w:szCs w:val="24"/>
        </w:rPr>
        <w:t>utoritetet kompetente do të përpiqen të sigurojnë që këto aktivitete të kryhen në një mënyrë që është në përputhje, për aq sa është e arsyeshme dhe praktike, me objektivat e këtij ligji.</w:t>
      </w:r>
    </w:p>
    <w:p w14:paraId="33D0EABC"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70CA073C"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4</w:t>
      </w:r>
    </w:p>
    <w:p w14:paraId="118479F1"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Përkufizime</w:t>
      </w:r>
    </w:p>
    <w:p w14:paraId="2246D0D1"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1C5B998"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Për qëllimet e këtij lig</w:t>
      </w:r>
      <w:r w:rsidR="00E91D99" w:rsidRPr="007871C9">
        <w:rPr>
          <w:rFonts w:ascii="Garamond" w:hAnsi="Garamond" w:cs="Times New Roman"/>
          <w:bCs/>
          <w:sz w:val="24"/>
          <w:szCs w:val="24"/>
        </w:rPr>
        <w:t>ji</w:t>
      </w:r>
      <w:r w:rsidRPr="007871C9">
        <w:rPr>
          <w:rFonts w:ascii="Garamond" w:hAnsi="Garamond" w:cs="Times New Roman"/>
          <w:bCs/>
          <w:sz w:val="24"/>
          <w:szCs w:val="24"/>
        </w:rPr>
        <w:t xml:space="preserve"> zba</w:t>
      </w:r>
      <w:r w:rsidR="00E91D99" w:rsidRPr="007871C9">
        <w:rPr>
          <w:rFonts w:ascii="Garamond" w:hAnsi="Garamond" w:cs="Times New Roman"/>
          <w:bCs/>
          <w:sz w:val="24"/>
          <w:szCs w:val="24"/>
        </w:rPr>
        <w:t>tohen përkufizimet e mëposhtme:</w:t>
      </w:r>
    </w:p>
    <w:p w14:paraId="696DC3A0"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“Agjencia e Menaxhimit të Burimeve Ujore”</w:t>
      </w:r>
      <w:r w:rsidR="006420D0" w:rsidRPr="007871C9">
        <w:rPr>
          <w:rFonts w:ascii="Garamond" w:hAnsi="Garamond" w:cs="Times New Roman"/>
          <w:bCs/>
          <w:sz w:val="24"/>
          <w:szCs w:val="24"/>
        </w:rPr>
        <w:t xml:space="preserve"> është</w:t>
      </w:r>
      <w:r w:rsidR="00D87D60" w:rsidRPr="007871C9">
        <w:rPr>
          <w:rFonts w:ascii="Garamond" w:hAnsi="Garamond" w:cs="Times New Roman"/>
          <w:bCs/>
          <w:sz w:val="24"/>
          <w:szCs w:val="24"/>
        </w:rPr>
        <w:t xml:space="preserve"> organi përgjegjës për menaxhimi</w:t>
      </w:r>
      <w:r w:rsidR="00FA2ABC" w:rsidRPr="007871C9">
        <w:rPr>
          <w:rFonts w:ascii="Garamond" w:hAnsi="Garamond" w:cs="Times New Roman"/>
          <w:bCs/>
          <w:sz w:val="24"/>
          <w:szCs w:val="24"/>
        </w:rPr>
        <w:t>n e integruar të burimeve ujore</w:t>
      </w:r>
      <w:r w:rsidR="00D87D60" w:rsidRPr="007871C9">
        <w:rPr>
          <w:rFonts w:ascii="Garamond" w:hAnsi="Garamond" w:cs="Times New Roman"/>
          <w:bCs/>
          <w:sz w:val="24"/>
          <w:szCs w:val="24"/>
        </w:rPr>
        <w:t xml:space="preserve"> sipas le</w:t>
      </w:r>
      <w:r w:rsidR="00E91D99" w:rsidRPr="007871C9">
        <w:rPr>
          <w:rFonts w:ascii="Garamond" w:hAnsi="Garamond" w:cs="Times New Roman"/>
          <w:bCs/>
          <w:sz w:val="24"/>
          <w:szCs w:val="24"/>
        </w:rPr>
        <w:t>gjislacionit për burimet ujore.</w:t>
      </w:r>
    </w:p>
    <w:p w14:paraId="32F6AEF0" w14:textId="66840E0A"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“Bashkëpunimi rajonal”</w:t>
      </w:r>
      <w:r w:rsidR="008D4E77" w:rsidRPr="007871C9">
        <w:rPr>
          <w:rFonts w:ascii="Garamond" w:hAnsi="Garamond" w:cs="Times New Roman"/>
          <w:bCs/>
          <w:sz w:val="24"/>
          <w:szCs w:val="24"/>
        </w:rPr>
        <w:t xml:space="preserve"> është</w:t>
      </w:r>
      <w:r w:rsidR="007871C9">
        <w:rPr>
          <w:rFonts w:ascii="Garamond" w:hAnsi="Garamond" w:cs="Times New Roman"/>
          <w:bCs/>
          <w:sz w:val="24"/>
          <w:szCs w:val="24"/>
        </w:rPr>
        <w:t xml:space="preserve"> </w:t>
      </w:r>
      <w:r w:rsidR="00D87D60" w:rsidRPr="007871C9">
        <w:rPr>
          <w:rFonts w:ascii="Garamond" w:hAnsi="Garamond" w:cs="Times New Roman"/>
          <w:bCs/>
          <w:sz w:val="24"/>
          <w:szCs w:val="24"/>
        </w:rPr>
        <w:t xml:space="preserve">bashkëpunimi dhe koordinimi i veprimtarive ndërmjet shteteve që ndajnë sovranitetin mbi detin Adriatik dhe detin Jon, kur është e mundur, me vendet e rajonit detar mesdhetar dhe nënrajoneve detare I e II, me qëllim zhvillimin dhe zbatimin e strategjive </w:t>
      </w:r>
      <w:r w:rsidR="00E91D99" w:rsidRPr="007871C9">
        <w:rPr>
          <w:rFonts w:ascii="Garamond" w:hAnsi="Garamond" w:cs="Times New Roman"/>
          <w:bCs/>
          <w:sz w:val="24"/>
          <w:szCs w:val="24"/>
        </w:rPr>
        <w:t>për mbrojtjen e mjedisit detar.</w:t>
      </w:r>
    </w:p>
    <w:p w14:paraId="3CA1F08C" w14:textId="44077772"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3.</w:t>
      </w:r>
      <w:r w:rsidR="00094663">
        <w:rPr>
          <w:rFonts w:ascii="Garamond" w:hAnsi="Garamond" w:cs="Times New Roman"/>
          <w:bCs/>
          <w:sz w:val="24"/>
          <w:szCs w:val="24"/>
        </w:rPr>
        <w:t xml:space="preserve"> </w:t>
      </w:r>
      <w:r w:rsidR="00D87D60" w:rsidRPr="007871C9">
        <w:rPr>
          <w:rFonts w:ascii="Garamond" w:hAnsi="Garamond" w:cs="Times New Roman"/>
          <w:bCs/>
          <w:sz w:val="24"/>
          <w:szCs w:val="24"/>
        </w:rPr>
        <w:t>“Elementet e kritereve”</w:t>
      </w:r>
      <w:r w:rsidR="008D4E77" w:rsidRPr="007871C9">
        <w:rPr>
          <w:rFonts w:ascii="Garamond" w:hAnsi="Garamond" w:cs="Times New Roman"/>
          <w:bCs/>
          <w:sz w:val="24"/>
          <w:szCs w:val="24"/>
        </w:rPr>
        <w:t xml:space="preserve"> janë</w:t>
      </w:r>
      <w:r w:rsidR="00D87D60" w:rsidRPr="007871C9">
        <w:rPr>
          <w:rFonts w:ascii="Garamond" w:hAnsi="Garamond" w:cs="Times New Roman"/>
          <w:bCs/>
          <w:sz w:val="24"/>
          <w:szCs w:val="24"/>
        </w:rPr>
        <w:t xml:space="preserve"> elementet përbërëse të një ekosistemi, veçanërisht elementet e tij biologjike (speciet, habitatet dhe bashkësitë e tyre) apo aspektet e presioneve në mjedisin detar (biologjik, fizik, substancat, mbeturinat biologjike e fizike, si dhe energjia), të cilat</w:t>
      </w:r>
      <w:r w:rsidR="00E91D99" w:rsidRPr="007871C9">
        <w:rPr>
          <w:rFonts w:ascii="Garamond" w:hAnsi="Garamond" w:cs="Times New Roman"/>
          <w:bCs/>
          <w:sz w:val="24"/>
          <w:szCs w:val="24"/>
        </w:rPr>
        <w:t xml:space="preserve"> vlerësohen nën secilin kriter.</w:t>
      </w:r>
    </w:p>
    <w:p w14:paraId="2B961004"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“Konventa rajonale e detit”</w:t>
      </w:r>
      <w:r w:rsidR="008D4E77" w:rsidRPr="007871C9">
        <w:rPr>
          <w:rFonts w:ascii="Garamond" w:hAnsi="Garamond" w:cs="Times New Roman"/>
          <w:bCs/>
          <w:sz w:val="24"/>
          <w:szCs w:val="24"/>
        </w:rPr>
        <w:t xml:space="preserve"> është</w:t>
      </w:r>
      <w:r w:rsidR="00D87D60" w:rsidRPr="007871C9">
        <w:rPr>
          <w:rFonts w:ascii="Garamond" w:hAnsi="Garamond" w:cs="Times New Roman"/>
          <w:bCs/>
          <w:sz w:val="24"/>
          <w:szCs w:val="24"/>
        </w:rPr>
        <w:t xml:space="preserve"> Konventa për Mbrojtjen e Mjedisit Detar dhe Zonës Bregdetare të Detit Mesdhe, përfshirë protokollet e ratifikuara, Konv</w:t>
      </w:r>
      <w:r w:rsidR="00E91D99" w:rsidRPr="007871C9">
        <w:rPr>
          <w:rFonts w:ascii="Garamond" w:hAnsi="Garamond" w:cs="Times New Roman"/>
          <w:bCs/>
          <w:sz w:val="24"/>
          <w:szCs w:val="24"/>
        </w:rPr>
        <w:t>enta e Barcelonës e vitit 1976.</w:t>
      </w:r>
    </w:p>
    <w:p w14:paraId="36F1252C"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5. </w:t>
      </w:r>
      <w:r w:rsidR="00D87D60" w:rsidRPr="007871C9">
        <w:rPr>
          <w:rFonts w:ascii="Garamond" w:hAnsi="Garamond" w:cs="Times New Roman"/>
          <w:bCs/>
          <w:sz w:val="24"/>
          <w:szCs w:val="24"/>
        </w:rPr>
        <w:t>“Kriteret”</w:t>
      </w:r>
      <w:r w:rsidR="008D4E77" w:rsidRPr="007871C9">
        <w:rPr>
          <w:rFonts w:ascii="Garamond" w:hAnsi="Garamond" w:cs="Times New Roman"/>
          <w:bCs/>
          <w:sz w:val="24"/>
          <w:szCs w:val="24"/>
        </w:rPr>
        <w:t xml:space="preserve"> janë</w:t>
      </w:r>
      <w:r w:rsidR="00D87D60" w:rsidRPr="007871C9">
        <w:rPr>
          <w:rFonts w:ascii="Garamond" w:hAnsi="Garamond" w:cs="Times New Roman"/>
          <w:bCs/>
          <w:sz w:val="24"/>
          <w:szCs w:val="24"/>
        </w:rPr>
        <w:t xml:space="preserve"> karakteristikat dalluese teknike që janë të lidhura ngush</w:t>
      </w:r>
      <w:r w:rsidR="00E91D99" w:rsidRPr="007871C9">
        <w:rPr>
          <w:rFonts w:ascii="Garamond" w:hAnsi="Garamond" w:cs="Times New Roman"/>
          <w:bCs/>
          <w:sz w:val="24"/>
          <w:szCs w:val="24"/>
        </w:rPr>
        <w:t>të me karakteristikat cilësore.</w:t>
      </w:r>
    </w:p>
    <w:p w14:paraId="5C2BD9E8"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6. </w:t>
      </w:r>
      <w:r w:rsidR="00D87D60" w:rsidRPr="007871C9">
        <w:rPr>
          <w:rFonts w:ascii="Garamond" w:hAnsi="Garamond" w:cs="Times New Roman"/>
          <w:bCs/>
          <w:sz w:val="24"/>
          <w:szCs w:val="24"/>
        </w:rPr>
        <w:t>“Ndotje”</w:t>
      </w:r>
      <w:r w:rsidR="001E198E" w:rsidRPr="007871C9">
        <w:rPr>
          <w:rFonts w:ascii="Garamond" w:hAnsi="Garamond" w:cs="Times New Roman"/>
          <w:bCs/>
          <w:sz w:val="24"/>
          <w:szCs w:val="24"/>
        </w:rPr>
        <w:t xml:space="preserve"> është</w:t>
      </w:r>
      <w:r w:rsidR="00D87D60" w:rsidRPr="007871C9">
        <w:rPr>
          <w:rFonts w:ascii="Garamond" w:hAnsi="Garamond" w:cs="Times New Roman"/>
          <w:bCs/>
          <w:sz w:val="24"/>
          <w:szCs w:val="24"/>
        </w:rPr>
        <w:t xml:space="preserve"> futja e drejtpërdrejtë ose tërthorazi në mjedisin detar</w:t>
      </w:r>
      <w:r w:rsidR="00AC3794" w:rsidRPr="007871C9">
        <w:rPr>
          <w:rFonts w:ascii="Garamond" w:hAnsi="Garamond" w:cs="Times New Roman"/>
          <w:bCs/>
          <w:color w:val="000000" w:themeColor="text1"/>
          <w:sz w:val="24"/>
          <w:szCs w:val="24"/>
        </w:rPr>
        <w:t>,</w:t>
      </w:r>
      <w:r w:rsidR="00D87D60" w:rsidRPr="007871C9">
        <w:rPr>
          <w:rFonts w:ascii="Garamond" w:hAnsi="Garamond" w:cs="Times New Roman"/>
          <w:bCs/>
          <w:color w:val="000000" w:themeColor="text1"/>
          <w:sz w:val="24"/>
          <w:szCs w:val="24"/>
        </w:rPr>
        <w:t xml:space="preserve"> </w:t>
      </w:r>
      <w:r w:rsidR="00D87D60" w:rsidRPr="007871C9">
        <w:rPr>
          <w:rFonts w:ascii="Garamond" w:hAnsi="Garamond" w:cs="Times New Roman"/>
          <w:bCs/>
          <w:sz w:val="24"/>
          <w:szCs w:val="24"/>
        </w:rPr>
        <w:t xml:space="preserve">si pasojë e veprimtarisë njerëzore, e substancave dhe e energjisë, përfshirë zhurmat në ujërat detare të shkaktuara nga dora e njeriut, </w:t>
      </w:r>
      <w:r w:rsidR="00274C02" w:rsidRPr="007871C9">
        <w:rPr>
          <w:rFonts w:ascii="Garamond" w:hAnsi="Garamond" w:cs="Times New Roman"/>
          <w:sz w:val="24"/>
          <w:szCs w:val="24"/>
        </w:rPr>
        <w:t>si dhe nga veprimtaria industriale, bujqësore, agropërpunuese, urbane dhe e trafikut detar,</w:t>
      </w:r>
      <w:r w:rsidR="00274C02" w:rsidRPr="007871C9">
        <w:rPr>
          <w:rFonts w:ascii="Garamond" w:hAnsi="Garamond" w:cs="Times New Roman"/>
          <w:bCs/>
          <w:sz w:val="24"/>
          <w:szCs w:val="24"/>
        </w:rPr>
        <w:t xml:space="preserve"> </w:t>
      </w:r>
      <w:r w:rsidR="00D87D60" w:rsidRPr="007871C9">
        <w:rPr>
          <w:rFonts w:ascii="Garamond" w:hAnsi="Garamond" w:cs="Times New Roman"/>
          <w:bCs/>
          <w:sz w:val="24"/>
          <w:szCs w:val="24"/>
        </w:rPr>
        <w:t>gjë që sjell apo ka gjasa të sjellë si pasojë ndikime të dëmshme, të tilla si: dëmtimi i gjallesave dhe i ekosistemeve detare, përfshirë humbjen e biodiversitetit, rreziqet ndaj shëndetit të njeriut, pengesat ndaj veprimtarive detare, përfshirë peshkimin, turizmin dhe përdorime të tjera të ligjshme të detit, dëmtimi i cilësisë për përdorimin e ujit të detit dhe zvogëlimi i pajisjeve ose, në përgjithësi, dëmtimi i përdorimit të qëndrueshëm të mal</w:t>
      </w:r>
      <w:r w:rsidR="00E91D99" w:rsidRPr="007871C9">
        <w:rPr>
          <w:rFonts w:ascii="Garamond" w:hAnsi="Garamond" w:cs="Times New Roman"/>
          <w:bCs/>
          <w:sz w:val="24"/>
          <w:szCs w:val="24"/>
        </w:rPr>
        <w:t>lrave dhe të shërbimeve detare.</w:t>
      </w:r>
    </w:p>
    <w:p w14:paraId="195379B7"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7. </w:t>
      </w:r>
      <w:r w:rsidR="00807475" w:rsidRPr="007871C9">
        <w:rPr>
          <w:rFonts w:ascii="Garamond" w:hAnsi="Garamond" w:cs="Times New Roman"/>
          <w:bCs/>
          <w:sz w:val="24"/>
          <w:szCs w:val="24"/>
        </w:rPr>
        <w:t>“Nënrajonet detare” janë</w:t>
      </w:r>
      <w:r w:rsidR="00D87D60" w:rsidRPr="007871C9">
        <w:rPr>
          <w:rFonts w:ascii="Garamond" w:hAnsi="Garamond" w:cs="Times New Roman"/>
          <w:bCs/>
          <w:sz w:val="24"/>
          <w:szCs w:val="24"/>
        </w:rPr>
        <w:t xml:space="preserve"> nënrajonet </w:t>
      </w:r>
      <w:r w:rsidR="00D87D60" w:rsidRPr="007871C9">
        <w:rPr>
          <w:rFonts w:ascii="Garamond" w:hAnsi="Garamond" w:cs="Times New Roman"/>
          <w:bCs/>
          <w:color w:val="000000" w:themeColor="text1"/>
          <w:sz w:val="24"/>
          <w:szCs w:val="24"/>
        </w:rPr>
        <w:t>deti</w:t>
      </w:r>
      <w:r w:rsidR="00D87D60" w:rsidRPr="007871C9">
        <w:rPr>
          <w:rFonts w:ascii="Garamond" w:hAnsi="Garamond" w:cs="Times New Roman"/>
          <w:bCs/>
          <w:color w:val="FF0000"/>
          <w:sz w:val="24"/>
          <w:szCs w:val="24"/>
        </w:rPr>
        <w:t xml:space="preserve"> </w:t>
      </w:r>
      <w:r w:rsidR="00D87D60" w:rsidRPr="007871C9">
        <w:rPr>
          <w:rFonts w:ascii="Garamond" w:hAnsi="Garamond" w:cs="Times New Roman"/>
          <w:bCs/>
          <w:sz w:val="24"/>
          <w:szCs w:val="24"/>
        </w:rPr>
        <w:t>Adriatik (nënrajoni I) dhe deti Jon e deti i Mesdheut Qendror (nënnrajoni II), pjesë përbërëse të rajonit detar të Mesd</w:t>
      </w:r>
      <w:r w:rsidR="00E91D99" w:rsidRPr="007871C9">
        <w:rPr>
          <w:rFonts w:ascii="Garamond" w:hAnsi="Garamond" w:cs="Times New Roman"/>
          <w:bCs/>
          <w:sz w:val="24"/>
          <w:szCs w:val="24"/>
        </w:rPr>
        <w:t>heut nën sovranitetin shqiptar.</w:t>
      </w:r>
    </w:p>
    <w:p w14:paraId="3271328E"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8. </w:t>
      </w:r>
      <w:r w:rsidR="00D87D60" w:rsidRPr="007871C9">
        <w:rPr>
          <w:rFonts w:ascii="Garamond" w:hAnsi="Garamond" w:cs="Times New Roman"/>
          <w:bCs/>
          <w:sz w:val="24"/>
          <w:szCs w:val="24"/>
        </w:rPr>
        <w:t xml:space="preserve">“Nënndarjet e </w:t>
      </w:r>
      <w:r w:rsidR="000E78CD" w:rsidRPr="007871C9">
        <w:rPr>
          <w:rFonts w:ascii="Garamond" w:hAnsi="Garamond" w:cs="Times New Roman"/>
          <w:bCs/>
          <w:sz w:val="24"/>
          <w:szCs w:val="24"/>
        </w:rPr>
        <w:t>nënrajoneve detare” janë</w:t>
      </w:r>
      <w:r w:rsidR="00D87D60" w:rsidRPr="007871C9">
        <w:rPr>
          <w:rFonts w:ascii="Garamond" w:hAnsi="Garamond" w:cs="Times New Roman"/>
          <w:bCs/>
          <w:sz w:val="24"/>
          <w:szCs w:val="24"/>
        </w:rPr>
        <w:t xml:space="preserve"> nënndarjet e bëra me</w:t>
      </w:r>
      <w:r w:rsidR="00E91D99" w:rsidRPr="007871C9">
        <w:rPr>
          <w:rFonts w:ascii="Garamond" w:hAnsi="Garamond" w:cs="Times New Roman"/>
          <w:bCs/>
          <w:sz w:val="24"/>
          <w:szCs w:val="24"/>
        </w:rPr>
        <w:t xml:space="preserve"> qëllim zbatimin e këtij ligji.</w:t>
      </w:r>
    </w:p>
    <w:p w14:paraId="3BAD3998"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9. </w:t>
      </w:r>
      <w:r w:rsidR="000E78CD" w:rsidRPr="007871C9">
        <w:rPr>
          <w:rFonts w:ascii="Garamond" w:hAnsi="Garamond" w:cs="Times New Roman"/>
          <w:bCs/>
          <w:sz w:val="24"/>
          <w:szCs w:val="24"/>
        </w:rPr>
        <w:t>“Objektiv mjedisor” është</w:t>
      </w:r>
      <w:r w:rsidR="00D87D60" w:rsidRPr="007871C9">
        <w:rPr>
          <w:rFonts w:ascii="Garamond" w:hAnsi="Garamond" w:cs="Times New Roman"/>
          <w:bCs/>
          <w:sz w:val="24"/>
          <w:szCs w:val="24"/>
        </w:rPr>
        <w:t xml:space="preserve"> gjendja cilësore ose sasiore e synuar e përbërësve të ndryshëm të ujërave detare në nënrajonet detare I dhe II, si dhe e presioneve e ndikimeve mbi to. Objektivat mjedisor</w:t>
      </w:r>
      <w:r w:rsidR="005D7037" w:rsidRPr="007871C9">
        <w:rPr>
          <w:rFonts w:ascii="Garamond" w:hAnsi="Garamond" w:cs="Times New Roman"/>
          <w:bCs/>
          <w:sz w:val="24"/>
          <w:szCs w:val="24"/>
        </w:rPr>
        <w:t>ë</w:t>
      </w:r>
      <w:r w:rsidR="00D87D60" w:rsidRPr="007871C9">
        <w:rPr>
          <w:rFonts w:ascii="Garamond" w:hAnsi="Garamond" w:cs="Times New Roman"/>
          <w:bCs/>
          <w:sz w:val="24"/>
          <w:szCs w:val="24"/>
        </w:rPr>
        <w:t xml:space="preserve"> përcaktohen n</w:t>
      </w:r>
      <w:r w:rsidR="000E78CD" w:rsidRPr="007871C9">
        <w:rPr>
          <w:rFonts w:ascii="Garamond" w:hAnsi="Garamond" w:cs="Times New Roman"/>
          <w:bCs/>
          <w:sz w:val="24"/>
          <w:szCs w:val="24"/>
        </w:rPr>
        <w:t>ë përputhje me nenin 10</w:t>
      </w:r>
      <w:r w:rsidR="00E91D99" w:rsidRPr="007871C9">
        <w:rPr>
          <w:rFonts w:ascii="Garamond" w:hAnsi="Garamond" w:cs="Times New Roman"/>
          <w:bCs/>
          <w:sz w:val="24"/>
          <w:szCs w:val="24"/>
        </w:rPr>
        <w:t xml:space="preserve"> të këtij ligji.</w:t>
      </w:r>
    </w:p>
    <w:p w14:paraId="7F87450C"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10.</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“Rajon detar” është</w:t>
      </w:r>
      <w:r w:rsidR="00D87D60" w:rsidRPr="007871C9">
        <w:rPr>
          <w:rFonts w:ascii="Garamond" w:hAnsi="Garamond" w:cs="Times New Roman"/>
          <w:bCs/>
          <w:sz w:val="24"/>
          <w:szCs w:val="24"/>
        </w:rPr>
        <w:t xml:space="preserve"> deti Mesdhe (Mesdheu)</w:t>
      </w:r>
      <w:r w:rsidR="00E91D99" w:rsidRPr="007871C9">
        <w:rPr>
          <w:rFonts w:ascii="Garamond" w:hAnsi="Garamond" w:cs="Times New Roman"/>
          <w:bCs/>
          <w:sz w:val="24"/>
          <w:szCs w:val="24"/>
        </w:rPr>
        <w:t>.</w:t>
      </w:r>
    </w:p>
    <w:p w14:paraId="0370CC7B"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11.</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“Lloj i huaj” është</w:t>
      </w:r>
      <w:r w:rsidR="00D87D60" w:rsidRPr="007871C9">
        <w:rPr>
          <w:rFonts w:ascii="Garamond" w:hAnsi="Garamond" w:cs="Times New Roman"/>
          <w:bCs/>
          <w:sz w:val="24"/>
          <w:szCs w:val="24"/>
        </w:rPr>
        <w:t xml:space="preserve"> një kafshë, bimë apo mikroorganizëm, që ndodhet jashtë shtrirjes natyrore dhe potencialit të përhapjes dhe përfshin çdo pjesë ose gamet, që mund të mbijetojë dhe të riprodhohet.</w:t>
      </w:r>
    </w:p>
    <w:p w14:paraId="19614C8C"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12.</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“Lloj i huaj invaziv” është</w:t>
      </w:r>
      <w:r w:rsidR="00D87D60" w:rsidRPr="007871C9">
        <w:rPr>
          <w:rFonts w:ascii="Garamond" w:hAnsi="Garamond" w:cs="Times New Roman"/>
          <w:bCs/>
          <w:sz w:val="24"/>
          <w:szCs w:val="24"/>
        </w:rPr>
        <w:t xml:space="preserve"> një lloj i huaj, që zë vend në ekosisteme, habitate ose peizazhe a që vepron si një faktor ndryshimi dhe kërcënon mjedisin, shëndetin e njeriu</w:t>
      </w:r>
      <w:r w:rsidR="00E91D99" w:rsidRPr="007871C9">
        <w:rPr>
          <w:rFonts w:ascii="Garamond" w:hAnsi="Garamond" w:cs="Times New Roman"/>
          <w:bCs/>
          <w:sz w:val="24"/>
          <w:szCs w:val="24"/>
        </w:rPr>
        <w:t>t ose zhvillimin e qëndrueshëm.</w:t>
      </w:r>
    </w:p>
    <w:p w14:paraId="44C263BC"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13.</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“Status mjedisor” është</w:t>
      </w:r>
      <w:r w:rsidR="00D87D60" w:rsidRPr="007871C9">
        <w:rPr>
          <w:rFonts w:ascii="Garamond" w:hAnsi="Garamond" w:cs="Times New Roman"/>
          <w:bCs/>
          <w:sz w:val="24"/>
          <w:szCs w:val="24"/>
        </w:rPr>
        <w:t xml:space="preserve"> gjendja e përgjithshme e mjedisit në ujërat detare, duke marrë parasysh strukturën, funksionin dhe proceset e ekosistemeve detare përbërëse, së bashku me faktorët natyrorë fiziografikë, gjeografikë, biologjikë, gjeologjikë dhe klimatikë, si dhe kushtet fizike, akustike dhe kimike, përfshirë ato që rezultojnë nga veprimtaria njerëzore brenda</w:t>
      </w:r>
      <w:r w:rsidR="00E91D99" w:rsidRPr="007871C9">
        <w:rPr>
          <w:rFonts w:ascii="Garamond" w:hAnsi="Garamond" w:cs="Times New Roman"/>
          <w:bCs/>
          <w:sz w:val="24"/>
          <w:szCs w:val="24"/>
        </w:rPr>
        <w:t xml:space="preserve"> ose jashtë zonës në fjalë.</w:t>
      </w:r>
    </w:p>
    <w:p w14:paraId="70790B12"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14.</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“Status i mirë mjedisor”</w:t>
      </w:r>
      <w:r w:rsidR="000E78CD" w:rsidRPr="007871C9">
        <w:rPr>
          <w:rFonts w:ascii="Garamond" w:hAnsi="Garamond" w:cs="Times New Roman"/>
          <w:bCs/>
          <w:sz w:val="24"/>
          <w:szCs w:val="24"/>
        </w:rPr>
        <w:t xml:space="preserve"> është</w:t>
      </w:r>
      <w:r w:rsidRPr="007871C9">
        <w:rPr>
          <w:rFonts w:ascii="Garamond" w:hAnsi="Garamond" w:cs="Times New Roman"/>
          <w:bCs/>
          <w:sz w:val="24"/>
          <w:szCs w:val="24"/>
        </w:rPr>
        <w:t xml:space="preserve"> statusi mjedisor i ujërave detare, ekologjikisht të larmishme dhe dinamike, i cili është i pastër, i shëndetshëm dhe produktiv brenda kushteve të tij të brendshme, ndërsa përdorimi i mjedisit të tij detar është në një nivel të qëndrueshëm, duke mbrojtur kështu potencialin për t’u përdorur nga brezat aktualë </w:t>
      </w:r>
      <w:r w:rsidR="00E91D99" w:rsidRPr="007871C9">
        <w:rPr>
          <w:rFonts w:ascii="Garamond" w:hAnsi="Garamond" w:cs="Times New Roman"/>
          <w:bCs/>
          <w:sz w:val="24"/>
          <w:szCs w:val="24"/>
        </w:rPr>
        <w:t>dhe të ardhshëm, ku përfshihen:</w:t>
      </w:r>
    </w:p>
    <w:p w14:paraId="6EAAA154"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struktura, funksionet dhe proceset e ekosistemeve detare përbërëse, së bashku me faktorët e lidhur fizikë, gjeografikë, biologjikë, kimikë, gjeologjikë dhe klimatikë, që lejojnë që këto ekosisteme të funksionojnë plotësisht dhe të ruajnë qëndrueshmërinë e tyre ndaj ndryshimeve mjedisore të shkaktuara nga dora e njeriut. Speciet detare dhe habitatet janë të mbrojtura, rënia e biodiversitetit e shkaktuar nga dora e njeriut është parandaluar dhe përbërësit e ndryshëm biologjikë funksionojnë në ekuilibër;</w:t>
      </w:r>
    </w:p>
    <w:p w14:paraId="22FC1405"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vetitë hidromorfologjike, fizike dhe kimike të ekosistemeve, përfshirë ato veti që rezultojnë nga veprimtaria njerëzore në zonën në fjalë, që mbështesin ekosistemet. Prurjet antropogjene të substancave dhe energjisë, përfshirë zhurmën në mjedisin detar nuk shkaktojnë efekte të ndotjes;</w:t>
      </w:r>
    </w:p>
    <w:p w14:paraId="3B98CB13" w14:textId="77777777" w:rsidR="00D87D60" w:rsidRPr="007871C9" w:rsidRDefault="000E78CD"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statusi i mirë mjedisor, në nivelin e nënrajoneve detare I dhe II, përcaktohet në bazë të karakteristikave cil</w:t>
      </w:r>
      <w:r w:rsidR="00881967" w:rsidRPr="007871C9">
        <w:rPr>
          <w:rFonts w:ascii="Garamond" w:hAnsi="Garamond" w:cs="Times New Roman"/>
          <w:bCs/>
          <w:sz w:val="24"/>
          <w:szCs w:val="24"/>
        </w:rPr>
        <w:t>ësore</w:t>
      </w:r>
      <w:r w:rsidR="00D87D60" w:rsidRPr="007871C9">
        <w:rPr>
          <w:rFonts w:ascii="Garamond" w:hAnsi="Garamond" w:cs="Times New Roman"/>
          <w:bCs/>
          <w:sz w:val="24"/>
          <w:szCs w:val="24"/>
        </w:rPr>
        <w:t xml:space="preserve"> të përcaktuara në këtë ligj. </w:t>
      </w:r>
      <w:r w:rsidR="00274C02" w:rsidRPr="007871C9">
        <w:rPr>
          <w:rFonts w:ascii="Garamond" w:hAnsi="Garamond" w:cs="Times New Roman"/>
          <w:sz w:val="24"/>
          <w:szCs w:val="24"/>
        </w:rPr>
        <w:t>Do të aplikohet një menaxhim i orientuar në përshtatje me bazat e ekosistemit, me qëllim arritjen e statusit të mirë mjedisor</w:t>
      </w:r>
      <w:r w:rsidR="00E91D99" w:rsidRPr="007871C9">
        <w:rPr>
          <w:rFonts w:ascii="Garamond" w:hAnsi="Garamond" w:cs="Times New Roman"/>
          <w:bCs/>
          <w:sz w:val="24"/>
          <w:szCs w:val="24"/>
        </w:rPr>
        <w:t>.</w:t>
      </w:r>
    </w:p>
    <w:p w14:paraId="6FB367C6"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lastRenderedPageBreak/>
        <w:t>15.</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 xml:space="preserve">“Strategjia </w:t>
      </w:r>
      <w:r w:rsidR="00881967" w:rsidRPr="007871C9">
        <w:rPr>
          <w:rFonts w:ascii="Garamond" w:hAnsi="Garamond" w:cs="Times New Roman"/>
          <w:bCs/>
          <w:sz w:val="24"/>
          <w:szCs w:val="24"/>
        </w:rPr>
        <w:t>për mbrojtjen e mjedisit detar” është</w:t>
      </w:r>
      <w:r w:rsidRPr="007871C9">
        <w:rPr>
          <w:rFonts w:ascii="Garamond" w:hAnsi="Garamond" w:cs="Times New Roman"/>
          <w:bCs/>
          <w:sz w:val="24"/>
          <w:szCs w:val="24"/>
        </w:rPr>
        <w:t xml:space="preserve"> strategjia që do të hartohet dhe zbatohet në lidhje me nënrajonet I dh</w:t>
      </w:r>
      <w:r w:rsidR="00881967" w:rsidRPr="007871C9">
        <w:rPr>
          <w:rFonts w:ascii="Garamond" w:hAnsi="Garamond" w:cs="Times New Roman"/>
          <w:bCs/>
          <w:sz w:val="24"/>
          <w:szCs w:val="24"/>
        </w:rPr>
        <w:t>e II në Republikën e Shqipërisë</w:t>
      </w:r>
      <w:r w:rsidRPr="007871C9">
        <w:rPr>
          <w:rFonts w:ascii="Garamond" w:hAnsi="Garamond" w:cs="Times New Roman"/>
          <w:bCs/>
          <w:sz w:val="24"/>
          <w:szCs w:val="24"/>
        </w:rPr>
        <w:t xml:space="preserve"> në përput</w:t>
      </w:r>
      <w:r w:rsidR="00881967" w:rsidRPr="007871C9">
        <w:rPr>
          <w:rFonts w:ascii="Garamond" w:hAnsi="Garamond" w:cs="Times New Roman"/>
          <w:bCs/>
          <w:sz w:val="24"/>
          <w:szCs w:val="24"/>
        </w:rPr>
        <w:t>hje me nenin 5</w:t>
      </w:r>
      <w:r w:rsidR="00E91D99" w:rsidRPr="007871C9">
        <w:rPr>
          <w:rFonts w:ascii="Garamond" w:hAnsi="Garamond" w:cs="Times New Roman"/>
          <w:bCs/>
          <w:sz w:val="24"/>
          <w:szCs w:val="24"/>
        </w:rPr>
        <w:t xml:space="preserve"> të këtij ligji.</w:t>
      </w:r>
    </w:p>
    <w:p w14:paraId="50A108E5" w14:textId="77777777" w:rsidR="00D87D60" w:rsidRPr="007871C9" w:rsidRDefault="00E91D99"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16.</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 xml:space="preserve">“Ujëra detare” janë: </w:t>
      </w:r>
    </w:p>
    <w:p w14:paraId="4CDF1DAB"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 xml:space="preserve">ujërat, shtrati i detit dhe nëntoka në anën e detit të vijës bazë, nga e cila matet shtrirja e ujërave territoriale, duke u </w:t>
      </w:r>
      <w:r w:rsidR="00D93E5E" w:rsidRPr="007871C9">
        <w:rPr>
          <w:rFonts w:ascii="Garamond" w:hAnsi="Garamond" w:cs="Times New Roman"/>
          <w:bCs/>
          <w:sz w:val="24"/>
          <w:szCs w:val="24"/>
        </w:rPr>
        <w:t>shtrirë deri në kufijtë e zonës</w:t>
      </w:r>
      <w:r w:rsidRPr="007871C9">
        <w:rPr>
          <w:rFonts w:ascii="Garamond" w:hAnsi="Garamond" w:cs="Times New Roman"/>
          <w:bCs/>
          <w:sz w:val="24"/>
          <w:szCs w:val="24"/>
        </w:rPr>
        <w:t xml:space="preserve"> ku Republika e Shqipërisë ushtron të drejtat e sovranitetit, në përputhje me konventën e OKB-së për të Drejtën e Detit (UNCLOS, 1982);</w:t>
      </w:r>
    </w:p>
    <w:p w14:paraId="26821937"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ujërat bregdetare, sht</w:t>
      </w:r>
      <w:r w:rsidR="00881967" w:rsidRPr="007871C9">
        <w:rPr>
          <w:rFonts w:ascii="Garamond" w:hAnsi="Garamond" w:cs="Times New Roman"/>
          <w:bCs/>
          <w:sz w:val="24"/>
          <w:szCs w:val="24"/>
        </w:rPr>
        <w:t>rati i detit dhe nëntoka e tyre</w:t>
      </w:r>
      <w:r w:rsidRPr="007871C9">
        <w:rPr>
          <w:rFonts w:ascii="Garamond" w:hAnsi="Garamond" w:cs="Times New Roman"/>
          <w:bCs/>
          <w:sz w:val="24"/>
          <w:szCs w:val="24"/>
        </w:rPr>
        <w:t xml:space="preserve"> në përputhje me përkufizimin e përcaktuar në legjislacionin për burimet ujore, për aq sa aspektet e veçanta të statusit mjedisor të mjedisit detar nuk trajtohen prej t</w:t>
      </w:r>
      <w:r w:rsidR="00E91D99" w:rsidRPr="007871C9">
        <w:rPr>
          <w:rFonts w:ascii="Garamond" w:hAnsi="Garamond" w:cs="Times New Roman"/>
          <w:bCs/>
          <w:sz w:val="24"/>
          <w:szCs w:val="24"/>
        </w:rPr>
        <w:t xml:space="preserve">ij apo </w:t>
      </w:r>
      <w:r w:rsidR="00D93E5E" w:rsidRPr="007871C9">
        <w:rPr>
          <w:rFonts w:ascii="Garamond" w:hAnsi="Garamond" w:cs="Times New Roman"/>
          <w:bCs/>
          <w:sz w:val="24"/>
          <w:szCs w:val="24"/>
        </w:rPr>
        <w:t xml:space="preserve">nga </w:t>
      </w:r>
      <w:r w:rsidR="00E91D99" w:rsidRPr="007871C9">
        <w:rPr>
          <w:rFonts w:ascii="Garamond" w:hAnsi="Garamond" w:cs="Times New Roman"/>
          <w:bCs/>
          <w:sz w:val="24"/>
          <w:szCs w:val="24"/>
        </w:rPr>
        <w:t>një legjislacion tjetër.</w:t>
      </w:r>
    </w:p>
    <w:p w14:paraId="680E22A1" w14:textId="65B7CA8F"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17.</w:t>
      </w:r>
      <w:r w:rsidR="007871C9">
        <w:rPr>
          <w:rFonts w:ascii="Garamond" w:hAnsi="Garamond" w:cs="Times New Roman"/>
          <w:bCs/>
          <w:sz w:val="24"/>
          <w:szCs w:val="24"/>
        </w:rPr>
        <w:t xml:space="preserve"> </w:t>
      </w:r>
      <w:r w:rsidRPr="007871C9">
        <w:rPr>
          <w:rFonts w:ascii="Garamond" w:hAnsi="Garamond" w:cs="Times New Roman"/>
          <w:bCs/>
          <w:sz w:val="24"/>
          <w:szCs w:val="24"/>
        </w:rPr>
        <w:t>“Vlera prag” është</w:t>
      </w:r>
      <w:r w:rsidR="00D87D60" w:rsidRPr="007871C9">
        <w:rPr>
          <w:rFonts w:ascii="Garamond" w:hAnsi="Garamond" w:cs="Times New Roman"/>
          <w:bCs/>
          <w:sz w:val="24"/>
          <w:szCs w:val="24"/>
        </w:rPr>
        <w:t xml:space="preserve"> një vlerë ose varg vlerash që bëjnë të mundur vlerësimin e nivelit të cilësisë së arritur për një kriter të veçantë, duke kontribuuar kështu në vlerësimin e nivelit të arritur të statusit të mirë mjedisor.</w:t>
      </w:r>
    </w:p>
    <w:p w14:paraId="0153578E"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755286A0"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KREU II</w:t>
      </w:r>
    </w:p>
    <w:p w14:paraId="7A039020"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HARTIMI DHE ZBATIMI I STRATEGJISË SË MBR</w:t>
      </w:r>
      <w:r w:rsidR="00E91D99" w:rsidRPr="007871C9">
        <w:rPr>
          <w:rFonts w:ascii="Garamond" w:hAnsi="Garamond" w:cs="Times New Roman"/>
          <w:bCs/>
          <w:sz w:val="24"/>
          <w:szCs w:val="24"/>
        </w:rPr>
        <w:t xml:space="preserve">OJTJES </w:t>
      </w:r>
      <w:r w:rsidRPr="007871C9">
        <w:rPr>
          <w:rFonts w:ascii="Garamond" w:hAnsi="Garamond" w:cs="Times New Roman"/>
          <w:bCs/>
          <w:sz w:val="24"/>
          <w:szCs w:val="24"/>
        </w:rPr>
        <w:t>SË MJEDISIT DETAR</w:t>
      </w:r>
    </w:p>
    <w:p w14:paraId="75BD057F" w14:textId="77777777" w:rsidR="00D87D60" w:rsidRPr="007871C9" w:rsidRDefault="00D87D60" w:rsidP="005D6022">
      <w:pPr>
        <w:spacing w:after="0" w:line="240" w:lineRule="auto"/>
        <w:ind w:firstLine="284"/>
        <w:jc w:val="center"/>
        <w:rPr>
          <w:rFonts w:ascii="Garamond" w:hAnsi="Garamond" w:cs="Times New Roman"/>
          <w:bCs/>
          <w:sz w:val="24"/>
          <w:szCs w:val="24"/>
        </w:rPr>
      </w:pPr>
    </w:p>
    <w:p w14:paraId="6F88CC4D"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5</w:t>
      </w:r>
    </w:p>
    <w:p w14:paraId="6E1286DA"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Strategjia e Mbrojtjes së Mjedisit Detar të Republikës së Shqipërisë</w:t>
      </w:r>
    </w:p>
    <w:p w14:paraId="57CC5427"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54C538DA"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1.</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Strategjia e Mbrojtjes së Mjedisit Detar të Republikës së Shqipërisë harto</w:t>
      </w:r>
      <w:r w:rsidR="00E91D99" w:rsidRPr="007871C9">
        <w:rPr>
          <w:rFonts w:ascii="Garamond" w:hAnsi="Garamond" w:cs="Times New Roman"/>
          <w:bCs/>
          <w:sz w:val="24"/>
          <w:szCs w:val="24"/>
        </w:rPr>
        <w:t xml:space="preserve">het sipas fazave të mëposhtme: </w:t>
      </w:r>
    </w:p>
    <w:p w14:paraId="2D22F77C"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 f</w:t>
      </w:r>
      <w:r w:rsidR="00D87D60" w:rsidRPr="007871C9">
        <w:rPr>
          <w:rFonts w:ascii="Garamond" w:hAnsi="Garamond" w:cs="Times New Roman"/>
          <w:bCs/>
          <w:sz w:val="24"/>
          <w:szCs w:val="24"/>
        </w:rPr>
        <w:t>aza pë</w:t>
      </w:r>
      <w:r w:rsidR="00E91D99" w:rsidRPr="007871C9">
        <w:rPr>
          <w:rFonts w:ascii="Garamond" w:hAnsi="Garamond" w:cs="Times New Roman"/>
          <w:bCs/>
          <w:sz w:val="24"/>
          <w:szCs w:val="24"/>
        </w:rPr>
        <w:t>rgatitore, e cila përbëhet nga:</w:t>
      </w:r>
    </w:p>
    <w:p w14:paraId="317D264A"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 </w:t>
      </w:r>
      <w:r w:rsidR="00D87D60" w:rsidRPr="007871C9">
        <w:rPr>
          <w:rFonts w:ascii="Garamond" w:hAnsi="Garamond" w:cs="Times New Roman"/>
          <w:bCs/>
          <w:sz w:val="24"/>
          <w:szCs w:val="24"/>
        </w:rPr>
        <w:t xml:space="preserve">vlerësimi fillestar i statusit aktual mjedisor të ujërave detare të nënrajoneve detare I e II dhe ndikimit mjedisor të veprimtarisë njerëzore </w:t>
      </w:r>
      <w:r w:rsidR="00FF6885" w:rsidRPr="007871C9">
        <w:rPr>
          <w:rFonts w:ascii="Garamond" w:hAnsi="Garamond" w:cs="Times New Roman"/>
          <w:bCs/>
          <w:sz w:val="24"/>
          <w:szCs w:val="24"/>
        </w:rPr>
        <w:t>mbi to</w:t>
      </w:r>
      <w:r w:rsidRPr="007871C9">
        <w:rPr>
          <w:rFonts w:ascii="Garamond" w:hAnsi="Garamond" w:cs="Times New Roman"/>
          <w:bCs/>
          <w:sz w:val="24"/>
          <w:szCs w:val="24"/>
        </w:rPr>
        <w:t xml:space="preserve"> në përputhje me nenin 8</w:t>
      </w:r>
      <w:r w:rsidR="00D87D60" w:rsidRPr="007871C9">
        <w:rPr>
          <w:rFonts w:ascii="Garamond" w:hAnsi="Garamond" w:cs="Times New Roman"/>
          <w:bCs/>
          <w:sz w:val="24"/>
          <w:szCs w:val="24"/>
        </w:rPr>
        <w:t xml:space="preserve"> të këtij ligji;</w:t>
      </w:r>
    </w:p>
    <w:p w14:paraId="2932C159"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ii. </w:t>
      </w:r>
      <w:r w:rsidR="00D87D60" w:rsidRPr="007871C9">
        <w:rPr>
          <w:rFonts w:ascii="Garamond" w:hAnsi="Garamond" w:cs="Times New Roman"/>
          <w:bCs/>
          <w:sz w:val="24"/>
          <w:szCs w:val="24"/>
        </w:rPr>
        <w:t xml:space="preserve">përcaktimi i statusit të </w:t>
      </w:r>
      <w:r w:rsidRPr="007871C9">
        <w:rPr>
          <w:rFonts w:ascii="Garamond" w:hAnsi="Garamond" w:cs="Times New Roman"/>
          <w:bCs/>
          <w:sz w:val="24"/>
          <w:szCs w:val="24"/>
        </w:rPr>
        <w:t>mirë mjedisor të ujërave detare në përputhje me nenin 9</w:t>
      </w:r>
      <w:r w:rsidR="00D87D60" w:rsidRPr="007871C9">
        <w:rPr>
          <w:rFonts w:ascii="Garamond" w:hAnsi="Garamond" w:cs="Times New Roman"/>
          <w:bCs/>
          <w:sz w:val="24"/>
          <w:szCs w:val="24"/>
        </w:rPr>
        <w:t xml:space="preserve"> të këtij ligji;</w:t>
      </w:r>
    </w:p>
    <w:p w14:paraId="1B302C5B"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iii. </w:t>
      </w:r>
      <w:r w:rsidR="00D87D60" w:rsidRPr="007871C9">
        <w:rPr>
          <w:rFonts w:ascii="Garamond" w:hAnsi="Garamond" w:cs="Times New Roman"/>
          <w:bCs/>
          <w:sz w:val="24"/>
          <w:szCs w:val="24"/>
        </w:rPr>
        <w:t>përcaktimi i objektivave mjedisorë dhe i treguesve të</w:t>
      </w:r>
      <w:r w:rsidRPr="007871C9">
        <w:rPr>
          <w:rFonts w:ascii="Garamond" w:hAnsi="Garamond" w:cs="Times New Roman"/>
          <w:bCs/>
          <w:sz w:val="24"/>
          <w:szCs w:val="24"/>
        </w:rPr>
        <w:t xml:space="preserve"> lidhur me to për ujërat detare në përputhje me nenin 10</w:t>
      </w:r>
      <w:r w:rsidR="00D87D60" w:rsidRPr="007871C9">
        <w:rPr>
          <w:rFonts w:ascii="Garamond" w:hAnsi="Garamond" w:cs="Times New Roman"/>
          <w:bCs/>
          <w:sz w:val="24"/>
          <w:szCs w:val="24"/>
        </w:rPr>
        <w:t xml:space="preserve"> të këtij ligji;</w:t>
      </w:r>
    </w:p>
    <w:p w14:paraId="22225B4E"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iv. </w:t>
      </w:r>
      <w:r w:rsidR="00D87D60" w:rsidRPr="007871C9">
        <w:rPr>
          <w:rFonts w:ascii="Garamond" w:hAnsi="Garamond" w:cs="Times New Roman"/>
          <w:bCs/>
          <w:sz w:val="24"/>
          <w:szCs w:val="24"/>
        </w:rPr>
        <w:t>hartimi dhe zbatimi i programit të monitorimit për vlerësimin e vazhdueshëm e përditë</w:t>
      </w:r>
      <w:r w:rsidRPr="007871C9">
        <w:rPr>
          <w:rFonts w:ascii="Garamond" w:hAnsi="Garamond" w:cs="Times New Roman"/>
          <w:bCs/>
          <w:sz w:val="24"/>
          <w:szCs w:val="24"/>
        </w:rPr>
        <w:t>simin e rregullt të objektivave në përputhje me nenin 11</w:t>
      </w:r>
      <w:r w:rsidR="00D87D60" w:rsidRPr="007871C9">
        <w:rPr>
          <w:rFonts w:ascii="Garamond" w:hAnsi="Garamond" w:cs="Times New Roman"/>
          <w:bCs/>
          <w:sz w:val="24"/>
          <w:szCs w:val="24"/>
        </w:rPr>
        <w:t xml:space="preserve"> të këtij ligji;</w:t>
      </w:r>
    </w:p>
    <w:p w14:paraId="1B157450"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v. </w:t>
      </w:r>
      <w:r w:rsidR="00D87D60" w:rsidRPr="007871C9">
        <w:rPr>
          <w:rFonts w:ascii="Garamond" w:hAnsi="Garamond" w:cs="Times New Roman"/>
          <w:bCs/>
          <w:sz w:val="24"/>
          <w:szCs w:val="24"/>
        </w:rPr>
        <w:t>publikimi i</w:t>
      </w:r>
      <w:r w:rsidRPr="007871C9">
        <w:rPr>
          <w:rFonts w:ascii="Garamond" w:hAnsi="Garamond" w:cs="Times New Roman"/>
          <w:bCs/>
          <w:sz w:val="24"/>
          <w:szCs w:val="24"/>
        </w:rPr>
        <w:t xml:space="preserve"> raporteve dhe raportimi i tyre</w:t>
      </w:r>
      <w:r w:rsidR="00D87D60" w:rsidRPr="007871C9">
        <w:rPr>
          <w:rFonts w:ascii="Garamond" w:hAnsi="Garamond" w:cs="Times New Roman"/>
          <w:bCs/>
          <w:sz w:val="24"/>
          <w:szCs w:val="24"/>
        </w:rPr>
        <w:t xml:space="preserve"> në përputhje me</w:t>
      </w:r>
      <w:r w:rsidRPr="007871C9">
        <w:rPr>
          <w:rFonts w:ascii="Garamond" w:hAnsi="Garamond" w:cs="Times New Roman"/>
          <w:bCs/>
          <w:sz w:val="24"/>
          <w:szCs w:val="24"/>
        </w:rPr>
        <w:t xml:space="preserve"> nenet 15 e 16</w:t>
      </w:r>
      <w:r w:rsidR="00E91D99" w:rsidRPr="007871C9">
        <w:rPr>
          <w:rFonts w:ascii="Garamond" w:hAnsi="Garamond" w:cs="Times New Roman"/>
          <w:bCs/>
          <w:sz w:val="24"/>
          <w:szCs w:val="24"/>
        </w:rPr>
        <w:t xml:space="preserve"> të këtij ligji.</w:t>
      </w:r>
    </w:p>
    <w:p w14:paraId="211BE4A6"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 f</w:t>
      </w:r>
      <w:r w:rsidR="00D87D60" w:rsidRPr="007871C9">
        <w:rPr>
          <w:rFonts w:ascii="Garamond" w:hAnsi="Garamond" w:cs="Times New Roman"/>
          <w:bCs/>
          <w:sz w:val="24"/>
          <w:szCs w:val="24"/>
        </w:rPr>
        <w:t>aza e përcaktimit të programit të masave, që do të merren për të arritur ose për të ruajtur statusin e mirë mjedisor të ujërave detare të Republikë</w:t>
      </w:r>
      <w:r w:rsidRPr="007871C9">
        <w:rPr>
          <w:rFonts w:ascii="Garamond" w:hAnsi="Garamond" w:cs="Times New Roman"/>
          <w:bCs/>
          <w:sz w:val="24"/>
          <w:szCs w:val="24"/>
        </w:rPr>
        <w:t>s së Shqipërisë, sipas nenit 12</w:t>
      </w:r>
      <w:r w:rsidR="00D87D60" w:rsidRPr="007871C9">
        <w:rPr>
          <w:rFonts w:ascii="Garamond" w:hAnsi="Garamond" w:cs="Times New Roman"/>
          <w:bCs/>
          <w:sz w:val="24"/>
          <w:szCs w:val="24"/>
        </w:rPr>
        <w:t xml:space="preserve"> të këtij li</w:t>
      </w:r>
      <w:r w:rsidR="00E91D99" w:rsidRPr="007871C9">
        <w:rPr>
          <w:rFonts w:ascii="Garamond" w:hAnsi="Garamond" w:cs="Times New Roman"/>
          <w:bCs/>
          <w:sz w:val="24"/>
          <w:szCs w:val="24"/>
        </w:rPr>
        <w:t>gji, i cili duhet të përfshijë:</w:t>
      </w:r>
    </w:p>
    <w:p w14:paraId="461F8800" w14:textId="0CA2E2F8"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 </w:t>
      </w:r>
      <w:r w:rsidR="00D87D60" w:rsidRPr="007871C9">
        <w:rPr>
          <w:rFonts w:ascii="Garamond" w:hAnsi="Garamond" w:cs="Times New Roman"/>
          <w:bCs/>
          <w:sz w:val="24"/>
          <w:szCs w:val="24"/>
        </w:rPr>
        <w:t>identifikimin e masave që do të merren dhe afatet për realizimin e tyre, me qëllim</w:t>
      </w:r>
      <w:r w:rsidR="007871C9">
        <w:rPr>
          <w:rFonts w:ascii="Garamond" w:hAnsi="Garamond" w:cs="Times New Roman"/>
          <w:bCs/>
          <w:sz w:val="24"/>
          <w:szCs w:val="24"/>
        </w:rPr>
        <w:t xml:space="preserve"> </w:t>
      </w:r>
      <w:r w:rsidR="00D87D60" w:rsidRPr="007871C9">
        <w:rPr>
          <w:rFonts w:ascii="Garamond" w:hAnsi="Garamond" w:cs="Times New Roman"/>
          <w:bCs/>
          <w:sz w:val="24"/>
          <w:szCs w:val="24"/>
        </w:rPr>
        <w:t>arritjen ose ruajtjen e një statusi të mirë mjedisor të ujërave detare të Republikës së Shqipërisë;</w:t>
      </w:r>
    </w:p>
    <w:p w14:paraId="42B13DB8"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ii. </w:t>
      </w:r>
      <w:r w:rsidR="00D87D60" w:rsidRPr="007871C9">
        <w:rPr>
          <w:rFonts w:ascii="Garamond" w:hAnsi="Garamond" w:cs="Times New Roman"/>
          <w:bCs/>
          <w:sz w:val="24"/>
          <w:szCs w:val="24"/>
        </w:rPr>
        <w:t>identifikimin e përjashtimeve nga detyrimi për të arritur një status të mirë mjedisor të ujërave detare të Republikës së Shqipërisë; si dhe</w:t>
      </w:r>
    </w:p>
    <w:p w14:paraId="24998DE4"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iii.</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informacionin për pamundësinë e arritjes së një statusi të mirë mjedisor përmes zbatimit të masave të miratuara.</w:t>
      </w:r>
    </w:p>
    <w:p w14:paraId="31E539B2"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 xml:space="preserve">Strategjia e Mbrojtjes së Mjedisit Detar zbaton një qasje të bazuar në ekosistem për menaxhimin e veprimtarive njerëzore, duke siguruar që presioni i përbashkët i këtyre veprimtarive të jetë brenda niveleve të pajtueshme me arritjen e një statusi të mirë mjedisor dhe të mos ndikojë në aftësinë e ekosistemeve detare për t’iu përgjigjur ndryshimeve të shkaktuara nga veprimtaria njerëzore, duke mundësuar përdorimin e qëndrueshëm të produkteve dhe shërbimeve detare nga </w:t>
      </w:r>
      <w:r w:rsidR="00E91D99" w:rsidRPr="007871C9">
        <w:rPr>
          <w:rFonts w:ascii="Garamond" w:hAnsi="Garamond" w:cs="Times New Roman"/>
          <w:bCs/>
          <w:sz w:val="24"/>
          <w:szCs w:val="24"/>
        </w:rPr>
        <w:t>brezat aktualë dhe të ardhshëm.</w:t>
      </w:r>
    </w:p>
    <w:p w14:paraId="41E341A6"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Agjencia</w:t>
      </w:r>
      <w:r w:rsidR="00F61BCA"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dhe organet përgjegjëse për monitorimin e ujërave detare janë përgjegjëse për hartimin e Strategjisë së Mbrojtjes së Mjedisit Det</w:t>
      </w:r>
      <w:r w:rsidR="00E91D99" w:rsidRPr="007871C9">
        <w:rPr>
          <w:rFonts w:ascii="Garamond" w:hAnsi="Garamond" w:cs="Times New Roman"/>
          <w:bCs/>
          <w:sz w:val="24"/>
          <w:szCs w:val="24"/>
        </w:rPr>
        <w:t>ar të Republikës së Shqipërisë.</w:t>
      </w:r>
    </w:p>
    <w:p w14:paraId="465A4AEE"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Për nënrajonet detare nën sovranitetin e Republikës së Shqipërisë mund të hartohet një strategji e vetme apo strategji të veçanta për mbrojtjen e m</w:t>
      </w:r>
      <w:r w:rsidR="00E91D99" w:rsidRPr="007871C9">
        <w:rPr>
          <w:rFonts w:ascii="Garamond" w:hAnsi="Garamond" w:cs="Times New Roman"/>
          <w:bCs/>
          <w:sz w:val="24"/>
          <w:szCs w:val="24"/>
        </w:rPr>
        <w:t>jedisit detar për çdo nënrajon.</w:t>
      </w:r>
    </w:p>
    <w:p w14:paraId="10F96D32" w14:textId="77777777"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5. </w:t>
      </w:r>
      <w:r w:rsidR="00D87D60" w:rsidRPr="007871C9">
        <w:rPr>
          <w:rFonts w:ascii="Garamond" w:hAnsi="Garamond" w:cs="Times New Roman"/>
          <w:bCs/>
          <w:sz w:val="24"/>
          <w:szCs w:val="24"/>
        </w:rPr>
        <w:t>Strategjia e Mbrojtjes së Mjedisit Detar të Republikës së Shqipërisë miratohet me vendim të Këshillit të Ministrave, me propozim të Kryeministrit, brenda 8 vjetësh ng</w:t>
      </w:r>
      <w:r w:rsidR="00E91D99" w:rsidRPr="007871C9">
        <w:rPr>
          <w:rFonts w:ascii="Garamond" w:hAnsi="Garamond" w:cs="Times New Roman"/>
          <w:bCs/>
          <w:sz w:val="24"/>
          <w:szCs w:val="24"/>
        </w:rPr>
        <w:t xml:space="preserve">a hyrja në fuqi e këtij ligji. </w:t>
      </w:r>
    </w:p>
    <w:p w14:paraId="4BDEDDBF" w14:textId="6F0B53FD" w:rsidR="00D87D60" w:rsidRPr="007871C9" w:rsidRDefault="00FA6ECF"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lastRenderedPageBreak/>
        <w:t xml:space="preserve">6. </w:t>
      </w:r>
      <w:r w:rsidR="00D87D60" w:rsidRPr="007871C9">
        <w:rPr>
          <w:rFonts w:ascii="Garamond" w:hAnsi="Garamond" w:cs="Times New Roman"/>
          <w:bCs/>
          <w:sz w:val="24"/>
          <w:szCs w:val="24"/>
        </w:rPr>
        <w:t>Strategjia e Mbrojtjes së Mjedisit Detar përditësohet pas rishikimit që do të kryhet çdo 6 vjet, duke zbatuar një qasje të koordinuar, në përputhje me</w:t>
      </w:r>
      <w:r w:rsidR="007871C9">
        <w:rPr>
          <w:rFonts w:ascii="Garamond" w:hAnsi="Garamond" w:cs="Times New Roman"/>
          <w:bCs/>
          <w:sz w:val="24"/>
          <w:szCs w:val="24"/>
        </w:rPr>
        <w:t xml:space="preserve"> </w:t>
      </w:r>
      <w:r w:rsidR="00E91D99" w:rsidRPr="007871C9">
        <w:rPr>
          <w:rFonts w:ascii="Garamond" w:hAnsi="Garamond" w:cs="Times New Roman"/>
          <w:bCs/>
          <w:sz w:val="24"/>
          <w:szCs w:val="24"/>
        </w:rPr>
        <w:t>nenet 7 e 8</w:t>
      </w:r>
      <w:r w:rsidR="00D87D60" w:rsidRPr="007871C9">
        <w:rPr>
          <w:rFonts w:ascii="Garamond" w:hAnsi="Garamond" w:cs="Times New Roman"/>
          <w:bCs/>
          <w:sz w:val="24"/>
          <w:szCs w:val="24"/>
        </w:rPr>
        <w:t xml:space="preserve"> të këtij ligji, në l</w:t>
      </w:r>
      <w:r w:rsidR="00E91D99" w:rsidRPr="007871C9">
        <w:rPr>
          <w:rFonts w:ascii="Garamond" w:hAnsi="Garamond" w:cs="Times New Roman"/>
          <w:bCs/>
          <w:sz w:val="24"/>
          <w:szCs w:val="24"/>
        </w:rPr>
        <w:t>idhje me elementet e mëposhtme:</w:t>
      </w:r>
    </w:p>
    <w:p w14:paraId="3FEDC646"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 v</w:t>
      </w:r>
      <w:r w:rsidR="00D87D60" w:rsidRPr="007871C9">
        <w:rPr>
          <w:rFonts w:ascii="Garamond" w:hAnsi="Garamond" w:cs="Times New Roman"/>
          <w:bCs/>
          <w:sz w:val="24"/>
          <w:szCs w:val="24"/>
        </w:rPr>
        <w:t>lerësimin fillestar dhe përcaktimin e statusit të mirë mjedisor;</w:t>
      </w:r>
    </w:p>
    <w:p w14:paraId="1FDC35C3"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 o</w:t>
      </w:r>
      <w:r w:rsidR="00D87D60" w:rsidRPr="007871C9">
        <w:rPr>
          <w:rFonts w:ascii="Garamond" w:hAnsi="Garamond" w:cs="Times New Roman"/>
          <w:bCs/>
          <w:sz w:val="24"/>
          <w:szCs w:val="24"/>
        </w:rPr>
        <w:t>bjektivat mjedisorë;</w:t>
      </w:r>
    </w:p>
    <w:p w14:paraId="5E073482"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c) p</w:t>
      </w:r>
      <w:r w:rsidR="00D87D60" w:rsidRPr="007871C9">
        <w:rPr>
          <w:rFonts w:ascii="Garamond" w:hAnsi="Garamond" w:cs="Times New Roman"/>
          <w:bCs/>
          <w:sz w:val="24"/>
          <w:szCs w:val="24"/>
        </w:rPr>
        <w:t>rogramin e monitorimit;</w:t>
      </w:r>
    </w:p>
    <w:p w14:paraId="557641AE"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ç) p</w:t>
      </w:r>
      <w:r w:rsidR="00D87D60" w:rsidRPr="007871C9">
        <w:rPr>
          <w:rFonts w:ascii="Garamond" w:hAnsi="Garamond" w:cs="Times New Roman"/>
          <w:bCs/>
          <w:sz w:val="24"/>
          <w:szCs w:val="24"/>
        </w:rPr>
        <w:t>rogramin e masave.</w:t>
      </w:r>
    </w:p>
    <w:p w14:paraId="34C2A3FA"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2A1979A6"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6</w:t>
      </w:r>
    </w:p>
    <w:p w14:paraId="2E5CA840"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Fazat që ndiqen për hartimin e Strategjisë së Mbrojtjes së Mjedisit Detar</w:t>
      </w:r>
    </w:p>
    <w:p w14:paraId="33AF7C03"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
          <w:bCs/>
          <w:sz w:val="24"/>
          <w:szCs w:val="24"/>
        </w:rPr>
        <w:t>të Republikës së Shqipërisë</w:t>
      </w:r>
    </w:p>
    <w:p w14:paraId="6E3553FB"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0EE3BCAC"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Fazat që ndiqen për hartimin e Strategjisë së Mbrojtjes së Mjedisit Detar të Republikës së Shqipërisë zbatohen nga Agjencia</w:t>
      </w:r>
      <w:r w:rsidR="00F61BCA"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organet përgjegjëse për zonat e mbrojtura detare dhe monitorimin e ujërave detare, të cilat bashkëpunojnë me aut</w:t>
      </w:r>
      <w:r w:rsidRPr="007871C9">
        <w:rPr>
          <w:rFonts w:ascii="Garamond" w:hAnsi="Garamond" w:cs="Times New Roman"/>
          <w:bCs/>
          <w:sz w:val="24"/>
          <w:szCs w:val="24"/>
        </w:rPr>
        <w:t>oritetet kompetente të shteteve</w:t>
      </w:r>
      <w:r w:rsidR="00D87D60" w:rsidRPr="007871C9">
        <w:rPr>
          <w:rFonts w:ascii="Garamond" w:hAnsi="Garamond" w:cs="Times New Roman"/>
          <w:bCs/>
          <w:sz w:val="24"/>
          <w:szCs w:val="24"/>
        </w:rPr>
        <w:t xml:space="preserve"> me të cilat Republika e Shqipërisë ndan sovranitetin mbi nënrajonet detare, me qëllim sigurimin e një veprimi koherent dhe qasjeje të koordinuar në zbatimin e masave për arritjen e objektivave të përcaktu</w:t>
      </w:r>
      <w:r w:rsidR="00E91D99" w:rsidRPr="007871C9">
        <w:rPr>
          <w:rFonts w:ascii="Garamond" w:hAnsi="Garamond" w:cs="Times New Roman"/>
          <w:bCs/>
          <w:sz w:val="24"/>
          <w:szCs w:val="24"/>
        </w:rPr>
        <w:t xml:space="preserve">ar në nenin 2 të këtij ligji. </w:t>
      </w:r>
    </w:p>
    <w:p w14:paraId="51C9C8F5"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Përmes qasjes së koor</w:t>
      </w:r>
      <w:r w:rsidRPr="007871C9">
        <w:rPr>
          <w:rFonts w:ascii="Garamond" w:hAnsi="Garamond" w:cs="Times New Roman"/>
          <w:bCs/>
          <w:sz w:val="24"/>
          <w:szCs w:val="24"/>
        </w:rPr>
        <w:t>dinuar të përcaktuar në pikën 1</w:t>
      </w:r>
      <w:r w:rsidR="00D87D60" w:rsidRPr="007871C9">
        <w:rPr>
          <w:rFonts w:ascii="Garamond" w:hAnsi="Garamond" w:cs="Times New Roman"/>
          <w:bCs/>
          <w:sz w:val="24"/>
          <w:szCs w:val="24"/>
        </w:rPr>
        <w:t xml:space="preserve"> të këtij neni,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organet përgjegjëse për zonat e mbrojtura detare dh</w:t>
      </w:r>
      <w:r w:rsidR="00E91D99" w:rsidRPr="007871C9">
        <w:rPr>
          <w:rFonts w:ascii="Garamond" w:hAnsi="Garamond" w:cs="Times New Roman"/>
          <w:bCs/>
          <w:sz w:val="24"/>
          <w:szCs w:val="24"/>
        </w:rPr>
        <w:t>e monitorimin e ujërave detare:</w:t>
      </w:r>
    </w:p>
    <w:p w14:paraId="452F3ADE"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 xml:space="preserve">kryejnë vlerësimin fillestar të statusit aktual mjedisor të ujërave detare dhe të ndikimit të veprimtarisë njerëzore në statusin </w:t>
      </w:r>
      <w:r w:rsidRPr="007871C9">
        <w:rPr>
          <w:rFonts w:ascii="Garamond" w:hAnsi="Garamond" w:cs="Times New Roman"/>
          <w:bCs/>
          <w:sz w:val="24"/>
          <w:szCs w:val="24"/>
        </w:rPr>
        <w:t>e tyre, në përputhje me nenin 8</w:t>
      </w:r>
      <w:r w:rsidR="00D87D60" w:rsidRPr="007871C9">
        <w:rPr>
          <w:rFonts w:ascii="Garamond" w:hAnsi="Garamond" w:cs="Times New Roman"/>
          <w:bCs/>
          <w:sz w:val="24"/>
          <w:szCs w:val="24"/>
        </w:rPr>
        <w:t xml:space="preserve"> të këtij ligji, brenda 4 vjetësh nga hyrja në fuqi e këtij ligji;</w:t>
      </w:r>
    </w:p>
    <w:p w14:paraId="3FF224A6"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përca</w:t>
      </w:r>
      <w:r w:rsidRPr="007871C9">
        <w:rPr>
          <w:rFonts w:ascii="Garamond" w:hAnsi="Garamond" w:cs="Times New Roman"/>
          <w:bCs/>
          <w:sz w:val="24"/>
          <w:szCs w:val="24"/>
        </w:rPr>
        <w:t>ktojnë statusin e mirë mjedisor</w:t>
      </w:r>
      <w:r w:rsidR="00F03D87" w:rsidRPr="007871C9">
        <w:rPr>
          <w:rFonts w:ascii="Garamond" w:hAnsi="Garamond" w:cs="Times New Roman"/>
          <w:bCs/>
          <w:sz w:val="24"/>
          <w:szCs w:val="24"/>
        </w:rPr>
        <w:t>,</w:t>
      </w:r>
      <w:r w:rsidRPr="007871C9">
        <w:rPr>
          <w:rFonts w:ascii="Garamond" w:hAnsi="Garamond" w:cs="Times New Roman"/>
          <w:bCs/>
          <w:sz w:val="24"/>
          <w:szCs w:val="24"/>
        </w:rPr>
        <w:t xml:space="preserve"> në përputhje me nenin 9 të këtij ligji</w:t>
      </w:r>
      <w:r w:rsidR="00F03D87" w:rsidRPr="007871C9">
        <w:rPr>
          <w:rFonts w:ascii="Garamond" w:hAnsi="Garamond" w:cs="Times New Roman"/>
          <w:bCs/>
          <w:sz w:val="24"/>
          <w:szCs w:val="24"/>
        </w:rPr>
        <w:t>,</w:t>
      </w:r>
      <w:r w:rsidR="00D87D60" w:rsidRPr="007871C9">
        <w:rPr>
          <w:rFonts w:ascii="Garamond" w:hAnsi="Garamond" w:cs="Times New Roman"/>
          <w:bCs/>
          <w:sz w:val="24"/>
          <w:szCs w:val="24"/>
        </w:rPr>
        <w:t xml:space="preserve"> brenda 4 vjetësh nga hyrja në fuqi e këtij ligji;</w:t>
      </w:r>
    </w:p>
    <w:p w14:paraId="4774D184"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identifikojnë/përcaktojnë objektivat mjedisorë dhe treguesit e duhur për ujërat detare të Republikës së Shqip</w:t>
      </w:r>
      <w:r w:rsidR="00F03D87" w:rsidRPr="007871C9">
        <w:rPr>
          <w:rFonts w:ascii="Garamond" w:hAnsi="Garamond" w:cs="Times New Roman"/>
          <w:bCs/>
          <w:sz w:val="24"/>
          <w:szCs w:val="24"/>
        </w:rPr>
        <w:t>ërisë, në përputhje me nenin 10</w:t>
      </w:r>
      <w:r w:rsidR="00D87D60" w:rsidRPr="007871C9">
        <w:rPr>
          <w:rFonts w:ascii="Garamond" w:hAnsi="Garamond" w:cs="Times New Roman"/>
          <w:bCs/>
          <w:sz w:val="24"/>
          <w:szCs w:val="24"/>
        </w:rPr>
        <w:t xml:space="preserve"> të këtij ligji, brenda 4 vjetësh nga hyrja në fuqi e këtij ligji;</w:t>
      </w:r>
    </w:p>
    <w:p w14:paraId="67968D4B" w14:textId="0915DB5D"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ç)</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hartojnë programin e monitorimit për vlerësimin e rregullt dhe përditësimin e</w:t>
      </w:r>
      <w:r w:rsidR="007871C9">
        <w:rPr>
          <w:rFonts w:ascii="Garamond" w:hAnsi="Garamond" w:cs="Times New Roman"/>
          <w:bCs/>
          <w:sz w:val="24"/>
          <w:szCs w:val="24"/>
        </w:rPr>
        <w:t xml:space="preserve"> </w:t>
      </w:r>
      <w:r w:rsidR="00D87D60" w:rsidRPr="007871C9">
        <w:rPr>
          <w:rFonts w:ascii="Garamond" w:hAnsi="Garamond" w:cs="Times New Roman"/>
          <w:bCs/>
          <w:sz w:val="24"/>
          <w:szCs w:val="24"/>
        </w:rPr>
        <w:t xml:space="preserve">objektivave mjedisorë, në përputhje me </w:t>
      </w:r>
      <w:r w:rsidR="00F03D87" w:rsidRPr="007871C9">
        <w:rPr>
          <w:rFonts w:ascii="Garamond" w:hAnsi="Garamond" w:cs="Times New Roman"/>
          <w:bCs/>
          <w:sz w:val="24"/>
          <w:szCs w:val="24"/>
        </w:rPr>
        <w:t>nenin 11</w:t>
      </w:r>
      <w:r w:rsidR="00D87D60" w:rsidRPr="007871C9">
        <w:rPr>
          <w:rFonts w:ascii="Garamond" w:hAnsi="Garamond" w:cs="Times New Roman"/>
          <w:bCs/>
          <w:sz w:val="24"/>
          <w:szCs w:val="24"/>
        </w:rPr>
        <w:t xml:space="preserve"> të këtij ligji, i cili duhet të vihet në zbatim brenda 6 vjetësh ng</w:t>
      </w:r>
      <w:r w:rsidR="00E91D99" w:rsidRPr="007871C9">
        <w:rPr>
          <w:rFonts w:ascii="Garamond" w:hAnsi="Garamond" w:cs="Times New Roman"/>
          <w:bCs/>
          <w:sz w:val="24"/>
          <w:szCs w:val="24"/>
        </w:rPr>
        <w:t xml:space="preserve">a hyrja në fuqi e këtij ligji. </w:t>
      </w:r>
    </w:p>
    <w:p w14:paraId="15B75602"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3.</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Përmes qasjes së përb</w:t>
      </w:r>
      <w:r w:rsidR="00F03D87" w:rsidRPr="007871C9">
        <w:rPr>
          <w:rFonts w:ascii="Garamond" w:hAnsi="Garamond" w:cs="Times New Roman"/>
          <w:bCs/>
          <w:sz w:val="24"/>
          <w:szCs w:val="24"/>
        </w:rPr>
        <w:t>ashkët të përcaktuar në pikën 2</w:t>
      </w:r>
      <w:r w:rsidR="00D87D60" w:rsidRPr="007871C9">
        <w:rPr>
          <w:rFonts w:ascii="Garamond" w:hAnsi="Garamond" w:cs="Times New Roman"/>
          <w:bCs/>
          <w:sz w:val="24"/>
          <w:szCs w:val="24"/>
        </w:rPr>
        <w:t xml:space="preserve"> të këtij neni, Agjencia</w:t>
      </w:r>
      <w:r w:rsidR="00F03D87"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w:t>
      </w:r>
      <w:r w:rsidR="005006B0" w:rsidRPr="007871C9">
        <w:rPr>
          <w:rFonts w:ascii="Garamond" w:hAnsi="Garamond" w:cs="Times New Roman"/>
          <w:bCs/>
          <w:sz w:val="24"/>
          <w:szCs w:val="24"/>
        </w:rPr>
        <w:t>e</w:t>
      </w:r>
      <w:r w:rsidR="00D87D60" w:rsidRPr="007871C9">
        <w:rPr>
          <w:rFonts w:ascii="Garamond" w:hAnsi="Garamond" w:cs="Times New Roman"/>
          <w:bCs/>
          <w:sz w:val="24"/>
          <w:szCs w:val="24"/>
        </w:rPr>
        <w:t xml:space="preserve"> ministrinë përgjegjëse për mjedisin, organet përgjegjëse për zonat e mbrojtura detare d</w:t>
      </w:r>
      <w:r w:rsidR="00F03D87" w:rsidRPr="007871C9">
        <w:rPr>
          <w:rFonts w:ascii="Garamond" w:hAnsi="Garamond" w:cs="Times New Roman"/>
          <w:bCs/>
          <w:sz w:val="24"/>
          <w:szCs w:val="24"/>
        </w:rPr>
        <w:t>he monitorimin e ujërave detare</w:t>
      </w:r>
      <w:r w:rsidR="00D87D60" w:rsidRPr="007871C9">
        <w:rPr>
          <w:rFonts w:ascii="Garamond" w:hAnsi="Garamond" w:cs="Times New Roman"/>
          <w:bCs/>
          <w:sz w:val="24"/>
          <w:szCs w:val="24"/>
        </w:rPr>
        <w:t xml:space="preserve"> ndërmarri</w:t>
      </w:r>
      <w:r w:rsidR="00E91D99" w:rsidRPr="007871C9">
        <w:rPr>
          <w:rFonts w:ascii="Garamond" w:hAnsi="Garamond" w:cs="Times New Roman"/>
          <w:bCs/>
          <w:sz w:val="24"/>
          <w:szCs w:val="24"/>
        </w:rPr>
        <w:t xml:space="preserve">n aktivitetet e nevojshme për: </w:t>
      </w:r>
    </w:p>
    <w:p w14:paraId="356B4373"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hartimin e programit të masave që synojnë arritjen ose ruajtjen e një statusi të mirë mjedisor në ujërat e të dyja nënrajoneve detare, që janë nën sovranitetin e Republikës së Shqip</w:t>
      </w:r>
      <w:r w:rsidR="00F03D87" w:rsidRPr="007871C9">
        <w:rPr>
          <w:rFonts w:ascii="Garamond" w:hAnsi="Garamond" w:cs="Times New Roman"/>
          <w:bCs/>
          <w:sz w:val="24"/>
          <w:szCs w:val="24"/>
        </w:rPr>
        <w:t>ërisë, në përputhje me nenin 12</w:t>
      </w:r>
      <w:r w:rsidR="00D87D60" w:rsidRPr="007871C9">
        <w:rPr>
          <w:rFonts w:ascii="Garamond" w:hAnsi="Garamond" w:cs="Times New Roman"/>
          <w:bCs/>
          <w:sz w:val="24"/>
          <w:szCs w:val="24"/>
        </w:rPr>
        <w:t xml:space="preserve"> të këtij ligji, brenda 7 vjetësh nga hyrja në fuqi e këtij ligji;</w:t>
      </w:r>
    </w:p>
    <w:p w14:paraId="6F075982"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vënien në zbatim të programi</w:t>
      </w:r>
      <w:r w:rsidR="00F03D87" w:rsidRPr="007871C9">
        <w:rPr>
          <w:rFonts w:ascii="Garamond" w:hAnsi="Garamond" w:cs="Times New Roman"/>
          <w:bCs/>
          <w:sz w:val="24"/>
          <w:szCs w:val="24"/>
        </w:rPr>
        <w:t>t të përmendur në shkronjën “a”</w:t>
      </w:r>
      <w:r w:rsidR="005006B0" w:rsidRPr="007871C9">
        <w:rPr>
          <w:rFonts w:ascii="Garamond" w:hAnsi="Garamond" w:cs="Times New Roman"/>
          <w:bCs/>
          <w:sz w:val="24"/>
          <w:szCs w:val="24"/>
        </w:rPr>
        <w:t xml:space="preserve"> të kësaj pike</w:t>
      </w:r>
      <w:r w:rsidR="00D87D60" w:rsidRPr="007871C9">
        <w:rPr>
          <w:rFonts w:ascii="Garamond" w:hAnsi="Garamond" w:cs="Times New Roman"/>
          <w:bCs/>
          <w:sz w:val="24"/>
          <w:szCs w:val="24"/>
        </w:rPr>
        <w:t xml:space="preserve"> brenda 1 viti nga miratimi i Strategjisë së Mbrojtjes së Mjedisit Detar të Republikës së Shqipërisë, në përputhje me pikën</w:t>
      </w:r>
      <w:r w:rsidR="00F03D87" w:rsidRPr="007871C9">
        <w:rPr>
          <w:rFonts w:ascii="Garamond" w:hAnsi="Garamond" w:cs="Times New Roman"/>
          <w:bCs/>
          <w:sz w:val="24"/>
          <w:szCs w:val="24"/>
        </w:rPr>
        <w:t xml:space="preserve"> 5 të nenit 5</w:t>
      </w:r>
      <w:r w:rsidR="00E91D99" w:rsidRPr="007871C9">
        <w:rPr>
          <w:rFonts w:ascii="Garamond" w:hAnsi="Garamond" w:cs="Times New Roman"/>
          <w:bCs/>
          <w:sz w:val="24"/>
          <w:szCs w:val="24"/>
        </w:rPr>
        <w:t xml:space="preserve"> të këtij ligji.</w:t>
      </w:r>
    </w:p>
    <w:p w14:paraId="0801BC0D"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4.</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Fazat që ndiqen për hartimin e Strategjisë së Mbrojtjes së Mjedisit Detar të Republikës së Shqipërisë kryhen brenda 8 vjetësh n</w:t>
      </w:r>
      <w:r w:rsidR="00E91D99" w:rsidRPr="007871C9">
        <w:rPr>
          <w:rFonts w:ascii="Garamond" w:hAnsi="Garamond" w:cs="Times New Roman"/>
          <w:bCs/>
          <w:sz w:val="24"/>
          <w:szCs w:val="24"/>
        </w:rPr>
        <w:t>ga hyrja në fuqi e këtij ligji.</w:t>
      </w:r>
    </w:p>
    <w:p w14:paraId="459800E2" w14:textId="77777777" w:rsidR="00D87D60" w:rsidRPr="007871C9" w:rsidRDefault="0088196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5.</w:t>
      </w:r>
      <w:r w:rsidR="00F03D87" w:rsidRPr="007871C9">
        <w:rPr>
          <w:rFonts w:ascii="Garamond" w:hAnsi="Garamond" w:cs="Times New Roman"/>
          <w:bCs/>
          <w:sz w:val="24"/>
          <w:szCs w:val="24"/>
        </w:rPr>
        <w:t xml:space="preserve"> </w:t>
      </w:r>
      <w:r w:rsidR="00D87D60" w:rsidRPr="007871C9">
        <w:rPr>
          <w:rFonts w:ascii="Garamond" w:hAnsi="Garamond" w:cs="Times New Roman"/>
          <w:bCs/>
          <w:sz w:val="24"/>
          <w:szCs w:val="24"/>
        </w:rPr>
        <w:t>Kur statusi i ujërave është aq kritik sa kërkohet ndërmarrja e një veprimi urgjent, Agjencia</w:t>
      </w:r>
      <w:r w:rsidR="00F03D87"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w:t>
      </w:r>
      <w:r w:rsidR="00F03D87" w:rsidRPr="007871C9">
        <w:rPr>
          <w:rFonts w:ascii="Garamond" w:hAnsi="Garamond" w:cs="Times New Roman"/>
          <w:bCs/>
          <w:sz w:val="24"/>
          <w:szCs w:val="24"/>
        </w:rPr>
        <w:t>me</w:t>
      </w:r>
      <w:r w:rsidR="00D87D60" w:rsidRPr="007871C9">
        <w:rPr>
          <w:rFonts w:ascii="Garamond" w:hAnsi="Garamond" w:cs="Times New Roman"/>
          <w:bCs/>
          <w:sz w:val="24"/>
          <w:szCs w:val="24"/>
        </w:rPr>
        <w:t xml:space="preserve"> ministrinë përgjegjëse për mjedisin, organet përgjegjëse për zonat e mbrojtura detare dhe monitorimin e ujërave detare, si dhe në bashkëpunim me autoritetet kompetente të s</w:t>
      </w:r>
      <w:r w:rsidR="00F03D87" w:rsidRPr="007871C9">
        <w:rPr>
          <w:rFonts w:ascii="Garamond" w:hAnsi="Garamond" w:cs="Times New Roman"/>
          <w:bCs/>
          <w:sz w:val="24"/>
          <w:szCs w:val="24"/>
        </w:rPr>
        <w:t>hteteve të tjera të interesuara</w:t>
      </w:r>
      <w:r w:rsidR="00D87D60" w:rsidRPr="007871C9">
        <w:rPr>
          <w:rFonts w:ascii="Garamond" w:hAnsi="Garamond" w:cs="Times New Roman"/>
          <w:bCs/>
          <w:sz w:val="24"/>
          <w:szCs w:val="24"/>
        </w:rPr>
        <w:t xml:space="preserve"> me të cilat ndan sovranitetin mbi nënrajonet detare, kryejnë në një kohë më të hershme se afati i përcak</w:t>
      </w:r>
      <w:r w:rsidR="00F03D87" w:rsidRPr="007871C9">
        <w:rPr>
          <w:rFonts w:ascii="Garamond" w:hAnsi="Garamond" w:cs="Times New Roman"/>
          <w:bCs/>
          <w:sz w:val="24"/>
          <w:szCs w:val="24"/>
        </w:rPr>
        <w:t>tuar në pikën 4</w:t>
      </w:r>
      <w:r w:rsidR="005006B0" w:rsidRPr="007871C9">
        <w:rPr>
          <w:rFonts w:ascii="Garamond" w:hAnsi="Garamond" w:cs="Times New Roman"/>
          <w:bCs/>
          <w:sz w:val="24"/>
          <w:szCs w:val="24"/>
        </w:rPr>
        <w:t xml:space="preserve"> të këtij neni</w:t>
      </w:r>
      <w:r w:rsidR="00D87D60" w:rsidRPr="007871C9">
        <w:rPr>
          <w:rFonts w:ascii="Garamond" w:hAnsi="Garamond" w:cs="Times New Roman"/>
          <w:bCs/>
          <w:sz w:val="24"/>
          <w:szCs w:val="24"/>
        </w:rPr>
        <w:t xml:space="preserve"> fazat e përcaktuara në këtë nen. Kjo përfshin vënien në zbatim më herët të programeve të masave, si dhe mundësisht masa më të rrepta, me kusht që kjo të mos parandalojë arritjen ose mirëmbajtjen e një statusi të mirë mjedisor në një tjetër nënrajon detar. </w:t>
      </w:r>
    </w:p>
    <w:p w14:paraId="7366C6D9"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8E7707D"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7</w:t>
      </w:r>
    </w:p>
    <w:p w14:paraId="71D33669"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Bashkëpunimi rajonal</w:t>
      </w:r>
    </w:p>
    <w:p w14:paraId="4EDB5387"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F2045C6"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Për qëllimet e koordinimit me aut</w:t>
      </w:r>
      <w:r w:rsidR="00F03D87" w:rsidRPr="007871C9">
        <w:rPr>
          <w:rFonts w:ascii="Garamond" w:hAnsi="Garamond" w:cs="Times New Roman"/>
          <w:bCs/>
          <w:sz w:val="24"/>
          <w:szCs w:val="24"/>
        </w:rPr>
        <w:t>oritetet kompetente të shteteve</w:t>
      </w:r>
      <w:r w:rsidRPr="007871C9">
        <w:rPr>
          <w:rFonts w:ascii="Garamond" w:hAnsi="Garamond" w:cs="Times New Roman"/>
          <w:bCs/>
          <w:sz w:val="24"/>
          <w:szCs w:val="24"/>
        </w:rPr>
        <w:t xml:space="preserve"> me të cilat Republika e Shqipërisë ndan sovranitetin mbi nënrajonet detare I e II, Agjencia</w:t>
      </w:r>
      <w:r w:rsidR="00F03D87" w:rsidRPr="007871C9">
        <w:rPr>
          <w:rFonts w:ascii="Garamond" w:hAnsi="Garamond" w:cs="Times New Roman"/>
          <w:bCs/>
          <w:sz w:val="24"/>
          <w:szCs w:val="24"/>
        </w:rPr>
        <w:t xml:space="preserve"> e Menaxhimit të Burimeve Ujore</w:t>
      </w:r>
      <w:r w:rsidRPr="007871C9">
        <w:rPr>
          <w:rFonts w:ascii="Garamond" w:hAnsi="Garamond" w:cs="Times New Roman"/>
          <w:bCs/>
          <w:sz w:val="24"/>
          <w:szCs w:val="24"/>
        </w:rPr>
        <w:t xml:space="preserve"> në bashkëpunim më ministrinë përgjegjëse për mjedisin, organet përgjegjëse për zonat e mbrojtura detare dhe monitorimin e ujërave detare, kur është e mundur, mund të përdorin strukturat ekzistuese të bashkëpunimit institucional rajonal, përfshirë Konventën për Mbrojtjen e Mjedisit Detar dhe Zonës Bregdetare të Detit Mesdhe (</w:t>
      </w:r>
      <w:r w:rsidR="00FA6ECF" w:rsidRPr="007871C9">
        <w:rPr>
          <w:rFonts w:ascii="Garamond" w:hAnsi="Garamond" w:cs="Times New Roman"/>
          <w:bCs/>
          <w:sz w:val="24"/>
          <w:szCs w:val="24"/>
        </w:rPr>
        <w:t>K</w:t>
      </w:r>
      <w:r w:rsidRPr="007871C9">
        <w:rPr>
          <w:rFonts w:ascii="Garamond" w:hAnsi="Garamond" w:cs="Times New Roman"/>
          <w:bCs/>
          <w:sz w:val="24"/>
          <w:szCs w:val="24"/>
        </w:rPr>
        <w:t>onventa e Barcelonës e vitit 1976) dhe 7 protokollet e saj.</w:t>
      </w:r>
    </w:p>
    <w:p w14:paraId="24218DB4"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364604E3"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8</w:t>
      </w:r>
    </w:p>
    <w:p w14:paraId="373651C8"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Vlerësimi fillestar i ujërave detare</w:t>
      </w:r>
    </w:p>
    <w:p w14:paraId="39EC2CEA"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3483DCE2"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Vlerësimi fillestar i ujërave detare të nënrajoneve detare I e II kryhet nga Agjencia</w:t>
      </w:r>
      <w:r w:rsidR="00CF26B1"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w:t>
      </w:r>
      <w:r w:rsidR="005006B0" w:rsidRPr="007871C9">
        <w:rPr>
          <w:rFonts w:ascii="Garamond" w:hAnsi="Garamond" w:cs="Times New Roman"/>
          <w:bCs/>
          <w:sz w:val="24"/>
          <w:szCs w:val="24"/>
        </w:rPr>
        <w:t>e</w:t>
      </w:r>
      <w:r w:rsidR="00D87D60" w:rsidRPr="007871C9">
        <w:rPr>
          <w:rFonts w:ascii="Garamond" w:hAnsi="Garamond" w:cs="Times New Roman"/>
          <w:bCs/>
          <w:sz w:val="24"/>
          <w:szCs w:val="24"/>
        </w:rPr>
        <w:t xml:space="preserve"> ministrinë përgjegjëse për mjedisin, organet përgjegjëse për zonat e mbrojtura dhe monitorimin e ujërave detare, bazuar në të dhënat ekzistuese, kur janë të disponueshme, si dhe duke përfshirë listat treguese të elementeve të ekosistemit, presioneve antropogjene dhe veprimtarisë njerëzore që ka ndikim</w:t>
      </w:r>
      <w:r w:rsidR="00E91D99" w:rsidRPr="007871C9">
        <w:rPr>
          <w:rFonts w:ascii="Garamond" w:hAnsi="Garamond" w:cs="Times New Roman"/>
          <w:bCs/>
          <w:sz w:val="24"/>
          <w:szCs w:val="24"/>
        </w:rPr>
        <w:t xml:space="preserve"> në ujërat detare, të tilla si:</w:t>
      </w:r>
    </w:p>
    <w:p w14:paraId="41BD95B4"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 xml:space="preserve">analizë të tipareve dhe karakteristikave thelbësore </w:t>
      </w:r>
      <w:r w:rsidR="005006B0" w:rsidRPr="007871C9">
        <w:rPr>
          <w:rFonts w:ascii="Garamond" w:hAnsi="Garamond" w:cs="Times New Roman"/>
          <w:bCs/>
          <w:sz w:val="24"/>
          <w:szCs w:val="24"/>
        </w:rPr>
        <w:t>të</w:t>
      </w:r>
      <w:r w:rsidR="00D87D60" w:rsidRPr="007871C9">
        <w:rPr>
          <w:rFonts w:ascii="Garamond" w:hAnsi="Garamond" w:cs="Times New Roman"/>
          <w:bCs/>
          <w:sz w:val="24"/>
          <w:szCs w:val="24"/>
        </w:rPr>
        <w:t xml:space="preserve"> statusit aktual mjedisor të këtyre ujërave, mbështetur në listën treguese të elementeve të përcak</w:t>
      </w:r>
      <w:r w:rsidR="005006B0" w:rsidRPr="007871C9">
        <w:rPr>
          <w:rFonts w:ascii="Garamond" w:hAnsi="Garamond" w:cs="Times New Roman"/>
          <w:bCs/>
          <w:sz w:val="24"/>
          <w:szCs w:val="24"/>
        </w:rPr>
        <w:t>tuara</w:t>
      </w:r>
      <w:r w:rsidRPr="007871C9">
        <w:rPr>
          <w:rFonts w:ascii="Garamond" w:hAnsi="Garamond" w:cs="Times New Roman"/>
          <w:bCs/>
          <w:sz w:val="24"/>
          <w:szCs w:val="24"/>
        </w:rPr>
        <w:t xml:space="preserve"> në përputhje me nenin 18</w:t>
      </w:r>
      <w:r w:rsidR="00D87D60" w:rsidRPr="007871C9">
        <w:rPr>
          <w:rFonts w:ascii="Garamond" w:hAnsi="Garamond" w:cs="Times New Roman"/>
          <w:bCs/>
          <w:sz w:val="24"/>
          <w:szCs w:val="24"/>
        </w:rPr>
        <w:t xml:space="preserve"> të këtij ligji, dhe që mbulon tiparet fizike e kimike, llojet e habitateve, tiparet biologjike dhe hidromorfologjike;</w:t>
      </w:r>
    </w:p>
    <w:p w14:paraId="2124FECC" w14:textId="0434E8A1"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analizë të presioneve dhe ndikimeve mbizotëruese, përfshirë veprimtarinë</w:t>
      </w:r>
      <w:r w:rsidR="007871C9">
        <w:rPr>
          <w:rFonts w:ascii="Garamond" w:hAnsi="Garamond" w:cs="Times New Roman"/>
          <w:bCs/>
          <w:sz w:val="24"/>
          <w:szCs w:val="24"/>
        </w:rPr>
        <w:t xml:space="preserve"> </w:t>
      </w:r>
      <w:r w:rsidR="00D87D60" w:rsidRPr="007871C9">
        <w:rPr>
          <w:rFonts w:ascii="Garamond" w:hAnsi="Garamond" w:cs="Times New Roman"/>
          <w:bCs/>
          <w:sz w:val="24"/>
          <w:szCs w:val="24"/>
        </w:rPr>
        <w:t xml:space="preserve">njerëzore, në statusin mjedisor të këtyre ujërave, </w:t>
      </w:r>
      <w:r w:rsidR="00E91D99" w:rsidRPr="007871C9">
        <w:rPr>
          <w:rFonts w:ascii="Garamond" w:hAnsi="Garamond" w:cs="Times New Roman"/>
          <w:bCs/>
          <w:sz w:val="24"/>
          <w:szCs w:val="24"/>
        </w:rPr>
        <w:t xml:space="preserve">e cila duhet: </w:t>
      </w:r>
    </w:p>
    <w:p w14:paraId="234F9ADF" w14:textId="7CCD1C69"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 </w:t>
      </w:r>
      <w:r w:rsidR="00D87D60" w:rsidRPr="007871C9">
        <w:rPr>
          <w:rFonts w:ascii="Garamond" w:hAnsi="Garamond" w:cs="Times New Roman"/>
          <w:bCs/>
          <w:sz w:val="24"/>
          <w:szCs w:val="24"/>
        </w:rPr>
        <w:t>të bazohet në listat treguese të elementeve të për</w:t>
      </w:r>
      <w:r w:rsidR="005006B0" w:rsidRPr="007871C9">
        <w:rPr>
          <w:rFonts w:ascii="Garamond" w:hAnsi="Garamond" w:cs="Times New Roman"/>
          <w:bCs/>
          <w:sz w:val="24"/>
          <w:szCs w:val="24"/>
        </w:rPr>
        <w:t>caktuara</w:t>
      </w:r>
      <w:r w:rsidRPr="007871C9">
        <w:rPr>
          <w:rFonts w:ascii="Garamond" w:hAnsi="Garamond" w:cs="Times New Roman"/>
          <w:bCs/>
          <w:sz w:val="24"/>
          <w:szCs w:val="24"/>
        </w:rPr>
        <w:t xml:space="preserve"> në zbatim të nenit 16</w:t>
      </w:r>
      <w:r w:rsidR="005006B0" w:rsidRPr="007871C9">
        <w:rPr>
          <w:rFonts w:ascii="Garamond" w:hAnsi="Garamond" w:cs="Times New Roman"/>
          <w:bCs/>
          <w:sz w:val="24"/>
          <w:szCs w:val="24"/>
        </w:rPr>
        <w:t xml:space="preserve"> të këtij ligji</w:t>
      </w:r>
      <w:r w:rsidR="00D87D60" w:rsidRPr="007871C9">
        <w:rPr>
          <w:rFonts w:ascii="Garamond" w:hAnsi="Garamond" w:cs="Times New Roman"/>
          <w:bCs/>
          <w:sz w:val="24"/>
          <w:szCs w:val="24"/>
        </w:rPr>
        <w:t xml:space="preserve"> dhe përfshin një përzierje cilësore e sasiore të presioneve të ndryshme dhe tendencave të dukshme;</w:t>
      </w:r>
      <w:r w:rsidR="007871C9">
        <w:rPr>
          <w:rFonts w:ascii="Garamond" w:hAnsi="Garamond" w:cs="Times New Roman"/>
          <w:bCs/>
          <w:sz w:val="24"/>
          <w:szCs w:val="24"/>
        </w:rPr>
        <w:t xml:space="preserve"> </w:t>
      </w:r>
    </w:p>
    <w:p w14:paraId="3FF530C8"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ii. </w:t>
      </w:r>
      <w:r w:rsidR="00D87D60" w:rsidRPr="007871C9">
        <w:rPr>
          <w:rFonts w:ascii="Garamond" w:hAnsi="Garamond" w:cs="Times New Roman"/>
          <w:bCs/>
          <w:sz w:val="24"/>
          <w:szCs w:val="24"/>
        </w:rPr>
        <w:t xml:space="preserve">të mbulojë ndikimet kryesore kumulative dhe sinergjike; dhe </w:t>
      </w:r>
    </w:p>
    <w:p w14:paraId="3C5D4558"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iii. </w:t>
      </w:r>
      <w:r w:rsidR="00D87D60" w:rsidRPr="007871C9">
        <w:rPr>
          <w:rFonts w:ascii="Garamond" w:hAnsi="Garamond" w:cs="Times New Roman"/>
          <w:bCs/>
          <w:sz w:val="24"/>
          <w:szCs w:val="24"/>
        </w:rPr>
        <w:t>të marrë parasysh vlerësimet përkatëse, të cilat janë bërë në përpu</w:t>
      </w:r>
      <w:r w:rsidR="00E91D99" w:rsidRPr="007871C9">
        <w:rPr>
          <w:rFonts w:ascii="Garamond" w:hAnsi="Garamond" w:cs="Times New Roman"/>
          <w:bCs/>
          <w:sz w:val="24"/>
          <w:szCs w:val="24"/>
        </w:rPr>
        <w:t>thje me legjislacionin në fuqi.</w:t>
      </w:r>
    </w:p>
    <w:p w14:paraId="613A0EE4"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analizë ekonomike dhe sociale të përdorimit të ujërave detare, si dhe të kostos së degradimit të mjedisit det</w:t>
      </w:r>
      <w:r w:rsidR="00E91D99" w:rsidRPr="007871C9">
        <w:rPr>
          <w:rFonts w:ascii="Garamond" w:hAnsi="Garamond" w:cs="Times New Roman"/>
          <w:bCs/>
          <w:sz w:val="24"/>
          <w:szCs w:val="24"/>
        </w:rPr>
        <w:t xml:space="preserve">ar. </w:t>
      </w:r>
    </w:p>
    <w:p w14:paraId="0B5A3D70"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Analizat e përmendura në pikën 1</w:t>
      </w:r>
      <w:r w:rsidRPr="007871C9">
        <w:rPr>
          <w:rFonts w:ascii="Garamond" w:hAnsi="Garamond" w:cs="Times New Roman"/>
          <w:bCs/>
          <w:sz w:val="24"/>
          <w:szCs w:val="24"/>
        </w:rPr>
        <w:t xml:space="preserve"> </w:t>
      </w:r>
      <w:r w:rsidR="00D87D60" w:rsidRPr="007871C9">
        <w:rPr>
          <w:rFonts w:ascii="Garamond" w:hAnsi="Garamond" w:cs="Times New Roman"/>
          <w:bCs/>
          <w:sz w:val="24"/>
          <w:szCs w:val="24"/>
        </w:rPr>
        <w:t>të këtij neni</w:t>
      </w:r>
      <w:r w:rsidRPr="007871C9">
        <w:rPr>
          <w:rFonts w:ascii="Garamond" w:hAnsi="Garamond" w:cs="Times New Roman"/>
          <w:bCs/>
          <w:sz w:val="24"/>
          <w:szCs w:val="24"/>
        </w:rPr>
        <w:t xml:space="preserve"> </w:t>
      </w:r>
      <w:r w:rsidR="00D87D60" w:rsidRPr="007871C9">
        <w:rPr>
          <w:rFonts w:ascii="Garamond" w:hAnsi="Garamond" w:cs="Times New Roman"/>
          <w:bCs/>
          <w:sz w:val="24"/>
          <w:szCs w:val="24"/>
        </w:rPr>
        <w:t>marrin parasysh elementet që lidhen me ujërat bregdetare, kalimtare dhe ato territoriale, në përputhje me legjislacionin për burimet ujore. Këto analiza marrin në konsideratë ose bazohen në vlerësime të tjera përkatëse, të tilla si ato të kryera në kuadër të zbatimit të konventës rajonale të detit, me qëllim kryerjen e një vlerësimi gjithëpërfshirës</w:t>
      </w:r>
      <w:r w:rsidR="00E91D99" w:rsidRPr="007871C9">
        <w:rPr>
          <w:rFonts w:ascii="Garamond" w:hAnsi="Garamond" w:cs="Times New Roman"/>
          <w:bCs/>
          <w:sz w:val="24"/>
          <w:szCs w:val="24"/>
        </w:rPr>
        <w:t xml:space="preserve"> të statusit të mjedisit detar.</w:t>
      </w:r>
    </w:p>
    <w:p w14:paraId="1FF3A7CA"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Gjatë përgatitjes së vlerësimeve të statusit të ujërave deta</w:t>
      </w:r>
      <w:r w:rsidRPr="007871C9">
        <w:rPr>
          <w:rFonts w:ascii="Garamond" w:hAnsi="Garamond" w:cs="Times New Roman"/>
          <w:bCs/>
          <w:sz w:val="24"/>
          <w:szCs w:val="24"/>
        </w:rPr>
        <w:t>re, në zbatim të pikës 1</w:t>
      </w:r>
      <w:r w:rsidR="00D87D60" w:rsidRPr="007871C9">
        <w:rPr>
          <w:rFonts w:ascii="Garamond" w:hAnsi="Garamond" w:cs="Times New Roman"/>
          <w:bCs/>
          <w:sz w:val="24"/>
          <w:szCs w:val="24"/>
        </w:rPr>
        <w:t xml:space="preserve"> të këtij neni,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w:t>
      </w:r>
      <w:r w:rsidR="00FE4671" w:rsidRPr="007871C9">
        <w:rPr>
          <w:rFonts w:ascii="Garamond" w:hAnsi="Garamond" w:cs="Times New Roman"/>
          <w:bCs/>
          <w:sz w:val="24"/>
          <w:szCs w:val="24"/>
        </w:rPr>
        <w:t>e</w:t>
      </w:r>
      <w:r w:rsidR="00D87D60" w:rsidRPr="007871C9">
        <w:rPr>
          <w:rFonts w:ascii="Garamond" w:hAnsi="Garamond" w:cs="Times New Roman"/>
          <w:bCs/>
          <w:sz w:val="24"/>
          <w:szCs w:val="24"/>
        </w:rPr>
        <w:t xml:space="preserve"> ministrinë përgjegjëse për mjedisin, organet përgjegjëse për zonat e mbrojtura dhe monitorimin e ujërave detare, në përputhje me detyrim</w:t>
      </w:r>
      <w:r w:rsidRPr="007871C9">
        <w:rPr>
          <w:rFonts w:ascii="Garamond" w:hAnsi="Garamond" w:cs="Times New Roman"/>
          <w:bCs/>
          <w:sz w:val="24"/>
          <w:szCs w:val="24"/>
        </w:rPr>
        <w:t>et e përcaktuara në nenet 6 e 7</w:t>
      </w:r>
      <w:r w:rsidR="00D87D60" w:rsidRPr="007871C9">
        <w:rPr>
          <w:rFonts w:ascii="Garamond" w:hAnsi="Garamond" w:cs="Times New Roman"/>
          <w:bCs/>
          <w:sz w:val="24"/>
          <w:szCs w:val="24"/>
        </w:rPr>
        <w:t xml:space="preserve"> të këtij ligji, ndërmarrin hapa për të siguruar që metodologjitë e zbatuara të jenë në përputhje me me</w:t>
      </w:r>
      <w:r w:rsidRPr="007871C9">
        <w:rPr>
          <w:rFonts w:ascii="Garamond" w:hAnsi="Garamond" w:cs="Times New Roman"/>
          <w:bCs/>
          <w:sz w:val="24"/>
          <w:szCs w:val="24"/>
        </w:rPr>
        <w:t>todologjitë e shteteve të tjera</w:t>
      </w:r>
      <w:r w:rsidR="00D87D60" w:rsidRPr="007871C9">
        <w:rPr>
          <w:rFonts w:ascii="Garamond" w:hAnsi="Garamond" w:cs="Times New Roman"/>
          <w:bCs/>
          <w:sz w:val="24"/>
          <w:szCs w:val="24"/>
        </w:rPr>
        <w:t xml:space="preserve"> me të cilat Republika e Shqipërisë ndan sovranitetin mbi nënrajonet detare I dhe II, si dhe që të merren parasysh nd</w:t>
      </w:r>
      <w:r w:rsidR="00E91D99" w:rsidRPr="007871C9">
        <w:rPr>
          <w:rFonts w:ascii="Garamond" w:hAnsi="Garamond" w:cs="Times New Roman"/>
          <w:bCs/>
          <w:sz w:val="24"/>
          <w:szCs w:val="24"/>
        </w:rPr>
        <w:t xml:space="preserve">ikimet e tiparet ndërkufitare. </w:t>
      </w:r>
    </w:p>
    <w:p w14:paraId="6178A967" w14:textId="77777777" w:rsidR="00D87D60" w:rsidRPr="007871C9" w:rsidRDefault="00F03D8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Vlerësimi fillestar i statusit të ujërave detare do të kryhet brenda 4 vjetësh nga hyrja në fuqi e këtij ligji.</w:t>
      </w:r>
    </w:p>
    <w:p w14:paraId="6D07B705"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5C053C84"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9</w:t>
      </w:r>
    </w:p>
    <w:p w14:paraId="4FEF7DFA"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Përcaktimi i statusit të mirë mjedisor</w:t>
      </w:r>
    </w:p>
    <w:p w14:paraId="31C0BA7C"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9BEF8A5" w14:textId="00040254"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 xml:space="preserve">Bazuar në vlerësimin fillestar të statusit të ujërave detare, </w:t>
      </w:r>
      <w:r w:rsidR="000B4522" w:rsidRPr="007871C9">
        <w:rPr>
          <w:rFonts w:ascii="Garamond" w:hAnsi="Garamond" w:cs="Times New Roman"/>
          <w:bCs/>
          <w:sz w:val="24"/>
          <w:szCs w:val="24"/>
        </w:rPr>
        <w:t>të hartuar në zbatim të nenit 8</w:t>
      </w:r>
      <w:r w:rsidR="00D87D60" w:rsidRPr="007871C9">
        <w:rPr>
          <w:rFonts w:ascii="Garamond" w:hAnsi="Garamond" w:cs="Times New Roman"/>
          <w:bCs/>
          <w:sz w:val="24"/>
          <w:szCs w:val="24"/>
        </w:rPr>
        <w:t xml:space="preserve"> të këtij ligji, Agjencia</w:t>
      </w:r>
      <w:r w:rsidR="000B4522"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w:t>
      </w:r>
      <w:r w:rsidR="000B4522" w:rsidRPr="007871C9">
        <w:rPr>
          <w:rFonts w:ascii="Garamond" w:hAnsi="Garamond" w:cs="Times New Roman"/>
          <w:bCs/>
          <w:sz w:val="24"/>
          <w:szCs w:val="24"/>
        </w:rPr>
        <w:t>e</w:t>
      </w:r>
      <w:r w:rsidR="00D87D60" w:rsidRPr="007871C9">
        <w:rPr>
          <w:rFonts w:ascii="Garamond" w:hAnsi="Garamond" w:cs="Times New Roman"/>
          <w:bCs/>
          <w:sz w:val="24"/>
          <w:szCs w:val="24"/>
        </w:rPr>
        <w:t xml:space="preserve"> ministrinë përgjegjëse për mjedisin, organet përgjegjëse për zonat e mbrojtura detare dhe monitorimin e ujërave detare,</w:t>
      </w:r>
      <w:r w:rsidR="007871C9">
        <w:rPr>
          <w:rFonts w:ascii="Garamond" w:hAnsi="Garamond" w:cs="Times New Roman"/>
          <w:bCs/>
          <w:sz w:val="24"/>
          <w:szCs w:val="24"/>
        </w:rPr>
        <w:t xml:space="preserve"> </w:t>
      </w:r>
      <w:r w:rsidR="00D87D60" w:rsidRPr="007871C9">
        <w:rPr>
          <w:rFonts w:ascii="Garamond" w:hAnsi="Garamond" w:cs="Times New Roman"/>
          <w:bCs/>
          <w:sz w:val="24"/>
          <w:szCs w:val="24"/>
        </w:rPr>
        <w:t>në lidhje me ujërat detare të të dyja nënrajoneve detare I e II në Republikën e Shqipërisë, identifikojnë një sërë karakteristikash të st</w:t>
      </w:r>
      <w:r w:rsidRPr="007871C9">
        <w:rPr>
          <w:rFonts w:ascii="Garamond" w:hAnsi="Garamond" w:cs="Times New Roman"/>
          <w:bCs/>
          <w:sz w:val="24"/>
          <w:szCs w:val="24"/>
        </w:rPr>
        <w:t>atusit të tyre të mirë mjedisor</w:t>
      </w:r>
      <w:r w:rsidR="00D87D60" w:rsidRPr="007871C9">
        <w:rPr>
          <w:rFonts w:ascii="Garamond" w:hAnsi="Garamond" w:cs="Times New Roman"/>
          <w:bCs/>
          <w:sz w:val="24"/>
          <w:szCs w:val="24"/>
        </w:rPr>
        <w:t xml:space="preserve"> në bazë të karakteristikave cilësore të përcaktuara në zbati</w:t>
      </w:r>
      <w:r w:rsidR="000B4522" w:rsidRPr="007871C9">
        <w:rPr>
          <w:rFonts w:ascii="Garamond" w:hAnsi="Garamond" w:cs="Times New Roman"/>
          <w:bCs/>
          <w:sz w:val="24"/>
          <w:szCs w:val="24"/>
        </w:rPr>
        <w:t>m të nenit 18</w:t>
      </w:r>
      <w:r w:rsidR="00E91D99" w:rsidRPr="007871C9">
        <w:rPr>
          <w:rFonts w:ascii="Garamond" w:hAnsi="Garamond" w:cs="Times New Roman"/>
          <w:bCs/>
          <w:sz w:val="24"/>
          <w:szCs w:val="24"/>
        </w:rPr>
        <w:t xml:space="preserve"> të këtij ligji. </w:t>
      </w:r>
    </w:p>
    <w:p w14:paraId="3E55A45D"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Agjencia</w:t>
      </w:r>
      <w:r w:rsidR="000B4522"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organet përgjegjëse për zonat e mbrojtura detare dhe monitorimin e ujërave detare, gjatë përcaktimit të statusit të mirë mjedisor të ujërave detare të nënrajoneve detare I dhe II, marrin parasysh listat treguese </w:t>
      </w:r>
      <w:r w:rsidR="00D87D60" w:rsidRPr="007871C9">
        <w:rPr>
          <w:rFonts w:ascii="Garamond" w:hAnsi="Garamond" w:cs="Times New Roman"/>
          <w:bCs/>
          <w:sz w:val="24"/>
          <w:szCs w:val="24"/>
        </w:rPr>
        <w:lastRenderedPageBreak/>
        <w:t>të elementeve të pë</w:t>
      </w:r>
      <w:r w:rsidR="000B4522" w:rsidRPr="007871C9">
        <w:rPr>
          <w:rFonts w:ascii="Garamond" w:hAnsi="Garamond" w:cs="Times New Roman"/>
          <w:bCs/>
          <w:sz w:val="24"/>
          <w:szCs w:val="24"/>
        </w:rPr>
        <w:t>rcaktuara në zbatim të nenit 18</w:t>
      </w:r>
      <w:r w:rsidR="00D87D60" w:rsidRPr="007871C9">
        <w:rPr>
          <w:rFonts w:ascii="Garamond" w:hAnsi="Garamond" w:cs="Times New Roman"/>
          <w:bCs/>
          <w:sz w:val="24"/>
          <w:szCs w:val="24"/>
        </w:rPr>
        <w:t xml:space="preserve"> të këtij ligji dhe në veçanti</w:t>
      </w:r>
      <w:r w:rsidR="000B4522" w:rsidRPr="007871C9">
        <w:rPr>
          <w:rFonts w:ascii="Garamond" w:hAnsi="Garamond" w:cs="Times New Roman"/>
          <w:bCs/>
          <w:sz w:val="24"/>
          <w:szCs w:val="24"/>
        </w:rPr>
        <w:t xml:space="preserve"> </w:t>
      </w:r>
      <w:r w:rsidR="00D87D60" w:rsidRPr="007871C9">
        <w:rPr>
          <w:rFonts w:ascii="Garamond" w:hAnsi="Garamond" w:cs="Times New Roman"/>
          <w:bCs/>
          <w:sz w:val="24"/>
          <w:szCs w:val="24"/>
        </w:rPr>
        <w:t>tiparet fizike dhe kimike, llojet e habitateve, tiparet biologjike dhe h</w:t>
      </w:r>
      <w:r w:rsidR="00E91D99" w:rsidRPr="007871C9">
        <w:rPr>
          <w:rFonts w:ascii="Garamond" w:hAnsi="Garamond" w:cs="Times New Roman"/>
          <w:bCs/>
          <w:sz w:val="24"/>
          <w:szCs w:val="24"/>
        </w:rPr>
        <w:t xml:space="preserve">idromorfologjike. </w:t>
      </w:r>
    </w:p>
    <w:p w14:paraId="768F5621"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Agjencia</w:t>
      </w:r>
      <w:r w:rsidR="000B4522" w:rsidRPr="007871C9">
        <w:rPr>
          <w:rFonts w:ascii="Garamond" w:hAnsi="Garamond" w:cs="Times New Roman"/>
          <w:bCs/>
          <w:sz w:val="24"/>
          <w:szCs w:val="24"/>
        </w:rPr>
        <w:t xml:space="preserve"> e Menaxhimit të Burimeve Ujore</w:t>
      </w:r>
      <w:r w:rsidRPr="007871C9">
        <w:rPr>
          <w:rFonts w:ascii="Garamond" w:hAnsi="Garamond" w:cs="Times New Roman"/>
          <w:bCs/>
          <w:sz w:val="24"/>
          <w:szCs w:val="24"/>
        </w:rPr>
        <w:t xml:space="preserve"> në bashkëpunim m</w:t>
      </w:r>
      <w:r w:rsidR="00E0271F" w:rsidRPr="007871C9">
        <w:rPr>
          <w:rFonts w:ascii="Garamond" w:hAnsi="Garamond" w:cs="Times New Roman"/>
          <w:bCs/>
          <w:sz w:val="24"/>
          <w:szCs w:val="24"/>
        </w:rPr>
        <w:t>e</w:t>
      </w:r>
      <w:r w:rsidRPr="007871C9">
        <w:rPr>
          <w:rFonts w:ascii="Garamond" w:hAnsi="Garamond" w:cs="Times New Roman"/>
          <w:bCs/>
          <w:sz w:val="24"/>
          <w:szCs w:val="24"/>
        </w:rPr>
        <w:t xml:space="preserve"> ministrinë përgjegjëse për mjedisin, organet përgjegjëse për zonat e mbrojtura detare dhe monitorimin e ujërave detare, marrin parasysh edhe presionet apo ndikimet e veprimtarisë njerëzore mbi të dyja nënrajonet detare I e II, duke pasur parasysh listën treguese të përcaktuar në zbati</w:t>
      </w:r>
      <w:r w:rsidR="000B4522" w:rsidRPr="007871C9">
        <w:rPr>
          <w:rFonts w:ascii="Garamond" w:hAnsi="Garamond" w:cs="Times New Roman"/>
          <w:bCs/>
          <w:sz w:val="24"/>
          <w:szCs w:val="24"/>
        </w:rPr>
        <w:t>m të nenit 18</w:t>
      </w:r>
      <w:r w:rsidR="00E91D99" w:rsidRPr="007871C9">
        <w:rPr>
          <w:rFonts w:ascii="Garamond" w:hAnsi="Garamond" w:cs="Times New Roman"/>
          <w:bCs/>
          <w:sz w:val="24"/>
          <w:szCs w:val="24"/>
        </w:rPr>
        <w:t xml:space="preserve"> të këtij ligji. </w:t>
      </w:r>
    </w:p>
    <w:p w14:paraId="73E821BA"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Karakteristikat e statusit të mirë mjedisor të ujërave të nënrajoneve detare përcaktohen brenda 4 vjetësh nga hyrja në fuqi e këtij ligji.</w:t>
      </w:r>
    </w:p>
    <w:p w14:paraId="2B62D295" w14:textId="77777777" w:rsidR="000B4522" w:rsidRPr="007871C9" w:rsidRDefault="000B4522" w:rsidP="005D6022">
      <w:pPr>
        <w:spacing w:after="0" w:line="240" w:lineRule="auto"/>
        <w:ind w:firstLine="284"/>
        <w:jc w:val="both"/>
        <w:rPr>
          <w:rFonts w:ascii="Garamond" w:hAnsi="Garamond" w:cs="Times New Roman"/>
          <w:bCs/>
          <w:sz w:val="24"/>
          <w:szCs w:val="24"/>
        </w:rPr>
      </w:pPr>
    </w:p>
    <w:p w14:paraId="09357B45"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10</w:t>
      </w:r>
    </w:p>
    <w:p w14:paraId="63C6B113"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Përcaktimi i objektivave mjedisorë</w:t>
      </w:r>
    </w:p>
    <w:p w14:paraId="588409C8"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5C781C5D"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Bazuar në vlerësimin fillestar të statusit të ujërave detare</w:t>
      </w:r>
      <w:r w:rsidRPr="007871C9">
        <w:rPr>
          <w:rFonts w:ascii="Garamond" w:hAnsi="Garamond" w:cs="Times New Roman"/>
          <w:bCs/>
          <w:sz w:val="24"/>
          <w:szCs w:val="24"/>
        </w:rPr>
        <w:t>, të kryer në zbatim të nenit 8</w:t>
      </w:r>
      <w:r w:rsidR="00D87D60" w:rsidRPr="007871C9">
        <w:rPr>
          <w:rFonts w:ascii="Garamond" w:hAnsi="Garamond" w:cs="Times New Roman"/>
          <w:bCs/>
          <w:sz w:val="24"/>
          <w:szCs w:val="24"/>
        </w:rPr>
        <w:t xml:space="preserve"> të këtij ligji,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turizmin dhe ministrinë përgjegjëse për akuakulturën, në lidhje me ujërat detare të nënrajoneve detare I dhe II, përcaktojnë objektiva mjedisorë gjithëpërfshirës dhe treguesit e lidhur me to për monitorimin e arritjes së statusit të mirë mjedisor në mjedisin detar. Për përcaktimin e këtyre objektivave merret parasysh lista treguese e presioneve dhe e ndikimeve, si dhe li</w:t>
      </w:r>
      <w:r w:rsidRPr="007871C9">
        <w:rPr>
          <w:rFonts w:ascii="Garamond" w:hAnsi="Garamond" w:cs="Times New Roman"/>
          <w:bCs/>
          <w:sz w:val="24"/>
          <w:szCs w:val="24"/>
        </w:rPr>
        <w:t>sta treguese e karakteristikave</w:t>
      </w:r>
      <w:r w:rsidR="00E0271F" w:rsidRPr="007871C9">
        <w:rPr>
          <w:rFonts w:ascii="Garamond" w:hAnsi="Garamond" w:cs="Times New Roman"/>
          <w:bCs/>
          <w:sz w:val="24"/>
          <w:szCs w:val="24"/>
        </w:rPr>
        <w:t xml:space="preserve"> </w:t>
      </w:r>
      <w:r w:rsidR="00D87D60" w:rsidRPr="007871C9">
        <w:rPr>
          <w:rFonts w:ascii="Garamond" w:hAnsi="Garamond" w:cs="Times New Roman"/>
          <w:bCs/>
          <w:sz w:val="24"/>
          <w:szCs w:val="24"/>
        </w:rPr>
        <w:t>në zbat</w:t>
      </w:r>
      <w:r w:rsidRPr="007871C9">
        <w:rPr>
          <w:rFonts w:ascii="Garamond" w:hAnsi="Garamond" w:cs="Times New Roman"/>
          <w:bCs/>
          <w:sz w:val="24"/>
          <w:szCs w:val="24"/>
        </w:rPr>
        <w:t>im të nenit 18</w:t>
      </w:r>
      <w:r w:rsidR="00E91D99" w:rsidRPr="007871C9">
        <w:rPr>
          <w:rFonts w:ascii="Garamond" w:hAnsi="Garamond" w:cs="Times New Roman"/>
          <w:bCs/>
          <w:sz w:val="24"/>
          <w:szCs w:val="24"/>
        </w:rPr>
        <w:t xml:space="preserve"> të këtij ligji.</w:t>
      </w:r>
    </w:p>
    <w:p w14:paraId="06E50C68" w14:textId="3B3DDA04"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Gjatë përcaktimit të objektivave mjedisorë dhe tre</w:t>
      </w:r>
      <w:r w:rsidRPr="007871C9">
        <w:rPr>
          <w:rFonts w:ascii="Garamond" w:hAnsi="Garamond" w:cs="Times New Roman"/>
          <w:bCs/>
          <w:sz w:val="24"/>
          <w:szCs w:val="24"/>
        </w:rPr>
        <w:t>guesve të përcaktuar në pikën 1 të këtij neni</w:t>
      </w:r>
      <w:r w:rsidR="00D87D60" w:rsidRPr="007871C9">
        <w:rPr>
          <w:rFonts w:ascii="Garamond" w:hAnsi="Garamond" w:cs="Times New Roman"/>
          <w:bCs/>
          <w:sz w:val="24"/>
          <w:szCs w:val="24"/>
        </w:rPr>
        <w:t xml:space="preserve"> sigurohet zbatimi i të gjithë objektivave mj</w:t>
      </w:r>
      <w:r w:rsidR="00E0271F" w:rsidRPr="007871C9">
        <w:rPr>
          <w:rFonts w:ascii="Garamond" w:hAnsi="Garamond" w:cs="Times New Roman"/>
          <w:bCs/>
          <w:sz w:val="24"/>
          <w:szCs w:val="24"/>
        </w:rPr>
        <w:t>edisorë ekzistues të përcaktuar</w:t>
      </w:r>
      <w:r w:rsidR="00D87D60" w:rsidRPr="007871C9">
        <w:rPr>
          <w:rFonts w:ascii="Garamond" w:hAnsi="Garamond" w:cs="Times New Roman"/>
          <w:bCs/>
          <w:sz w:val="24"/>
          <w:szCs w:val="24"/>
        </w:rPr>
        <w:t xml:space="preserve"> në përputhje me legjislacionin shqiptar, të Bashkimit E</w:t>
      </w:r>
      <w:r w:rsidR="001A1218">
        <w:rPr>
          <w:rFonts w:ascii="Garamond" w:hAnsi="Garamond" w:cs="Times New Roman"/>
          <w:bCs/>
          <w:sz w:val="24"/>
          <w:szCs w:val="24"/>
        </w:rPr>
        <w:t>v</w:t>
      </w:r>
      <w:r w:rsidR="00D87D60" w:rsidRPr="007871C9">
        <w:rPr>
          <w:rFonts w:ascii="Garamond" w:hAnsi="Garamond" w:cs="Times New Roman"/>
          <w:bCs/>
          <w:sz w:val="24"/>
          <w:szCs w:val="24"/>
        </w:rPr>
        <w:t>ropian dhe atë ndërkombëtar në lidhje me ujërat e nënrajoneve detare I e II, duke siguruar që këta objektiva të jenë të koordinuar, si dhe që ndikimet përkatëse ndërkufitare dhe tiparet ndërkufitare të jenë marrë gjithashtu në konsider</w:t>
      </w:r>
      <w:r w:rsidR="00E91D99" w:rsidRPr="007871C9">
        <w:rPr>
          <w:rFonts w:ascii="Garamond" w:hAnsi="Garamond" w:cs="Times New Roman"/>
          <w:bCs/>
          <w:sz w:val="24"/>
          <w:szCs w:val="24"/>
        </w:rPr>
        <w:t xml:space="preserve">atë, për aq sa është e mundur. </w:t>
      </w:r>
    </w:p>
    <w:p w14:paraId="1C19A57C"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Objektivat mjedisorë dhe treguesit për monitorimin e arritjeve të tyre përcaktohen brenda 4 vjetë</w:t>
      </w:r>
      <w:r w:rsidRPr="007871C9">
        <w:rPr>
          <w:rFonts w:ascii="Garamond" w:hAnsi="Garamond" w:cs="Times New Roman"/>
          <w:bCs/>
          <w:sz w:val="24"/>
          <w:szCs w:val="24"/>
        </w:rPr>
        <w:t>s</w:t>
      </w:r>
      <w:r w:rsidR="00D87D60" w:rsidRPr="007871C9">
        <w:rPr>
          <w:rFonts w:ascii="Garamond" w:hAnsi="Garamond" w:cs="Times New Roman"/>
          <w:bCs/>
          <w:sz w:val="24"/>
          <w:szCs w:val="24"/>
        </w:rPr>
        <w:t>h nga hyrja në fuqi e këtij ligji.</w:t>
      </w:r>
    </w:p>
    <w:p w14:paraId="1EEE4643"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360A455E"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11</w:t>
      </w:r>
    </w:p>
    <w:p w14:paraId="4313F67F"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Programi i monitorimit</w:t>
      </w:r>
    </w:p>
    <w:p w14:paraId="6FE44DAF"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248533D4"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Bazuar në vlerësimin fillestar të statusit të ujërave detare në nënrajonet detare I</w:t>
      </w:r>
      <w:r w:rsidRPr="007871C9">
        <w:rPr>
          <w:rFonts w:ascii="Garamond" w:hAnsi="Garamond" w:cs="Times New Roman"/>
          <w:bCs/>
          <w:sz w:val="24"/>
          <w:szCs w:val="24"/>
        </w:rPr>
        <w:t xml:space="preserve"> dhe II, të kryer sipas nenit 8</w:t>
      </w:r>
      <w:r w:rsidR="00D87D60" w:rsidRPr="007871C9">
        <w:rPr>
          <w:rFonts w:ascii="Garamond" w:hAnsi="Garamond" w:cs="Times New Roman"/>
          <w:bCs/>
          <w:sz w:val="24"/>
          <w:szCs w:val="24"/>
        </w:rPr>
        <w:t xml:space="preserve"> të këtij ligji,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autoritetet përgjegjëse për monitorimin e ujërave detare hartojnë një program ose disa programe monitorimi për vlerësimin e vazhdueshëm të statusit mjedisor të këtyre ujërave, duke u mbështetur në listat treguese të elementeve dhe në listën përkatëse të kërkesave të përcaktuara në zbatim të nenit 18 të këtij ligji, si dhe bazuar në obj</w:t>
      </w:r>
      <w:r w:rsidRPr="007871C9">
        <w:rPr>
          <w:rFonts w:ascii="Garamond" w:hAnsi="Garamond" w:cs="Times New Roman"/>
          <w:bCs/>
          <w:sz w:val="24"/>
          <w:szCs w:val="24"/>
        </w:rPr>
        <w:t>ektivat mjedisorë të përcaktuar</w:t>
      </w:r>
      <w:r w:rsidR="00D87D60" w:rsidRPr="007871C9">
        <w:rPr>
          <w:rFonts w:ascii="Garamond" w:hAnsi="Garamond" w:cs="Times New Roman"/>
          <w:bCs/>
          <w:sz w:val="24"/>
          <w:szCs w:val="24"/>
        </w:rPr>
        <w:t xml:space="preserve"> në zbat</w:t>
      </w:r>
      <w:r w:rsidRPr="007871C9">
        <w:rPr>
          <w:rFonts w:ascii="Garamond" w:hAnsi="Garamond" w:cs="Times New Roman"/>
          <w:bCs/>
          <w:sz w:val="24"/>
          <w:szCs w:val="24"/>
        </w:rPr>
        <w:t>im të nenit 10</w:t>
      </w:r>
      <w:r w:rsidR="00E91D99" w:rsidRPr="007871C9">
        <w:rPr>
          <w:rFonts w:ascii="Garamond" w:hAnsi="Garamond" w:cs="Times New Roman"/>
          <w:bCs/>
          <w:sz w:val="24"/>
          <w:szCs w:val="24"/>
        </w:rPr>
        <w:t xml:space="preserve"> të këtij ligji.</w:t>
      </w:r>
    </w:p>
    <w:p w14:paraId="25220C3B"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Gjatë hartimit të programit të monitorimit, të pë</w:t>
      </w:r>
      <w:r w:rsidRPr="007871C9">
        <w:rPr>
          <w:rFonts w:ascii="Garamond" w:hAnsi="Garamond" w:cs="Times New Roman"/>
          <w:bCs/>
          <w:sz w:val="24"/>
          <w:szCs w:val="24"/>
        </w:rPr>
        <w:t>rcaktuar në pikën 1</w:t>
      </w:r>
      <w:r w:rsidR="00D87D60" w:rsidRPr="007871C9">
        <w:rPr>
          <w:rFonts w:ascii="Garamond" w:hAnsi="Garamond" w:cs="Times New Roman"/>
          <w:bCs/>
          <w:sz w:val="24"/>
          <w:szCs w:val="24"/>
        </w:rPr>
        <w:t xml:space="preserve"> të këtij neni, </w:t>
      </w:r>
      <w:r w:rsidRPr="007871C9">
        <w:rPr>
          <w:rFonts w:ascii="Garamond" w:hAnsi="Garamond" w:cs="Times New Roman"/>
          <w:bCs/>
          <w:sz w:val="24"/>
          <w:szCs w:val="24"/>
        </w:rPr>
        <w:t>sigurohet bashkëpunimi në rajon në përputhje me nenin 7</w:t>
      </w:r>
      <w:r w:rsidR="00D87D60" w:rsidRPr="007871C9">
        <w:rPr>
          <w:rFonts w:ascii="Garamond" w:hAnsi="Garamond" w:cs="Times New Roman"/>
          <w:bCs/>
          <w:sz w:val="24"/>
          <w:szCs w:val="24"/>
        </w:rPr>
        <w:t xml:space="preserve"> të këtij ligji, me qëllim harmonizimin e vlerësimit dhe të programeve përkatëse të </w:t>
      </w:r>
      <w:r w:rsidRPr="007871C9">
        <w:rPr>
          <w:rFonts w:ascii="Garamond" w:hAnsi="Garamond" w:cs="Times New Roman"/>
          <w:bCs/>
          <w:sz w:val="24"/>
          <w:szCs w:val="24"/>
        </w:rPr>
        <w:t xml:space="preserve">monitorimit me ato të shteteve </w:t>
      </w:r>
      <w:r w:rsidR="00D87D60" w:rsidRPr="007871C9">
        <w:rPr>
          <w:rFonts w:ascii="Garamond" w:hAnsi="Garamond" w:cs="Times New Roman"/>
          <w:bCs/>
          <w:sz w:val="24"/>
          <w:szCs w:val="24"/>
        </w:rPr>
        <w:t>me të cilat Republika e Shqipërisë ndan sovranitetin mbi nënrajonet detare I e II, si dhe me legjislacionin që rregullon çështjet që lidhen me habitatet e shpendët e egra, si</w:t>
      </w:r>
      <w:r w:rsidRPr="007871C9">
        <w:rPr>
          <w:rFonts w:ascii="Garamond" w:hAnsi="Garamond" w:cs="Times New Roman"/>
          <w:bCs/>
          <w:sz w:val="24"/>
          <w:szCs w:val="24"/>
        </w:rPr>
        <w:t>pas marrëveshjeve ndërkombëtare</w:t>
      </w:r>
      <w:r w:rsidR="00D87D60" w:rsidRPr="007871C9">
        <w:rPr>
          <w:rFonts w:ascii="Garamond" w:hAnsi="Garamond" w:cs="Times New Roman"/>
          <w:bCs/>
          <w:sz w:val="24"/>
          <w:szCs w:val="24"/>
        </w:rPr>
        <w:t xml:space="preserve"> ku ësh</w:t>
      </w:r>
      <w:r w:rsidR="00E91D99" w:rsidRPr="007871C9">
        <w:rPr>
          <w:rFonts w:ascii="Garamond" w:hAnsi="Garamond" w:cs="Times New Roman"/>
          <w:bCs/>
          <w:sz w:val="24"/>
          <w:szCs w:val="24"/>
        </w:rPr>
        <w:t>të palë Republika e Shqipërisë.</w:t>
      </w:r>
    </w:p>
    <w:p w14:paraId="263C0076"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Në përmbushje të këtij detyrimi dhe duke marrë parasysh nevojën për një qasje koherente dhe të koordinuar,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autoritetet përgjegjëse p</w:t>
      </w:r>
      <w:r w:rsidR="00846C22" w:rsidRPr="007871C9">
        <w:rPr>
          <w:rFonts w:ascii="Garamond" w:hAnsi="Garamond" w:cs="Times New Roman"/>
          <w:bCs/>
          <w:sz w:val="24"/>
          <w:szCs w:val="24"/>
        </w:rPr>
        <w:t>ër monitorimin e ujërave detare</w:t>
      </w:r>
      <w:r w:rsidR="00D87D60" w:rsidRPr="007871C9">
        <w:rPr>
          <w:rFonts w:ascii="Garamond" w:hAnsi="Garamond" w:cs="Times New Roman"/>
          <w:bCs/>
          <w:sz w:val="24"/>
          <w:szCs w:val="24"/>
        </w:rPr>
        <w:t xml:space="preserve"> marrin masat e nevojshme për të siguruar që metodat për monitorimin e ujërave të të dyja nënrajoneve detare I e II të jenë koherente dhe rezultatet e monitorimit të jenë të krahasueshme me metodat përkatëse të zbatuara dhe rezultatet e arritura nga shtetet e tjera me të cilat Republika e Shqipërisë ndan sovranitetin mbi këto nënrajone detare, duke marrë gjithashtu parasysh ndi</w:t>
      </w:r>
      <w:r w:rsidR="00E91D99" w:rsidRPr="007871C9">
        <w:rPr>
          <w:rFonts w:ascii="Garamond" w:hAnsi="Garamond" w:cs="Times New Roman"/>
          <w:bCs/>
          <w:sz w:val="24"/>
          <w:szCs w:val="24"/>
        </w:rPr>
        <w:t>kimet dhe tiparet ndërkufitare.</w:t>
      </w:r>
    </w:p>
    <w:p w14:paraId="66EA7E37"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Programi apo programet e monito</w:t>
      </w:r>
      <w:r w:rsidR="00846C22" w:rsidRPr="007871C9">
        <w:rPr>
          <w:rFonts w:ascii="Garamond" w:hAnsi="Garamond" w:cs="Times New Roman"/>
          <w:bCs/>
          <w:sz w:val="24"/>
          <w:szCs w:val="24"/>
        </w:rPr>
        <w:t>rimit të përcaktuara në pikën 1 të këtij neni</w:t>
      </w:r>
      <w:r w:rsidR="00D87D60" w:rsidRPr="007871C9">
        <w:rPr>
          <w:rFonts w:ascii="Garamond" w:hAnsi="Garamond" w:cs="Times New Roman"/>
          <w:bCs/>
          <w:sz w:val="24"/>
          <w:szCs w:val="24"/>
        </w:rPr>
        <w:t xml:space="preserve"> janë pjesë e Programit Kombëtar të Monitorimit të Mjedisit dhe vihen në zbatim brenda 6 vjetësh n</w:t>
      </w:r>
      <w:r w:rsidR="00E91D99" w:rsidRPr="007871C9">
        <w:rPr>
          <w:rFonts w:ascii="Garamond" w:hAnsi="Garamond" w:cs="Times New Roman"/>
          <w:bCs/>
          <w:sz w:val="24"/>
          <w:szCs w:val="24"/>
        </w:rPr>
        <w:t>ga hyrja në fuqi e këtij ligji.</w:t>
      </w:r>
    </w:p>
    <w:p w14:paraId="4CF8EB88" w14:textId="77777777" w:rsidR="00D87D60" w:rsidRPr="007871C9" w:rsidRDefault="00CF26B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5. </w:t>
      </w:r>
      <w:r w:rsidR="00D87D60" w:rsidRPr="007871C9">
        <w:rPr>
          <w:rFonts w:ascii="Garamond" w:hAnsi="Garamond" w:cs="Times New Roman"/>
          <w:bCs/>
          <w:sz w:val="24"/>
          <w:szCs w:val="24"/>
        </w:rPr>
        <w:t>Zbatimi i programit apo i programeve të monitor</w:t>
      </w:r>
      <w:r w:rsidR="00846C22" w:rsidRPr="007871C9">
        <w:rPr>
          <w:rFonts w:ascii="Garamond" w:hAnsi="Garamond" w:cs="Times New Roman"/>
          <w:bCs/>
          <w:sz w:val="24"/>
          <w:szCs w:val="24"/>
        </w:rPr>
        <w:t>imit, të përcaktuara në pikën 1</w:t>
      </w:r>
      <w:r w:rsidR="00D87D60" w:rsidRPr="007871C9">
        <w:rPr>
          <w:rFonts w:ascii="Garamond" w:hAnsi="Garamond" w:cs="Times New Roman"/>
          <w:bCs/>
          <w:sz w:val="24"/>
          <w:szCs w:val="24"/>
        </w:rPr>
        <w:t xml:space="preserve"> të këtij neni</w:t>
      </w:r>
      <w:r w:rsidR="00846C22" w:rsidRPr="007871C9">
        <w:rPr>
          <w:rFonts w:ascii="Garamond" w:hAnsi="Garamond" w:cs="Times New Roman"/>
          <w:bCs/>
          <w:sz w:val="24"/>
          <w:szCs w:val="24"/>
        </w:rPr>
        <w:t>,</w:t>
      </w:r>
      <w:r w:rsidR="00D87D60" w:rsidRPr="007871C9">
        <w:rPr>
          <w:rFonts w:ascii="Garamond" w:hAnsi="Garamond" w:cs="Times New Roman"/>
          <w:bCs/>
          <w:sz w:val="24"/>
          <w:szCs w:val="24"/>
        </w:rPr>
        <w:t xml:space="preserve"> sigurohet nëpërmjet programeve vjetore kombëtare të monitorimit të mjedisit.</w:t>
      </w:r>
    </w:p>
    <w:p w14:paraId="04709B4C"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F0272BF"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lastRenderedPageBreak/>
        <w:t>Neni 12</w:t>
      </w:r>
    </w:p>
    <w:p w14:paraId="4BF8F5CF"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Programi i masave</w:t>
      </w:r>
    </w:p>
    <w:p w14:paraId="28FAD9BF"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3A803C2B"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Strategjia e Mbrojtjes së Mjedisit Detar të Republikës së Shqipërisë përmban programin e masave që duhet të merren për të arritur dhe ruajtur statusin e m</w:t>
      </w:r>
      <w:r w:rsidR="00E91D99" w:rsidRPr="007871C9">
        <w:rPr>
          <w:rFonts w:ascii="Garamond" w:hAnsi="Garamond" w:cs="Times New Roman"/>
          <w:bCs/>
          <w:sz w:val="24"/>
          <w:szCs w:val="24"/>
        </w:rPr>
        <w:t>irë mjedisor të ujërave detare.</w:t>
      </w:r>
    </w:p>
    <w:p w14:paraId="649117E8"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Masat e përmen</w:t>
      </w:r>
      <w:r w:rsidRPr="007871C9">
        <w:rPr>
          <w:rFonts w:ascii="Garamond" w:hAnsi="Garamond" w:cs="Times New Roman"/>
          <w:bCs/>
          <w:sz w:val="24"/>
          <w:szCs w:val="24"/>
        </w:rPr>
        <w:t xml:space="preserve">dura në pikën 1 </w:t>
      </w:r>
      <w:r w:rsidR="00E91D99" w:rsidRPr="007871C9">
        <w:rPr>
          <w:rFonts w:ascii="Garamond" w:hAnsi="Garamond" w:cs="Times New Roman"/>
          <w:bCs/>
          <w:sz w:val="24"/>
          <w:szCs w:val="24"/>
        </w:rPr>
        <w:t>të këtij neni:</w:t>
      </w:r>
    </w:p>
    <w:p w14:paraId="2D4F1AC4"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hartohen në bazë të vlerësimit fillestar të miratuar të statusit të ujëra</w:t>
      </w:r>
      <w:r w:rsidRPr="007871C9">
        <w:rPr>
          <w:rFonts w:ascii="Garamond" w:hAnsi="Garamond" w:cs="Times New Roman"/>
          <w:bCs/>
          <w:sz w:val="24"/>
          <w:szCs w:val="24"/>
        </w:rPr>
        <w:t>ve detare, në zbatim të nenit 8</w:t>
      </w:r>
      <w:r w:rsidR="00D87D60" w:rsidRPr="007871C9">
        <w:rPr>
          <w:rFonts w:ascii="Garamond" w:hAnsi="Garamond" w:cs="Times New Roman"/>
          <w:bCs/>
          <w:sz w:val="24"/>
          <w:szCs w:val="24"/>
        </w:rPr>
        <w:t xml:space="preserve"> të këtij ligji;</w:t>
      </w:r>
    </w:p>
    <w:p w14:paraId="4EC291DE"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 planifikohen në mënyrë të tillë</w:t>
      </w:r>
      <w:r w:rsidR="00D87D60" w:rsidRPr="007871C9">
        <w:rPr>
          <w:rFonts w:ascii="Garamond" w:hAnsi="Garamond" w:cs="Times New Roman"/>
          <w:bCs/>
          <w:sz w:val="24"/>
          <w:szCs w:val="24"/>
        </w:rPr>
        <w:t xml:space="preserve"> që realizimi i tyre të shërbejë për arritjen e objektivave mjedisorë të pë</w:t>
      </w:r>
      <w:r w:rsidRPr="007871C9">
        <w:rPr>
          <w:rFonts w:ascii="Garamond" w:hAnsi="Garamond" w:cs="Times New Roman"/>
          <w:bCs/>
          <w:sz w:val="24"/>
          <w:szCs w:val="24"/>
        </w:rPr>
        <w:t>rcaktua</w:t>
      </w:r>
      <w:r w:rsidR="008A6AB2" w:rsidRPr="007871C9">
        <w:rPr>
          <w:rFonts w:ascii="Garamond" w:hAnsi="Garamond" w:cs="Times New Roman"/>
          <w:bCs/>
          <w:sz w:val="24"/>
          <w:szCs w:val="24"/>
        </w:rPr>
        <w:t>r</w:t>
      </w:r>
      <w:r w:rsidRPr="007871C9">
        <w:rPr>
          <w:rFonts w:ascii="Garamond" w:hAnsi="Garamond" w:cs="Times New Roman"/>
          <w:bCs/>
          <w:sz w:val="24"/>
          <w:szCs w:val="24"/>
        </w:rPr>
        <w:t xml:space="preserve"> në zbatim të nenit 10</w:t>
      </w:r>
      <w:r w:rsidR="00D87D60" w:rsidRPr="007871C9">
        <w:rPr>
          <w:rFonts w:ascii="Garamond" w:hAnsi="Garamond" w:cs="Times New Roman"/>
          <w:bCs/>
          <w:sz w:val="24"/>
          <w:szCs w:val="24"/>
        </w:rPr>
        <w:t xml:space="preserve"> të këtij ligji;</w:t>
      </w:r>
    </w:p>
    <w:p w14:paraId="1962C220"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planifikohen brenda afateve të përcaktuara në vendimin e Këshillit të Mi</w:t>
      </w:r>
      <w:r w:rsidRPr="007871C9">
        <w:rPr>
          <w:rFonts w:ascii="Garamond" w:hAnsi="Garamond" w:cs="Times New Roman"/>
          <w:bCs/>
          <w:sz w:val="24"/>
          <w:szCs w:val="24"/>
        </w:rPr>
        <w:t>nistrave, në zbatim të nenit 18</w:t>
      </w:r>
      <w:r w:rsidR="00D87D60" w:rsidRPr="007871C9">
        <w:rPr>
          <w:rFonts w:ascii="Garamond" w:hAnsi="Garamond" w:cs="Times New Roman"/>
          <w:bCs/>
          <w:sz w:val="24"/>
          <w:szCs w:val="24"/>
        </w:rPr>
        <w:t xml:space="preserve"> të këtij ligji.</w:t>
      </w:r>
    </w:p>
    <w:p w14:paraId="7CBDFC3F"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 xml:space="preserve">Gjatë përcaktimit të </w:t>
      </w:r>
      <w:r w:rsidRPr="007871C9">
        <w:rPr>
          <w:rFonts w:ascii="Garamond" w:hAnsi="Garamond" w:cs="Times New Roman"/>
          <w:bCs/>
          <w:sz w:val="24"/>
          <w:szCs w:val="24"/>
        </w:rPr>
        <w:t>masave të përmendura në pikën 1</w:t>
      </w:r>
      <w:r w:rsidR="00D87D60" w:rsidRPr="007871C9">
        <w:rPr>
          <w:rFonts w:ascii="Garamond" w:hAnsi="Garamond" w:cs="Times New Roman"/>
          <w:bCs/>
          <w:sz w:val="24"/>
          <w:szCs w:val="24"/>
        </w:rPr>
        <w:t xml:space="preserve"> të këtij neni, Agjencia</w:t>
      </w:r>
      <w:r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organin përgjegjë</w:t>
      </w:r>
      <w:r w:rsidR="00E91D99" w:rsidRPr="007871C9">
        <w:rPr>
          <w:rFonts w:ascii="Garamond" w:hAnsi="Garamond" w:cs="Times New Roman"/>
          <w:bCs/>
          <w:sz w:val="24"/>
          <w:szCs w:val="24"/>
        </w:rPr>
        <w:t>s për zonat e mbrojtura detare:</w:t>
      </w:r>
    </w:p>
    <w:p w14:paraId="1F82E6B0"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marrin në konsideratë masat përkatëse të ndërmarra në bazë të legjislacionit për burimet ujore, si dhe çdo akt tjetër ligjor apo nënligjor, që rregullon trajtimin e ujërave të ndotura urbane, cilësinë e ujërave të larjes dhe marrë</w:t>
      </w:r>
      <w:r w:rsidRPr="007871C9">
        <w:rPr>
          <w:rFonts w:ascii="Garamond" w:hAnsi="Garamond" w:cs="Times New Roman"/>
          <w:bCs/>
          <w:sz w:val="24"/>
          <w:szCs w:val="24"/>
        </w:rPr>
        <w:t>veshjet ndërkombëtare përkatëse</w:t>
      </w:r>
      <w:r w:rsidR="00D87D60" w:rsidRPr="007871C9">
        <w:rPr>
          <w:rFonts w:ascii="Garamond" w:hAnsi="Garamond" w:cs="Times New Roman"/>
          <w:bCs/>
          <w:sz w:val="24"/>
          <w:szCs w:val="24"/>
        </w:rPr>
        <w:t xml:space="preserve"> në të cilat është palë Republika e Shqipërisë;</w:t>
      </w:r>
    </w:p>
    <w:p w14:paraId="7BD8B3B1"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marrin parasy</w:t>
      </w:r>
      <w:r w:rsidRPr="007871C9">
        <w:rPr>
          <w:rFonts w:ascii="Garamond" w:hAnsi="Garamond" w:cs="Times New Roman"/>
          <w:bCs/>
          <w:sz w:val="24"/>
          <w:szCs w:val="24"/>
        </w:rPr>
        <w:t>sh zhvillimin e qëndrueshëm dhe në veçanti</w:t>
      </w:r>
      <w:r w:rsidR="00D87D60" w:rsidRPr="007871C9">
        <w:rPr>
          <w:rFonts w:ascii="Garamond" w:hAnsi="Garamond" w:cs="Times New Roman"/>
          <w:bCs/>
          <w:sz w:val="24"/>
          <w:szCs w:val="24"/>
        </w:rPr>
        <w:t xml:space="preserve"> ndikimet ekonomike dhe sociale të masave të parashikuara;</w:t>
      </w:r>
    </w:p>
    <w:p w14:paraId="437291A0"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sigurojnë që masat të jenë me kosto efektive dhe teknikisht të realizueshme;</w:t>
      </w:r>
    </w:p>
    <w:p w14:paraId="1D497893"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ç) </w:t>
      </w:r>
      <w:r w:rsidR="00D87D60" w:rsidRPr="007871C9">
        <w:rPr>
          <w:rFonts w:ascii="Garamond" w:hAnsi="Garamond" w:cs="Times New Roman"/>
          <w:bCs/>
          <w:sz w:val="24"/>
          <w:szCs w:val="24"/>
        </w:rPr>
        <w:t>kryejnë vlerësimin e ndikimit</w:t>
      </w:r>
      <w:r w:rsidRPr="007871C9">
        <w:rPr>
          <w:rFonts w:ascii="Garamond" w:hAnsi="Garamond" w:cs="Times New Roman"/>
          <w:bCs/>
          <w:sz w:val="24"/>
          <w:szCs w:val="24"/>
        </w:rPr>
        <w:t>,</w:t>
      </w:r>
      <w:r w:rsidR="00D87D60" w:rsidRPr="007871C9">
        <w:rPr>
          <w:rFonts w:ascii="Garamond" w:hAnsi="Garamond" w:cs="Times New Roman"/>
          <w:bCs/>
          <w:sz w:val="24"/>
          <w:szCs w:val="24"/>
        </w:rPr>
        <w:t xml:space="preserve"> duke përfshirë analizën e kostos dhe të përfitimit, përpara përcaktimit të çdo mase të re; </w:t>
      </w:r>
    </w:p>
    <w:p w14:paraId="26A363E4"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d) </w:t>
      </w:r>
      <w:r w:rsidR="00D87D60" w:rsidRPr="007871C9">
        <w:rPr>
          <w:rFonts w:ascii="Garamond" w:hAnsi="Garamond" w:cs="Times New Roman"/>
          <w:bCs/>
          <w:sz w:val="24"/>
          <w:szCs w:val="24"/>
        </w:rPr>
        <w:t>marrin në konsideratë ndikimet e zbatimit të programit të masave në ujëra përtej ujërave të tyre detare, me qëllim uljen e rrezikut të dëmtimit dhe, nëse është e mundur, të ketë një</w:t>
      </w:r>
      <w:r w:rsidR="00E91D99" w:rsidRPr="007871C9">
        <w:rPr>
          <w:rFonts w:ascii="Garamond" w:hAnsi="Garamond" w:cs="Times New Roman"/>
          <w:bCs/>
          <w:sz w:val="24"/>
          <w:szCs w:val="24"/>
        </w:rPr>
        <w:t xml:space="preserve"> ndikim pozitiv në këto ujëra. </w:t>
      </w:r>
    </w:p>
    <w:p w14:paraId="653BD60D"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Programi i</w:t>
      </w:r>
      <w:r w:rsidR="008A6AB2" w:rsidRPr="007871C9">
        <w:rPr>
          <w:rFonts w:ascii="Garamond" w:hAnsi="Garamond" w:cs="Times New Roman"/>
          <w:bCs/>
          <w:sz w:val="24"/>
          <w:szCs w:val="24"/>
        </w:rPr>
        <w:t xml:space="preserve"> masave i përcaktuar në pikën 1 të këtij neni</w:t>
      </w:r>
      <w:r w:rsidR="00D87D60" w:rsidRPr="007871C9">
        <w:rPr>
          <w:rFonts w:ascii="Garamond" w:hAnsi="Garamond" w:cs="Times New Roman"/>
          <w:bCs/>
          <w:sz w:val="24"/>
          <w:szCs w:val="24"/>
        </w:rPr>
        <w:t xml:space="preserve"> përfshin gjithashtu masat e mbrojtjes hapë</w:t>
      </w:r>
      <w:r w:rsidR="00E91D99" w:rsidRPr="007871C9">
        <w:rPr>
          <w:rFonts w:ascii="Garamond" w:hAnsi="Garamond" w:cs="Times New Roman"/>
          <w:bCs/>
          <w:sz w:val="24"/>
          <w:szCs w:val="24"/>
        </w:rPr>
        <w:t>sinore, me qëllim:</w:t>
      </w:r>
    </w:p>
    <w:p w14:paraId="438FA1B7"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dhënien e kontributit në rrjetet koherente dhe përfaqësuese të zonave të mbrojtura detare; dhe</w:t>
      </w:r>
    </w:p>
    <w:p w14:paraId="783BC005"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mbulimin në mënyrën e duhur të larmisë së ekosistemeve përbërëse, të tilla si zonat e veçanta të ruajtjes, të përcaktuara në përputhje me legjislacionin për habitatet, zonat e veçanta të mbrojtura të përcaktuara në përputhje me legjislacionin për shpendët e egra, zonat e mbrojtura detare, të përcaktuara së bashku me shtetet e tjera në kuadër të marrëvesh</w:t>
      </w:r>
      <w:r w:rsidR="008A6AB2" w:rsidRPr="007871C9">
        <w:rPr>
          <w:rFonts w:ascii="Garamond" w:hAnsi="Garamond" w:cs="Times New Roman"/>
          <w:bCs/>
          <w:sz w:val="24"/>
          <w:szCs w:val="24"/>
        </w:rPr>
        <w:t>jeve ndërkombëtare dhe rajonale</w:t>
      </w:r>
      <w:r w:rsidR="00D87D60" w:rsidRPr="007871C9">
        <w:rPr>
          <w:rFonts w:ascii="Garamond" w:hAnsi="Garamond" w:cs="Times New Roman"/>
          <w:bCs/>
          <w:sz w:val="24"/>
          <w:szCs w:val="24"/>
        </w:rPr>
        <w:t xml:space="preserve"> në</w:t>
      </w:r>
      <w:r w:rsidR="00E91D99" w:rsidRPr="007871C9">
        <w:rPr>
          <w:rFonts w:ascii="Garamond" w:hAnsi="Garamond" w:cs="Times New Roman"/>
          <w:bCs/>
          <w:sz w:val="24"/>
          <w:szCs w:val="24"/>
        </w:rPr>
        <w:t xml:space="preserve"> të cilat ato janë palë. </w:t>
      </w:r>
    </w:p>
    <w:p w14:paraId="27427827" w14:textId="1AC88E08"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Informacioni përkatës për zonat e veçanta të ruajtjes dhe zonat e veçanta të mbrojtjes në të dyja nënrajonet detare I e II do të vihet në dispozicion të publikut nga Agjencia</w:t>
      </w:r>
      <w:r w:rsidR="008A6AB2" w:rsidRPr="007871C9">
        <w:rPr>
          <w:rFonts w:ascii="Garamond" w:hAnsi="Garamond" w:cs="Times New Roman"/>
          <w:bCs/>
          <w:sz w:val="24"/>
          <w:szCs w:val="24"/>
        </w:rPr>
        <w:t xml:space="preserve"> e Menaxhimit të Burimeve Ujore</w:t>
      </w:r>
      <w:r w:rsidRPr="007871C9">
        <w:rPr>
          <w:rFonts w:ascii="Garamond" w:hAnsi="Garamond" w:cs="Times New Roman"/>
          <w:bCs/>
          <w:sz w:val="24"/>
          <w:szCs w:val="24"/>
        </w:rPr>
        <w:t xml:space="preserve"> brenda 8 vjetësh nga hyrja në fuqi e këtij ligji.</w:t>
      </w:r>
      <w:r w:rsidR="007871C9">
        <w:rPr>
          <w:rFonts w:ascii="Garamond" w:hAnsi="Garamond" w:cs="Times New Roman"/>
          <w:bCs/>
          <w:sz w:val="24"/>
          <w:szCs w:val="24"/>
        </w:rPr>
        <w:t xml:space="preserve"> </w:t>
      </w:r>
    </w:p>
    <w:p w14:paraId="3C083F38" w14:textId="77777777" w:rsidR="00D87D60" w:rsidRPr="007871C9" w:rsidRDefault="00846C22"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5. </w:t>
      </w:r>
      <w:r w:rsidR="00D87D60" w:rsidRPr="007871C9">
        <w:rPr>
          <w:rFonts w:ascii="Garamond" w:hAnsi="Garamond" w:cs="Times New Roman"/>
          <w:bCs/>
          <w:sz w:val="24"/>
          <w:szCs w:val="24"/>
        </w:rPr>
        <w:t xml:space="preserve">Programi i masave përmban, ndër të tjera, udhëzime për mënyrën e zbatimit të masave dhe si do të kontribuojnë ato në arritjen e objektivave </w:t>
      </w:r>
      <w:r w:rsidR="0049275D" w:rsidRPr="007871C9">
        <w:rPr>
          <w:rFonts w:ascii="Garamond" w:hAnsi="Garamond" w:cs="Times New Roman"/>
          <w:bCs/>
          <w:sz w:val="24"/>
          <w:szCs w:val="24"/>
        </w:rPr>
        <w:t>mjedisorë në zbatim të nenit 10</w:t>
      </w:r>
      <w:r w:rsidR="00D87D60" w:rsidRPr="007871C9">
        <w:rPr>
          <w:rFonts w:ascii="Garamond" w:hAnsi="Garamond" w:cs="Times New Roman"/>
          <w:bCs/>
          <w:sz w:val="24"/>
          <w:szCs w:val="24"/>
        </w:rPr>
        <w:t xml:space="preserve"> të këtij ligji. </w:t>
      </w:r>
    </w:p>
    <w:p w14:paraId="236E1306"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50DC9230"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13</w:t>
      </w:r>
    </w:p>
    <w:p w14:paraId="38E12071"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Përjashtimet nga detyrimi për të arritur objektivat mjedisorë dhe statusin e mirë mjedisor</w:t>
      </w:r>
    </w:p>
    <w:p w14:paraId="2FA66332"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D384E55"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Programi i masave, i përc</w:t>
      </w:r>
      <w:r w:rsidR="00AB4492" w:rsidRPr="007871C9">
        <w:rPr>
          <w:rFonts w:ascii="Garamond" w:hAnsi="Garamond" w:cs="Times New Roman"/>
          <w:bCs/>
          <w:sz w:val="24"/>
          <w:szCs w:val="24"/>
        </w:rPr>
        <w:t>aktuar në përputhje me nenin 12</w:t>
      </w:r>
      <w:r w:rsidR="00D87D60" w:rsidRPr="007871C9">
        <w:rPr>
          <w:rFonts w:ascii="Garamond" w:hAnsi="Garamond" w:cs="Times New Roman"/>
          <w:bCs/>
          <w:sz w:val="24"/>
          <w:szCs w:val="24"/>
        </w:rPr>
        <w:t xml:space="preserve"> të këtij ligji, mund të identifikojë rastet kur objektivat mjedisorë dhe statusi i mirë mjedisor në </w:t>
      </w:r>
      <w:r w:rsidR="00AB4492" w:rsidRPr="007871C9">
        <w:rPr>
          <w:rFonts w:ascii="Garamond" w:hAnsi="Garamond" w:cs="Times New Roman"/>
          <w:bCs/>
          <w:sz w:val="24"/>
          <w:szCs w:val="24"/>
        </w:rPr>
        <w:t xml:space="preserve">ujërat e detit Adriatik dhe të </w:t>
      </w:r>
      <w:r w:rsidR="00D87D60" w:rsidRPr="007871C9">
        <w:rPr>
          <w:rFonts w:ascii="Garamond" w:hAnsi="Garamond" w:cs="Times New Roman"/>
          <w:bCs/>
          <w:sz w:val="24"/>
          <w:szCs w:val="24"/>
        </w:rPr>
        <w:t>detit Jon të Republikës së Shqipërisë nuk mund të arrihen në çdo aspekt përmes masave të marra dhe brenda afateve kohore në</w:t>
      </w:r>
      <w:r w:rsidR="00E91D99" w:rsidRPr="007871C9">
        <w:rPr>
          <w:rFonts w:ascii="Garamond" w:hAnsi="Garamond" w:cs="Times New Roman"/>
          <w:bCs/>
          <w:sz w:val="24"/>
          <w:szCs w:val="24"/>
        </w:rPr>
        <w:t xml:space="preserve"> fjalë për shkaqet e mëposhtme:</w:t>
      </w:r>
    </w:p>
    <w:p w14:paraId="1421CC34"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AB4492" w:rsidRPr="007871C9">
        <w:rPr>
          <w:rFonts w:ascii="Garamond" w:hAnsi="Garamond" w:cs="Times New Roman"/>
          <w:bCs/>
          <w:sz w:val="24"/>
          <w:szCs w:val="24"/>
        </w:rPr>
        <w:t>k</w:t>
      </w:r>
      <w:r w:rsidR="00D87D60" w:rsidRPr="007871C9">
        <w:rPr>
          <w:rFonts w:ascii="Garamond" w:hAnsi="Garamond" w:cs="Times New Roman"/>
          <w:bCs/>
          <w:sz w:val="24"/>
          <w:szCs w:val="24"/>
        </w:rPr>
        <w:t>ur veprimi ose mosveprimi nuk është përgjegjësi e autoriteteve kompetente shqiptare;</w:t>
      </w:r>
    </w:p>
    <w:p w14:paraId="6FA398A4"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AB4492" w:rsidRPr="007871C9">
        <w:rPr>
          <w:rFonts w:ascii="Garamond" w:hAnsi="Garamond" w:cs="Times New Roman"/>
          <w:bCs/>
          <w:sz w:val="24"/>
          <w:szCs w:val="24"/>
        </w:rPr>
        <w:t>s</w:t>
      </w:r>
      <w:r w:rsidR="00D87D60" w:rsidRPr="007871C9">
        <w:rPr>
          <w:rFonts w:ascii="Garamond" w:hAnsi="Garamond" w:cs="Times New Roman"/>
          <w:bCs/>
          <w:sz w:val="24"/>
          <w:szCs w:val="24"/>
        </w:rPr>
        <w:t>hkaqe natyrore;</w:t>
      </w:r>
    </w:p>
    <w:p w14:paraId="7223BCCB"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AB4492" w:rsidRPr="007871C9">
        <w:rPr>
          <w:rFonts w:ascii="Garamond" w:hAnsi="Garamond" w:cs="Times New Roman"/>
          <w:bCs/>
          <w:sz w:val="24"/>
          <w:szCs w:val="24"/>
        </w:rPr>
        <w:t>f</w:t>
      </w:r>
      <w:r w:rsidR="00D87D60" w:rsidRPr="007871C9">
        <w:rPr>
          <w:rFonts w:ascii="Garamond" w:hAnsi="Garamond" w:cs="Times New Roman"/>
          <w:bCs/>
          <w:sz w:val="24"/>
          <w:szCs w:val="24"/>
        </w:rPr>
        <w:t>orca madhore;</w:t>
      </w:r>
    </w:p>
    <w:p w14:paraId="600EA344"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ç) </w:t>
      </w:r>
      <w:r w:rsidR="00AB4492" w:rsidRPr="007871C9">
        <w:rPr>
          <w:rFonts w:ascii="Garamond" w:hAnsi="Garamond" w:cs="Times New Roman"/>
          <w:bCs/>
          <w:sz w:val="24"/>
          <w:szCs w:val="24"/>
        </w:rPr>
        <w:t>s</w:t>
      </w:r>
      <w:r w:rsidR="00D87D60" w:rsidRPr="007871C9">
        <w:rPr>
          <w:rFonts w:ascii="Garamond" w:hAnsi="Garamond" w:cs="Times New Roman"/>
          <w:bCs/>
          <w:sz w:val="24"/>
          <w:szCs w:val="24"/>
        </w:rPr>
        <w:t>htesat ose ndryshimet e karakteristikave fizike të ujërave detare vijnë si pasojë e veprimeve të ndërmarra për shkak të një interesi publik madhor, i cili tejkalon ndikimin negativ në mjedis, përfshirë çdo ndikim ndërkufitar;</w:t>
      </w:r>
    </w:p>
    <w:p w14:paraId="2C9A5AB8"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lastRenderedPageBreak/>
        <w:t>d)</w:t>
      </w:r>
      <w:r w:rsidR="005D6022" w:rsidRPr="007871C9">
        <w:rPr>
          <w:rFonts w:ascii="Garamond" w:hAnsi="Garamond" w:cs="Times New Roman"/>
          <w:bCs/>
          <w:sz w:val="24"/>
          <w:szCs w:val="24"/>
        </w:rPr>
        <w:t xml:space="preserve"> </w:t>
      </w:r>
      <w:r w:rsidR="002345EA" w:rsidRPr="007871C9">
        <w:rPr>
          <w:rFonts w:ascii="Garamond" w:hAnsi="Garamond" w:cs="Times New Roman"/>
          <w:bCs/>
          <w:sz w:val="24"/>
          <w:szCs w:val="24"/>
        </w:rPr>
        <w:t>k</w:t>
      </w:r>
      <w:r w:rsidRPr="007871C9">
        <w:rPr>
          <w:rFonts w:ascii="Garamond" w:hAnsi="Garamond" w:cs="Times New Roman"/>
          <w:bCs/>
          <w:sz w:val="24"/>
          <w:szCs w:val="24"/>
        </w:rPr>
        <w:t>ushtet natyrore janë të tilla që nuk lejojnë përmirësimin në kohë të status</w:t>
      </w:r>
      <w:r w:rsidR="00E91D99" w:rsidRPr="007871C9">
        <w:rPr>
          <w:rFonts w:ascii="Garamond" w:hAnsi="Garamond" w:cs="Times New Roman"/>
          <w:bCs/>
          <w:sz w:val="24"/>
          <w:szCs w:val="24"/>
        </w:rPr>
        <w:t xml:space="preserve">it të ujërave detare në fjalë. </w:t>
      </w:r>
    </w:p>
    <w:p w14:paraId="389717B7" w14:textId="77777777" w:rsidR="00D87D60" w:rsidRPr="007871C9" w:rsidRDefault="002345E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2. Njëkohësisht</w:t>
      </w:r>
      <w:r w:rsidR="00D87D60" w:rsidRPr="007871C9">
        <w:rPr>
          <w:rFonts w:ascii="Garamond" w:hAnsi="Garamond" w:cs="Times New Roman"/>
          <w:bCs/>
          <w:sz w:val="24"/>
          <w:szCs w:val="24"/>
        </w:rPr>
        <w:t xml:space="preserve"> me identifikimin e ra</w:t>
      </w:r>
      <w:r w:rsidRPr="007871C9">
        <w:rPr>
          <w:rFonts w:ascii="Garamond" w:hAnsi="Garamond" w:cs="Times New Roman"/>
          <w:bCs/>
          <w:sz w:val="24"/>
          <w:szCs w:val="24"/>
        </w:rPr>
        <w:t>steve të përcaktuara në pikën 1 të këtij neni</w:t>
      </w:r>
      <w:r w:rsidR="00D87D60" w:rsidRPr="007871C9">
        <w:rPr>
          <w:rFonts w:ascii="Garamond" w:hAnsi="Garamond" w:cs="Times New Roman"/>
          <w:bCs/>
          <w:sz w:val="24"/>
          <w:szCs w:val="24"/>
        </w:rPr>
        <w:t xml:space="preserve"> shqyrtohen edhe pasojat që mund të vijnë nga mosarritja e objektivave mjedisorë dhe statusi i mirë mjedisor në shtetet e tjera në të dyja nënrajonet detare I e II. </w:t>
      </w:r>
    </w:p>
    <w:p w14:paraId="17759D47"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2345EA" w:rsidRPr="007871C9">
        <w:rPr>
          <w:rFonts w:ascii="Garamond" w:hAnsi="Garamond" w:cs="Times New Roman"/>
          <w:bCs/>
          <w:sz w:val="24"/>
          <w:szCs w:val="24"/>
        </w:rPr>
        <w:t>Në rastin e pikës 2</w:t>
      </w:r>
      <w:r w:rsidR="00D87D60" w:rsidRPr="007871C9">
        <w:rPr>
          <w:rFonts w:ascii="Garamond" w:hAnsi="Garamond" w:cs="Times New Roman"/>
          <w:bCs/>
          <w:sz w:val="24"/>
          <w:szCs w:val="24"/>
        </w:rPr>
        <w:t xml:space="preserve"> të këtij neni, Agjencia</w:t>
      </w:r>
      <w:r w:rsidR="002345EA"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organet përgjegjëse për zonat e mbrojtura detare d</w:t>
      </w:r>
      <w:r w:rsidR="00556CD6" w:rsidRPr="007871C9">
        <w:rPr>
          <w:rFonts w:ascii="Garamond" w:hAnsi="Garamond" w:cs="Times New Roman"/>
          <w:bCs/>
          <w:sz w:val="24"/>
          <w:szCs w:val="24"/>
        </w:rPr>
        <w:t>he monitorimin e ujërave detare</w:t>
      </w:r>
      <w:r w:rsidR="00D87D60" w:rsidRPr="007871C9">
        <w:rPr>
          <w:rFonts w:ascii="Garamond" w:hAnsi="Garamond" w:cs="Times New Roman"/>
          <w:bCs/>
          <w:sz w:val="24"/>
          <w:szCs w:val="24"/>
        </w:rPr>
        <w:t xml:space="preserve"> marrin masa të posaçme me qëllim parandalimin e përkeqësimit të mëtejshëm të statusit të ujërave detare të prekura nga shkaqet e përcaktuar</w:t>
      </w:r>
      <w:r w:rsidR="00556CD6" w:rsidRPr="007871C9">
        <w:rPr>
          <w:rFonts w:ascii="Garamond" w:hAnsi="Garamond" w:cs="Times New Roman"/>
          <w:bCs/>
          <w:sz w:val="24"/>
          <w:szCs w:val="24"/>
        </w:rPr>
        <w:t>a në shkronjat “b”, “c” dhe “ç” të pikës 1 të këtij neni</w:t>
      </w:r>
      <w:r w:rsidR="00D87D60" w:rsidRPr="007871C9">
        <w:rPr>
          <w:rFonts w:ascii="Garamond" w:hAnsi="Garamond" w:cs="Times New Roman"/>
          <w:bCs/>
          <w:sz w:val="24"/>
          <w:szCs w:val="24"/>
        </w:rPr>
        <w:t xml:space="preserve"> dhe zbutjen e ndikimit negativ brenda nënrajoneve detare I e II ose</w:t>
      </w:r>
      <w:r w:rsidR="00E91D99" w:rsidRPr="007871C9">
        <w:rPr>
          <w:rFonts w:ascii="Garamond" w:hAnsi="Garamond" w:cs="Times New Roman"/>
          <w:bCs/>
          <w:sz w:val="24"/>
          <w:szCs w:val="24"/>
        </w:rPr>
        <w:t xml:space="preserve"> ujërave të shteteve të tjera. </w:t>
      </w:r>
    </w:p>
    <w:p w14:paraId="161F5F73"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556CD6" w:rsidRPr="007871C9">
        <w:rPr>
          <w:rFonts w:ascii="Garamond" w:hAnsi="Garamond" w:cs="Times New Roman"/>
          <w:bCs/>
          <w:sz w:val="24"/>
          <w:szCs w:val="24"/>
        </w:rPr>
        <w:t>Në rastin e shkronjës “ç” të pikës 1 të këtij neni,</w:t>
      </w:r>
      <w:r w:rsidR="00D87D60" w:rsidRPr="007871C9">
        <w:rPr>
          <w:rFonts w:ascii="Garamond" w:hAnsi="Garamond" w:cs="Times New Roman"/>
          <w:bCs/>
          <w:sz w:val="24"/>
          <w:szCs w:val="24"/>
        </w:rPr>
        <w:t xml:space="preserve"> Agjencia</w:t>
      </w:r>
      <w:r w:rsidR="00556CD6" w:rsidRPr="007871C9">
        <w:rPr>
          <w:rFonts w:ascii="Garamond" w:hAnsi="Garamond" w:cs="Times New Roman"/>
          <w:bCs/>
          <w:sz w:val="24"/>
          <w:szCs w:val="24"/>
        </w:rPr>
        <w:t xml:space="preserve"> e Menaxhimit të Burimeve Ujore</w:t>
      </w:r>
      <w:r w:rsidR="00D87D60" w:rsidRPr="007871C9">
        <w:rPr>
          <w:rFonts w:ascii="Garamond" w:hAnsi="Garamond" w:cs="Times New Roman"/>
          <w:bCs/>
          <w:sz w:val="24"/>
          <w:szCs w:val="24"/>
        </w:rPr>
        <w:t xml:space="preserve"> në bashkëpunim me ministrinë përgjegjëse për mjedisin, organet përgjegjëse për zonat e mbrojtura detare dhe monitorimin e ujërave detare marrin masa në mënyrë që ndryshimet dhe shtesat të mos përjashtojnë ose cenojnë në mënyrë të pakthyeshme arritjen e statusit të mirë mjedisor në nënrajonet detare I e II ose në ujër</w:t>
      </w:r>
      <w:r w:rsidR="00E91D99" w:rsidRPr="007871C9">
        <w:rPr>
          <w:rFonts w:ascii="Garamond" w:hAnsi="Garamond" w:cs="Times New Roman"/>
          <w:bCs/>
          <w:sz w:val="24"/>
          <w:szCs w:val="24"/>
        </w:rPr>
        <w:t>at detare të shteteve të tjera.</w:t>
      </w:r>
    </w:p>
    <w:p w14:paraId="4C9D6A29" w14:textId="77777777" w:rsidR="00D87D60" w:rsidRPr="007871C9" w:rsidRDefault="008A56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5. </w:t>
      </w:r>
      <w:r w:rsidR="00D87D60" w:rsidRPr="007871C9">
        <w:rPr>
          <w:rFonts w:ascii="Garamond" w:hAnsi="Garamond" w:cs="Times New Roman"/>
          <w:bCs/>
          <w:sz w:val="24"/>
          <w:szCs w:val="24"/>
        </w:rPr>
        <w:t>Masat e po</w:t>
      </w:r>
      <w:r w:rsidR="009162CB" w:rsidRPr="007871C9">
        <w:rPr>
          <w:rFonts w:ascii="Garamond" w:hAnsi="Garamond" w:cs="Times New Roman"/>
          <w:bCs/>
          <w:sz w:val="24"/>
          <w:szCs w:val="24"/>
        </w:rPr>
        <w:t>saçme të përcaktuara në pikën 3</w:t>
      </w:r>
      <w:r w:rsidR="00D87D60" w:rsidRPr="007871C9">
        <w:rPr>
          <w:rFonts w:ascii="Garamond" w:hAnsi="Garamond" w:cs="Times New Roman"/>
          <w:bCs/>
          <w:sz w:val="24"/>
          <w:szCs w:val="24"/>
        </w:rPr>
        <w:t xml:space="preserve"> të këtij neni, kur është e mundur, përfshihen në programin e masave. </w:t>
      </w:r>
    </w:p>
    <w:p w14:paraId="4DFE8740" w14:textId="77777777" w:rsidR="00E91D99" w:rsidRPr="007871C9" w:rsidRDefault="00E91D99" w:rsidP="005D6022">
      <w:pPr>
        <w:spacing w:after="0" w:line="240" w:lineRule="auto"/>
        <w:ind w:firstLine="284"/>
        <w:jc w:val="both"/>
        <w:rPr>
          <w:rFonts w:ascii="Garamond" w:hAnsi="Garamond" w:cs="Times New Roman"/>
          <w:bCs/>
          <w:sz w:val="24"/>
          <w:szCs w:val="24"/>
        </w:rPr>
      </w:pPr>
    </w:p>
    <w:p w14:paraId="389792B8"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14</w:t>
      </w:r>
    </w:p>
    <w:p w14:paraId="29E468F9" w14:textId="393C2C9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Rastet</w:t>
      </w:r>
      <w:r w:rsidR="007871C9">
        <w:rPr>
          <w:rFonts w:ascii="Garamond" w:hAnsi="Garamond" w:cs="Times New Roman"/>
          <w:b/>
          <w:bCs/>
          <w:sz w:val="24"/>
          <w:szCs w:val="24"/>
        </w:rPr>
        <w:t xml:space="preserve"> </w:t>
      </w:r>
      <w:r w:rsidRPr="007871C9">
        <w:rPr>
          <w:rFonts w:ascii="Garamond" w:hAnsi="Garamond" w:cs="Times New Roman"/>
          <w:b/>
          <w:bCs/>
          <w:sz w:val="24"/>
          <w:szCs w:val="24"/>
        </w:rPr>
        <w:t>e mosveprimit</w:t>
      </w:r>
    </w:p>
    <w:p w14:paraId="3A9BE0EA"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09103D4A" w14:textId="6874A3C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Agjencia e Menaxhimit të Burimeve Ujore, ministria përgjegjëse për mjedisin, organet përgjegjëse për zonat e mbrojtura detare dhe monitorimin e ujërave detare janë përgjegjëse për hartimin dhe zbatimin e të gjitha elementeve të Strategjisë së Mbrojtjes së Mjedisit Detar të Republikës së Shqipë</w:t>
      </w:r>
      <w:r w:rsidR="00EB4F39" w:rsidRPr="007871C9">
        <w:rPr>
          <w:rFonts w:ascii="Garamond" w:hAnsi="Garamond" w:cs="Times New Roman"/>
          <w:bCs/>
          <w:sz w:val="24"/>
          <w:szCs w:val="24"/>
        </w:rPr>
        <w:t>risë</w:t>
      </w:r>
      <w:r w:rsidR="004F7E28" w:rsidRPr="007871C9">
        <w:rPr>
          <w:rFonts w:ascii="Garamond" w:hAnsi="Garamond" w:cs="Times New Roman"/>
          <w:bCs/>
          <w:sz w:val="24"/>
          <w:szCs w:val="24"/>
        </w:rPr>
        <w:t xml:space="preserve"> në zbatim të neneve 5 e 6</w:t>
      </w:r>
      <w:r w:rsidR="00D87D60" w:rsidRPr="007871C9">
        <w:rPr>
          <w:rFonts w:ascii="Garamond" w:hAnsi="Garamond" w:cs="Times New Roman"/>
          <w:bCs/>
          <w:sz w:val="24"/>
          <w:szCs w:val="24"/>
        </w:rPr>
        <w:t xml:space="preserve"> të këtij ligji. Në rast se pas hartimit të strategjisë vlerësohet se nuk ka rrezik të konsiderueshëm ose kur kostot do të ishin joproporcionale, duke marrë parasysh rreziqet në mjedisin detar dhe me kusht që të mos ketë përkeqësim të mëtejshëm, përjashtohet detyrimi për të ndërmarrë masa apo hapa të veçantë. Vlerësimi fillestar i përca</w:t>
      </w:r>
      <w:r w:rsidR="004F7E28" w:rsidRPr="007871C9">
        <w:rPr>
          <w:rFonts w:ascii="Garamond" w:hAnsi="Garamond" w:cs="Times New Roman"/>
          <w:bCs/>
          <w:sz w:val="24"/>
          <w:szCs w:val="24"/>
        </w:rPr>
        <w:t>ktuar në</w:t>
      </w:r>
      <w:r w:rsidR="007871C9">
        <w:rPr>
          <w:rFonts w:ascii="Garamond" w:hAnsi="Garamond" w:cs="Times New Roman"/>
          <w:bCs/>
          <w:sz w:val="24"/>
          <w:szCs w:val="24"/>
        </w:rPr>
        <w:t xml:space="preserve"> </w:t>
      </w:r>
      <w:r w:rsidR="004F7E28" w:rsidRPr="007871C9">
        <w:rPr>
          <w:rFonts w:ascii="Garamond" w:hAnsi="Garamond" w:cs="Times New Roman"/>
          <w:bCs/>
          <w:sz w:val="24"/>
          <w:szCs w:val="24"/>
        </w:rPr>
        <w:t>nenin 6</w:t>
      </w:r>
      <w:r w:rsidR="00D87D60" w:rsidRPr="007871C9">
        <w:rPr>
          <w:rFonts w:ascii="Garamond" w:hAnsi="Garamond" w:cs="Times New Roman"/>
          <w:bCs/>
          <w:sz w:val="24"/>
          <w:szCs w:val="24"/>
        </w:rPr>
        <w:t xml:space="preserve"> të k</w:t>
      </w:r>
      <w:r w:rsidR="004F7E28" w:rsidRPr="007871C9">
        <w:rPr>
          <w:rFonts w:ascii="Garamond" w:hAnsi="Garamond" w:cs="Times New Roman"/>
          <w:bCs/>
          <w:sz w:val="24"/>
          <w:szCs w:val="24"/>
        </w:rPr>
        <w:t>ëtij ligji</w:t>
      </w:r>
      <w:r w:rsidR="00E91D99" w:rsidRPr="007871C9">
        <w:rPr>
          <w:rFonts w:ascii="Garamond" w:hAnsi="Garamond" w:cs="Times New Roman"/>
          <w:bCs/>
          <w:sz w:val="24"/>
          <w:szCs w:val="24"/>
        </w:rPr>
        <w:t xml:space="preserve"> kryhet në çdo rast.</w:t>
      </w:r>
    </w:p>
    <w:p w14:paraId="4F0BEFE9" w14:textId="421619D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Nëse për ndonjë prej shk</w:t>
      </w:r>
      <w:r w:rsidR="000E384F" w:rsidRPr="007871C9">
        <w:rPr>
          <w:rFonts w:ascii="Garamond" w:hAnsi="Garamond" w:cs="Times New Roman"/>
          <w:bCs/>
          <w:sz w:val="24"/>
          <w:szCs w:val="24"/>
        </w:rPr>
        <w:t>aqeve të përcaktuara në pikën 1 të këtij neni</w:t>
      </w:r>
      <w:r w:rsidR="00D87D60" w:rsidRPr="007871C9">
        <w:rPr>
          <w:rFonts w:ascii="Garamond" w:hAnsi="Garamond" w:cs="Times New Roman"/>
          <w:bCs/>
          <w:sz w:val="24"/>
          <w:szCs w:val="24"/>
        </w:rPr>
        <w:t xml:space="preserve"> Agjencia e Menaxhimit të Burimeve Ujore, ministria përgjegjëse për mjedisin, organet përgjegjëse për zonat e mbrojtura detare dhe monitorimin e ujërave detare nuk ndërmarrin asnjë hap, do ta bëjnë publik këtë fakt, si dhe do të njoftojnë Këshillin e Ministrave, i cili merr masat t’i paraqesë Komisionit E</w:t>
      </w:r>
      <w:r w:rsidR="001A1218">
        <w:rPr>
          <w:rFonts w:ascii="Garamond" w:hAnsi="Garamond" w:cs="Times New Roman"/>
          <w:bCs/>
          <w:sz w:val="24"/>
          <w:szCs w:val="24"/>
        </w:rPr>
        <w:t>v</w:t>
      </w:r>
      <w:r w:rsidR="00EB4F39" w:rsidRPr="007871C9">
        <w:rPr>
          <w:rFonts w:ascii="Garamond" w:hAnsi="Garamond" w:cs="Times New Roman"/>
          <w:bCs/>
          <w:sz w:val="24"/>
          <w:szCs w:val="24"/>
        </w:rPr>
        <w:t>ropian arsyetimin e nevojshëm</w:t>
      </w:r>
      <w:r w:rsidR="00D87D60" w:rsidRPr="007871C9">
        <w:rPr>
          <w:rFonts w:ascii="Garamond" w:hAnsi="Garamond" w:cs="Times New Roman"/>
          <w:bCs/>
          <w:sz w:val="24"/>
          <w:szCs w:val="24"/>
        </w:rPr>
        <w:t xml:space="preserve"> ku është mbështetur ky vendim, duke shmangur që arritja e statusit të mirë mjedisor të cenohet në mënyrë të pakthyeshme. </w:t>
      </w:r>
    </w:p>
    <w:p w14:paraId="17FFA80C"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5DE8523"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15</w:t>
      </w:r>
    </w:p>
    <w:p w14:paraId="04A67313"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Pjesëmarrja e publikut</w:t>
      </w:r>
    </w:p>
    <w:p w14:paraId="00994DD6"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44BCB7C"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Gjatë zbatimit të dispozitave të këtij ligji, Agjencia e Menaxhimit të Burimeve Ujore garanton që të gjitha palët e interesit dhe publiku të kenë akses në informacionin mjedisor, sipas legjislacion</w:t>
      </w:r>
      <w:r w:rsidR="004F7850" w:rsidRPr="007871C9">
        <w:rPr>
          <w:rFonts w:ascii="Garamond" w:hAnsi="Garamond" w:cs="Times New Roman"/>
          <w:bCs/>
          <w:sz w:val="24"/>
          <w:szCs w:val="24"/>
        </w:rPr>
        <w:t>it përkatës.</w:t>
      </w:r>
    </w:p>
    <w:p w14:paraId="3ACA0520"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Agjencia e Menaxhimit të Burimeve Ujore garanton që të gjitha palët e interesit dhe publiku të kenë mundësi për të marrë pjesë në zbatimin e kërkesave të këtij ligji, duke përfshirë, kur është e mundur, organet ekzistuese të menaxhimit ose strukturat e konventës së Barcelonës, si dhe organe të tjera shkencore këshillimo</w:t>
      </w:r>
      <w:r w:rsidR="004F7850" w:rsidRPr="007871C9">
        <w:rPr>
          <w:rFonts w:ascii="Garamond" w:hAnsi="Garamond" w:cs="Times New Roman"/>
          <w:bCs/>
          <w:sz w:val="24"/>
          <w:szCs w:val="24"/>
        </w:rPr>
        <w:t>re të njohura ndërkombëtarisht.</w:t>
      </w:r>
    </w:p>
    <w:p w14:paraId="733380FD"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Agjencia e Menaxhimit të Burimeve Ujore organizon konsultime publike në lidhje me Strategjin</w:t>
      </w:r>
      <w:r w:rsidR="00EB4F39" w:rsidRPr="007871C9">
        <w:rPr>
          <w:rFonts w:ascii="Garamond" w:hAnsi="Garamond" w:cs="Times New Roman"/>
          <w:bCs/>
          <w:sz w:val="24"/>
          <w:szCs w:val="24"/>
        </w:rPr>
        <w:t>ë e Mbrojtjes së Mjedisit Detar</w:t>
      </w:r>
      <w:r w:rsidR="00D87D60" w:rsidRPr="007871C9">
        <w:rPr>
          <w:rFonts w:ascii="Garamond" w:hAnsi="Garamond" w:cs="Times New Roman"/>
          <w:bCs/>
          <w:sz w:val="24"/>
          <w:szCs w:val="24"/>
        </w:rPr>
        <w:t xml:space="preserve"> në përputhje me legjisla</w:t>
      </w:r>
      <w:r w:rsidR="004F7850" w:rsidRPr="007871C9">
        <w:rPr>
          <w:rFonts w:ascii="Garamond" w:hAnsi="Garamond" w:cs="Times New Roman"/>
          <w:bCs/>
          <w:sz w:val="24"/>
          <w:szCs w:val="24"/>
        </w:rPr>
        <w:t xml:space="preserve">cionin për konsultimin publik. </w:t>
      </w:r>
    </w:p>
    <w:p w14:paraId="19E862B2" w14:textId="2160E4F9"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Përveç de</w:t>
      </w:r>
      <w:r w:rsidR="00EB4F39" w:rsidRPr="007871C9">
        <w:rPr>
          <w:rFonts w:ascii="Garamond" w:hAnsi="Garamond" w:cs="Times New Roman"/>
          <w:bCs/>
          <w:sz w:val="24"/>
          <w:szCs w:val="24"/>
        </w:rPr>
        <w:t>tyrimit të përmendur në pikën 3</w:t>
      </w:r>
      <w:r w:rsidR="00D87D60" w:rsidRPr="007871C9">
        <w:rPr>
          <w:rFonts w:ascii="Garamond" w:hAnsi="Garamond" w:cs="Times New Roman"/>
          <w:bCs/>
          <w:sz w:val="24"/>
          <w:szCs w:val="24"/>
        </w:rPr>
        <w:t xml:space="preserve"> të këtij neni, Agjencia e Menaxhim</w:t>
      </w:r>
      <w:r w:rsidR="00EB4F39" w:rsidRPr="007871C9">
        <w:rPr>
          <w:rFonts w:ascii="Garamond" w:hAnsi="Garamond" w:cs="Times New Roman"/>
          <w:bCs/>
          <w:sz w:val="24"/>
          <w:szCs w:val="24"/>
        </w:rPr>
        <w:t>it të Burimeve Ujore</w:t>
      </w:r>
      <w:r w:rsidR="00D87D60" w:rsidRPr="007871C9">
        <w:rPr>
          <w:rFonts w:ascii="Garamond" w:hAnsi="Garamond" w:cs="Times New Roman"/>
          <w:bCs/>
          <w:sz w:val="24"/>
          <w:szCs w:val="24"/>
        </w:rPr>
        <w:t xml:space="preserve"> gjatë fazës së përgatitjes së dokumenteve të mëposhtme publikon përmbledhje të shkurtra, me qëllim që t’i japë publikut mundësinë e komenteve për elementet vijuese të Strategjisë së Mbrojtjes së Mjedisit Detar, si dhe të gjitha ndryshimeve për:</w:t>
      </w:r>
      <w:r w:rsidR="007871C9">
        <w:rPr>
          <w:rFonts w:ascii="Garamond" w:hAnsi="Garamond" w:cs="Times New Roman"/>
          <w:bCs/>
          <w:sz w:val="24"/>
          <w:szCs w:val="24"/>
        </w:rPr>
        <w:t xml:space="preserve"> </w:t>
      </w:r>
    </w:p>
    <w:p w14:paraId="031F1904"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vlerësimin fillesta</w:t>
      </w:r>
      <w:r w:rsidR="000E384F" w:rsidRPr="007871C9">
        <w:rPr>
          <w:rFonts w:ascii="Garamond" w:hAnsi="Garamond" w:cs="Times New Roman"/>
          <w:bCs/>
          <w:sz w:val="24"/>
          <w:szCs w:val="24"/>
        </w:rPr>
        <w:t>r të statusit të ujërave detare në përputhje me nenin 8 të këtij ligji</w:t>
      </w:r>
      <w:r w:rsidR="00D87D60" w:rsidRPr="007871C9">
        <w:rPr>
          <w:rFonts w:ascii="Garamond" w:hAnsi="Garamond" w:cs="Times New Roman"/>
          <w:bCs/>
          <w:sz w:val="24"/>
          <w:szCs w:val="24"/>
        </w:rPr>
        <w:t xml:space="preserve"> dhe përcakti</w:t>
      </w:r>
      <w:r w:rsidR="000E384F" w:rsidRPr="007871C9">
        <w:rPr>
          <w:rFonts w:ascii="Garamond" w:hAnsi="Garamond" w:cs="Times New Roman"/>
          <w:bCs/>
          <w:sz w:val="24"/>
          <w:szCs w:val="24"/>
        </w:rPr>
        <w:t>min e statusit të mirë mjedisor në përputhje me nenin 9</w:t>
      </w:r>
      <w:r w:rsidR="00D87D60" w:rsidRPr="007871C9">
        <w:rPr>
          <w:rFonts w:ascii="Garamond" w:hAnsi="Garamond" w:cs="Times New Roman"/>
          <w:bCs/>
          <w:sz w:val="24"/>
          <w:szCs w:val="24"/>
        </w:rPr>
        <w:t xml:space="preserve"> të këtij ligji;</w:t>
      </w:r>
    </w:p>
    <w:p w14:paraId="5B0F5377"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0E384F" w:rsidRPr="007871C9">
        <w:rPr>
          <w:rFonts w:ascii="Garamond" w:hAnsi="Garamond" w:cs="Times New Roman"/>
          <w:bCs/>
          <w:sz w:val="24"/>
          <w:szCs w:val="24"/>
        </w:rPr>
        <w:t>objektivat mjedisorë në përputhje me nenin 10</w:t>
      </w:r>
      <w:r w:rsidR="00D87D60" w:rsidRPr="007871C9">
        <w:rPr>
          <w:rFonts w:ascii="Garamond" w:hAnsi="Garamond" w:cs="Times New Roman"/>
          <w:bCs/>
          <w:sz w:val="24"/>
          <w:szCs w:val="24"/>
        </w:rPr>
        <w:t xml:space="preserve"> të këtij ligji;</w:t>
      </w:r>
    </w:p>
    <w:p w14:paraId="7601F218"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lastRenderedPageBreak/>
        <w:t xml:space="preserve">c) </w:t>
      </w:r>
      <w:r w:rsidR="000E384F" w:rsidRPr="007871C9">
        <w:rPr>
          <w:rFonts w:ascii="Garamond" w:hAnsi="Garamond" w:cs="Times New Roman"/>
          <w:bCs/>
          <w:sz w:val="24"/>
          <w:szCs w:val="24"/>
        </w:rPr>
        <w:t>programin e monitorimit në përputhje me nenin 11</w:t>
      </w:r>
      <w:r w:rsidR="00D87D60" w:rsidRPr="007871C9">
        <w:rPr>
          <w:rFonts w:ascii="Garamond" w:hAnsi="Garamond" w:cs="Times New Roman"/>
          <w:bCs/>
          <w:sz w:val="24"/>
          <w:szCs w:val="24"/>
        </w:rPr>
        <w:t xml:space="preserve"> të këtij ligji; </w:t>
      </w:r>
    </w:p>
    <w:p w14:paraId="43B168D9" w14:textId="77777777" w:rsidR="00D87D60" w:rsidRPr="007871C9" w:rsidRDefault="00730548"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ç) </w:t>
      </w:r>
      <w:r w:rsidR="000E384F" w:rsidRPr="007871C9">
        <w:rPr>
          <w:rFonts w:ascii="Garamond" w:hAnsi="Garamond" w:cs="Times New Roman"/>
          <w:bCs/>
          <w:sz w:val="24"/>
          <w:szCs w:val="24"/>
        </w:rPr>
        <w:t>programin e masave në përputhje me nenin 12</w:t>
      </w:r>
      <w:r w:rsidR="00D87D60" w:rsidRPr="007871C9">
        <w:rPr>
          <w:rFonts w:ascii="Garamond" w:hAnsi="Garamond" w:cs="Times New Roman"/>
          <w:bCs/>
          <w:sz w:val="24"/>
          <w:szCs w:val="24"/>
        </w:rPr>
        <w:t xml:space="preserve"> të këtij ligji.</w:t>
      </w:r>
    </w:p>
    <w:p w14:paraId="0810167E"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C3B8217"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16</w:t>
      </w:r>
    </w:p>
    <w:p w14:paraId="41FA8D8A"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Detyrimi për të raportuar</w:t>
      </w:r>
    </w:p>
    <w:p w14:paraId="4414B13D"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8E03D49"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Agjencia e Menaxh</w:t>
      </w:r>
      <w:r w:rsidR="00933E20" w:rsidRPr="007871C9">
        <w:rPr>
          <w:rFonts w:ascii="Garamond" w:hAnsi="Garamond" w:cs="Times New Roman"/>
          <w:bCs/>
          <w:sz w:val="24"/>
          <w:szCs w:val="24"/>
        </w:rPr>
        <w:t>imit të Burimeve Ujore publikon</w:t>
      </w:r>
      <w:r w:rsidR="00D87D60" w:rsidRPr="007871C9">
        <w:rPr>
          <w:rFonts w:ascii="Garamond" w:hAnsi="Garamond" w:cs="Times New Roman"/>
          <w:bCs/>
          <w:sz w:val="24"/>
          <w:szCs w:val="24"/>
        </w:rPr>
        <w:t xml:space="preserve"> të paktën në faqen e saj të </w:t>
      </w:r>
      <w:r w:rsidR="00933E20" w:rsidRPr="007871C9">
        <w:rPr>
          <w:rFonts w:ascii="Garamond" w:hAnsi="Garamond" w:cs="Times New Roman"/>
          <w:bCs/>
          <w:sz w:val="24"/>
          <w:szCs w:val="24"/>
        </w:rPr>
        <w:t>internetit si më poshtë</w:t>
      </w:r>
      <w:r w:rsidR="004F7850" w:rsidRPr="007871C9">
        <w:rPr>
          <w:rFonts w:ascii="Garamond" w:hAnsi="Garamond" w:cs="Times New Roman"/>
          <w:bCs/>
          <w:sz w:val="24"/>
          <w:szCs w:val="24"/>
        </w:rPr>
        <w:t>:</w:t>
      </w:r>
    </w:p>
    <w:p w14:paraId="7D9C0856"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a) l</w:t>
      </w:r>
      <w:r w:rsidR="00D87D60" w:rsidRPr="007871C9">
        <w:rPr>
          <w:rFonts w:ascii="Garamond" w:hAnsi="Garamond" w:cs="Times New Roman"/>
          <w:bCs/>
          <w:sz w:val="24"/>
          <w:szCs w:val="24"/>
        </w:rPr>
        <w:t>istën e autoriteteve kompetente të ngarkuara për zbatimin e këtij ligji, duke përfshirë i</w:t>
      </w:r>
      <w:r w:rsidR="00EB4F39" w:rsidRPr="007871C9">
        <w:rPr>
          <w:rFonts w:ascii="Garamond" w:hAnsi="Garamond" w:cs="Times New Roman"/>
          <w:bCs/>
          <w:sz w:val="24"/>
          <w:szCs w:val="24"/>
        </w:rPr>
        <w:t>nformacionin e nevojshëm për to</w:t>
      </w:r>
      <w:r w:rsidR="00D87D60" w:rsidRPr="007871C9">
        <w:rPr>
          <w:rFonts w:ascii="Garamond" w:hAnsi="Garamond" w:cs="Times New Roman"/>
          <w:bCs/>
          <w:sz w:val="24"/>
          <w:szCs w:val="24"/>
        </w:rPr>
        <w:t xml:space="preserve"> të përcaktuar në zba</w:t>
      </w:r>
      <w:r w:rsidR="00F478F8" w:rsidRPr="007871C9">
        <w:rPr>
          <w:rFonts w:ascii="Garamond" w:hAnsi="Garamond" w:cs="Times New Roman"/>
          <w:bCs/>
          <w:sz w:val="24"/>
          <w:szCs w:val="24"/>
        </w:rPr>
        <w:t>tim të nenit 18</w:t>
      </w:r>
      <w:r w:rsidR="00D87D60" w:rsidRPr="007871C9">
        <w:rPr>
          <w:rFonts w:ascii="Garamond" w:hAnsi="Garamond" w:cs="Times New Roman"/>
          <w:bCs/>
          <w:sz w:val="24"/>
          <w:szCs w:val="24"/>
        </w:rPr>
        <w:t xml:space="preserve"> të këtij ligji, brenda 2 vjetësh nga hyrja në fuqi e këtij ligji;</w:t>
      </w:r>
    </w:p>
    <w:p w14:paraId="65F8BDE1"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b) l</w:t>
      </w:r>
      <w:r w:rsidR="00D87D60" w:rsidRPr="007871C9">
        <w:rPr>
          <w:rFonts w:ascii="Garamond" w:hAnsi="Garamond" w:cs="Times New Roman"/>
          <w:bCs/>
          <w:sz w:val="24"/>
          <w:szCs w:val="24"/>
        </w:rPr>
        <w:t>istën e autoriteteve kompetente të ngarkuara për të bashkëpunu</w:t>
      </w:r>
      <w:r w:rsidR="00F478F8" w:rsidRPr="007871C9">
        <w:rPr>
          <w:rFonts w:ascii="Garamond" w:hAnsi="Garamond" w:cs="Times New Roman"/>
          <w:bCs/>
          <w:sz w:val="24"/>
          <w:szCs w:val="24"/>
        </w:rPr>
        <w:t>ar me organizatat ndërkombëtare</w:t>
      </w:r>
      <w:r w:rsidR="00D87D60" w:rsidRPr="007871C9">
        <w:rPr>
          <w:rFonts w:ascii="Garamond" w:hAnsi="Garamond" w:cs="Times New Roman"/>
          <w:bCs/>
          <w:sz w:val="24"/>
          <w:szCs w:val="24"/>
        </w:rPr>
        <w:t xml:space="preserve"> me të cilat bas</w:t>
      </w:r>
      <w:r w:rsidR="00F478F8" w:rsidRPr="007871C9">
        <w:rPr>
          <w:rFonts w:ascii="Garamond" w:hAnsi="Garamond" w:cs="Times New Roman"/>
          <w:bCs/>
          <w:sz w:val="24"/>
          <w:szCs w:val="24"/>
        </w:rPr>
        <w:t>hkëpunon Republika e Shqipërisë</w:t>
      </w:r>
      <w:r w:rsidR="00D87D60" w:rsidRPr="007871C9">
        <w:rPr>
          <w:rFonts w:ascii="Garamond" w:hAnsi="Garamond" w:cs="Times New Roman"/>
          <w:bCs/>
          <w:sz w:val="24"/>
          <w:szCs w:val="24"/>
        </w:rPr>
        <w:t xml:space="preserve"> brenda 2 vjetësh nga hyrja në fuqi të këtij ligji;</w:t>
      </w:r>
    </w:p>
    <w:p w14:paraId="12995DA6"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c) i</w:t>
      </w:r>
      <w:r w:rsidR="00D87D60" w:rsidRPr="007871C9">
        <w:rPr>
          <w:rFonts w:ascii="Garamond" w:hAnsi="Garamond" w:cs="Times New Roman"/>
          <w:bCs/>
          <w:sz w:val="24"/>
          <w:szCs w:val="24"/>
        </w:rPr>
        <w:t>nformacionin për vlerësimin fillestar të kryer të statusit të ujërave deta</w:t>
      </w:r>
      <w:r w:rsidR="00F478F8" w:rsidRPr="007871C9">
        <w:rPr>
          <w:rFonts w:ascii="Garamond" w:hAnsi="Garamond" w:cs="Times New Roman"/>
          <w:bCs/>
          <w:sz w:val="24"/>
          <w:szCs w:val="24"/>
        </w:rPr>
        <w:t>re të nënrajoneve detare I e II në përputhje me nenin 8</w:t>
      </w:r>
      <w:r w:rsidR="00D87D60" w:rsidRPr="007871C9">
        <w:rPr>
          <w:rFonts w:ascii="Garamond" w:hAnsi="Garamond" w:cs="Times New Roman"/>
          <w:bCs/>
          <w:sz w:val="24"/>
          <w:szCs w:val="24"/>
        </w:rPr>
        <w:t xml:space="preserve"> të këtij ligji; </w:t>
      </w:r>
    </w:p>
    <w:p w14:paraId="20AA54EA"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ç) i</w:t>
      </w:r>
      <w:r w:rsidR="00D87D60" w:rsidRPr="007871C9">
        <w:rPr>
          <w:rFonts w:ascii="Garamond" w:hAnsi="Garamond" w:cs="Times New Roman"/>
          <w:bCs/>
          <w:sz w:val="24"/>
          <w:szCs w:val="24"/>
        </w:rPr>
        <w:t>nformacionin për objektivat mjedisorë të ujërave të nënrajoneve detare I e II;</w:t>
      </w:r>
    </w:p>
    <w:p w14:paraId="418863E8"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d) i</w:t>
      </w:r>
      <w:r w:rsidR="00D87D60" w:rsidRPr="007871C9">
        <w:rPr>
          <w:rFonts w:ascii="Garamond" w:hAnsi="Garamond" w:cs="Times New Roman"/>
          <w:bCs/>
          <w:sz w:val="24"/>
          <w:szCs w:val="24"/>
        </w:rPr>
        <w:t>nformacion</w:t>
      </w:r>
      <w:r w:rsidR="00EB4F39" w:rsidRPr="007871C9">
        <w:rPr>
          <w:rFonts w:ascii="Garamond" w:hAnsi="Garamond" w:cs="Times New Roman"/>
          <w:bCs/>
          <w:sz w:val="24"/>
          <w:szCs w:val="24"/>
        </w:rPr>
        <w:t>in</w:t>
      </w:r>
      <w:r w:rsidR="00D87D60" w:rsidRPr="007871C9">
        <w:rPr>
          <w:rFonts w:ascii="Garamond" w:hAnsi="Garamond" w:cs="Times New Roman"/>
          <w:bCs/>
          <w:sz w:val="24"/>
          <w:szCs w:val="24"/>
        </w:rPr>
        <w:t xml:space="preserve"> për pro</w:t>
      </w:r>
      <w:r w:rsidR="00F478F8" w:rsidRPr="007871C9">
        <w:rPr>
          <w:rFonts w:ascii="Garamond" w:hAnsi="Garamond" w:cs="Times New Roman"/>
          <w:bCs/>
          <w:sz w:val="24"/>
          <w:szCs w:val="24"/>
        </w:rPr>
        <w:t>gramin e monitorimit të hartuar</w:t>
      </w:r>
      <w:r w:rsidR="00D87D60" w:rsidRPr="007871C9">
        <w:rPr>
          <w:rFonts w:ascii="Garamond" w:hAnsi="Garamond" w:cs="Times New Roman"/>
          <w:bCs/>
          <w:sz w:val="24"/>
          <w:szCs w:val="24"/>
        </w:rPr>
        <w:t xml:space="preserve"> në përputhje me </w:t>
      </w:r>
      <w:r w:rsidR="00633619" w:rsidRPr="007871C9">
        <w:rPr>
          <w:rFonts w:ascii="Garamond" w:hAnsi="Garamond" w:cs="Times New Roman"/>
          <w:bCs/>
          <w:sz w:val="24"/>
          <w:szCs w:val="24"/>
        </w:rPr>
        <w:t>nenin 11</w:t>
      </w:r>
      <w:r w:rsidR="00D87D60" w:rsidRPr="007871C9">
        <w:rPr>
          <w:rFonts w:ascii="Garamond" w:hAnsi="Garamond" w:cs="Times New Roman"/>
          <w:bCs/>
          <w:sz w:val="24"/>
          <w:szCs w:val="24"/>
        </w:rPr>
        <w:t xml:space="preserve"> të këtij ligji;</w:t>
      </w:r>
    </w:p>
    <w:p w14:paraId="286D9F63"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dh)</w:t>
      </w:r>
      <w:r w:rsidR="005D6022" w:rsidRPr="007871C9">
        <w:rPr>
          <w:rFonts w:ascii="Garamond" w:hAnsi="Garamond" w:cs="Times New Roman"/>
          <w:bCs/>
          <w:sz w:val="24"/>
          <w:szCs w:val="24"/>
        </w:rPr>
        <w:t xml:space="preserve"> </w:t>
      </w:r>
      <w:r w:rsidR="00D01ECA" w:rsidRPr="007871C9">
        <w:rPr>
          <w:rFonts w:ascii="Garamond" w:hAnsi="Garamond" w:cs="Times New Roman"/>
          <w:bCs/>
          <w:sz w:val="24"/>
          <w:szCs w:val="24"/>
        </w:rPr>
        <w:t>i</w:t>
      </w:r>
      <w:r w:rsidRPr="007871C9">
        <w:rPr>
          <w:rFonts w:ascii="Garamond" w:hAnsi="Garamond" w:cs="Times New Roman"/>
          <w:bCs/>
          <w:sz w:val="24"/>
          <w:szCs w:val="24"/>
        </w:rPr>
        <w:t>nformacion</w:t>
      </w:r>
      <w:r w:rsidR="00EB4F39" w:rsidRPr="007871C9">
        <w:rPr>
          <w:rFonts w:ascii="Garamond" w:hAnsi="Garamond" w:cs="Times New Roman"/>
          <w:bCs/>
          <w:sz w:val="24"/>
          <w:szCs w:val="24"/>
        </w:rPr>
        <w:t>in</w:t>
      </w:r>
      <w:r w:rsidRPr="007871C9">
        <w:rPr>
          <w:rFonts w:ascii="Garamond" w:hAnsi="Garamond" w:cs="Times New Roman"/>
          <w:bCs/>
          <w:sz w:val="24"/>
          <w:szCs w:val="24"/>
        </w:rPr>
        <w:t xml:space="preserve"> për</w:t>
      </w:r>
      <w:r w:rsidR="00F478F8" w:rsidRPr="007871C9">
        <w:rPr>
          <w:rFonts w:ascii="Garamond" w:hAnsi="Garamond" w:cs="Times New Roman"/>
          <w:bCs/>
          <w:sz w:val="24"/>
          <w:szCs w:val="24"/>
        </w:rPr>
        <w:t xml:space="preserve"> programin e masave të hartuara</w:t>
      </w:r>
      <w:r w:rsidRPr="007871C9">
        <w:rPr>
          <w:rFonts w:ascii="Garamond" w:hAnsi="Garamond" w:cs="Times New Roman"/>
          <w:bCs/>
          <w:sz w:val="24"/>
          <w:szCs w:val="24"/>
        </w:rPr>
        <w:t xml:space="preserve"> në përputhje me ne</w:t>
      </w:r>
      <w:r w:rsidR="00633619" w:rsidRPr="007871C9">
        <w:rPr>
          <w:rFonts w:ascii="Garamond" w:hAnsi="Garamond" w:cs="Times New Roman"/>
          <w:bCs/>
          <w:sz w:val="24"/>
          <w:szCs w:val="24"/>
        </w:rPr>
        <w:t>nin 12</w:t>
      </w:r>
      <w:r w:rsidRPr="007871C9">
        <w:rPr>
          <w:rFonts w:ascii="Garamond" w:hAnsi="Garamond" w:cs="Times New Roman"/>
          <w:bCs/>
          <w:sz w:val="24"/>
          <w:szCs w:val="24"/>
        </w:rPr>
        <w:t xml:space="preserve"> të këtij ligji;</w:t>
      </w:r>
    </w:p>
    <w:p w14:paraId="10886638"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e) a</w:t>
      </w:r>
      <w:r w:rsidR="00D87D60" w:rsidRPr="007871C9">
        <w:rPr>
          <w:rFonts w:ascii="Garamond" w:hAnsi="Garamond" w:cs="Times New Roman"/>
          <w:bCs/>
          <w:sz w:val="24"/>
          <w:szCs w:val="24"/>
        </w:rPr>
        <w:t>rsyet për shkaqet e mos</w:t>
      </w:r>
      <w:r w:rsidR="00EB4F39" w:rsidRPr="007871C9">
        <w:rPr>
          <w:rFonts w:ascii="Garamond" w:hAnsi="Garamond" w:cs="Times New Roman"/>
          <w:bCs/>
          <w:sz w:val="24"/>
          <w:szCs w:val="24"/>
        </w:rPr>
        <w:t>veprimit</w:t>
      </w:r>
      <w:r w:rsidR="00F478F8" w:rsidRPr="007871C9">
        <w:rPr>
          <w:rFonts w:ascii="Garamond" w:hAnsi="Garamond" w:cs="Times New Roman"/>
          <w:bCs/>
          <w:sz w:val="24"/>
          <w:szCs w:val="24"/>
        </w:rPr>
        <w:t xml:space="preserve"> në zbatim të nenit 14</w:t>
      </w:r>
      <w:r w:rsidR="00D87D60" w:rsidRPr="007871C9">
        <w:rPr>
          <w:rFonts w:ascii="Garamond" w:hAnsi="Garamond" w:cs="Times New Roman"/>
          <w:bCs/>
          <w:sz w:val="24"/>
          <w:szCs w:val="24"/>
        </w:rPr>
        <w:t xml:space="preserve"> të këtij ligji; </w:t>
      </w:r>
    </w:p>
    <w:p w14:paraId="5BC6303C"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ë) i</w:t>
      </w:r>
      <w:r w:rsidR="00D87D60" w:rsidRPr="007871C9">
        <w:rPr>
          <w:rFonts w:ascii="Garamond" w:hAnsi="Garamond" w:cs="Times New Roman"/>
          <w:bCs/>
          <w:sz w:val="24"/>
          <w:szCs w:val="24"/>
        </w:rPr>
        <w:t xml:space="preserve">nformacionin për detajet e çdo përditësimi të Strategjisë së Mbrojtjes së Mjedisit Detar të Republikës së Shqipërisë, i cili sigurohet t’i dërgohet sekretariatit të konventës së Barcelonës dhe shteteve të tjera që ndajnë me Republikën e Shqipërisë sovranitetin mbi ujërat </w:t>
      </w:r>
      <w:r w:rsidR="00633619" w:rsidRPr="007871C9">
        <w:rPr>
          <w:rFonts w:ascii="Garamond" w:hAnsi="Garamond" w:cs="Times New Roman"/>
          <w:bCs/>
          <w:sz w:val="24"/>
          <w:szCs w:val="24"/>
        </w:rPr>
        <w:t xml:space="preserve">e nënrajoneve detare I dhe II. </w:t>
      </w:r>
    </w:p>
    <w:p w14:paraId="5D3548FC"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Agjencia e Menaxh</w:t>
      </w:r>
      <w:r w:rsidR="00F478F8" w:rsidRPr="007871C9">
        <w:rPr>
          <w:rFonts w:ascii="Garamond" w:hAnsi="Garamond" w:cs="Times New Roman"/>
          <w:bCs/>
          <w:sz w:val="24"/>
          <w:szCs w:val="24"/>
        </w:rPr>
        <w:t>imit të Burimeve Ujore publikon</w:t>
      </w:r>
      <w:r w:rsidR="00D87D60" w:rsidRPr="007871C9">
        <w:rPr>
          <w:rFonts w:ascii="Garamond" w:hAnsi="Garamond" w:cs="Times New Roman"/>
          <w:bCs/>
          <w:sz w:val="24"/>
          <w:szCs w:val="24"/>
        </w:rPr>
        <w:t xml:space="preserve"> të pakt</w:t>
      </w:r>
      <w:r w:rsidR="00F478F8" w:rsidRPr="007871C9">
        <w:rPr>
          <w:rFonts w:ascii="Garamond" w:hAnsi="Garamond" w:cs="Times New Roman"/>
          <w:bCs/>
          <w:sz w:val="24"/>
          <w:szCs w:val="24"/>
        </w:rPr>
        <w:t>ën në faqen e saj të internetit</w:t>
      </w:r>
      <w:r w:rsidR="00D87D60" w:rsidRPr="007871C9">
        <w:rPr>
          <w:rFonts w:ascii="Garamond" w:hAnsi="Garamond" w:cs="Times New Roman"/>
          <w:bCs/>
          <w:sz w:val="24"/>
          <w:szCs w:val="24"/>
        </w:rPr>
        <w:t xml:space="preserve"> çdo ndryshim të informacionit që përmbahet në</w:t>
      </w:r>
      <w:r w:rsidR="00436540" w:rsidRPr="007871C9">
        <w:rPr>
          <w:rFonts w:ascii="Garamond" w:hAnsi="Garamond" w:cs="Times New Roman"/>
          <w:bCs/>
          <w:sz w:val="24"/>
          <w:szCs w:val="24"/>
        </w:rPr>
        <w:t xml:space="preserve"> listat e përmendura në pikën 1</w:t>
      </w:r>
      <w:r w:rsidR="00D87D60" w:rsidRPr="007871C9">
        <w:rPr>
          <w:rFonts w:ascii="Garamond" w:hAnsi="Garamond" w:cs="Times New Roman"/>
          <w:bCs/>
          <w:sz w:val="24"/>
          <w:szCs w:val="24"/>
        </w:rPr>
        <w:t xml:space="preserve"> të këtij ne</w:t>
      </w:r>
      <w:r w:rsidR="00436540" w:rsidRPr="007871C9">
        <w:rPr>
          <w:rFonts w:ascii="Garamond" w:hAnsi="Garamond" w:cs="Times New Roman"/>
          <w:bCs/>
          <w:sz w:val="24"/>
          <w:szCs w:val="24"/>
        </w:rPr>
        <w:t>ni</w:t>
      </w:r>
      <w:r w:rsidR="00D87D60" w:rsidRPr="007871C9">
        <w:rPr>
          <w:rFonts w:ascii="Garamond" w:hAnsi="Garamond" w:cs="Times New Roman"/>
          <w:bCs/>
          <w:sz w:val="24"/>
          <w:szCs w:val="24"/>
        </w:rPr>
        <w:t xml:space="preserve"> brenda 6 mua</w:t>
      </w:r>
      <w:r w:rsidR="00633619" w:rsidRPr="007871C9">
        <w:rPr>
          <w:rFonts w:ascii="Garamond" w:hAnsi="Garamond" w:cs="Times New Roman"/>
          <w:bCs/>
          <w:sz w:val="24"/>
          <w:szCs w:val="24"/>
        </w:rPr>
        <w:t>jve nga data e ndryshimit.</w:t>
      </w:r>
    </w:p>
    <w:p w14:paraId="603DC78F" w14:textId="4865580A"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3. </w:t>
      </w:r>
      <w:r w:rsidR="00D87D60" w:rsidRPr="007871C9">
        <w:rPr>
          <w:rFonts w:ascii="Garamond" w:hAnsi="Garamond" w:cs="Times New Roman"/>
          <w:bCs/>
          <w:sz w:val="24"/>
          <w:szCs w:val="24"/>
        </w:rPr>
        <w:t>Në rast se Agjencia</w:t>
      </w:r>
      <w:r w:rsidR="00946DB3" w:rsidRPr="007871C9">
        <w:rPr>
          <w:rFonts w:ascii="Garamond" w:hAnsi="Garamond" w:cs="Times New Roman"/>
          <w:bCs/>
          <w:sz w:val="24"/>
          <w:szCs w:val="24"/>
        </w:rPr>
        <w:t xml:space="preserve"> e Menaxhimit të Burimeve Ujore </w:t>
      </w:r>
      <w:r w:rsidR="00D87D60" w:rsidRPr="007871C9">
        <w:rPr>
          <w:rFonts w:ascii="Garamond" w:hAnsi="Garamond" w:cs="Times New Roman"/>
          <w:bCs/>
          <w:sz w:val="24"/>
          <w:szCs w:val="24"/>
        </w:rPr>
        <w:t>në bashkëpunim me ministrinë përgjegjëse për mjedisin, organet përgjegjëse për zonat e mbrojtura detare d</w:t>
      </w:r>
      <w:r w:rsidR="00436540" w:rsidRPr="007871C9">
        <w:rPr>
          <w:rFonts w:ascii="Garamond" w:hAnsi="Garamond" w:cs="Times New Roman"/>
          <w:bCs/>
          <w:sz w:val="24"/>
          <w:szCs w:val="24"/>
        </w:rPr>
        <w:t>he monitorimin e ujërave detare</w:t>
      </w:r>
      <w:r w:rsidR="00D87D60" w:rsidRPr="007871C9">
        <w:rPr>
          <w:rFonts w:ascii="Garamond" w:hAnsi="Garamond" w:cs="Times New Roman"/>
          <w:bCs/>
          <w:sz w:val="24"/>
          <w:szCs w:val="24"/>
        </w:rPr>
        <w:t xml:space="preserve"> vlerësojnë që një çështje që ka ndikim në statusin mjedisor të ujërave të nënrajoneve detare I e II të Republikës së Shqipërisë nuk mund të trajtohet nga masat e marra nga autoritetet kompetente të Republikës së Shqipërisë, ose nëse ekziston një rast që lidhet me zbatimin e ndonjë politike tjetër të Bashkimit E</w:t>
      </w:r>
      <w:r w:rsidR="001A1218">
        <w:rPr>
          <w:rFonts w:ascii="Garamond" w:hAnsi="Garamond" w:cs="Times New Roman"/>
          <w:bCs/>
          <w:sz w:val="24"/>
          <w:szCs w:val="24"/>
        </w:rPr>
        <w:t>v</w:t>
      </w:r>
      <w:r w:rsidR="00D87D60" w:rsidRPr="007871C9">
        <w:rPr>
          <w:rFonts w:ascii="Garamond" w:hAnsi="Garamond" w:cs="Times New Roman"/>
          <w:bCs/>
          <w:sz w:val="24"/>
          <w:szCs w:val="24"/>
        </w:rPr>
        <w:t>ropian apo që lind nga zbatimi i një marrëveshjeje ndërkombëtare, njofton Këshillin e Ministrave, i cili merr masat për informimin e Komisionit E</w:t>
      </w:r>
      <w:r w:rsidR="001A1218">
        <w:rPr>
          <w:rFonts w:ascii="Garamond" w:hAnsi="Garamond" w:cs="Times New Roman"/>
          <w:bCs/>
          <w:sz w:val="24"/>
          <w:szCs w:val="24"/>
        </w:rPr>
        <w:t>v</w:t>
      </w:r>
      <w:r w:rsidR="00D87D60" w:rsidRPr="007871C9">
        <w:rPr>
          <w:rFonts w:ascii="Garamond" w:hAnsi="Garamond" w:cs="Times New Roman"/>
          <w:bCs/>
          <w:sz w:val="24"/>
          <w:szCs w:val="24"/>
        </w:rPr>
        <w:t>ropian, sipas rrethanave, duke</w:t>
      </w:r>
      <w:r w:rsidR="00633619" w:rsidRPr="007871C9">
        <w:rPr>
          <w:rFonts w:ascii="Garamond" w:hAnsi="Garamond" w:cs="Times New Roman"/>
          <w:bCs/>
          <w:sz w:val="24"/>
          <w:szCs w:val="24"/>
        </w:rPr>
        <w:t xml:space="preserve"> paraqitur arsyetimin përkatës.</w:t>
      </w:r>
    </w:p>
    <w:p w14:paraId="3D1D94E3" w14:textId="77777777" w:rsidR="00D87D60" w:rsidRPr="007871C9" w:rsidRDefault="00D01ECA"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4. </w:t>
      </w:r>
      <w:r w:rsidR="00D87D60" w:rsidRPr="007871C9">
        <w:rPr>
          <w:rFonts w:ascii="Garamond" w:hAnsi="Garamond" w:cs="Times New Roman"/>
          <w:bCs/>
          <w:sz w:val="24"/>
          <w:szCs w:val="24"/>
        </w:rPr>
        <w:t>Brenda 3 vjetëve nga botimi i çdo programi masash apo përditësimi të tij, në zbatim të s</w:t>
      </w:r>
      <w:r w:rsidR="00946DB3" w:rsidRPr="007871C9">
        <w:rPr>
          <w:rFonts w:ascii="Garamond" w:hAnsi="Garamond" w:cs="Times New Roman"/>
          <w:bCs/>
          <w:sz w:val="24"/>
          <w:szCs w:val="24"/>
        </w:rPr>
        <w:t>hkronjave “a”, “b”, “c” dhe “ç” të pikës 4 të nenit 15</w:t>
      </w:r>
      <w:r w:rsidR="00D87D60" w:rsidRPr="007871C9">
        <w:rPr>
          <w:rFonts w:ascii="Garamond" w:hAnsi="Garamond" w:cs="Times New Roman"/>
          <w:bCs/>
          <w:sz w:val="24"/>
          <w:szCs w:val="24"/>
        </w:rPr>
        <w:t xml:space="preserve"> të këtij ligji, Agjencia e Menaxhimit të Burimeve Ujore përgatit një raport të ndërmjetëm të shkurtuar, i cili përshkruan progresin e arritur në zbatimin e këtij programi. </w:t>
      </w:r>
    </w:p>
    <w:p w14:paraId="32E59D6F"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2DD5846A"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17</w:t>
      </w:r>
    </w:p>
    <w:p w14:paraId="7345AF38"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E drejta për akses dhe përdorim të të dhënave</w:t>
      </w:r>
    </w:p>
    <w:p w14:paraId="535FF9F1"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24048378" w14:textId="64D5A0F1" w:rsidR="00D87D60" w:rsidRPr="007871C9" w:rsidRDefault="00060EE1"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Në bashkëpunim me</w:t>
      </w:r>
      <w:r w:rsidR="00EB4F39" w:rsidRPr="007871C9">
        <w:rPr>
          <w:rFonts w:ascii="Garamond" w:hAnsi="Garamond" w:cs="Times New Roman"/>
          <w:bCs/>
          <w:sz w:val="24"/>
          <w:szCs w:val="24"/>
        </w:rPr>
        <w:t xml:space="preserve"> autoritetet e tjera kompetente,</w:t>
      </w:r>
      <w:r w:rsidR="00D87D60" w:rsidRPr="007871C9">
        <w:rPr>
          <w:rFonts w:ascii="Garamond" w:hAnsi="Garamond" w:cs="Times New Roman"/>
          <w:bCs/>
          <w:sz w:val="24"/>
          <w:szCs w:val="24"/>
        </w:rPr>
        <w:t xml:space="preserve"> Agjencia e Menaxhimit të Burimeve Ujore garanton përmbushjen e detyrimeve në kuadër të zbatimit të legjislacionit e</w:t>
      </w:r>
      <w:r w:rsidR="001A1218">
        <w:rPr>
          <w:rFonts w:ascii="Garamond" w:hAnsi="Garamond" w:cs="Times New Roman"/>
          <w:bCs/>
          <w:sz w:val="24"/>
          <w:szCs w:val="24"/>
        </w:rPr>
        <w:t>v</w:t>
      </w:r>
      <w:r w:rsidR="00D87D60" w:rsidRPr="007871C9">
        <w:rPr>
          <w:rFonts w:ascii="Garamond" w:hAnsi="Garamond" w:cs="Times New Roman"/>
          <w:bCs/>
          <w:sz w:val="24"/>
          <w:szCs w:val="24"/>
        </w:rPr>
        <w:t>ropian për të drejtën e informacionit gjeohapësinor, të drejtën për akses dhe përdorim të të dhënave, si dhe të informacionit që rezulton nga vlerësimi fillest</w:t>
      </w:r>
      <w:r w:rsidR="00946DB3" w:rsidRPr="007871C9">
        <w:rPr>
          <w:rFonts w:ascii="Garamond" w:hAnsi="Garamond" w:cs="Times New Roman"/>
          <w:bCs/>
          <w:sz w:val="24"/>
          <w:szCs w:val="24"/>
        </w:rPr>
        <w:t>ar i kryer në zbatim të nenit 8 të këtij ligji</w:t>
      </w:r>
      <w:r w:rsidR="00D87D60" w:rsidRPr="007871C9">
        <w:rPr>
          <w:rFonts w:ascii="Garamond" w:hAnsi="Garamond" w:cs="Times New Roman"/>
          <w:bCs/>
          <w:sz w:val="24"/>
          <w:szCs w:val="24"/>
        </w:rPr>
        <w:t xml:space="preserve"> dhe nga programet e monitorimit të përcaktuara në zbat</w:t>
      </w:r>
      <w:r w:rsidR="00946DB3" w:rsidRPr="007871C9">
        <w:rPr>
          <w:rFonts w:ascii="Garamond" w:hAnsi="Garamond" w:cs="Times New Roman"/>
          <w:bCs/>
          <w:sz w:val="24"/>
          <w:szCs w:val="24"/>
        </w:rPr>
        <w:t>im të nenit 11</w:t>
      </w:r>
      <w:r w:rsidR="00633619" w:rsidRPr="007871C9">
        <w:rPr>
          <w:rFonts w:ascii="Garamond" w:hAnsi="Garamond" w:cs="Times New Roman"/>
          <w:bCs/>
          <w:sz w:val="24"/>
          <w:szCs w:val="24"/>
        </w:rPr>
        <w:t xml:space="preserve"> të këtij ligji.</w:t>
      </w:r>
    </w:p>
    <w:p w14:paraId="5C34622B" w14:textId="77777777" w:rsidR="002A5350" w:rsidRPr="007871C9" w:rsidRDefault="00060EE1" w:rsidP="005D6022">
      <w:pPr>
        <w:spacing w:after="0" w:line="240" w:lineRule="auto"/>
        <w:ind w:firstLine="284"/>
        <w:jc w:val="both"/>
        <w:rPr>
          <w:rFonts w:ascii="Garamond" w:hAnsi="Garamond" w:cs="Times New Roman"/>
          <w:bCs/>
          <w:sz w:val="24"/>
          <w:szCs w:val="24"/>
        </w:rPr>
      </w:pPr>
      <w:r w:rsidRPr="007871C9">
        <w:rPr>
          <w:rFonts w:ascii="Garamond" w:hAnsi="Garamond" w:cs="Times New Roman"/>
          <w:sz w:val="24"/>
          <w:szCs w:val="24"/>
        </w:rPr>
        <w:t xml:space="preserve">2. </w:t>
      </w:r>
      <w:r w:rsidR="002A5350" w:rsidRPr="007871C9">
        <w:rPr>
          <w:rFonts w:ascii="Garamond" w:hAnsi="Garamond" w:cs="Times New Roman"/>
          <w:sz w:val="24"/>
          <w:szCs w:val="24"/>
        </w:rPr>
        <w:t>Agjencia e Menaxhimit të Burimeve Ujore siguron që dokumentet dhe informacionet e parashikuara në nenet 5</w:t>
      </w:r>
      <w:r w:rsidR="00946DB3" w:rsidRPr="007871C9">
        <w:rPr>
          <w:rFonts w:ascii="Garamond" w:hAnsi="Garamond" w:cs="Times New Roman"/>
          <w:sz w:val="24"/>
          <w:szCs w:val="24"/>
        </w:rPr>
        <w:t>,</w:t>
      </w:r>
      <w:r w:rsidR="002A5350" w:rsidRPr="007871C9">
        <w:rPr>
          <w:rFonts w:ascii="Garamond" w:hAnsi="Garamond" w:cs="Times New Roman"/>
          <w:sz w:val="24"/>
          <w:szCs w:val="24"/>
        </w:rPr>
        <w:t xml:space="preserve"> pika 5, 8</w:t>
      </w:r>
      <w:r w:rsidR="00946DB3" w:rsidRPr="007871C9">
        <w:rPr>
          <w:rFonts w:ascii="Garamond" w:hAnsi="Garamond" w:cs="Times New Roman"/>
          <w:sz w:val="24"/>
          <w:szCs w:val="24"/>
        </w:rPr>
        <w:t>,</w:t>
      </w:r>
      <w:r w:rsidR="002A5350" w:rsidRPr="007871C9">
        <w:rPr>
          <w:rFonts w:ascii="Garamond" w:hAnsi="Garamond" w:cs="Times New Roman"/>
          <w:sz w:val="24"/>
          <w:szCs w:val="24"/>
        </w:rPr>
        <w:t xml:space="preserve"> pika 4, 9</w:t>
      </w:r>
      <w:r w:rsidR="00946DB3" w:rsidRPr="007871C9">
        <w:rPr>
          <w:rFonts w:ascii="Garamond" w:hAnsi="Garamond" w:cs="Times New Roman"/>
          <w:sz w:val="24"/>
          <w:szCs w:val="24"/>
        </w:rPr>
        <w:t>,</w:t>
      </w:r>
      <w:r w:rsidR="002A5350" w:rsidRPr="007871C9">
        <w:rPr>
          <w:rFonts w:ascii="Garamond" w:hAnsi="Garamond" w:cs="Times New Roman"/>
          <w:sz w:val="24"/>
          <w:szCs w:val="24"/>
        </w:rPr>
        <w:t xml:space="preserve"> pika 3, 10</w:t>
      </w:r>
      <w:r w:rsidR="00946DB3" w:rsidRPr="007871C9">
        <w:rPr>
          <w:rFonts w:ascii="Garamond" w:hAnsi="Garamond" w:cs="Times New Roman"/>
          <w:sz w:val="24"/>
          <w:szCs w:val="24"/>
        </w:rPr>
        <w:t>,</w:t>
      </w:r>
      <w:r w:rsidR="002A5350" w:rsidRPr="007871C9">
        <w:rPr>
          <w:rFonts w:ascii="Garamond" w:hAnsi="Garamond" w:cs="Times New Roman"/>
          <w:sz w:val="24"/>
          <w:szCs w:val="24"/>
        </w:rPr>
        <w:t xml:space="preserve"> pika 3, 11</w:t>
      </w:r>
      <w:r w:rsidR="00EB4F39" w:rsidRPr="007871C9">
        <w:rPr>
          <w:rFonts w:ascii="Garamond" w:hAnsi="Garamond" w:cs="Times New Roman"/>
          <w:sz w:val="24"/>
          <w:szCs w:val="24"/>
        </w:rPr>
        <w:t>,</w:t>
      </w:r>
      <w:r w:rsidR="002A5350" w:rsidRPr="007871C9">
        <w:rPr>
          <w:rFonts w:ascii="Garamond" w:hAnsi="Garamond" w:cs="Times New Roman"/>
          <w:sz w:val="24"/>
          <w:szCs w:val="24"/>
        </w:rPr>
        <w:t xml:space="preserve"> pika 1, 12</w:t>
      </w:r>
      <w:r w:rsidR="00EB4F39" w:rsidRPr="007871C9">
        <w:rPr>
          <w:rFonts w:ascii="Garamond" w:hAnsi="Garamond" w:cs="Times New Roman"/>
          <w:sz w:val="24"/>
          <w:szCs w:val="24"/>
        </w:rPr>
        <w:t>,</w:t>
      </w:r>
      <w:r w:rsidR="002A5350" w:rsidRPr="007871C9">
        <w:rPr>
          <w:rFonts w:ascii="Garamond" w:hAnsi="Garamond" w:cs="Times New Roman"/>
          <w:sz w:val="24"/>
          <w:szCs w:val="24"/>
        </w:rPr>
        <w:t xml:space="preserve"> pika 4</w:t>
      </w:r>
      <w:r w:rsidR="00EB4F39" w:rsidRPr="007871C9">
        <w:rPr>
          <w:rFonts w:ascii="Garamond" w:hAnsi="Garamond" w:cs="Times New Roman"/>
          <w:sz w:val="24"/>
          <w:szCs w:val="24"/>
        </w:rPr>
        <w:t>,</w:t>
      </w:r>
      <w:r w:rsidR="002A5350" w:rsidRPr="007871C9">
        <w:rPr>
          <w:rFonts w:ascii="Garamond" w:hAnsi="Garamond" w:cs="Times New Roman"/>
          <w:sz w:val="24"/>
          <w:szCs w:val="24"/>
        </w:rPr>
        <w:t xml:space="preserve"> dhe 13</w:t>
      </w:r>
      <w:r w:rsidR="00EB4F39" w:rsidRPr="007871C9">
        <w:rPr>
          <w:rFonts w:ascii="Garamond" w:hAnsi="Garamond" w:cs="Times New Roman"/>
          <w:sz w:val="24"/>
          <w:szCs w:val="24"/>
        </w:rPr>
        <w:t>,</w:t>
      </w:r>
      <w:r w:rsidR="002A5350" w:rsidRPr="007871C9">
        <w:rPr>
          <w:rFonts w:ascii="Garamond" w:hAnsi="Garamond" w:cs="Times New Roman"/>
          <w:sz w:val="24"/>
          <w:szCs w:val="24"/>
        </w:rPr>
        <w:t xml:space="preserve"> pika 4, t’i vihen në dispozicion Kuvendit të Shqipërisë jo më vonë se 3 muaj pasi ato të bëhen të disponueshme.</w:t>
      </w:r>
    </w:p>
    <w:p w14:paraId="60A6E1B6" w14:textId="0746FC84" w:rsidR="00D87D60" w:rsidRPr="007871C9" w:rsidRDefault="002A535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3</w:t>
      </w:r>
      <w:r w:rsidR="00060EE1" w:rsidRPr="007871C9">
        <w:rPr>
          <w:rFonts w:ascii="Garamond" w:hAnsi="Garamond" w:cs="Times New Roman"/>
          <w:bCs/>
          <w:sz w:val="24"/>
          <w:szCs w:val="24"/>
        </w:rPr>
        <w:t xml:space="preserve">. </w:t>
      </w:r>
      <w:r w:rsidR="00D87D60" w:rsidRPr="007871C9">
        <w:rPr>
          <w:rFonts w:ascii="Garamond" w:hAnsi="Garamond" w:cs="Times New Roman"/>
          <w:bCs/>
          <w:sz w:val="24"/>
          <w:szCs w:val="24"/>
        </w:rPr>
        <w:t>Agjencia e Menaxhimit të Burimeve Ujore siguron që informacioni nga vlerësimi fillest</w:t>
      </w:r>
      <w:r w:rsidR="00946DB3" w:rsidRPr="007871C9">
        <w:rPr>
          <w:rFonts w:ascii="Garamond" w:hAnsi="Garamond" w:cs="Times New Roman"/>
          <w:bCs/>
          <w:sz w:val="24"/>
          <w:szCs w:val="24"/>
        </w:rPr>
        <w:t>ar i kryer në zbatim të nenit 8</w:t>
      </w:r>
      <w:r w:rsidR="00D87D60" w:rsidRPr="007871C9">
        <w:rPr>
          <w:rFonts w:ascii="Garamond" w:hAnsi="Garamond" w:cs="Times New Roman"/>
          <w:bCs/>
          <w:sz w:val="24"/>
          <w:szCs w:val="24"/>
        </w:rPr>
        <w:t xml:space="preserve"> të këtij ligji, dhe nga programet e monitorimit të pë</w:t>
      </w:r>
      <w:r w:rsidR="00946DB3" w:rsidRPr="007871C9">
        <w:rPr>
          <w:rFonts w:ascii="Garamond" w:hAnsi="Garamond" w:cs="Times New Roman"/>
          <w:bCs/>
          <w:sz w:val="24"/>
          <w:szCs w:val="24"/>
        </w:rPr>
        <w:t>rcaktuara në zbatim të nenit 11</w:t>
      </w:r>
      <w:r w:rsidR="00D87D60" w:rsidRPr="007871C9">
        <w:rPr>
          <w:rFonts w:ascii="Garamond" w:hAnsi="Garamond" w:cs="Times New Roman"/>
          <w:bCs/>
          <w:sz w:val="24"/>
          <w:szCs w:val="24"/>
        </w:rPr>
        <w:t xml:space="preserve"> të këtij ligji, t’i vihet në dispozicion Agjencisë E</w:t>
      </w:r>
      <w:r w:rsidR="001A1218">
        <w:rPr>
          <w:rFonts w:ascii="Garamond" w:hAnsi="Garamond" w:cs="Times New Roman"/>
          <w:bCs/>
          <w:sz w:val="24"/>
          <w:szCs w:val="24"/>
        </w:rPr>
        <w:t>v</w:t>
      </w:r>
      <w:r w:rsidR="00946DB3" w:rsidRPr="007871C9">
        <w:rPr>
          <w:rFonts w:ascii="Garamond" w:hAnsi="Garamond" w:cs="Times New Roman"/>
          <w:bCs/>
          <w:sz w:val="24"/>
          <w:szCs w:val="24"/>
        </w:rPr>
        <w:t>ropiane të Mjedisit</w:t>
      </w:r>
      <w:r w:rsidR="00D87D60" w:rsidRPr="007871C9">
        <w:rPr>
          <w:rFonts w:ascii="Garamond" w:hAnsi="Garamond" w:cs="Times New Roman"/>
          <w:bCs/>
          <w:sz w:val="24"/>
          <w:szCs w:val="24"/>
        </w:rPr>
        <w:t xml:space="preserve"> jo më vonë se 6 muaj, pasi këto të dhëna të jenë bërë të disponueshme. </w:t>
      </w:r>
    </w:p>
    <w:p w14:paraId="7D2DF800"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679025FD"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lastRenderedPageBreak/>
        <w:t>Neni 18</w:t>
      </w:r>
    </w:p>
    <w:p w14:paraId="200E3CD8"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Metodologjia për hartimin e Strategjisë së Mbrojtjes së Mjedisit Detar</w:t>
      </w:r>
    </w:p>
    <w:p w14:paraId="5D40ED74"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EE263D1"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1. </w:t>
      </w:r>
      <w:r w:rsidR="00D87D60" w:rsidRPr="007871C9">
        <w:rPr>
          <w:rFonts w:ascii="Garamond" w:hAnsi="Garamond" w:cs="Times New Roman"/>
          <w:bCs/>
          <w:sz w:val="24"/>
          <w:szCs w:val="24"/>
        </w:rPr>
        <w:t>Për qëllimet e zbatimit të këtij ligji, Agjencia e Menaxhimit të Burimeve Ujore harton metodologjinë për hartimin e Strategjisë së Mbrojtjes së Mjedisit Detar të Republikës së Shqi</w:t>
      </w:r>
      <w:r w:rsidR="00633619" w:rsidRPr="007871C9">
        <w:rPr>
          <w:rFonts w:ascii="Garamond" w:hAnsi="Garamond" w:cs="Times New Roman"/>
          <w:bCs/>
          <w:sz w:val="24"/>
          <w:szCs w:val="24"/>
        </w:rPr>
        <w:t>përisë, në të cilën përfshihen:</w:t>
      </w:r>
    </w:p>
    <w:p w14:paraId="6E1C193F"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a) </w:t>
      </w:r>
      <w:r w:rsidR="00D87D60" w:rsidRPr="007871C9">
        <w:rPr>
          <w:rFonts w:ascii="Garamond" w:hAnsi="Garamond" w:cs="Times New Roman"/>
          <w:bCs/>
          <w:sz w:val="24"/>
          <w:szCs w:val="24"/>
        </w:rPr>
        <w:t>elementet që duhet të përmbajnë dy fazat që ndiqen për hartimin e Strategjisë së Mbrojtjes së Mjedisit Detar të Republikës së Shqipërisë;</w:t>
      </w:r>
    </w:p>
    <w:p w14:paraId="47017B4D"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b) </w:t>
      </w:r>
      <w:r w:rsidR="00D87D60" w:rsidRPr="007871C9">
        <w:rPr>
          <w:rFonts w:ascii="Garamond" w:hAnsi="Garamond" w:cs="Times New Roman"/>
          <w:bCs/>
          <w:sz w:val="24"/>
          <w:szCs w:val="24"/>
        </w:rPr>
        <w:t>lista treguese e elementeve të ekosistemit, të presioneve antropogjene dhe të veprimtarisë njerëzore në ujërat detare;</w:t>
      </w:r>
    </w:p>
    <w:p w14:paraId="1EE404BA"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c) </w:t>
      </w:r>
      <w:r w:rsidR="00D87D60" w:rsidRPr="007871C9">
        <w:rPr>
          <w:rFonts w:ascii="Garamond" w:hAnsi="Garamond" w:cs="Times New Roman"/>
          <w:bCs/>
          <w:sz w:val="24"/>
          <w:szCs w:val="24"/>
        </w:rPr>
        <w:t xml:space="preserve">elementet përshkruese cilësore për përcaktimin e statusit të mirë mjedisor të ujërave detare; </w:t>
      </w:r>
    </w:p>
    <w:p w14:paraId="2C961F8D"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ç) </w:t>
      </w:r>
      <w:r w:rsidR="00D87D60" w:rsidRPr="007871C9">
        <w:rPr>
          <w:rFonts w:ascii="Garamond" w:hAnsi="Garamond" w:cs="Times New Roman"/>
          <w:bCs/>
          <w:sz w:val="24"/>
          <w:szCs w:val="24"/>
        </w:rPr>
        <w:t>elementet që duhet të përmbajë informacioni për autoritetet kompetente;</w:t>
      </w:r>
    </w:p>
    <w:p w14:paraId="16451EBF"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d) </w:t>
      </w:r>
      <w:r w:rsidR="00D87D60" w:rsidRPr="007871C9">
        <w:rPr>
          <w:rFonts w:ascii="Garamond" w:hAnsi="Garamond" w:cs="Times New Roman"/>
          <w:bCs/>
          <w:sz w:val="24"/>
          <w:szCs w:val="24"/>
        </w:rPr>
        <w:t>lista treguese e karakteristikave që do të merren parasysh gjatë përcaktimit të objektivave mjedisorë për nënrajonet detare në Republikën e Shqipërisë;</w:t>
      </w:r>
    </w:p>
    <w:p w14:paraId="74B9338A"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dh)</w:t>
      </w:r>
      <w:r w:rsidR="005D6022" w:rsidRPr="007871C9">
        <w:rPr>
          <w:rFonts w:ascii="Garamond" w:hAnsi="Garamond" w:cs="Times New Roman"/>
          <w:bCs/>
          <w:sz w:val="24"/>
          <w:szCs w:val="24"/>
        </w:rPr>
        <w:t xml:space="preserve"> </w:t>
      </w:r>
      <w:r w:rsidRPr="007871C9">
        <w:rPr>
          <w:rFonts w:ascii="Garamond" w:hAnsi="Garamond" w:cs="Times New Roman"/>
          <w:bCs/>
          <w:sz w:val="24"/>
          <w:szCs w:val="24"/>
        </w:rPr>
        <w:t>elementet që duhet të përmbajnë programet e monitorimit;</w:t>
      </w:r>
    </w:p>
    <w:p w14:paraId="7FFB3123"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e) </w:t>
      </w:r>
      <w:r w:rsidR="00D87D60" w:rsidRPr="007871C9">
        <w:rPr>
          <w:rFonts w:ascii="Garamond" w:hAnsi="Garamond" w:cs="Times New Roman"/>
          <w:bCs/>
          <w:sz w:val="24"/>
          <w:szCs w:val="24"/>
        </w:rPr>
        <w:t>elementet që duhet t</w:t>
      </w:r>
      <w:r w:rsidR="00633619" w:rsidRPr="007871C9">
        <w:rPr>
          <w:rFonts w:ascii="Garamond" w:hAnsi="Garamond" w:cs="Times New Roman"/>
          <w:bCs/>
          <w:sz w:val="24"/>
          <w:szCs w:val="24"/>
        </w:rPr>
        <w:t>ë përmbajnë programet e masave.</w:t>
      </w:r>
    </w:p>
    <w:p w14:paraId="6298FD3B" w14:textId="77777777" w:rsidR="00D87D60" w:rsidRPr="007871C9" w:rsidRDefault="005D7037"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2. </w:t>
      </w:r>
      <w:r w:rsidR="00D87D60" w:rsidRPr="007871C9">
        <w:rPr>
          <w:rFonts w:ascii="Garamond" w:hAnsi="Garamond" w:cs="Times New Roman"/>
          <w:bCs/>
          <w:sz w:val="24"/>
          <w:szCs w:val="24"/>
        </w:rPr>
        <w:t xml:space="preserve">Metodologjia për hartimin e Strategjisë së Mbrojtjes së Mjedisit Detar të Republikës së Shqipërisë miratohet me vendim të Këshillit të Ministrave, me propozim të Kryeministrit, brenda 3 muajve nga hyrja në fuqi e këtij ligji. </w:t>
      </w:r>
    </w:p>
    <w:p w14:paraId="2237A178"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B3A34B0"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KREU III</w:t>
      </w:r>
    </w:p>
    <w:p w14:paraId="13041157"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DISPOZITA TË FUNDIT</w:t>
      </w:r>
    </w:p>
    <w:p w14:paraId="1E1A026F" w14:textId="77777777" w:rsidR="00D87D60" w:rsidRPr="007871C9" w:rsidRDefault="00D87D60" w:rsidP="005D6022">
      <w:pPr>
        <w:spacing w:after="0" w:line="240" w:lineRule="auto"/>
        <w:ind w:firstLine="284"/>
        <w:jc w:val="center"/>
        <w:rPr>
          <w:rFonts w:ascii="Garamond" w:hAnsi="Garamond" w:cs="Times New Roman"/>
          <w:bCs/>
          <w:sz w:val="24"/>
          <w:szCs w:val="24"/>
        </w:rPr>
      </w:pPr>
    </w:p>
    <w:p w14:paraId="66DC2F45"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19</w:t>
      </w:r>
    </w:p>
    <w:p w14:paraId="280E46D4"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Nxjerrja e akteve nënligjore</w:t>
      </w:r>
    </w:p>
    <w:p w14:paraId="46C007E9"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FFC47C4"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Ng</w:t>
      </w:r>
      <w:r w:rsidR="005523F7" w:rsidRPr="007871C9">
        <w:rPr>
          <w:rFonts w:ascii="Garamond" w:hAnsi="Garamond" w:cs="Times New Roman"/>
          <w:bCs/>
          <w:sz w:val="24"/>
          <w:szCs w:val="24"/>
        </w:rPr>
        <w:t>arkohet Këshilli i Ministrave</w:t>
      </w:r>
      <w:r w:rsidRPr="007871C9">
        <w:rPr>
          <w:rFonts w:ascii="Garamond" w:hAnsi="Garamond" w:cs="Times New Roman"/>
          <w:bCs/>
          <w:sz w:val="24"/>
          <w:szCs w:val="24"/>
        </w:rPr>
        <w:t xml:space="preserve"> të nxjerrë aktet nënligjore në zbatim të neneve 5, pika 5,</w:t>
      </w:r>
      <w:r w:rsidR="005523F7" w:rsidRPr="007871C9">
        <w:rPr>
          <w:rFonts w:ascii="Garamond" w:hAnsi="Garamond" w:cs="Times New Roman"/>
          <w:bCs/>
          <w:sz w:val="24"/>
          <w:szCs w:val="24"/>
        </w:rPr>
        <w:t xml:space="preserve"> dhe 18, pika 2, të këtij ligji</w:t>
      </w:r>
      <w:r w:rsidRPr="007871C9">
        <w:rPr>
          <w:rFonts w:ascii="Garamond" w:hAnsi="Garamond" w:cs="Times New Roman"/>
          <w:bCs/>
          <w:sz w:val="24"/>
          <w:szCs w:val="24"/>
        </w:rPr>
        <w:t xml:space="preserve"> brenda afatit të përcaktuar në këto nene. </w:t>
      </w:r>
    </w:p>
    <w:p w14:paraId="1C5A070B"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44CCE67F" w14:textId="77777777" w:rsidR="00D87D60" w:rsidRPr="007871C9" w:rsidRDefault="00D87D60" w:rsidP="005D6022">
      <w:pPr>
        <w:spacing w:after="0" w:line="240" w:lineRule="auto"/>
        <w:ind w:firstLine="284"/>
        <w:jc w:val="center"/>
        <w:rPr>
          <w:rFonts w:ascii="Garamond" w:hAnsi="Garamond" w:cs="Times New Roman"/>
          <w:bCs/>
          <w:sz w:val="24"/>
          <w:szCs w:val="24"/>
        </w:rPr>
      </w:pPr>
      <w:r w:rsidRPr="007871C9">
        <w:rPr>
          <w:rFonts w:ascii="Garamond" w:hAnsi="Garamond" w:cs="Times New Roman"/>
          <w:bCs/>
          <w:sz w:val="24"/>
          <w:szCs w:val="24"/>
        </w:rPr>
        <w:t>Neni 20</w:t>
      </w:r>
    </w:p>
    <w:p w14:paraId="03B36424" w14:textId="77777777" w:rsidR="00D87D60" w:rsidRPr="007871C9" w:rsidRDefault="00D87D60" w:rsidP="005D6022">
      <w:pPr>
        <w:spacing w:after="0" w:line="240" w:lineRule="auto"/>
        <w:ind w:firstLine="284"/>
        <w:jc w:val="center"/>
        <w:rPr>
          <w:rFonts w:ascii="Garamond" w:hAnsi="Garamond" w:cs="Times New Roman"/>
          <w:b/>
          <w:bCs/>
          <w:sz w:val="24"/>
          <w:szCs w:val="24"/>
        </w:rPr>
      </w:pPr>
      <w:r w:rsidRPr="007871C9">
        <w:rPr>
          <w:rFonts w:ascii="Garamond" w:hAnsi="Garamond" w:cs="Times New Roman"/>
          <w:b/>
          <w:bCs/>
          <w:sz w:val="24"/>
          <w:szCs w:val="24"/>
        </w:rPr>
        <w:t>Hyrja në fuqi</w:t>
      </w:r>
    </w:p>
    <w:p w14:paraId="14156FEE" w14:textId="77777777" w:rsidR="00D87D60" w:rsidRPr="007871C9" w:rsidRDefault="00D87D60" w:rsidP="005D6022">
      <w:pPr>
        <w:spacing w:after="0" w:line="240" w:lineRule="auto"/>
        <w:ind w:firstLine="284"/>
        <w:jc w:val="both"/>
        <w:rPr>
          <w:rFonts w:ascii="Garamond" w:hAnsi="Garamond" w:cs="Times New Roman"/>
          <w:bCs/>
          <w:sz w:val="24"/>
          <w:szCs w:val="24"/>
        </w:rPr>
      </w:pPr>
    </w:p>
    <w:p w14:paraId="1573AF71" w14:textId="77777777" w:rsidR="00D87D60" w:rsidRPr="007871C9" w:rsidRDefault="00D87D60"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Ky ligj hyn</w:t>
      </w:r>
      <w:r w:rsidR="00633619" w:rsidRPr="007871C9">
        <w:rPr>
          <w:rFonts w:ascii="Garamond" w:hAnsi="Garamond" w:cs="Times New Roman"/>
          <w:bCs/>
          <w:sz w:val="24"/>
          <w:szCs w:val="24"/>
        </w:rPr>
        <w:t xml:space="preserve"> në fuqi 6 muaj pas botimit në Fletoren Zyrtare</w:t>
      </w:r>
      <w:r w:rsidRPr="007871C9">
        <w:rPr>
          <w:rFonts w:ascii="Garamond" w:hAnsi="Garamond" w:cs="Times New Roman"/>
          <w:bCs/>
          <w:sz w:val="24"/>
          <w:szCs w:val="24"/>
        </w:rPr>
        <w:t>.</w:t>
      </w:r>
    </w:p>
    <w:p w14:paraId="121E3B73" w14:textId="77777777" w:rsidR="00D87D60" w:rsidRPr="007871C9" w:rsidRDefault="00D87D60" w:rsidP="005D6022">
      <w:pPr>
        <w:spacing w:after="0" w:line="240" w:lineRule="auto"/>
        <w:ind w:firstLine="284"/>
        <w:jc w:val="right"/>
        <w:rPr>
          <w:rFonts w:ascii="Garamond" w:hAnsi="Garamond" w:cs="Times New Roman"/>
          <w:bCs/>
          <w:sz w:val="24"/>
          <w:szCs w:val="24"/>
        </w:rPr>
      </w:pPr>
    </w:p>
    <w:p w14:paraId="52F62C77" w14:textId="495208ED" w:rsidR="00976A3C" w:rsidRDefault="00976A3C" w:rsidP="005D6022">
      <w:pPr>
        <w:spacing w:after="0" w:line="240" w:lineRule="auto"/>
        <w:ind w:firstLine="284"/>
        <w:jc w:val="both"/>
        <w:rPr>
          <w:rFonts w:ascii="Garamond" w:hAnsi="Garamond" w:cs="Times New Roman"/>
          <w:bCs/>
          <w:sz w:val="24"/>
          <w:szCs w:val="24"/>
        </w:rPr>
      </w:pPr>
      <w:r w:rsidRPr="007871C9">
        <w:rPr>
          <w:rFonts w:ascii="Garamond" w:hAnsi="Garamond" w:cs="Times New Roman"/>
          <w:bCs/>
          <w:sz w:val="24"/>
          <w:szCs w:val="24"/>
        </w:rPr>
        <w:t xml:space="preserve">Miratuar në datën </w:t>
      </w:r>
      <w:r w:rsidR="00060EE1" w:rsidRPr="007871C9">
        <w:rPr>
          <w:rFonts w:ascii="Garamond" w:hAnsi="Garamond" w:cs="Times New Roman"/>
          <w:bCs/>
          <w:sz w:val="24"/>
          <w:szCs w:val="24"/>
        </w:rPr>
        <w:t>8.2</w:t>
      </w:r>
      <w:r w:rsidR="00146D52" w:rsidRPr="007871C9">
        <w:rPr>
          <w:rFonts w:ascii="Garamond" w:hAnsi="Garamond" w:cs="Times New Roman"/>
          <w:bCs/>
          <w:sz w:val="24"/>
          <w:szCs w:val="24"/>
        </w:rPr>
        <w:t>.</w:t>
      </w:r>
      <w:r w:rsidR="007748A2" w:rsidRPr="007871C9">
        <w:rPr>
          <w:rFonts w:ascii="Garamond" w:hAnsi="Garamond" w:cs="Times New Roman"/>
          <w:bCs/>
          <w:sz w:val="24"/>
          <w:szCs w:val="24"/>
        </w:rPr>
        <w:t>202</w:t>
      </w:r>
      <w:r w:rsidR="00F47FB2" w:rsidRPr="007871C9">
        <w:rPr>
          <w:rFonts w:ascii="Garamond" w:hAnsi="Garamond" w:cs="Times New Roman"/>
          <w:bCs/>
          <w:sz w:val="24"/>
          <w:szCs w:val="24"/>
        </w:rPr>
        <w:t>4</w:t>
      </w:r>
      <w:r w:rsidR="001A1218">
        <w:rPr>
          <w:rFonts w:ascii="Garamond" w:hAnsi="Garamond" w:cs="Times New Roman"/>
          <w:bCs/>
          <w:sz w:val="24"/>
          <w:szCs w:val="24"/>
        </w:rPr>
        <w:t>.</w:t>
      </w:r>
    </w:p>
    <w:p w14:paraId="588171E9" w14:textId="77777777" w:rsidR="004F3FEF" w:rsidRDefault="004F3FEF" w:rsidP="005D6022">
      <w:pPr>
        <w:spacing w:after="0" w:line="240" w:lineRule="auto"/>
        <w:ind w:firstLine="284"/>
        <w:jc w:val="both"/>
        <w:rPr>
          <w:rFonts w:ascii="Garamond" w:hAnsi="Garamond" w:cs="Times New Roman"/>
          <w:bCs/>
          <w:sz w:val="24"/>
          <w:szCs w:val="24"/>
        </w:rPr>
      </w:pPr>
    </w:p>
    <w:p w14:paraId="3B4EC103" w14:textId="0845A9DD" w:rsidR="004F3FEF" w:rsidRPr="004F3FEF" w:rsidRDefault="004F3FEF" w:rsidP="004F3FEF">
      <w:pPr>
        <w:spacing w:after="0" w:line="240" w:lineRule="auto"/>
        <w:jc w:val="both"/>
        <w:rPr>
          <w:rFonts w:ascii="Times New Roman" w:eastAsia="Times New Roman" w:hAnsi="Times New Roman" w:cs="Times New Roman"/>
          <w:sz w:val="24"/>
          <w:szCs w:val="24"/>
          <w:lang w:val="en-US"/>
        </w:rPr>
      </w:pPr>
      <w:proofErr w:type="spellStart"/>
      <w:r w:rsidRPr="004F3FEF">
        <w:rPr>
          <w:rFonts w:ascii="Garamond" w:eastAsia="Times New Roman" w:hAnsi="Garamond" w:cs="Times New Roman"/>
          <w:b/>
          <w:bCs/>
          <w:color w:val="000000"/>
          <w:sz w:val="24"/>
          <w:szCs w:val="24"/>
          <w:lang w:val="en-US"/>
        </w:rPr>
        <w:t>Shpallur</w:t>
      </w:r>
      <w:proofErr w:type="spellEnd"/>
      <w:r w:rsidRPr="004F3FEF">
        <w:rPr>
          <w:rFonts w:ascii="Garamond" w:eastAsia="Times New Roman" w:hAnsi="Garamond" w:cs="Times New Roman"/>
          <w:b/>
          <w:bCs/>
          <w:color w:val="000000"/>
          <w:sz w:val="24"/>
          <w:szCs w:val="24"/>
          <w:lang w:val="en-US"/>
        </w:rPr>
        <w:t xml:space="preserve"> me </w:t>
      </w:r>
      <w:proofErr w:type="spellStart"/>
      <w:r w:rsidRPr="004F3FEF">
        <w:rPr>
          <w:rFonts w:ascii="Garamond" w:eastAsia="Times New Roman" w:hAnsi="Garamond" w:cs="Times New Roman"/>
          <w:b/>
          <w:bCs/>
          <w:color w:val="000000"/>
          <w:sz w:val="24"/>
          <w:szCs w:val="24"/>
          <w:lang w:val="en-US"/>
        </w:rPr>
        <w:t>dekretin</w:t>
      </w:r>
      <w:proofErr w:type="spellEnd"/>
      <w:r w:rsidRPr="004F3FEF">
        <w:rPr>
          <w:rFonts w:ascii="Garamond" w:eastAsia="Times New Roman" w:hAnsi="Garamond" w:cs="Times New Roman"/>
          <w:b/>
          <w:bCs/>
          <w:color w:val="000000"/>
          <w:sz w:val="24"/>
          <w:szCs w:val="24"/>
          <w:lang w:val="en-US"/>
        </w:rPr>
        <w:t xml:space="preserve"> nr</w:t>
      </w:r>
      <w:proofErr w:type="gramStart"/>
      <w:r w:rsidRPr="004F3FEF">
        <w:rPr>
          <w:rFonts w:ascii="Garamond" w:eastAsia="Times New Roman" w:hAnsi="Garamond" w:cs="Times New Roman"/>
          <w:b/>
          <w:bCs/>
          <w:color w:val="000000"/>
          <w:sz w:val="24"/>
          <w:szCs w:val="24"/>
          <w:lang w:val="en-US"/>
        </w:rPr>
        <w:t>.</w:t>
      </w:r>
      <w:r>
        <w:rPr>
          <w:rFonts w:ascii="Garamond" w:eastAsia="Times New Roman" w:hAnsi="Garamond" w:cs="Times New Roman"/>
          <w:b/>
          <w:bCs/>
          <w:color w:val="000000"/>
          <w:sz w:val="24"/>
          <w:szCs w:val="24"/>
          <w:lang w:val="en-US"/>
        </w:rPr>
        <w:t xml:space="preserve"> </w:t>
      </w:r>
      <w:proofErr w:type="gramEnd"/>
      <w:r>
        <w:rPr>
          <w:rFonts w:ascii="Garamond" w:eastAsia="Times New Roman" w:hAnsi="Garamond" w:cs="Times New Roman"/>
          <w:b/>
          <w:bCs/>
          <w:color w:val="000000"/>
          <w:sz w:val="24"/>
          <w:szCs w:val="24"/>
          <w:lang w:val="en-US"/>
        </w:rPr>
        <w:t>87</w:t>
      </w:r>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datë</w:t>
      </w:r>
      <w:proofErr w:type="spellEnd"/>
      <w:r w:rsidRPr="004F3FEF">
        <w:rPr>
          <w:rFonts w:ascii="Garamond" w:eastAsia="Times New Roman" w:hAnsi="Garamond" w:cs="Times New Roman"/>
          <w:b/>
          <w:bCs/>
          <w:color w:val="000000"/>
          <w:sz w:val="24"/>
          <w:szCs w:val="24"/>
          <w:lang w:val="en-US"/>
        </w:rPr>
        <w:t xml:space="preserve"> </w:t>
      </w:r>
      <w:r>
        <w:rPr>
          <w:rFonts w:ascii="Garamond" w:eastAsia="Times New Roman" w:hAnsi="Garamond" w:cs="Times New Roman"/>
          <w:b/>
          <w:bCs/>
          <w:color w:val="000000"/>
          <w:sz w:val="24"/>
          <w:szCs w:val="24"/>
          <w:lang w:val="en-US"/>
        </w:rPr>
        <w:t>26.2.</w:t>
      </w:r>
      <w:bookmarkStart w:id="0" w:name="_GoBack"/>
      <w:bookmarkEnd w:id="0"/>
      <w:r w:rsidRPr="004F3FEF">
        <w:rPr>
          <w:rFonts w:ascii="Garamond" w:eastAsia="Times New Roman" w:hAnsi="Garamond" w:cs="Times New Roman"/>
          <w:b/>
          <w:bCs/>
          <w:color w:val="000000"/>
          <w:sz w:val="24"/>
          <w:szCs w:val="24"/>
          <w:lang w:val="en-US"/>
        </w:rPr>
        <w:t xml:space="preserve">2024, </w:t>
      </w:r>
      <w:proofErr w:type="spellStart"/>
      <w:r w:rsidRPr="004F3FEF">
        <w:rPr>
          <w:rFonts w:ascii="Garamond" w:eastAsia="Times New Roman" w:hAnsi="Garamond" w:cs="Times New Roman"/>
          <w:b/>
          <w:bCs/>
          <w:color w:val="000000"/>
          <w:sz w:val="24"/>
          <w:szCs w:val="24"/>
          <w:lang w:val="en-US"/>
        </w:rPr>
        <w:t>të</w:t>
      </w:r>
      <w:proofErr w:type="spellEnd"/>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Presidentit</w:t>
      </w:r>
      <w:proofErr w:type="spellEnd"/>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të</w:t>
      </w:r>
      <w:proofErr w:type="spellEnd"/>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Republikës</w:t>
      </w:r>
      <w:proofErr w:type="spellEnd"/>
      <w:r w:rsidRPr="004F3FEF">
        <w:rPr>
          <w:rFonts w:ascii="Garamond" w:eastAsia="Times New Roman" w:hAnsi="Garamond" w:cs="Times New Roman"/>
          <w:b/>
          <w:bCs/>
          <w:color w:val="000000"/>
          <w:sz w:val="24"/>
          <w:szCs w:val="24"/>
          <w:lang w:val="en-US"/>
        </w:rPr>
        <w:t xml:space="preserve"> së </w:t>
      </w:r>
      <w:proofErr w:type="spellStart"/>
      <w:r w:rsidRPr="004F3FEF">
        <w:rPr>
          <w:rFonts w:ascii="Garamond" w:eastAsia="Times New Roman" w:hAnsi="Garamond" w:cs="Times New Roman"/>
          <w:b/>
          <w:bCs/>
          <w:color w:val="000000"/>
          <w:sz w:val="24"/>
          <w:szCs w:val="24"/>
          <w:lang w:val="en-US"/>
        </w:rPr>
        <w:t>Shqipërisë</w:t>
      </w:r>
      <w:proofErr w:type="spellEnd"/>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Bajram</w:t>
      </w:r>
      <w:proofErr w:type="spellEnd"/>
      <w:r w:rsidRPr="004F3FEF">
        <w:rPr>
          <w:rFonts w:ascii="Garamond" w:eastAsia="Times New Roman" w:hAnsi="Garamond" w:cs="Times New Roman"/>
          <w:b/>
          <w:bCs/>
          <w:color w:val="000000"/>
          <w:sz w:val="24"/>
          <w:szCs w:val="24"/>
          <w:lang w:val="en-US"/>
        </w:rPr>
        <w:t xml:space="preserve"> </w:t>
      </w:r>
      <w:proofErr w:type="spellStart"/>
      <w:r w:rsidRPr="004F3FEF">
        <w:rPr>
          <w:rFonts w:ascii="Garamond" w:eastAsia="Times New Roman" w:hAnsi="Garamond" w:cs="Times New Roman"/>
          <w:b/>
          <w:bCs/>
          <w:color w:val="000000"/>
          <w:sz w:val="24"/>
          <w:szCs w:val="24"/>
          <w:lang w:val="en-US"/>
        </w:rPr>
        <w:t>Begaj</w:t>
      </w:r>
      <w:proofErr w:type="spellEnd"/>
      <w:r w:rsidRPr="004F3FEF">
        <w:rPr>
          <w:rFonts w:ascii="Garamond" w:eastAsia="Times New Roman" w:hAnsi="Garamond" w:cs="Times New Roman"/>
          <w:b/>
          <w:bCs/>
          <w:color w:val="000000"/>
          <w:sz w:val="24"/>
          <w:szCs w:val="24"/>
          <w:lang w:val="en-US"/>
        </w:rPr>
        <w:t>.</w:t>
      </w:r>
    </w:p>
    <w:p w14:paraId="16F2D100" w14:textId="574F6BA7" w:rsidR="004F3FEF" w:rsidRDefault="004F3FEF" w:rsidP="005D6022">
      <w:pPr>
        <w:spacing w:after="0" w:line="240" w:lineRule="auto"/>
        <w:ind w:firstLine="284"/>
        <w:jc w:val="both"/>
        <w:rPr>
          <w:rFonts w:ascii="Garamond" w:hAnsi="Garamond" w:cs="Times New Roman"/>
          <w:bCs/>
          <w:sz w:val="24"/>
          <w:szCs w:val="24"/>
        </w:rPr>
      </w:pPr>
    </w:p>
    <w:p w14:paraId="1CE1BE29" w14:textId="77777777" w:rsidR="004F3FEF" w:rsidRPr="007871C9" w:rsidRDefault="004F3FEF" w:rsidP="005D6022">
      <w:pPr>
        <w:spacing w:after="0" w:line="240" w:lineRule="auto"/>
        <w:ind w:firstLine="284"/>
        <w:jc w:val="both"/>
        <w:rPr>
          <w:rFonts w:ascii="Garamond" w:hAnsi="Garamond" w:cs="Times New Roman"/>
          <w:bCs/>
          <w:sz w:val="24"/>
          <w:szCs w:val="24"/>
        </w:rPr>
      </w:pPr>
    </w:p>
    <w:sectPr w:rsidR="004F3FEF" w:rsidRPr="007871C9" w:rsidSect="00881967">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F4554" w14:textId="77777777" w:rsidR="004F3FEF" w:rsidRDefault="004F3FEF" w:rsidP="00420682">
      <w:pPr>
        <w:spacing w:after="0" w:line="240" w:lineRule="auto"/>
      </w:pPr>
      <w:r>
        <w:separator/>
      </w:r>
    </w:p>
  </w:endnote>
  <w:endnote w:type="continuationSeparator" w:id="0">
    <w:p w14:paraId="321A3083" w14:textId="77777777" w:rsidR="004F3FEF" w:rsidRDefault="004F3FEF" w:rsidP="00420682">
      <w:pPr>
        <w:spacing w:after="0" w:line="240" w:lineRule="auto"/>
      </w:pPr>
      <w:r>
        <w:continuationSeparator/>
      </w:r>
    </w:p>
  </w:endnote>
  <w:endnote w:type="continuationNotice" w:id="1">
    <w:p w14:paraId="419C4A1F" w14:textId="77777777" w:rsidR="004F3FEF" w:rsidRDefault="004F3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3F8A5" w14:textId="77777777" w:rsidR="004F3FEF" w:rsidRDefault="004F3FEF" w:rsidP="00420682">
      <w:pPr>
        <w:spacing w:after="0" w:line="240" w:lineRule="auto"/>
      </w:pPr>
      <w:r>
        <w:separator/>
      </w:r>
    </w:p>
  </w:footnote>
  <w:footnote w:type="continuationSeparator" w:id="0">
    <w:p w14:paraId="61FA4DE9" w14:textId="77777777" w:rsidR="004F3FEF" w:rsidRDefault="004F3FEF" w:rsidP="00420682">
      <w:pPr>
        <w:spacing w:after="0" w:line="240" w:lineRule="auto"/>
      </w:pPr>
      <w:r>
        <w:continuationSeparator/>
      </w:r>
    </w:p>
  </w:footnote>
  <w:footnote w:type="continuationNotice" w:id="1">
    <w:p w14:paraId="3F2D417E" w14:textId="77777777" w:rsidR="004F3FEF" w:rsidRDefault="004F3FEF">
      <w:pPr>
        <w:spacing w:after="0" w:line="240" w:lineRule="auto"/>
      </w:pPr>
    </w:p>
  </w:footnote>
  <w:footnote w:id="2">
    <w:p w14:paraId="55FE8CCC" w14:textId="08DD0E85" w:rsidR="004F3FEF" w:rsidRPr="007871C9" w:rsidRDefault="004F3FEF" w:rsidP="00CF26B1">
      <w:pPr>
        <w:pStyle w:val="FootnoteText"/>
        <w:jc w:val="both"/>
        <w:rPr>
          <w:rFonts w:ascii="Garamond" w:hAnsi="Garamond"/>
          <w:lang w:val="sq-AL"/>
        </w:rPr>
      </w:pPr>
      <w:r w:rsidRPr="007871C9">
        <w:rPr>
          <w:rStyle w:val="FootnoteReference"/>
          <w:rFonts w:ascii="Garamond" w:hAnsi="Garamond"/>
          <w:lang w:val="sq-AL"/>
        </w:rPr>
        <w:footnoteRef/>
      </w:r>
      <w:r w:rsidRPr="007871C9">
        <w:rPr>
          <w:rFonts w:ascii="Garamond" w:hAnsi="Garamond"/>
          <w:lang w:val="sq-AL"/>
        </w:rPr>
        <w:t xml:space="preserve"> </w:t>
      </w:r>
      <w:r w:rsidRPr="007871C9">
        <w:rPr>
          <w:rFonts w:ascii="Garamond" w:hAnsi="Garamond"/>
          <w:bCs/>
          <w:iCs/>
          <w:lang w:val="sq-AL"/>
        </w:rPr>
        <w:t xml:space="preserve">Ky ligj është përafruar pjesërisht me </w:t>
      </w:r>
      <w:r>
        <w:rPr>
          <w:rFonts w:ascii="Garamond" w:hAnsi="Garamond"/>
          <w:lang w:val="sq-AL" w:eastAsia="sq-AL"/>
        </w:rPr>
        <w:t>d</w:t>
      </w:r>
      <w:r w:rsidRPr="007871C9">
        <w:rPr>
          <w:rFonts w:ascii="Garamond" w:hAnsi="Garamond"/>
          <w:lang w:val="sq-AL" w:eastAsia="sq-AL"/>
        </w:rPr>
        <w:t>irektivën 2008/56/KE të Parlamentit Evropian dhe Këshillit, datë 17 qershor 2008 “Për krijimin e kuadrit të veprimit të komunitetit në fushën e politikave mjedisore detare (Direktiva Kuadër e Strategjisë Detare), e ndryshuar”.</w:t>
      </w:r>
      <w:r w:rsidRPr="007871C9">
        <w:rPr>
          <w:rFonts w:ascii="Garamond" w:hAnsi="Garamond"/>
          <w:lang w:val="sq-AL"/>
        </w:rPr>
        <w:t xml:space="preserve"> </w:t>
      </w:r>
      <w:r w:rsidRPr="007871C9">
        <w:rPr>
          <w:rFonts w:ascii="Garamond" w:hAnsi="Garamond"/>
          <w:lang w:val="sq-AL" w:eastAsia="sq-AL"/>
        </w:rPr>
        <w:t>Numri CELEX 32008L0056, Fletorja Zyrtare e Bashkimit Evropian, Seria L, nr. 164, datë 25.6.2008, f. 19</w:t>
      </w:r>
      <w:r>
        <w:rPr>
          <w:rFonts w:ascii="Garamond" w:hAnsi="Garamond"/>
          <w:lang w:val="sq-AL" w:eastAsia="sq-AL"/>
        </w:rPr>
        <w:t>–</w:t>
      </w:r>
      <w:r w:rsidRPr="007871C9">
        <w:rPr>
          <w:rFonts w:ascii="Garamond" w:hAnsi="Garamond"/>
          <w:lang w:val="sq-AL" w:eastAsia="sq-AL"/>
        </w:rPr>
        <w:t>40</w:t>
      </w:r>
      <w:r w:rsidRPr="007871C9">
        <w:rPr>
          <w:rFonts w:ascii="Garamond" w:hAnsi="Garamond"/>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11507"/>
    <w:multiLevelType w:val="hybridMultilevel"/>
    <w:tmpl w:val="0FA68FE4"/>
    <w:lvl w:ilvl="0" w:tplc="6FB28D9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172CB"/>
    <w:rsid w:val="00026952"/>
    <w:rsid w:val="00043C57"/>
    <w:rsid w:val="00055AB5"/>
    <w:rsid w:val="00056CEE"/>
    <w:rsid w:val="00060376"/>
    <w:rsid w:val="00060EE1"/>
    <w:rsid w:val="00072080"/>
    <w:rsid w:val="000765C2"/>
    <w:rsid w:val="00082380"/>
    <w:rsid w:val="00094663"/>
    <w:rsid w:val="00096985"/>
    <w:rsid w:val="00097617"/>
    <w:rsid w:val="000A3B4D"/>
    <w:rsid w:val="000B4522"/>
    <w:rsid w:val="000D199E"/>
    <w:rsid w:val="000E268C"/>
    <w:rsid w:val="000E384F"/>
    <w:rsid w:val="000E5BA6"/>
    <w:rsid w:val="000E78CD"/>
    <w:rsid w:val="001033A5"/>
    <w:rsid w:val="00106F6D"/>
    <w:rsid w:val="0012550D"/>
    <w:rsid w:val="00130958"/>
    <w:rsid w:val="00132CEC"/>
    <w:rsid w:val="00135A36"/>
    <w:rsid w:val="00136EC9"/>
    <w:rsid w:val="00146D52"/>
    <w:rsid w:val="00153CC5"/>
    <w:rsid w:val="00155BCF"/>
    <w:rsid w:val="00166898"/>
    <w:rsid w:val="00167D1D"/>
    <w:rsid w:val="00176471"/>
    <w:rsid w:val="001816AF"/>
    <w:rsid w:val="00191A00"/>
    <w:rsid w:val="001942D4"/>
    <w:rsid w:val="001A1218"/>
    <w:rsid w:val="001A1919"/>
    <w:rsid w:val="001A2945"/>
    <w:rsid w:val="001A4C59"/>
    <w:rsid w:val="001B796E"/>
    <w:rsid w:val="001C0806"/>
    <w:rsid w:val="001C445C"/>
    <w:rsid w:val="001C5CDE"/>
    <w:rsid w:val="001C6A0A"/>
    <w:rsid w:val="001C7EC0"/>
    <w:rsid w:val="001D2895"/>
    <w:rsid w:val="001D31EB"/>
    <w:rsid w:val="001D3FCE"/>
    <w:rsid w:val="001E198E"/>
    <w:rsid w:val="001E2ED9"/>
    <w:rsid w:val="001F194A"/>
    <w:rsid w:val="001F78C3"/>
    <w:rsid w:val="002009A1"/>
    <w:rsid w:val="0020160E"/>
    <w:rsid w:val="0020170B"/>
    <w:rsid w:val="0020507F"/>
    <w:rsid w:val="00213234"/>
    <w:rsid w:val="00214854"/>
    <w:rsid w:val="0021715D"/>
    <w:rsid w:val="00224329"/>
    <w:rsid w:val="00233280"/>
    <w:rsid w:val="002345EA"/>
    <w:rsid w:val="00234BD8"/>
    <w:rsid w:val="0024206A"/>
    <w:rsid w:val="00243B60"/>
    <w:rsid w:val="00247DF1"/>
    <w:rsid w:val="00266C06"/>
    <w:rsid w:val="00274C02"/>
    <w:rsid w:val="002753F6"/>
    <w:rsid w:val="002A47D7"/>
    <w:rsid w:val="002A5350"/>
    <w:rsid w:val="002C7626"/>
    <w:rsid w:val="002D5F14"/>
    <w:rsid w:val="002F000B"/>
    <w:rsid w:val="002F5953"/>
    <w:rsid w:val="002F5F81"/>
    <w:rsid w:val="002F615D"/>
    <w:rsid w:val="00300CDA"/>
    <w:rsid w:val="003168B3"/>
    <w:rsid w:val="0034769C"/>
    <w:rsid w:val="003547D6"/>
    <w:rsid w:val="00362F0B"/>
    <w:rsid w:val="00375597"/>
    <w:rsid w:val="0038331D"/>
    <w:rsid w:val="00397541"/>
    <w:rsid w:val="003979A7"/>
    <w:rsid w:val="003A38DC"/>
    <w:rsid w:val="003A63A5"/>
    <w:rsid w:val="003C48FF"/>
    <w:rsid w:val="003D2D38"/>
    <w:rsid w:val="003D59B2"/>
    <w:rsid w:val="003D5ED0"/>
    <w:rsid w:val="003E5B8B"/>
    <w:rsid w:val="003F29A8"/>
    <w:rsid w:val="00403A89"/>
    <w:rsid w:val="0041300C"/>
    <w:rsid w:val="00420682"/>
    <w:rsid w:val="00423A3C"/>
    <w:rsid w:val="00433BCD"/>
    <w:rsid w:val="00436540"/>
    <w:rsid w:val="00436717"/>
    <w:rsid w:val="00445610"/>
    <w:rsid w:val="004543BE"/>
    <w:rsid w:val="00455BBA"/>
    <w:rsid w:val="00460BC4"/>
    <w:rsid w:val="004647DB"/>
    <w:rsid w:val="00477804"/>
    <w:rsid w:val="004866A8"/>
    <w:rsid w:val="0049275D"/>
    <w:rsid w:val="004A5884"/>
    <w:rsid w:val="004A5DE6"/>
    <w:rsid w:val="004B12D2"/>
    <w:rsid w:val="004B6ED9"/>
    <w:rsid w:val="004C2DFD"/>
    <w:rsid w:val="004D3CFC"/>
    <w:rsid w:val="004E48D1"/>
    <w:rsid w:val="004E62D6"/>
    <w:rsid w:val="004E7290"/>
    <w:rsid w:val="004E7E53"/>
    <w:rsid w:val="004F3FEF"/>
    <w:rsid w:val="004F446C"/>
    <w:rsid w:val="004F447A"/>
    <w:rsid w:val="004F7030"/>
    <w:rsid w:val="004F7850"/>
    <w:rsid w:val="004F7E28"/>
    <w:rsid w:val="005006B0"/>
    <w:rsid w:val="00514F71"/>
    <w:rsid w:val="005201B5"/>
    <w:rsid w:val="0052203F"/>
    <w:rsid w:val="00522FFB"/>
    <w:rsid w:val="00523435"/>
    <w:rsid w:val="00531970"/>
    <w:rsid w:val="00531A97"/>
    <w:rsid w:val="00533AC7"/>
    <w:rsid w:val="00542102"/>
    <w:rsid w:val="00550FA3"/>
    <w:rsid w:val="005523F7"/>
    <w:rsid w:val="0055575B"/>
    <w:rsid w:val="00556AD2"/>
    <w:rsid w:val="00556CD6"/>
    <w:rsid w:val="005726F2"/>
    <w:rsid w:val="00573EE3"/>
    <w:rsid w:val="005767F6"/>
    <w:rsid w:val="00591503"/>
    <w:rsid w:val="00591A3B"/>
    <w:rsid w:val="0059248B"/>
    <w:rsid w:val="0059342C"/>
    <w:rsid w:val="005A7379"/>
    <w:rsid w:val="005B6E3F"/>
    <w:rsid w:val="005D6022"/>
    <w:rsid w:val="005D7037"/>
    <w:rsid w:val="005F00A8"/>
    <w:rsid w:val="0060535D"/>
    <w:rsid w:val="0062077A"/>
    <w:rsid w:val="00621A17"/>
    <w:rsid w:val="00633619"/>
    <w:rsid w:val="006420D0"/>
    <w:rsid w:val="006465EF"/>
    <w:rsid w:val="00646924"/>
    <w:rsid w:val="00663243"/>
    <w:rsid w:val="00670AA2"/>
    <w:rsid w:val="0067406E"/>
    <w:rsid w:val="00677E6C"/>
    <w:rsid w:val="00683C22"/>
    <w:rsid w:val="0069269F"/>
    <w:rsid w:val="00694869"/>
    <w:rsid w:val="006F4D55"/>
    <w:rsid w:val="00716E8F"/>
    <w:rsid w:val="007243F1"/>
    <w:rsid w:val="00726525"/>
    <w:rsid w:val="00730548"/>
    <w:rsid w:val="0073211A"/>
    <w:rsid w:val="00736DC8"/>
    <w:rsid w:val="007403CF"/>
    <w:rsid w:val="00742442"/>
    <w:rsid w:val="00750246"/>
    <w:rsid w:val="007654B3"/>
    <w:rsid w:val="00770FAD"/>
    <w:rsid w:val="00774741"/>
    <w:rsid w:val="007748A2"/>
    <w:rsid w:val="00774FC3"/>
    <w:rsid w:val="007871C9"/>
    <w:rsid w:val="007A2E0E"/>
    <w:rsid w:val="007C083E"/>
    <w:rsid w:val="007D6440"/>
    <w:rsid w:val="007D742E"/>
    <w:rsid w:val="007E2515"/>
    <w:rsid w:val="007F5841"/>
    <w:rsid w:val="008030D2"/>
    <w:rsid w:val="00807475"/>
    <w:rsid w:val="00811138"/>
    <w:rsid w:val="00820E26"/>
    <w:rsid w:val="00840462"/>
    <w:rsid w:val="008420C3"/>
    <w:rsid w:val="00846C22"/>
    <w:rsid w:val="0085472C"/>
    <w:rsid w:val="008620E4"/>
    <w:rsid w:val="0086360A"/>
    <w:rsid w:val="0087200F"/>
    <w:rsid w:val="008720AB"/>
    <w:rsid w:val="0087264B"/>
    <w:rsid w:val="008814EA"/>
    <w:rsid w:val="00881967"/>
    <w:rsid w:val="0088796B"/>
    <w:rsid w:val="008914C1"/>
    <w:rsid w:val="00892C77"/>
    <w:rsid w:val="00893C4B"/>
    <w:rsid w:val="0089610D"/>
    <w:rsid w:val="00896644"/>
    <w:rsid w:val="0089762F"/>
    <w:rsid w:val="008A1646"/>
    <w:rsid w:val="008A5650"/>
    <w:rsid w:val="008A6AB2"/>
    <w:rsid w:val="008C15C7"/>
    <w:rsid w:val="008D12D7"/>
    <w:rsid w:val="008D3FB7"/>
    <w:rsid w:val="008D4E77"/>
    <w:rsid w:val="00900D7B"/>
    <w:rsid w:val="0091014E"/>
    <w:rsid w:val="009104DF"/>
    <w:rsid w:val="009162CB"/>
    <w:rsid w:val="00933E20"/>
    <w:rsid w:val="00946DB3"/>
    <w:rsid w:val="00954FD3"/>
    <w:rsid w:val="00957A39"/>
    <w:rsid w:val="00970D95"/>
    <w:rsid w:val="00974717"/>
    <w:rsid w:val="00976A3C"/>
    <w:rsid w:val="00991D86"/>
    <w:rsid w:val="0099741A"/>
    <w:rsid w:val="009A6F98"/>
    <w:rsid w:val="009B627B"/>
    <w:rsid w:val="009C12D6"/>
    <w:rsid w:val="009C52A4"/>
    <w:rsid w:val="00A06D12"/>
    <w:rsid w:val="00A10B5D"/>
    <w:rsid w:val="00A15DE9"/>
    <w:rsid w:val="00A27C1F"/>
    <w:rsid w:val="00A34D9D"/>
    <w:rsid w:val="00A36786"/>
    <w:rsid w:val="00A431DD"/>
    <w:rsid w:val="00A63677"/>
    <w:rsid w:val="00A645A6"/>
    <w:rsid w:val="00A97B73"/>
    <w:rsid w:val="00AA32E0"/>
    <w:rsid w:val="00AA5367"/>
    <w:rsid w:val="00AA545E"/>
    <w:rsid w:val="00AB4492"/>
    <w:rsid w:val="00AC2686"/>
    <w:rsid w:val="00AC3794"/>
    <w:rsid w:val="00AF0CE9"/>
    <w:rsid w:val="00AF5D8E"/>
    <w:rsid w:val="00B03A16"/>
    <w:rsid w:val="00B14BBE"/>
    <w:rsid w:val="00B265FF"/>
    <w:rsid w:val="00B46B49"/>
    <w:rsid w:val="00B51F9D"/>
    <w:rsid w:val="00B54D96"/>
    <w:rsid w:val="00B57D62"/>
    <w:rsid w:val="00B60083"/>
    <w:rsid w:val="00B6099E"/>
    <w:rsid w:val="00B6427E"/>
    <w:rsid w:val="00B67778"/>
    <w:rsid w:val="00B8309E"/>
    <w:rsid w:val="00B8668D"/>
    <w:rsid w:val="00BA1070"/>
    <w:rsid w:val="00BA1706"/>
    <w:rsid w:val="00BA5571"/>
    <w:rsid w:val="00BA606E"/>
    <w:rsid w:val="00BB15C8"/>
    <w:rsid w:val="00BD4611"/>
    <w:rsid w:val="00C10624"/>
    <w:rsid w:val="00C31068"/>
    <w:rsid w:val="00C41186"/>
    <w:rsid w:val="00C4191B"/>
    <w:rsid w:val="00C446ED"/>
    <w:rsid w:val="00C5239D"/>
    <w:rsid w:val="00C60CAD"/>
    <w:rsid w:val="00C6487F"/>
    <w:rsid w:val="00C6573D"/>
    <w:rsid w:val="00C71734"/>
    <w:rsid w:val="00C751AA"/>
    <w:rsid w:val="00C81CEB"/>
    <w:rsid w:val="00C90FD7"/>
    <w:rsid w:val="00C92C5B"/>
    <w:rsid w:val="00CA0828"/>
    <w:rsid w:val="00CC7CA2"/>
    <w:rsid w:val="00CE2478"/>
    <w:rsid w:val="00CF26B1"/>
    <w:rsid w:val="00CF5B26"/>
    <w:rsid w:val="00D01ECA"/>
    <w:rsid w:val="00D23C4B"/>
    <w:rsid w:val="00D24B56"/>
    <w:rsid w:val="00D45AC2"/>
    <w:rsid w:val="00D51772"/>
    <w:rsid w:val="00D60C6B"/>
    <w:rsid w:val="00D67449"/>
    <w:rsid w:val="00D87C53"/>
    <w:rsid w:val="00D87D60"/>
    <w:rsid w:val="00D93E5E"/>
    <w:rsid w:val="00D97352"/>
    <w:rsid w:val="00DA56D4"/>
    <w:rsid w:val="00DC03DB"/>
    <w:rsid w:val="00DC0BDC"/>
    <w:rsid w:val="00DF0CA2"/>
    <w:rsid w:val="00DF295D"/>
    <w:rsid w:val="00E02226"/>
    <w:rsid w:val="00E0271F"/>
    <w:rsid w:val="00E32B8C"/>
    <w:rsid w:val="00E370B3"/>
    <w:rsid w:val="00E452DA"/>
    <w:rsid w:val="00E61C41"/>
    <w:rsid w:val="00E6234F"/>
    <w:rsid w:val="00E6624D"/>
    <w:rsid w:val="00E72BC5"/>
    <w:rsid w:val="00E76B9D"/>
    <w:rsid w:val="00E7782A"/>
    <w:rsid w:val="00E91D99"/>
    <w:rsid w:val="00EB4F39"/>
    <w:rsid w:val="00EC55E7"/>
    <w:rsid w:val="00EC57E8"/>
    <w:rsid w:val="00ED7107"/>
    <w:rsid w:val="00EE7E5D"/>
    <w:rsid w:val="00EF4CCD"/>
    <w:rsid w:val="00F03D87"/>
    <w:rsid w:val="00F03F03"/>
    <w:rsid w:val="00F07F7F"/>
    <w:rsid w:val="00F234B6"/>
    <w:rsid w:val="00F32C43"/>
    <w:rsid w:val="00F478F8"/>
    <w:rsid w:val="00F47FB2"/>
    <w:rsid w:val="00F52125"/>
    <w:rsid w:val="00F537D2"/>
    <w:rsid w:val="00F61BCA"/>
    <w:rsid w:val="00F62A46"/>
    <w:rsid w:val="00F630AC"/>
    <w:rsid w:val="00F814BA"/>
    <w:rsid w:val="00F84F9C"/>
    <w:rsid w:val="00FA0571"/>
    <w:rsid w:val="00FA2ABC"/>
    <w:rsid w:val="00FA6ECF"/>
    <w:rsid w:val="00FB5CED"/>
    <w:rsid w:val="00FC484A"/>
    <w:rsid w:val="00FC631E"/>
    <w:rsid w:val="00FE32E6"/>
    <w:rsid w:val="00FE4671"/>
    <w:rsid w:val="00FF1AF9"/>
    <w:rsid w:val="00FF2798"/>
    <w:rsid w:val="00FF688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A9C3"/>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Revision">
    <w:name w:val="Revision"/>
    <w:hidden/>
    <w:uiPriority w:val="99"/>
    <w:semiHidden/>
    <w:rsid w:val="00274C02"/>
    <w:pPr>
      <w:spacing w:after="0" w:line="240" w:lineRule="auto"/>
    </w:pPr>
  </w:style>
  <w:style w:type="paragraph" w:styleId="ListParagraph">
    <w:name w:val="List Paragraph"/>
    <w:basedOn w:val="Normal"/>
    <w:uiPriority w:val="34"/>
    <w:qFormat/>
    <w:rsid w:val="002A5350"/>
    <w:pPr>
      <w:ind w:left="720"/>
      <w:contextualSpacing/>
    </w:pPr>
  </w:style>
  <w:style w:type="paragraph" w:styleId="Header">
    <w:name w:val="header"/>
    <w:basedOn w:val="Normal"/>
    <w:link w:val="HeaderChar"/>
    <w:uiPriority w:val="99"/>
    <w:unhideWhenUsed/>
    <w:rsid w:val="00881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967"/>
  </w:style>
  <w:style w:type="paragraph" w:styleId="Footer">
    <w:name w:val="footer"/>
    <w:basedOn w:val="Normal"/>
    <w:link w:val="FooterChar"/>
    <w:uiPriority w:val="99"/>
    <w:unhideWhenUsed/>
    <w:rsid w:val="00881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54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Nr_x002e__x0020_akti>
    <Data_x0020_e_x0020_Krijimit xmlns="0e656187-b300-4fb0-8bf4-3a50f872073c">2024-02-29T10:10:03Z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2024-02-28T00:00:00Z</Date_x0020_protokolli>
    <Titulli xmlns="0e656187-b300-4fb0-8bf4-3a50f872073c">Për strategjinë e mbrojtjes së mjedisit detar të Republikës së Shqipërisë</Titulli>
    <Modifikuesi xmlns="0e656187-b300-4fb0-8bf4-3a50f872073c">jorina.kryeziu</Modifikuesi>
    <Nr_x002e__x0020_prot_x0020_QBZ xmlns="0e656187-b300-4fb0-8bf4-3a50f872073c">381/4</Nr_x002e__x0020_prot_x0020_QBZ>
    <Data_x0020_e_x0020_Modifikimit xmlns="0e656187-b300-4fb0-8bf4-3a50f872073c">2024-02-29T11:22:53Z</Data_x0020_e_x0020_Modifikimit>
    <Dekretuar xmlns="0e656187-b300-4fb0-8bf4-3a50f872073c">false</Dekretuar>
    <Data xmlns="0e656187-b300-4fb0-8bf4-3a50f872073c">2024-02-08T00:00:00Z</Data>
    <Nr_x002e__x0020_protokolli_x0020_i_x0020_aktit xmlns="0e656187-b300-4fb0-8bf4-3a50f872073c">634/4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280821D1B5245A58EB1BC7CE2E2E3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280821D1B5245A58EB1BC7CE2E2E3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28FC0-5862-413A-8FC5-AB0F82A6D7D1}">
  <ds:schemaRefs>
    <ds:schemaRef ds:uri="http://purl.org/dc/terms/"/>
    <ds:schemaRef ds:uri="http://purl.org/dc/elements/1.1/"/>
    <ds:schemaRef ds:uri="0e656187-b300-4fb0-8bf4-3a50f872073c"/>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2E63045-770D-42B7-AA34-98C73E84E18B}">
  <ds:schemaRefs>
    <ds:schemaRef ds:uri="http://schemas.microsoft.com/sharepoint/v3/contenttype/forms"/>
  </ds:schemaRefs>
</ds:datastoreItem>
</file>

<file path=customXml/itemProps3.xml><?xml version="1.0" encoding="utf-8"?>
<ds:datastoreItem xmlns:ds="http://schemas.openxmlformats.org/officeDocument/2006/customXml" ds:itemID="{4844EC0C-A3D1-4B3F-8767-6340AC65E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93241B-0B58-4875-B3CD-6789929F6D1D}">
  <ds:schemaRefs>
    <ds:schemaRef ds:uri="http://schemas.microsoft.com/sharepoint/v3/contenttype/forms"/>
  </ds:schemaRefs>
</ds:datastoreItem>
</file>

<file path=customXml/itemProps5.xml><?xml version="1.0" encoding="utf-8"?>
<ds:datastoreItem xmlns:ds="http://schemas.openxmlformats.org/officeDocument/2006/customXml" ds:itemID="{62262D1A-ECE6-4AD5-9E45-2CEE7A011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95DA8A8-A38C-4538-9052-55E80613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5370</Words>
  <Characters>30613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Për strategjinë e mbrojtjes së mjedisit detar të Republikës së Shqipërisë</vt:lpstr>
    </vt:vector>
  </TitlesOfParts>
  <Company/>
  <LinksUpToDate>false</LinksUpToDate>
  <CharactersWithSpaces>35912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strategjinë e mbrojtjes së mjedisit detar të Republikës së Shqipërisë</dc:title>
  <dc:creator>gazmend.hanku</dc:creator>
  <cp:lastModifiedBy>Amarilda Muja</cp:lastModifiedBy>
  <cp:revision>128</cp:revision>
  <cp:lastPrinted>2024-02-13T11:51:00Z</cp:lastPrinted>
  <dcterms:created xsi:type="dcterms:W3CDTF">2024-02-07T13:21:00Z</dcterms:created>
  <dcterms:modified xsi:type="dcterms:W3CDTF">2024-02-29T12:35:00Z</dcterms:modified>
</cp:coreProperties>
</file>